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77030185" w:rsidR="00F52BE8" w:rsidRDefault="00FC655B" w:rsidP="004936FC">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02FFA66E" w:rsidR="00F52BE8" w:rsidRPr="00E40E18" w:rsidRDefault="00E40E18" w:rsidP="00F52BE8">
      <w:pPr>
        <w:jc w:val="center"/>
        <w:rPr>
          <w:rFonts w:cs="Arial"/>
          <w:b/>
          <w:u w:val="single"/>
        </w:rPr>
      </w:pPr>
      <w:r>
        <w:rPr>
          <w:rFonts w:cs="Arial"/>
          <w:b/>
          <w:u w:val="single"/>
        </w:rPr>
        <w:t>Access &amp; Licensing</w:t>
      </w:r>
      <w:r w:rsidRPr="00E40E18">
        <w:rPr>
          <w:rFonts w:cs="Arial"/>
          <w:b/>
          <w:u w:val="single"/>
        </w:rPr>
        <w:t xml:space="preserve"> management information process</w:t>
      </w:r>
      <w:r>
        <w:rPr>
          <w:rFonts w:cs="Arial"/>
          <w:b/>
          <w:u w:val="single"/>
        </w:rPr>
        <w:t>es</w:t>
      </w:r>
      <w:r w:rsidRPr="00E40E18">
        <w:rPr>
          <w:rFonts w:cs="Arial"/>
          <w:b/>
          <w:u w:val="single"/>
        </w:rPr>
        <w:t xml:space="preserve"> and insights transparency</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6FF284E0" w:rsidR="00F52BE8" w:rsidRPr="00724A80" w:rsidRDefault="00F52BE8" w:rsidP="00F52BE8">
      <w:pPr>
        <w:spacing w:after="0" w:line="360" w:lineRule="auto"/>
        <w:rPr>
          <w:rFonts w:cs="Arial"/>
          <w:b/>
          <w:color w:val="FF0000"/>
          <w:u w:val="single"/>
        </w:rPr>
      </w:pPr>
      <w:proofErr w:type="spellStart"/>
      <w:r w:rsidRPr="00034159">
        <w:rPr>
          <w:rFonts w:cs="Arial"/>
          <w:b/>
          <w:u w:val="single"/>
        </w:rPr>
        <w:t>CPV</w:t>
      </w:r>
      <w:proofErr w:type="spellEnd"/>
      <w:r w:rsidRPr="00034159">
        <w:rPr>
          <w:rFonts w:cs="Arial"/>
          <w:b/>
          <w:u w:val="single"/>
        </w:rPr>
        <w:t xml:space="preserve"> </w:t>
      </w:r>
      <w:r w:rsidRPr="00724A80">
        <w:rPr>
          <w:rFonts w:cs="Arial"/>
          <w:b/>
          <w:u w:val="single"/>
        </w:rPr>
        <w:t xml:space="preserve">Code: </w:t>
      </w:r>
      <w:r w:rsidR="00724A80" w:rsidRPr="00724A80">
        <w:rPr>
          <w:rFonts w:cs="Arial"/>
          <w:b/>
          <w:color w:val="000000"/>
          <w:sz w:val="27"/>
          <w:szCs w:val="27"/>
          <w:u w:val="single"/>
        </w:rPr>
        <w:t>79411100</w:t>
      </w:r>
    </w:p>
    <w:p w14:paraId="610DAFD3" w14:textId="4DFD3B66" w:rsidR="00F52BE8" w:rsidRPr="00034159" w:rsidRDefault="00F52BE8" w:rsidP="00F52BE8">
      <w:pPr>
        <w:spacing w:after="0" w:line="360" w:lineRule="auto"/>
        <w:rPr>
          <w:rFonts w:cs="Arial"/>
          <w:b/>
        </w:rPr>
      </w:pPr>
      <w:r>
        <w:rPr>
          <w:rFonts w:cs="Arial"/>
          <w:b/>
          <w:u w:val="single"/>
        </w:rPr>
        <w:t xml:space="preserve">Tender Reference: </w:t>
      </w:r>
      <w:r w:rsidR="005D26BC" w:rsidRPr="005D26BC">
        <w:rPr>
          <w:rFonts w:cs="Arial"/>
          <w:b/>
          <w:u w:val="single"/>
        </w:rPr>
        <w:t>ORR/CT/21-54</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700F1799"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E40E18" w:rsidRPr="00E40E18">
        <w:rPr>
          <w:rFonts w:cs="Arial"/>
          <w:b/>
        </w:rPr>
        <w:t xml:space="preserve">consultancy work for a deep dive into the end-to-end life cycle of management information and industry insights transparency within access &amp; licensing </w:t>
      </w:r>
      <w:r w:rsidRPr="00034159">
        <w:rPr>
          <w:rFonts w:cs="Arial"/>
          <w:color w:val="000000"/>
        </w:rPr>
        <w:t>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454677F6"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w:t>
      </w:r>
      <w:r w:rsidR="00E444AC">
        <w:rPr>
          <w:rFonts w:cs="Arial"/>
          <w:szCs w:val="24"/>
        </w:rPr>
        <w:t xml:space="preserve"> </w:t>
      </w:r>
      <w:r w:rsidR="00E444AC">
        <w:t>National Highways</w:t>
      </w:r>
      <w:r w:rsidRPr="00303B3F">
        <w:rPr>
          <w:rFonts w:cs="Arial"/>
          <w:szCs w:val="24"/>
        </w:rPr>
        <w:t xml:space="preserve">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4E147AEE"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E444AC">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w:t>
      </w:r>
      <w:proofErr w:type="spellStart"/>
      <w:r w:rsidRPr="00BA669C">
        <w:rPr>
          <w:rFonts w:cs="Arial"/>
          <w:szCs w:val="24"/>
        </w:rPr>
        <w:t>ORR’s</w:t>
      </w:r>
      <w:proofErr w:type="spellEnd"/>
      <w:r w:rsidRPr="00BA669C">
        <w:rPr>
          <w:rFonts w:cs="Arial"/>
          <w:szCs w:val="24"/>
        </w:rPr>
        <w:t xml:space="preserve">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proofErr w:type="spellStart"/>
        <w:r w:rsidRPr="005A690E">
          <w:rPr>
            <w:rStyle w:val="Hyperlink"/>
          </w:rPr>
          <w:t>www.orr.gov.uk</w:t>
        </w:r>
        <w:proofErr w:type="spellEnd"/>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335497">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335497">
        <w:trPr>
          <w:trHeight w:val="760"/>
        </w:trPr>
        <w:tc>
          <w:tcPr>
            <w:tcW w:w="8528" w:type="dxa"/>
            <w:tcBorders>
              <w:bottom w:val="single" w:sz="4" w:space="0" w:color="auto"/>
            </w:tcBorders>
            <w:shd w:val="clear" w:color="auto" w:fill="auto"/>
          </w:tcPr>
          <w:p w14:paraId="1C528F04" w14:textId="09D4F959" w:rsidR="00055B3C" w:rsidRDefault="00055B3C" w:rsidP="00055B3C">
            <w:pPr>
              <w:rPr>
                <w:rFonts w:cs="Arial"/>
                <w:sz w:val="22"/>
                <w:szCs w:val="22"/>
              </w:rPr>
            </w:pPr>
            <w:r>
              <w:rPr>
                <w:rFonts w:cs="Arial"/>
                <w:sz w:val="22"/>
                <w:szCs w:val="22"/>
              </w:rPr>
              <w:t>ORR is the rail industry’s regulator whose purpose is to: drive for a safer railway, support a better service for consumers; ensure value for money for users and funders as well as focus on the sustainability of the system.</w:t>
            </w:r>
          </w:p>
          <w:p w14:paraId="4A6E76A4" w14:textId="466F2A5F" w:rsidR="00055B3C" w:rsidRDefault="00055B3C" w:rsidP="00055B3C">
            <w:pPr>
              <w:rPr>
                <w:rFonts w:cs="Arial"/>
                <w:sz w:val="22"/>
                <w:szCs w:val="22"/>
              </w:rPr>
            </w:pPr>
            <w:r>
              <w:rPr>
                <w:rFonts w:cs="Arial"/>
                <w:sz w:val="22"/>
                <w:szCs w:val="22"/>
              </w:rPr>
              <w:t>The Access &amp; Licensing function focuses on the contractual elements of passenger and freight operations on rail networks within the United Kingdom. Our teams approve access to track, stations, depots and other facilities as well as being the appeals body for industry disputes. As a result</w:t>
            </w:r>
            <w:r w:rsidR="00D40EA7">
              <w:rPr>
                <w:rFonts w:cs="Arial"/>
                <w:sz w:val="22"/>
                <w:szCs w:val="22"/>
              </w:rPr>
              <w:t>,</w:t>
            </w:r>
            <w:r>
              <w:rPr>
                <w:rFonts w:cs="Arial"/>
                <w:sz w:val="22"/>
                <w:szCs w:val="22"/>
              </w:rPr>
              <w:t xml:space="preserve"> we hold a wealth of industry data on contracts, decisions and appeals which must provide transparency for the industry and aspirant operators and be made publicly available.</w:t>
            </w:r>
          </w:p>
          <w:p w14:paraId="54A045AE" w14:textId="77777777" w:rsidR="000F387D" w:rsidRDefault="00055B3C" w:rsidP="00055B3C">
            <w:pPr>
              <w:rPr>
                <w:sz w:val="22"/>
                <w:szCs w:val="22"/>
              </w:rPr>
            </w:pPr>
            <w:r w:rsidRPr="00055B3C">
              <w:rPr>
                <w:sz w:val="22"/>
                <w:szCs w:val="22"/>
              </w:rPr>
              <w:t xml:space="preserve">The </w:t>
            </w:r>
            <w:proofErr w:type="spellStart"/>
            <w:r w:rsidRPr="00055B3C">
              <w:rPr>
                <w:sz w:val="22"/>
                <w:szCs w:val="22"/>
              </w:rPr>
              <w:t>A&amp;L</w:t>
            </w:r>
            <w:proofErr w:type="spellEnd"/>
            <w:r w:rsidRPr="00055B3C">
              <w:rPr>
                <w:sz w:val="22"/>
                <w:szCs w:val="22"/>
              </w:rPr>
              <w:t xml:space="preserve"> Team see the link between the effective use of this data with industry and how it will further support ORR in the delivery of its statutory duties.</w:t>
            </w:r>
            <w:r>
              <w:rPr>
                <w:sz w:val="22"/>
                <w:szCs w:val="22"/>
              </w:rPr>
              <w:t xml:space="preserve"> </w:t>
            </w:r>
          </w:p>
          <w:p w14:paraId="5EF0A9DD" w14:textId="051E80A7" w:rsidR="00055B3C" w:rsidRPr="00055B3C" w:rsidRDefault="00055B3C" w:rsidP="00055B3C">
            <w:pPr>
              <w:rPr>
                <w:rFonts w:cs="Arial"/>
                <w:sz w:val="22"/>
                <w:szCs w:val="22"/>
              </w:rPr>
            </w:pPr>
            <w:r>
              <w:rPr>
                <w:sz w:val="22"/>
                <w:szCs w:val="22"/>
              </w:rPr>
              <w:t>We understand that effective manag</w:t>
            </w:r>
            <w:r w:rsidR="00D40EA7">
              <w:rPr>
                <w:sz w:val="22"/>
                <w:szCs w:val="22"/>
              </w:rPr>
              <w:t>em</w:t>
            </w:r>
            <w:r>
              <w:rPr>
                <w:sz w:val="22"/>
                <w:szCs w:val="22"/>
              </w:rPr>
              <w:t>e</w:t>
            </w:r>
            <w:r w:rsidR="00D40EA7">
              <w:rPr>
                <w:sz w:val="22"/>
                <w:szCs w:val="22"/>
              </w:rPr>
              <w:t>n</w:t>
            </w:r>
            <w:r>
              <w:rPr>
                <w:sz w:val="22"/>
                <w:szCs w:val="22"/>
              </w:rPr>
              <w:t>t of the data we hold will support</w:t>
            </w:r>
            <w:r w:rsidR="00D40EA7">
              <w:rPr>
                <w:sz w:val="22"/>
                <w:szCs w:val="22"/>
              </w:rPr>
              <w:t xml:space="preserve"> ORR in holding Industry </w:t>
            </w:r>
            <w:r w:rsidR="000F387D">
              <w:rPr>
                <w:sz w:val="22"/>
                <w:szCs w:val="22"/>
              </w:rPr>
              <w:t xml:space="preserve">and ourselves </w:t>
            </w:r>
            <w:r w:rsidR="00D40EA7">
              <w:rPr>
                <w:sz w:val="22"/>
                <w:szCs w:val="22"/>
              </w:rPr>
              <w:t>to account</w:t>
            </w:r>
            <w:r>
              <w:rPr>
                <w:sz w:val="22"/>
                <w:szCs w:val="22"/>
              </w:rPr>
              <w:t xml:space="preserve"> and </w:t>
            </w:r>
            <w:r w:rsidR="00D40EA7">
              <w:rPr>
                <w:sz w:val="22"/>
                <w:szCs w:val="22"/>
              </w:rPr>
              <w:t>if the appropriate</w:t>
            </w:r>
            <w:r w:rsidR="000F387D">
              <w:rPr>
                <w:sz w:val="22"/>
                <w:szCs w:val="22"/>
              </w:rPr>
              <w:t xml:space="preserve"> meaningful</w:t>
            </w:r>
            <w:r w:rsidR="00D40EA7">
              <w:rPr>
                <w:sz w:val="22"/>
                <w:szCs w:val="22"/>
              </w:rPr>
              <w:t xml:space="preserve"> content is made publicly available, it will </w:t>
            </w:r>
            <w:r w:rsidR="00D40EA7" w:rsidRPr="00D40EA7">
              <w:rPr>
                <w:sz w:val="22"/>
                <w:szCs w:val="22"/>
              </w:rPr>
              <w:t>provide improved accessibility to information on access clearly presenting to users live and complete applications for access so industry can identify the volume of applications and reasons for added complexity and/or delay</w:t>
            </w:r>
            <w:r w:rsidR="00D40EA7">
              <w:rPr>
                <w:sz w:val="22"/>
                <w:szCs w:val="22"/>
              </w:rPr>
              <w:t>.</w:t>
            </w:r>
          </w:p>
          <w:p w14:paraId="33DA0708" w14:textId="2223074E" w:rsidR="000F387D" w:rsidRDefault="00791C78" w:rsidP="000F387D">
            <w:pPr>
              <w:rPr>
                <w:rFonts w:cs="Arial"/>
                <w:sz w:val="22"/>
                <w:szCs w:val="22"/>
              </w:rPr>
            </w:pPr>
            <w:r>
              <w:rPr>
                <w:rFonts w:cs="Arial"/>
                <w:sz w:val="22"/>
                <w:szCs w:val="22"/>
              </w:rPr>
              <w:t xml:space="preserve">The project aims to deep dive </w:t>
            </w:r>
            <w:r w:rsidR="000F387D">
              <w:rPr>
                <w:rFonts w:cs="Arial"/>
                <w:sz w:val="22"/>
                <w:szCs w:val="22"/>
              </w:rPr>
              <w:t>and test</w:t>
            </w:r>
            <w:r>
              <w:rPr>
                <w:rFonts w:cs="Arial"/>
                <w:sz w:val="22"/>
                <w:szCs w:val="22"/>
              </w:rPr>
              <w:t xml:space="preserve"> our existing end to end life cycle for the industry management information that we collate and understand how we can improve our data entry, data management, data manipulation</w:t>
            </w:r>
            <w:r w:rsidR="000F387D">
              <w:rPr>
                <w:rFonts w:cs="Arial"/>
                <w:sz w:val="22"/>
                <w:szCs w:val="22"/>
              </w:rPr>
              <w:t>,</w:t>
            </w:r>
            <w:r>
              <w:rPr>
                <w:rFonts w:cs="Arial"/>
                <w:sz w:val="22"/>
                <w:szCs w:val="22"/>
              </w:rPr>
              <w:t xml:space="preserve"> data presentation </w:t>
            </w:r>
            <w:r w:rsidR="000F387D">
              <w:rPr>
                <w:rFonts w:cs="Arial"/>
                <w:sz w:val="22"/>
                <w:szCs w:val="22"/>
              </w:rPr>
              <w:t>and public register accessibility in the context of our existing and incoming software capabilities.</w:t>
            </w:r>
            <w:r w:rsidR="00886A04">
              <w:rPr>
                <w:rFonts w:cs="Arial"/>
                <w:sz w:val="22"/>
                <w:szCs w:val="22"/>
              </w:rPr>
              <w:t xml:space="preserve"> The existing public register (</w:t>
            </w:r>
            <w:hyperlink r:id="rId9" w:history="1">
              <w:r w:rsidR="00886A04" w:rsidRPr="00062876">
                <w:rPr>
                  <w:color w:val="0000FF"/>
                  <w:sz w:val="22"/>
                  <w:szCs w:val="22"/>
                  <w:u w:val="single"/>
                </w:rPr>
                <w:t>Public register | Office of Rail and Road (</w:t>
              </w:r>
              <w:proofErr w:type="spellStart"/>
              <w:r w:rsidR="00886A04" w:rsidRPr="00062876">
                <w:rPr>
                  <w:color w:val="0000FF"/>
                  <w:sz w:val="22"/>
                  <w:szCs w:val="22"/>
                  <w:u w:val="single"/>
                </w:rPr>
                <w:t>orr.gov.uk</w:t>
              </w:r>
              <w:proofErr w:type="spellEnd"/>
              <w:r w:rsidR="00886A04" w:rsidRPr="00062876">
                <w:rPr>
                  <w:color w:val="0000FF"/>
                  <w:sz w:val="22"/>
                  <w:szCs w:val="22"/>
                  <w:u w:val="single"/>
                </w:rPr>
                <w:t>)</w:t>
              </w:r>
            </w:hyperlink>
            <w:r w:rsidR="00886A04">
              <w:t xml:space="preserve"> </w:t>
            </w:r>
            <w:r w:rsidR="00886A04" w:rsidRPr="00062876">
              <w:rPr>
                <w:sz w:val="22"/>
                <w:szCs w:val="22"/>
              </w:rPr>
              <w:t>is</w:t>
            </w:r>
            <w:r w:rsidR="00062876">
              <w:rPr>
                <w:sz w:val="22"/>
                <w:szCs w:val="22"/>
              </w:rPr>
              <w:t xml:space="preserve"> our vehicle for the public to interrogate the licensing decisions of the industry</w:t>
            </w:r>
            <w:r w:rsidR="00E30583">
              <w:rPr>
                <w:sz w:val="22"/>
                <w:szCs w:val="22"/>
              </w:rPr>
              <w:t xml:space="preserve"> as defined by Section 72 </w:t>
            </w:r>
            <w:r w:rsidR="00F267B3">
              <w:rPr>
                <w:sz w:val="22"/>
                <w:szCs w:val="22"/>
              </w:rPr>
              <w:t>of the Railways Act</w:t>
            </w:r>
            <w:r w:rsidR="00062876">
              <w:rPr>
                <w:sz w:val="22"/>
                <w:szCs w:val="22"/>
              </w:rPr>
              <w:t>.</w:t>
            </w:r>
          </w:p>
          <w:p w14:paraId="11097079" w14:textId="0D3AEC99" w:rsidR="00791C78" w:rsidRDefault="000F387D" w:rsidP="000F387D">
            <w:pPr>
              <w:rPr>
                <w:rFonts w:cs="Arial"/>
                <w:sz w:val="22"/>
                <w:szCs w:val="22"/>
              </w:rPr>
            </w:pPr>
            <w:r>
              <w:rPr>
                <w:rFonts w:cs="Arial"/>
                <w:sz w:val="22"/>
                <w:szCs w:val="22"/>
              </w:rPr>
              <w:t>Furthermore, the project seeks to understand what processes, actions and controls are required in achieving the goal above, understand what meaningful outputs we can produce</w:t>
            </w:r>
            <w:r w:rsidR="006E1D0C">
              <w:rPr>
                <w:rFonts w:cs="Arial"/>
                <w:sz w:val="22"/>
                <w:szCs w:val="22"/>
              </w:rPr>
              <w:t xml:space="preserve"> including industry success measures</w:t>
            </w:r>
            <w:r>
              <w:rPr>
                <w:rFonts w:cs="Arial"/>
                <w:sz w:val="22"/>
                <w:szCs w:val="22"/>
              </w:rPr>
              <w:t xml:space="preserve"> and what we need to introduce to integrate this into and manage this as part of our </w:t>
            </w:r>
            <w:r w:rsidR="006E1D0C">
              <w:rPr>
                <w:rFonts w:cs="Arial"/>
                <w:sz w:val="22"/>
                <w:szCs w:val="22"/>
              </w:rPr>
              <w:t>business-as-usual</w:t>
            </w:r>
            <w:r>
              <w:rPr>
                <w:rFonts w:cs="Arial"/>
                <w:sz w:val="22"/>
                <w:szCs w:val="22"/>
              </w:rPr>
              <w:t xml:space="preserve"> workstreams.</w:t>
            </w:r>
          </w:p>
          <w:p w14:paraId="28936AFF" w14:textId="33496148" w:rsidR="00886A04" w:rsidRDefault="00886A04" w:rsidP="000F387D">
            <w:pPr>
              <w:rPr>
                <w:rFonts w:cs="Arial"/>
                <w:sz w:val="22"/>
                <w:szCs w:val="22"/>
              </w:rPr>
            </w:pPr>
            <w:r>
              <w:rPr>
                <w:rFonts w:cs="Arial"/>
                <w:sz w:val="22"/>
                <w:szCs w:val="22"/>
              </w:rPr>
              <w:t>Alongside this sits the aspiration for this data and reporting information to be available to colleagues throughout the case lifecycle and beyond allowing ORR to take a holistic view of access &amp; licensing across the industry in real time.</w:t>
            </w:r>
          </w:p>
          <w:p w14:paraId="2AE4FDDB" w14:textId="7D144228" w:rsidR="000F387D" w:rsidRDefault="000F387D" w:rsidP="000F387D">
            <w:pPr>
              <w:rPr>
                <w:rFonts w:cs="Arial"/>
                <w:sz w:val="22"/>
                <w:szCs w:val="22"/>
              </w:rPr>
            </w:pPr>
            <w:r>
              <w:rPr>
                <w:rFonts w:cs="Arial"/>
                <w:sz w:val="22"/>
                <w:szCs w:val="22"/>
              </w:rPr>
              <w:t xml:space="preserve">The project outcome </w:t>
            </w:r>
            <w:r w:rsidR="00886A04">
              <w:rPr>
                <w:rFonts w:cs="Arial"/>
                <w:sz w:val="22"/>
                <w:szCs w:val="22"/>
              </w:rPr>
              <w:t>will</w:t>
            </w:r>
            <w:r>
              <w:rPr>
                <w:rFonts w:cs="Arial"/>
                <w:sz w:val="22"/>
                <w:szCs w:val="22"/>
              </w:rPr>
              <w:t xml:space="preserve"> be the realisation of a management information process and system that provides meaningful</w:t>
            </w:r>
            <w:r w:rsidR="006E1D0C">
              <w:rPr>
                <w:rFonts w:cs="Arial"/>
                <w:sz w:val="22"/>
                <w:szCs w:val="22"/>
              </w:rPr>
              <w:t xml:space="preserve"> and </w:t>
            </w:r>
            <w:r>
              <w:rPr>
                <w:rFonts w:cs="Arial"/>
                <w:sz w:val="22"/>
                <w:szCs w:val="22"/>
              </w:rPr>
              <w:t>transparent information to industry and the public alike</w:t>
            </w:r>
            <w:r w:rsidR="006E1D0C">
              <w:rPr>
                <w:rFonts w:cs="Arial"/>
                <w:sz w:val="22"/>
                <w:szCs w:val="22"/>
              </w:rPr>
              <w:t xml:space="preserve"> within an interactive data access point which houses each access and licensing case, decision and relevant supporting material for public scrutiny.</w:t>
            </w:r>
          </w:p>
          <w:p w14:paraId="5BFE9237" w14:textId="77777777" w:rsidR="00F52BE8" w:rsidRPr="00FE211F" w:rsidRDefault="00F52BE8" w:rsidP="000F387D">
            <w:pPr>
              <w:rPr>
                <w:rFonts w:cs="Arial"/>
                <w:sz w:val="22"/>
                <w:szCs w:val="22"/>
              </w:rPr>
            </w:pPr>
          </w:p>
        </w:tc>
      </w:tr>
      <w:tr w:rsidR="00F52BE8" w:rsidRPr="0036077E" w14:paraId="0D0F920E" w14:textId="77777777" w:rsidTr="00335497">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00335497">
        <w:trPr>
          <w:trHeight w:val="757"/>
        </w:trPr>
        <w:tc>
          <w:tcPr>
            <w:tcW w:w="8528" w:type="dxa"/>
            <w:tcBorders>
              <w:bottom w:val="single" w:sz="4" w:space="0" w:color="auto"/>
            </w:tcBorders>
            <w:shd w:val="clear" w:color="auto" w:fill="auto"/>
          </w:tcPr>
          <w:p w14:paraId="63BD80C0" w14:textId="12FBF825" w:rsidR="002424BB" w:rsidRPr="00B3569C" w:rsidRDefault="002424BB" w:rsidP="002424BB">
            <w:pPr>
              <w:pStyle w:val="NoSpacing"/>
              <w:rPr>
                <w:rFonts w:ascii="Arial" w:hAnsi="Arial" w:cs="Arial"/>
                <w:b/>
                <w:bCs/>
              </w:rPr>
            </w:pPr>
          </w:p>
          <w:p w14:paraId="633C8DB8" w14:textId="12A95C26" w:rsidR="00821A7E" w:rsidRDefault="002424BB" w:rsidP="002424BB">
            <w:pPr>
              <w:pStyle w:val="NoSpacing"/>
              <w:rPr>
                <w:rFonts w:ascii="Arial" w:hAnsi="Arial" w:cs="Arial"/>
              </w:rPr>
            </w:pPr>
            <w:r>
              <w:rPr>
                <w:rFonts w:ascii="Arial" w:hAnsi="Arial" w:cs="Arial"/>
              </w:rPr>
              <w:t xml:space="preserve">Review </w:t>
            </w:r>
            <w:proofErr w:type="spellStart"/>
            <w:r>
              <w:rPr>
                <w:rFonts w:ascii="Arial" w:hAnsi="Arial" w:cs="Arial"/>
              </w:rPr>
              <w:t>ORR’s</w:t>
            </w:r>
            <w:proofErr w:type="spellEnd"/>
            <w:r>
              <w:rPr>
                <w:rFonts w:ascii="Arial" w:hAnsi="Arial" w:cs="Arial"/>
              </w:rPr>
              <w:t xml:space="preserve"> existing management information and map out a best-in-class management information process, a multi category reporting suite, industry success metric and interactive portal that will </w:t>
            </w:r>
            <w:r w:rsidRPr="002424BB">
              <w:rPr>
                <w:rFonts w:ascii="Arial" w:hAnsi="Arial" w:cs="Arial"/>
              </w:rPr>
              <w:t>provide improved accessibility to information on access</w:t>
            </w:r>
            <w:r>
              <w:rPr>
                <w:rFonts w:ascii="Arial" w:hAnsi="Arial" w:cs="Arial"/>
              </w:rPr>
              <w:t xml:space="preserve"> &amp; licensing</w:t>
            </w:r>
            <w:r w:rsidRPr="002424BB">
              <w:rPr>
                <w:rFonts w:ascii="Arial" w:hAnsi="Arial" w:cs="Arial"/>
              </w:rPr>
              <w:t xml:space="preserve"> clearly presenting to </w:t>
            </w:r>
            <w:r>
              <w:rPr>
                <w:rFonts w:ascii="Arial" w:hAnsi="Arial" w:cs="Arial"/>
              </w:rPr>
              <w:t xml:space="preserve">all </w:t>
            </w:r>
            <w:r w:rsidRPr="002424BB">
              <w:rPr>
                <w:rFonts w:ascii="Arial" w:hAnsi="Arial" w:cs="Arial"/>
              </w:rPr>
              <w:t>users live and complete applications for access so industry can identify the volume of applications and reasons for added complexity and/or delay</w:t>
            </w:r>
            <w:r>
              <w:rPr>
                <w:rFonts w:ascii="Arial" w:hAnsi="Arial" w:cs="Arial"/>
              </w:rPr>
              <w:t>.</w:t>
            </w:r>
          </w:p>
          <w:p w14:paraId="09BD1E56" w14:textId="51A67003" w:rsidR="002424BB" w:rsidRDefault="002424BB" w:rsidP="002424BB">
            <w:pPr>
              <w:pStyle w:val="NoSpacing"/>
              <w:ind w:left="360"/>
              <w:rPr>
                <w:rFonts w:ascii="Arial" w:hAnsi="Arial" w:cs="Arial"/>
              </w:rPr>
            </w:pPr>
          </w:p>
          <w:p w14:paraId="79240F35" w14:textId="77686893" w:rsidR="00F81199" w:rsidRDefault="00F81199" w:rsidP="00F81199">
            <w:pPr>
              <w:pStyle w:val="NoSpacing"/>
              <w:rPr>
                <w:rFonts w:ascii="Arial" w:hAnsi="Arial" w:cs="Arial"/>
              </w:rPr>
            </w:pPr>
          </w:p>
          <w:p w14:paraId="7B80C736" w14:textId="0803407C" w:rsidR="00F81199" w:rsidRDefault="00F81199" w:rsidP="00F81199">
            <w:pPr>
              <w:pStyle w:val="NoSpacing"/>
              <w:rPr>
                <w:rFonts w:ascii="Arial" w:hAnsi="Arial" w:cs="Arial"/>
              </w:rPr>
            </w:pPr>
            <w:r>
              <w:rPr>
                <w:rFonts w:ascii="Arial" w:hAnsi="Arial" w:cs="Arial"/>
              </w:rPr>
              <w:t>Produce a report</w:t>
            </w:r>
            <w:r w:rsidR="00695556">
              <w:rPr>
                <w:rFonts w:ascii="Arial" w:hAnsi="Arial" w:cs="Arial"/>
              </w:rPr>
              <w:t xml:space="preserve"> on the </w:t>
            </w:r>
            <w:r w:rsidR="00CF001F">
              <w:rPr>
                <w:rFonts w:ascii="Arial" w:hAnsi="Arial" w:cs="Arial"/>
              </w:rPr>
              <w:t>end-to-end</w:t>
            </w:r>
            <w:r w:rsidR="00695556">
              <w:rPr>
                <w:rFonts w:ascii="Arial" w:hAnsi="Arial" w:cs="Arial"/>
              </w:rPr>
              <w:t xml:space="preserve"> management</w:t>
            </w:r>
            <w:r w:rsidR="00D95982">
              <w:rPr>
                <w:rFonts w:ascii="Arial" w:hAnsi="Arial" w:cs="Arial"/>
              </w:rPr>
              <w:t xml:space="preserve">, knowledge </w:t>
            </w:r>
            <w:r w:rsidR="0091677F">
              <w:rPr>
                <w:rFonts w:ascii="Arial" w:hAnsi="Arial" w:cs="Arial"/>
              </w:rPr>
              <w:t xml:space="preserve">and use of </w:t>
            </w:r>
            <w:r w:rsidR="00BF6A6C">
              <w:rPr>
                <w:rFonts w:ascii="Arial" w:hAnsi="Arial" w:cs="Arial"/>
              </w:rPr>
              <w:t xml:space="preserve">publicly available </w:t>
            </w:r>
            <w:r w:rsidR="0091677F">
              <w:rPr>
                <w:rFonts w:ascii="Arial" w:hAnsi="Arial" w:cs="Arial"/>
              </w:rPr>
              <w:t>information within Access &amp; Licensing</w:t>
            </w:r>
            <w:r w:rsidR="00BF6A6C">
              <w:rPr>
                <w:rFonts w:ascii="Arial" w:hAnsi="Arial" w:cs="Arial"/>
              </w:rPr>
              <w:t>,</w:t>
            </w:r>
            <w:r>
              <w:rPr>
                <w:rFonts w:ascii="Arial" w:hAnsi="Arial" w:cs="Arial"/>
              </w:rPr>
              <w:t xml:space="preserve"> which </w:t>
            </w:r>
            <w:r w:rsidR="00896CB6">
              <w:rPr>
                <w:rFonts w:ascii="Arial" w:hAnsi="Arial" w:cs="Arial"/>
              </w:rPr>
              <w:t>will provide the following</w:t>
            </w:r>
            <w:r>
              <w:rPr>
                <w:rFonts w:ascii="Arial" w:hAnsi="Arial" w:cs="Arial"/>
              </w:rPr>
              <w:t>:</w:t>
            </w:r>
          </w:p>
          <w:p w14:paraId="1A65762E" w14:textId="77777777" w:rsidR="00F81199" w:rsidRPr="002424BB" w:rsidRDefault="00F81199" w:rsidP="00F81199">
            <w:pPr>
              <w:pStyle w:val="NoSpacing"/>
              <w:rPr>
                <w:rFonts w:ascii="Arial" w:hAnsi="Arial" w:cs="Arial"/>
              </w:rPr>
            </w:pPr>
          </w:p>
          <w:p w14:paraId="2ED5A6B3" w14:textId="5D73F1C7" w:rsidR="00F81199" w:rsidRDefault="009C31B9" w:rsidP="00F81199">
            <w:pPr>
              <w:pStyle w:val="ListParagraph"/>
              <w:numPr>
                <w:ilvl w:val="0"/>
                <w:numId w:val="26"/>
              </w:numPr>
              <w:rPr>
                <w:rFonts w:cs="Arial"/>
                <w:sz w:val="22"/>
                <w:szCs w:val="22"/>
              </w:rPr>
            </w:pPr>
            <w:r>
              <w:rPr>
                <w:rFonts w:cs="Arial"/>
                <w:sz w:val="22"/>
                <w:szCs w:val="22"/>
              </w:rPr>
              <w:t>Critique</w:t>
            </w:r>
            <w:r w:rsidR="008D0B53">
              <w:rPr>
                <w:rFonts w:cs="Arial"/>
                <w:sz w:val="22"/>
                <w:szCs w:val="22"/>
              </w:rPr>
              <w:t xml:space="preserve"> our existing end to end management information process from collation to publication</w:t>
            </w:r>
            <w:r w:rsidR="00A620E0">
              <w:rPr>
                <w:rFonts w:cs="Arial"/>
                <w:sz w:val="22"/>
                <w:szCs w:val="22"/>
              </w:rPr>
              <w:t xml:space="preserve">, critiquing our current system, tools, </w:t>
            </w:r>
            <w:r w:rsidR="00B618AD">
              <w:rPr>
                <w:rFonts w:cs="Arial"/>
                <w:sz w:val="22"/>
                <w:szCs w:val="22"/>
              </w:rPr>
              <w:t xml:space="preserve">knowledge management and case management </w:t>
            </w:r>
          </w:p>
          <w:p w14:paraId="499C26EF" w14:textId="77777777" w:rsidR="00F81199" w:rsidRDefault="00F81199" w:rsidP="00F81199">
            <w:pPr>
              <w:pStyle w:val="ListParagraph"/>
              <w:rPr>
                <w:rFonts w:cs="Arial"/>
                <w:sz w:val="22"/>
                <w:szCs w:val="22"/>
              </w:rPr>
            </w:pPr>
          </w:p>
          <w:p w14:paraId="527BAF73" w14:textId="68F1C111" w:rsidR="00F81199" w:rsidRPr="00F81199" w:rsidRDefault="00CC4281" w:rsidP="00F81199">
            <w:pPr>
              <w:pStyle w:val="ListParagraph"/>
              <w:numPr>
                <w:ilvl w:val="0"/>
                <w:numId w:val="26"/>
              </w:numPr>
              <w:rPr>
                <w:rFonts w:cs="Arial"/>
                <w:sz w:val="22"/>
                <w:szCs w:val="22"/>
              </w:rPr>
            </w:pPr>
            <w:r>
              <w:rPr>
                <w:rFonts w:cs="Arial"/>
                <w:sz w:val="22"/>
                <w:szCs w:val="22"/>
              </w:rPr>
              <w:t>Make recommendations on</w:t>
            </w:r>
            <w:r w:rsidR="00F81199">
              <w:rPr>
                <w:rFonts w:cs="Arial"/>
                <w:sz w:val="22"/>
                <w:szCs w:val="22"/>
              </w:rPr>
              <w:t xml:space="preserve"> best option for automated data input</w:t>
            </w:r>
          </w:p>
          <w:p w14:paraId="67F42077" w14:textId="77777777" w:rsidR="00F81199" w:rsidRDefault="00F81199" w:rsidP="00F81199">
            <w:pPr>
              <w:pStyle w:val="ListParagraph"/>
              <w:rPr>
                <w:rFonts w:cs="Arial"/>
                <w:sz w:val="22"/>
                <w:szCs w:val="22"/>
              </w:rPr>
            </w:pPr>
          </w:p>
          <w:p w14:paraId="058D45E4" w14:textId="0CF52B52" w:rsidR="00F81199" w:rsidRPr="00F81199" w:rsidRDefault="00452BB5" w:rsidP="00F81199">
            <w:pPr>
              <w:pStyle w:val="ListParagraph"/>
              <w:numPr>
                <w:ilvl w:val="0"/>
                <w:numId w:val="26"/>
              </w:numPr>
              <w:rPr>
                <w:rFonts w:cs="Arial"/>
                <w:sz w:val="22"/>
                <w:szCs w:val="22"/>
              </w:rPr>
            </w:pPr>
            <w:r>
              <w:rPr>
                <w:rFonts w:cs="Arial"/>
                <w:sz w:val="22"/>
                <w:szCs w:val="22"/>
              </w:rPr>
              <w:t>Make recommendations on</w:t>
            </w:r>
            <w:r w:rsidR="008D0B53">
              <w:rPr>
                <w:rFonts w:cs="Arial"/>
                <w:sz w:val="22"/>
                <w:szCs w:val="22"/>
              </w:rPr>
              <w:t xml:space="preserve"> a best-in-class formal MI reporting process</w:t>
            </w:r>
          </w:p>
          <w:p w14:paraId="696C9497" w14:textId="77777777" w:rsidR="00F81199" w:rsidRPr="00F81199" w:rsidRDefault="00F81199" w:rsidP="00F81199">
            <w:pPr>
              <w:pStyle w:val="ListParagraph"/>
              <w:rPr>
                <w:rFonts w:cs="Arial"/>
                <w:sz w:val="22"/>
                <w:szCs w:val="22"/>
              </w:rPr>
            </w:pPr>
          </w:p>
          <w:p w14:paraId="1B75A996" w14:textId="5D46EC63" w:rsidR="008D0B53" w:rsidRDefault="00452BB5" w:rsidP="008D0B53">
            <w:pPr>
              <w:pStyle w:val="ListParagraph"/>
              <w:numPr>
                <w:ilvl w:val="0"/>
                <w:numId w:val="26"/>
              </w:numPr>
              <w:rPr>
                <w:rFonts w:cs="Arial"/>
                <w:sz w:val="22"/>
                <w:szCs w:val="22"/>
              </w:rPr>
            </w:pPr>
            <w:r>
              <w:rPr>
                <w:rFonts w:cs="Arial"/>
                <w:sz w:val="22"/>
                <w:szCs w:val="22"/>
              </w:rPr>
              <w:t>Make recommendations on</w:t>
            </w:r>
            <w:r w:rsidR="008D0B53">
              <w:rPr>
                <w:rFonts w:cs="Arial"/>
                <w:sz w:val="22"/>
                <w:szCs w:val="22"/>
              </w:rPr>
              <w:t xml:space="preserve"> key success metrics</w:t>
            </w:r>
            <w:r w:rsidR="00C12CA4">
              <w:rPr>
                <w:rFonts w:cs="Arial"/>
                <w:sz w:val="22"/>
                <w:szCs w:val="22"/>
              </w:rPr>
              <w:t xml:space="preserve"> to improve industry performance</w:t>
            </w:r>
            <w:r w:rsidR="00CA7F30">
              <w:rPr>
                <w:rFonts w:cs="Arial"/>
                <w:sz w:val="22"/>
                <w:szCs w:val="22"/>
              </w:rPr>
              <w:t xml:space="preserve"> within </w:t>
            </w:r>
            <w:r w:rsidR="009C31B9">
              <w:rPr>
                <w:rFonts w:cs="Arial"/>
                <w:sz w:val="22"/>
                <w:szCs w:val="22"/>
              </w:rPr>
              <w:t>Access &amp; Licensing process and decision making</w:t>
            </w:r>
          </w:p>
          <w:p w14:paraId="5D2A0C6C" w14:textId="77777777" w:rsidR="00F81199" w:rsidRDefault="00F81199" w:rsidP="00F81199">
            <w:pPr>
              <w:pStyle w:val="ListParagraph"/>
              <w:rPr>
                <w:rFonts w:cs="Arial"/>
                <w:sz w:val="22"/>
                <w:szCs w:val="22"/>
              </w:rPr>
            </w:pPr>
          </w:p>
          <w:p w14:paraId="7C66CD6C" w14:textId="6A26CE7A" w:rsidR="00BE369F" w:rsidRPr="00B409CF" w:rsidRDefault="00452BB5" w:rsidP="00B409CF">
            <w:pPr>
              <w:pStyle w:val="ListParagraph"/>
              <w:numPr>
                <w:ilvl w:val="0"/>
                <w:numId w:val="26"/>
              </w:numPr>
              <w:rPr>
                <w:rFonts w:cs="Arial"/>
                <w:sz w:val="22"/>
                <w:szCs w:val="22"/>
              </w:rPr>
            </w:pPr>
            <w:r>
              <w:rPr>
                <w:rFonts w:cs="Arial"/>
                <w:sz w:val="22"/>
                <w:szCs w:val="22"/>
              </w:rPr>
              <w:t>Make recommendations on</w:t>
            </w:r>
            <w:r w:rsidR="008D0B53">
              <w:rPr>
                <w:rFonts w:cs="Arial"/>
                <w:sz w:val="22"/>
                <w:szCs w:val="22"/>
              </w:rPr>
              <w:t xml:space="preserve"> </w:t>
            </w:r>
            <w:r w:rsidR="00212824">
              <w:rPr>
                <w:rFonts w:cs="Arial"/>
                <w:sz w:val="22"/>
                <w:szCs w:val="22"/>
              </w:rPr>
              <w:t>the presentation of</w:t>
            </w:r>
            <w:r w:rsidR="008D0B53">
              <w:rPr>
                <w:rFonts w:cs="Arial"/>
                <w:sz w:val="22"/>
                <w:szCs w:val="22"/>
              </w:rPr>
              <w:t xml:space="preserve"> management information report</w:t>
            </w:r>
            <w:r w:rsidR="00212824">
              <w:rPr>
                <w:rFonts w:cs="Arial"/>
                <w:sz w:val="22"/>
                <w:szCs w:val="22"/>
              </w:rPr>
              <w:t>s</w:t>
            </w:r>
            <w:r w:rsidR="00C12CA4">
              <w:rPr>
                <w:rFonts w:cs="Arial"/>
                <w:sz w:val="22"/>
                <w:szCs w:val="22"/>
              </w:rPr>
              <w:t xml:space="preserve"> </w:t>
            </w:r>
          </w:p>
          <w:p w14:paraId="24AB1065" w14:textId="77777777" w:rsidR="00F81199" w:rsidRDefault="00F81199" w:rsidP="00F81199">
            <w:pPr>
              <w:pStyle w:val="ListParagraph"/>
              <w:rPr>
                <w:rFonts w:cs="Arial"/>
                <w:sz w:val="22"/>
                <w:szCs w:val="22"/>
              </w:rPr>
            </w:pPr>
          </w:p>
          <w:p w14:paraId="397B591A" w14:textId="453828E3" w:rsidR="008D0B53" w:rsidRDefault="00452BB5" w:rsidP="008D0B53">
            <w:pPr>
              <w:pStyle w:val="ListParagraph"/>
              <w:numPr>
                <w:ilvl w:val="0"/>
                <w:numId w:val="26"/>
              </w:numPr>
              <w:rPr>
                <w:rFonts w:cs="Arial"/>
                <w:sz w:val="22"/>
                <w:szCs w:val="22"/>
              </w:rPr>
            </w:pPr>
            <w:r>
              <w:rPr>
                <w:rFonts w:cs="Arial"/>
                <w:sz w:val="22"/>
                <w:szCs w:val="22"/>
              </w:rPr>
              <w:t>Make recommendations on</w:t>
            </w:r>
            <w:r w:rsidR="008D0B53">
              <w:rPr>
                <w:rFonts w:cs="Arial"/>
                <w:sz w:val="22"/>
                <w:szCs w:val="22"/>
              </w:rPr>
              <w:t xml:space="preserve"> industry insights report</w:t>
            </w:r>
            <w:r w:rsidR="00F81199">
              <w:rPr>
                <w:rFonts w:cs="Arial"/>
                <w:sz w:val="22"/>
                <w:szCs w:val="22"/>
              </w:rPr>
              <w:t xml:space="preserve"> templates</w:t>
            </w:r>
          </w:p>
          <w:p w14:paraId="1B4FEE94" w14:textId="77777777" w:rsidR="00F81199" w:rsidRDefault="00F81199" w:rsidP="00F81199">
            <w:pPr>
              <w:pStyle w:val="ListParagraph"/>
              <w:rPr>
                <w:rFonts w:cs="Arial"/>
                <w:sz w:val="22"/>
                <w:szCs w:val="22"/>
              </w:rPr>
            </w:pPr>
          </w:p>
          <w:p w14:paraId="6EA84D3D" w14:textId="0640D927" w:rsidR="008D0B53" w:rsidRDefault="00452BB5" w:rsidP="008D0B53">
            <w:pPr>
              <w:pStyle w:val="ListParagraph"/>
              <w:numPr>
                <w:ilvl w:val="0"/>
                <w:numId w:val="26"/>
              </w:numPr>
              <w:rPr>
                <w:rFonts w:cs="Arial"/>
                <w:sz w:val="22"/>
                <w:szCs w:val="22"/>
              </w:rPr>
            </w:pPr>
            <w:r>
              <w:rPr>
                <w:rFonts w:cs="Arial"/>
                <w:sz w:val="22"/>
                <w:szCs w:val="22"/>
              </w:rPr>
              <w:t xml:space="preserve">Make recommendations on </w:t>
            </w:r>
            <w:r w:rsidR="008D0B53">
              <w:rPr>
                <w:rFonts w:cs="Arial"/>
                <w:sz w:val="22"/>
                <w:szCs w:val="22"/>
              </w:rPr>
              <w:t xml:space="preserve">an improved public register portal with increased interactivity, search functionality and accessibility </w:t>
            </w:r>
          </w:p>
          <w:p w14:paraId="6C8BA173" w14:textId="77777777" w:rsidR="00D92609" w:rsidRDefault="00D92609" w:rsidP="00821A7E">
            <w:pPr>
              <w:rPr>
                <w:rFonts w:cs="Arial"/>
                <w:sz w:val="22"/>
                <w:szCs w:val="22"/>
              </w:rPr>
            </w:pPr>
          </w:p>
          <w:p w14:paraId="453E0189" w14:textId="4FC8FC80" w:rsidR="00F81199" w:rsidRPr="00821A7E" w:rsidRDefault="00821A7E" w:rsidP="00821A7E">
            <w:pPr>
              <w:rPr>
                <w:rFonts w:cs="Arial"/>
                <w:sz w:val="22"/>
                <w:szCs w:val="22"/>
              </w:rPr>
            </w:pPr>
            <w:r>
              <w:rPr>
                <w:rFonts w:cs="Arial"/>
                <w:sz w:val="22"/>
                <w:szCs w:val="22"/>
              </w:rPr>
              <w:t xml:space="preserve">This </w:t>
            </w:r>
            <w:r w:rsidR="00E9197B">
              <w:rPr>
                <w:rFonts w:cs="Arial"/>
                <w:sz w:val="22"/>
                <w:szCs w:val="22"/>
              </w:rPr>
              <w:t>report and the recommendations contained within should be made in reference to existing and planned incoming IT and software capabilities.</w:t>
            </w:r>
          </w:p>
          <w:p w14:paraId="390C0841" w14:textId="604EFF7F" w:rsidR="00F52BE8" w:rsidRPr="0036077E" w:rsidRDefault="00831C70" w:rsidP="001500F4">
            <w:pPr>
              <w:rPr>
                <w:rFonts w:cs="Arial"/>
                <w:sz w:val="22"/>
                <w:szCs w:val="22"/>
              </w:rPr>
            </w:pPr>
            <w:r>
              <w:rPr>
                <w:rFonts w:cs="Arial"/>
                <w:sz w:val="22"/>
                <w:szCs w:val="22"/>
              </w:rPr>
              <w:t xml:space="preserve">We expect the project to take </w:t>
            </w:r>
            <w:r w:rsidR="001500F4">
              <w:rPr>
                <w:rFonts w:cs="Arial"/>
                <w:sz w:val="22"/>
                <w:szCs w:val="22"/>
              </w:rPr>
              <w:t>up to 6 months.</w:t>
            </w:r>
          </w:p>
          <w:p w14:paraId="66C42D7F" w14:textId="2E676859" w:rsidR="00F52BE8" w:rsidRPr="005D26BC" w:rsidRDefault="00567C55" w:rsidP="00335497">
            <w:pPr>
              <w:rPr>
                <w:rFonts w:cs="Arial"/>
                <w:b/>
              </w:rPr>
            </w:pPr>
            <w:r>
              <w:rPr>
                <w:rFonts w:cs="Arial"/>
                <w:sz w:val="22"/>
                <w:szCs w:val="22"/>
              </w:rPr>
              <w:t xml:space="preserve">The supplier will require access to ORR </w:t>
            </w:r>
            <w:r w:rsidR="00935D3B">
              <w:rPr>
                <w:rFonts w:cs="Arial"/>
                <w:sz w:val="22"/>
                <w:szCs w:val="22"/>
              </w:rPr>
              <w:t xml:space="preserve">systems. The </w:t>
            </w:r>
            <w:r w:rsidR="007C1CC1">
              <w:rPr>
                <w:rFonts w:cs="Arial"/>
                <w:sz w:val="22"/>
                <w:szCs w:val="22"/>
              </w:rPr>
              <w:t>data</w:t>
            </w:r>
            <w:r w:rsidR="00935D3B">
              <w:rPr>
                <w:rFonts w:cs="Arial"/>
                <w:sz w:val="22"/>
                <w:szCs w:val="22"/>
              </w:rPr>
              <w:t xml:space="preserve"> that the supplier will </w:t>
            </w:r>
            <w:r w:rsidR="007C1CC1">
              <w:rPr>
                <w:rFonts w:cs="Arial"/>
                <w:sz w:val="22"/>
                <w:szCs w:val="22"/>
              </w:rPr>
              <w:t>be working with is transparent and available within the public do</w:t>
            </w:r>
            <w:r w:rsidR="009547A6">
              <w:rPr>
                <w:rFonts w:cs="Arial"/>
                <w:sz w:val="22"/>
                <w:szCs w:val="22"/>
              </w:rPr>
              <w:t>main</w:t>
            </w:r>
            <w:r w:rsidR="00A04393">
              <w:rPr>
                <w:rFonts w:cs="Arial"/>
                <w:sz w:val="22"/>
                <w:szCs w:val="22"/>
              </w:rPr>
              <w:t xml:space="preserve"> in it</w:t>
            </w:r>
            <w:r w:rsidR="00503B9B">
              <w:rPr>
                <w:rFonts w:cs="Arial"/>
                <w:sz w:val="22"/>
                <w:szCs w:val="22"/>
              </w:rPr>
              <w:t>s end state</w:t>
            </w:r>
            <w:r w:rsidR="000052DC">
              <w:rPr>
                <w:rFonts w:cs="Arial"/>
                <w:sz w:val="22"/>
                <w:szCs w:val="22"/>
              </w:rPr>
              <w:t>.</w:t>
            </w:r>
          </w:p>
        </w:tc>
      </w:tr>
      <w:tr w:rsidR="00F52BE8" w:rsidRPr="0036077E" w14:paraId="16B6CA3B" w14:textId="77777777" w:rsidTr="00335497">
        <w:trPr>
          <w:trHeight w:val="566"/>
        </w:trPr>
        <w:tc>
          <w:tcPr>
            <w:tcW w:w="8528" w:type="dxa"/>
            <w:shd w:val="clear" w:color="auto" w:fill="99CCFF"/>
          </w:tcPr>
          <w:p w14:paraId="4A8CCD8F" w14:textId="04F71D78" w:rsidR="00F52BE8" w:rsidRPr="0036077E" w:rsidRDefault="00F52BE8" w:rsidP="00335497">
            <w:pPr>
              <w:rPr>
                <w:rFonts w:cs="Arial"/>
                <w:b/>
                <w:sz w:val="28"/>
                <w:szCs w:val="28"/>
              </w:rPr>
            </w:pPr>
            <w:r w:rsidRPr="0036077E">
              <w:rPr>
                <w:rFonts w:cs="Arial"/>
                <w:b/>
                <w:sz w:val="28"/>
                <w:szCs w:val="28"/>
              </w:rPr>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335497">
        <w:trPr>
          <w:trHeight w:val="757"/>
        </w:trPr>
        <w:tc>
          <w:tcPr>
            <w:tcW w:w="8528" w:type="dxa"/>
            <w:tcBorders>
              <w:bottom w:val="single" w:sz="4" w:space="0" w:color="auto"/>
            </w:tcBorders>
            <w:shd w:val="clear" w:color="auto" w:fill="auto"/>
          </w:tcPr>
          <w:p w14:paraId="0EAB5655" w14:textId="088B236D" w:rsidR="00767202" w:rsidRDefault="00767202" w:rsidP="00335497">
            <w:pPr>
              <w:spacing w:after="0"/>
              <w:rPr>
                <w:rFonts w:cs="Arial"/>
                <w:sz w:val="22"/>
                <w:szCs w:val="22"/>
              </w:rPr>
            </w:pPr>
            <w:r>
              <w:rPr>
                <w:rFonts w:cs="Arial"/>
                <w:sz w:val="22"/>
                <w:szCs w:val="22"/>
              </w:rPr>
              <w:t>We expect the consultant to deliver the following</w:t>
            </w:r>
            <w:r w:rsidR="00606B7F">
              <w:rPr>
                <w:rFonts w:cs="Arial"/>
                <w:sz w:val="22"/>
                <w:szCs w:val="22"/>
              </w:rPr>
              <w:t>:</w:t>
            </w:r>
          </w:p>
          <w:p w14:paraId="5CDABF2C" w14:textId="77777777" w:rsidR="00606B7F" w:rsidRPr="00606B7F" w:rsidRDefault="00606B7F" w:rsidP="00606B7F">
            <w:pPr>
              <w:pStyle w:val="ListParagraph"/>
              <w:spacing w:after="0"/>
              <w:ind w:left="360"/>
              <w:rPr>
                <w:rFonts w:cs="Arial"/>
                <w:sz w:val="22"/>
                <w:szCs w:val="22"/>
              </w:rPr>
            </w:pPr>
          </w:p>
          <w:p w14:paraId="57995C78" w14:textId="2FE6CBF0" w:rsidR="00606B7F" w:rsidRPr="00DB20B4" w:rsidRDefault="00DB20B4" w:rsidP="00B93A21">
            <w:pPr>
              <w:numPr>
                <w:ilvl w:val="0"/>
                <w:numId w:val="1"/>
              </w:numPr>
              <w:spacing w:after="0"/>
              <w:rPr>
                <w:rFonts w:cs="Arial"/>
                <w:b/>
                <w:sz w:val="22"/>
                <w:szCs w:val="22"/>
                <w:u w:val="single"/>
              </w:rPr>
            </w:pPr>
            <w:r>
              <w:rPr>
                <w:sz w:val="22"/>
                <w:szCs w:val="22"/>
              </w:rPr>
              <w:t>A</w:t>
            </w:r>
            <w:r w:rsidR="00606B7F" w:rsidRPr="0036077E">
              <w:rPr>
                <w:sz w:val="22"/>
                <w:szCs w:val="22"/>
              </w:rPr>
              <w:t xml:space="preserve"> project plan and present it with the proposal. If a contract is awarded to the supplier, the plan should be kept up-to-date</w:t>
            </w:r>
          </w:p>
          <w:p w14:paraId="46A69A0F" w14:textId="5AEFD794" w:rsidR="00DB20B4" w:rsidRPr="00300460" w:rsidRDefault="00DB20B4" w:rsidP="00B93A21">
            <w:pPr>
              <w:numPr>
                <w:ilvl w:val="0"/>
                <w:numId w:val="1"/>
              </w:numPr>
              <w:spacing w:after="0"/>
              <w:rPr>
                <w:rFonts w:cs="Arial"/>
                <w:b/>
                <w:sz w:val="22"/>
                <w:szCs w:val="22"/>
                <w:u w:val="single"/>
              </w:rPr>
            </w:pPr>
            <w:r>
              <w:rPr>
                <w:bCs/>
                <w:sz w:val="22"/>
                <w:szCs w:val="22"/>
              </w:rPr>
              <w:t>An introductory meeting wit</w:t>
            </w:r>
            <w:r w:rsidR="00255087">
              <w:rPr>
                <w:bCs/>
                <w:sz w:val="22"/>
                <w:szCs w:val="22"/>
              </w:rPr>
              <w:t>h the ORR project team either face to face or virtually</w:t>
            </w:r>
          </w:p>
          <w:p w14:paraId="0B7F3FA6" w14:textId="4AD6AA95" w:rsidR="00300460" w:rsidRDefault="00300460" w:rsidP="00B93A21">
            <w:pPr>
              <w:pStyle w:val="ListParagraph"/>
              <w:numPr>
                <w:ilvl w:val="0"/>
                <w:numId w:val="1"/>
              </w:numPr>
              <w:autoSpaceDE w:val="0"/>
              <w:autoSpaceDN w:val="0"/>
              <w:adjustRightInd w:val="0"/>
              <w:spacing w:after="0"/>
              <w:contextualSpacing w:val="0"/>
              <w:rPr>
                <w:rFonts w:cs="Arial"/>
                <w:sz w:val="22"/>
                <w:szCs w:val="22"/>
                <w:lang w:eastAsia="en-GB"/>
              </w:rPr>
            </w:pPr>
            <w:r w:rsidRPr="00300460">
              <w:rPr>
                <w:rFonts w:cs="Arial"/>
                <w:sz w:val="22"/>
                <w:szCs w:val="22"/>
                <w:lang w:eastAsia="en-GB"/>
              </w:rPr>
              <w:t>A weekl</w:t>
            </w:r>
            <w:r w:rsidR="00A05345">
              <w:rPr>
                <w:rFonts w:cs="Arial"/>
                <w:sz w:val="22"/>
                <w:szCs w:val="22"/>
                <w:lang w:eastAsia="en-GB"/>
              </w:rPr>
              <w:t>y</w:t>
            </w:r>
            <w:r w:rsidRPr="00300460">
              <w:rPr>
                <w:rFonts w:cs="Arial"/>
                <w:sz w:val="22"/>
                <w:szCs w:val="22"/>
                <w:lang w:eastAsia="en-GB"/>
              </w:rPr>
              <w:t xml:space="preserve"> </w:t>
            </w:r>
            <w:r w:rsidR="008870EF">
              <w:rPr>
                <w:rFonts w:cs="Arial"/>
                <w:sz w:val="22"/>
                <w:szCs w:val="22"/>
                <w:lang w:eastAsia="en-GB"/>
              </w:rPr>
              <w:t xml:space="preserve">virtual </w:t>
            </w:r>
            <w:r w:rsidRPr="00300460">
              <w:rPr>
                <w:rFonts w:cs="Arial"/>
                <w:sz w:val="22"/>
                <w:szCs w:val="22"/>
                <w:lang w:eastAsia="en-GB"/>
              </w:rPr>
              <w:t xml:space="preserve">progress </w:t>
            </w:r>
            <w:r w:rsidR="00FE5304">
              <w:rPr>
                <w:rFonts w:cs="Arial"/>
                <w:sz w:val="22"/>
                <w:szCs w:val="22"/>
                <w:lang w:eastAsia="en-GB"/>
              </w:rPr>
              <w:t>report</w:t>
            </w:r>
            <w:r w:rsidRPr="00300460">
              <w:rPr>
                <w:rFonts w:cs="Arial"/>
                <w:sz w:val="22"/>
                <w:szCs w:val="22"/>
                <w:lang w:eastAsia="en-GB"/>
              </w:rPr>
              <w:t xml:space="preserve"> based on the research proposal </w:t>
            </w:r>
            <w:r w:rsidR="00561AB0">
              <w:rPr>
                <w:rFonts w:cs="Arial"/>
                <w:sz w:val="22"/>
                <w:szCs w:val="22"/>
                <w:lang w:eastAsia="en-GB"/>
              </w:rPr>
              <w:t>with the ORR project lead</w:t>
            </w:r>
          </w:p>
          <w:p w14:paraId="3E2E2647" w14:textId="68D067C8" w:rsidR="00300460" w:rsidRDefault="00B93A21" w:rsidP="00D03EA9">
            <w:pPr>
              <w:pStyle w:val="ListParagraph"/>
              <w:numPr>
                <w:ilvl w:val="0"/>
                <w:numId w:val="1"/>
              </w:numPr>
              <w:autoSpaceDE w:val="0"/>
              <w:autoSpaceDN w:val="0"/>
              <w:adjustRightInd w:val="0"/>
              <w:spacing w:after="0"/>
              <w:contextualSpacing w:val="0"/>
              <w:rPr>
                <w:rFonts w:cs="Arial"/>
                <w:sz w:val="22"/>
                <w:szCs w:val="22"/>
                <w:lang w:eastAsia="en-GB"/>
              </w:rPr>
            </w:pPr>
            <w:r w:rsidRPr="00B93A21">
              <w:rPr>
                <w:rFonts w:cs="Arial"/>
                <w:sz w:val="22"/>
                <w:szCs w:val="22"/>
                <w:lang w:eastAsia="en-GB"/>
              </w:rPr>
              <w:t xml:space="preserve">Ad hoc contact by telephone/email as needed; regular updates (which may be in email format), for example covering progress organising and carrying </w:t>
            </w:r>
            <w:r w:rsidRPr="00B93A21">
              <w:rPr>
                <w:rFonts w:cs="Arial"/>
                <w:sz w:val="22"/>
                <w:szCs w:val="22"/>
                <w:lang w:eastAsia="en-GB"/>
              </w:rPr>
              <w:lastRenderedPageBreak/>
              <w:t>out interviews; a face-to-face</w:t>
            </w:r>
            <w:r w:rsidR="002B3FB4">
              <w:rPr>
                <w:rFonts w:cs="Arial"/>
                <w:sz w:val="22"/>
                <w:szCs w:val="22"/>
                <w:lang w:eastAsia="en-GB"/>
              </w:rPr>
              <w:t xml:space="preserve"> or virtual meeting</w:t>
            </w:r>
            <w:r w:rsidRPr="00B93A21">
              <w:rPr>
                <w:rFonts w:cs="Arial"/>
                <w:sz w:val="22"/>
                <w:szCs w:val="22"/>
                <w:lang w:eastAsia="en-GB"/>
              </w:rPr>
              <w:t xml:space="preserve"> with the ORR team to discuss progress</w:t>
            </w:r>
          </w:p>
          <w:p w14:paraId="1E2A5BD8" w14:textId="68D828D2" w:rsidR="008870EF" w:rsidRPr="008870EF" w:rsidRDefault="008870EF" w:rsidP="008870EF">
            <w:pPr>
              <w:pStyle w:val="ListParagraph"/>
              <w:numPr>
                <w:ilvl w:val="0"/>
                <w:numId w:val="1"/>
              </w:numPr>
              <w:autoSpaceDE w:val="0"/>
              <w:autoSpaceDN w:val="0"/>
              <w:adjustRightInd w:val="0"/>
              <w:spacing w:after="0"/>
              <w:contextualSpacing w:val="0"/>
              <w:rPr>
                <w:rFonts w:cs="Arial"/>
                <w:sz w:val="22"/>
                <w:szCs w:val="22"/>
                <w:lang w:eastAsia="en-GB"/>
              </w:rPr>
            </w:pPr>
            <w:r>
              <w:rPr>
                <w:rFonts w:cs="Arial"/>
                <w:sz w:val="22"/>
                <w:szCs w:val="22"/>
                <w:lang w:eastAsia="en-GB"/>
              </w:rPr>
              <w:t>A monthly progress review meeting with the ORR project team</w:t>
            </w:r>
          </w:p>
          <w:p w14:paraId="48F87D2E" w14:textId="3C12F8B7" w:rsidR="00B853FB" w:rsidRPr="00B853FB" w:rsidRDefault="00B853FB" w:rsidP="00B93A21">
            <w:pPr>
              <w:numPr>
                <w:ilvl w:val="0"/>
                <w:numId w:val="1"/>
              </w:numPr>
              <w:spacing w:after="0"/>
              <w:rPr>
                <w:rFonts w:cs="Arial"/>
                <w:b/>
                <w:sz w:val="22"/>
                <w:szCs w:val="22"/>
                <w:u w:val="single"/>
              </w:rPr>
            </w:pPr>
            <w:r w:rsidRPr="00B853FB">
              <w:rPr>
                <w:rFonts w:cs="Arial"/>
                <w:color w:val="000000"/>
                <w:sz w:val="22"/>
                <w:szCs w:val="22"/>
                <w:lang w:eastAsia="en-GB"/>
              </w:rPr>
              <w:t>Draft report for comment which details the findings, conclusions and recommendations</w:t>
            </w:r>
            <w:r w:rsidRPr="00B853FB">
              <w:rPr>
                <w:rFonts w:cs="Arial"/>
                <w:color w:val="FF0000"/>
                <w:sz w:val="22"/>
                <w:szCs w:val="22"/>
              </w:rPr>
              <w:t xml:space="preserve"> </w:t>
            </w:r>
            <w:r w:rsidR="00436F70" w:rsidRPr="0036077E">
              <w:rPr>
                <w:rFonts w:cs="Arial"/>
                <w:sz w:val="22"/>
                <w:szCs w:val="22"/>
              </w:rPr>
              <w:t>(</w:t>
            </w:r>
            <w:r w:rsidR="00436F70" w:rsidRPr="0036077E">
              <w:rPr>
                <w:rFonts w:cs="Arial"/>
                <w:color w:val="000000"/>
                <w:sz w:val="22"/>
                <w:szCs w:val="22"/>
                <w:lang w:eastAsia="en-GB"/>
              </w:rPr>
              <w:t>so that ORR ha</w:t>
            </w:r>
            <w:r w:rsidR="00436F70">
              <w:rPr>
                <w:rFonts w:cs="Arial"/>
                <w:color w:val="000000"/>
                <w:sz w:val="22"/>
                <w:szCs w:val="22"/>
                <w:lang w:eastAsia="en-GB"/>
              </w:rPr>
              <w:t>s</w:t>
            </w:r>
            <w:r w:rsidR="00436F70" w:rsidRPr="0036077E">
              <w:rPr>
                <w:rFonts w:cs="Arial"/>
                <w:color w:val="000000"/>
                <w:sz w:val="22"/>
                <w:szCs w:val="22"/>
                <w:lang w:eastAsia="en-GB"/>
              </w:rPr>
              <w:t xml:space="preserve"> the opportunity to provide comments before the report is finalised)</w:t>
            </w:r>
          </w:p>
          <w:p w14:paraId="7FE73A5A" w14:textId="34F2416E" w:rsidR="00B853FB" w:rsidRDefault="00B853FB" w:rsidP="00B93A21">
            <w:pPr>
              <w:numPr>
                <w:ilvl w:val="0"/>
                <w:numId w:val="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presentation of the</w:t>
            </w:r>
            <w:r>
              <w:rPr>
                <w:rFonts w:cs="Arial"/>
                <w:color w:val="000000"/>
                <w:sz w:val="22"/>
                <w:szCs w:val="22"/>
                <w:lang w:eastAsia="en-GB"/>
              </w:rPr>
              <w:t xml:space="preserve"> final report incorporating the</w:t>
            </w:r>
            <w:r w:rsidRPr="0036077E">
              <w:rPr>
                <w:rFonts w:cs="Arial"/>
                <w:color w:val="000000"/>
                <w:sz w:val="22"/>
                <w:szCs w:val="22"/>
                <w:lang w:eastAsia="en-GB"/>
              </w:rPr>
              <w:t xml:space="preserve"> findings and recommendations to the ORR</w:t>
            </w:r>
          </w:p>
          <w:p w14:paraId="4343CB5D" w14:textId="61662919" w:rsidR="00F52BE8" w:rsidRPr="000404BC" w:rsidRDefault="00F52BE8" w:rsidP="000404BC">
            <w:pPr>
              <w:spacing w:after="0"/>
              <w:rPr>
                <w:rFonts w:cs="Arial"/>
                <w:b/>
                <w:sz w:val="22"/>
                <w:szCs w:val="22"/>
                <w:u w:val="single"/>
              </w:rPr>
            </w:pPr>
          </w:p>
          <w:p w14:paraId="7C8F3E4C" w14:textId="77777777" w:rsidR="00F52BE8" w:rsidRDefault="00F52BE8" w:rsidP="00335497">
            <w:pPr>
              <w:autoSpaceDE w:val="0"/>
              <w:autoSpaceDN w:val="0"/>
              <w:adjustRightInd w:val="0"/>
              <w:spacing w:after="0"/>
              <w:rPr>
                <w:rFonts w:cs="Arial"/>
                <w:color w:val="000000"/>
                <w:sz w:val="22"/>
                <w:szCs w:val="22"/>
                <w:lang w:eastAsia="en-GB"/>
              </w:rPr>
            </w:pPr>
          </w:p>
          <w:p w14:paraId="0C6C2E1A" w14:textId="77777777" w:rsidR="00B83884" w:rsidRDefault="00B83884" w:rsidP="00335497">
            <w:pPr>
              <w:autoSpaceDE w:val="0"/>
              <w:autoSpaceDN w:val="0"/>
              <w:adjustRightInd w:val="0"/>
              <w:spacing w:after="0"/>
              <w:rPr>
                <w:rFonts w:cs="Arial"/>
                <w:b/>
                <w:sz w:val="22"/>
                <w:szCs w:val="22"/>
                <w:lang w:eastAsia="en-GB"/>
              </w:rPr>
            </w:pPr>
            <w:r>
              <w:rPr>
                <w:rFonts w:cs="Arial"/>
                <w:b/>
                <w:sz w:val="22"/>
                <w:szCs w:val="22"/>
                <w:lang w:eastAsia="en-GB"/>
              </w:rPr>
              <w:t>Purpose of the deliverables</w:t>
            </w:r>
          </w:p>
          <w:p w14:paraId="570F6C85" w14:textId="35B9487C" w:rsidR="00B83884" w:rsidRPr="00BB4FFA" w:rsidRDefault="00BB4FFA" w:rsidP="00335497">
            <w:pPr>
              <w:autoSpaceDE w:val="0"/>
              <w:autoSpaceDN w:val="0"/>
              <w:adjustRightInd w:val="0"/>
              <w:spacing w:after="0"/>
              <w:rPr>
                <w:rFonts w:cs="Arial"/>
                <w:bCs/>
                <w:sz w:val="22"/>
                <w:szCs w:val="22"/>
                <w:lang w:eastAsia="en-GB"/>
              </w:rPr>
            </w:pPr>
            <w:r>
              <w:rPr>
                <w:rFonts w:cs="Arial"/>
                <w:bCs/>
                <w:sz w:val="22"/>
                <w:szCs w:val="22"/>
                <w:lang w:eastAsia="en-GB"/>
              </w:rPr>
              <w:t xml:space="preserve">ORR will use the outputs from this analysis to </w:t>
            </w:r>
            <w:r w:rsidR="00581507">
              <w:rPr>
                <w:rFonts w:cs="Arial"/>
                <w:bCs/>
                <w:sz w:val="22"/>
                <w:szCs w:val="22"/>
                <w:lang w:eastAsia="en-GB"/>
              </w:rPr>
              <w:t xml:space="preserve">help inform its future management information, processing and reporting </w:t>
            </w:r>
            <w:r w:rsidR="009E530F">
              <w:rPr>
                <w:rFonts w:cs="Arial"/>
                <w:bCs/>
                <w:sz w:val="22"/>
                <w:szCs w:val="22"/>
                <w:lang w:eastAsia="en-GB"/>
              </w:rPr>
              <w:t>processes to Industry and the Public.</w:t>
            </w:r>
            <w:r w:rsidR="00527CDE">
              <w:rPr>
                <w:rFonts w:cs="Arial"/>
                <w:bCs/>
                <w:sz w:val="22"/>
                <w:szCs w:val="22"/>
                <w:lang w:eastAsia="en-GB"/>
              </w:rPr>
              <w:t xml:space="preserve"> The research and recommendations </w:t>
            </w:r>
            <w:r w:rsidR="00BB5A4E">
              <w:rPr>
                <w:rFonts w:cs="Arial"/>
                <w:bCs/>
                <w:sz w:val="22"/>
                <w:szCs w:val="22"/>
                <w:lang w:eastAsia="en-GB"/>
              </w:rPr>
              <w:t xml:space="preserve">will provide an overarching framework to hold both Industry and ORR to account on Access &amp; Licencing performance </w:t>
            </w:r>
            <w:r w:rsidR="006C256C">
              <w:rPr>
                <w:rFonts w:cs="Arial"/>
                <w:bCs/>
                <w:sz w:val="22"/>
                <w:szCs w:val="22"/>
                <w:lang w:eastAsia="en-GB"/>
              </w:rPr>
              <w:t>while giving the Public the ability to scrutinise Industry working practice and decision making.</w:t>
            </w:r>
          </w:p>
          <w:p w14:paraId="24EAEB0F" w14:textId="77777777" w:rsidR="00B83884" w:rsidRDefault="00B83884" w:rsidP="00335497">
            <w:pPr>
              <w:autoSpaceDE w:val="0"/>
              <w:autoSpaceDN w:val="0"/>
              <w:adjustRightInd w:val="0"/>
              <w:spacing w:after="0"/>
              <w:rPr>
                <w:rFonts w:cs="Arial"/>
                <w:b/>
                <w:sz w:val="22"/>
                <w:szCs w:val="22"/>
                <w:lang w:eastAsia="en-GB"/>
              </w:rPr>
            </w:pPr>
          </w:p>
          <w:p w14:paraId="413A5EE2" w14:textId="77777777" w:rsidR="00F52BE8" w:rsidRPr="0036077E" w:rsidRDefault="00F52BE8" w:rsidP="001B3639">
            <w:pPr>
              <w:autoSpaceDE w:val="0"/>
              <w:autoSpaceDN w:val="0"/>
              <w:adjustRightInd w:val="0"/>
              <w:spacing w:after="0"/>
              <w:rPr>
                <w:rFonts w:cs="Arial"/>
                <w:b/>
              </w:rPr>
            </w:pPr>
          </w:p>
        </w:tc>
      </w:tr>
      <w:tr w:rsidR="00F52BE8" w:rsidRPr="0036077E" w14:paraId="4166DCD0" w14:textId="77777777" w:rsidTr="00335497">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00335497">
        <w:trPr>
          <w:trHeight w:val="250"/>
        </w:trPr>
        <w:tc>
          <w:tcPr>
            <w:tcW w:w="8528" w:type="dxa"/>
            <w:tcBorders>
              <w:bottom w:val="single" w:sz="4" w:space="0" w:color="auto"/>
            </w:tcBorders>
            <w:shd w:val="clear" w:color="auto" w:fill="auto"/>
          </w:tcPr>
          <w:p w14:paraId="7054CF29" w14:textId="77777777" w:rsidR="00F52BE8" w:rsidRPr="0036077E" w:rsidRDefault="00F52BE8" w:rsidP="00335497">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009C3E07" w14:textId="6D638868" w:rsidR="00F52BE8" w:rsidRDefault="00275596"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Start-up</w:t>
            </w:r>
            <w:r w:rsidR="00F52BE8" w:rsidRPr="0036077E">
              <w:rPr>
                <w:rFonts w:cs="Arial"/>
                <w:color w:val="000000"/>
                <w:sz w:val="22"/>
                <w:szCs w:val="22"/>
                <w:lang w:eastAsia="en-GB"/>
              </w:rPr>
              <w:t xml:space="preserve"> meeting and commencement </w:t>
            </w:r>
            <w:r w:rsidR="007B37D1">
              <w:rPr>
                <w:rFonts w:cs="Arial"/>
                <w:color w:val="000000"/>
                <w:sz w:val="22"/>
                <w:szCs w:val="22"/>
                <w:lang w:eastAsia="en-GB"/>
              </w:rPr>
              <w:t xml:space="preserve">W/C </w:t>
            </w:r>
            <w:r w:rsidR="00D37E7B">
              <w:rPr>
                <w:rFonts w:cs="Arial"/>
                <w:color w:val="000000"/>
                <w:sz w:val="22"/>
                <w:szCs w:val="22"/>
                <w:lang w:eastAsia="en-GB"/>
              </w:rPr>
              <w:t>14</w:t>
            </w:r>
            <w:r w:rsidR="00B21902">
              <w:rPr>
                <w:rFonts w:cs="Arial"/>
                <w:color w:val="000000"/>
                <w:sz w:val="22"/>
                <w:szCs w:val="22"/>
                <w:lang w:eastAsia="en-GB"/>
              </w:rPr>
              <w:t xml:space="preserve"> February 2022</w:t>
            </w:r>
          </w:p>
          <w:p w14:paraId="20BFFDB8" w14:textId="2B467B7A" w:rsidR="00E73378" w:rsidRPr="0036077E" w:rsidRDefault="00E73378"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Information gathering, review and analysis phase </w:t>
            </w:r>
            <w:r w:rsidR="00B21902">
              <w:rPr>
                <w:rFonts w:cs="Arial"/>
                <w:color w:val="000000"/>
                <w:sz w:val="22"/>
                <w:szCs w:val="22"/>
                <w:lang w:eastAsia="en-GB"/>
              </w:rPr>
              <w:t>February</w:t>
            </w:r>
            <w:r w:rsidR="00165E61">
              <w:rPr>
                <w:rFonts w:cs="Arial"/>
                <w:color w:val="000000"/>
                <w:sz w:val="22"/>
                <w:szCs w:val="22"/>
                <w:lang w:eastAsia="en-GB"/>
              </w:rPr>
              <w:t xml:space="preserve"> </w:t>
            </w:r>
            <w:r w:rsidR="004936FC">
              <w:rPr>
                <w:rFonts w:cs="Arial"/>
                <w:color w:val="000000"/>
                <w:sz w:val="22"/>
                <w:szCs w:val="22"/>
                <w:lang w:eastAsia="en-GB"/>
              </w:rPr>
              <w:t>-</w:t>
            </w:r>
            <w:r w:rsidR="00165E61">
              <w:rPr>
                <w:rFonts w:cs="Arial"/>
                <w:color w:val="000000"/>
                <w:sz w:val="22"/>
                <w:szCs w:val="22"/>
                <w:lang w:eastAsia="en-GB"/>
              </w:rPr>
              <w:t xml:space="preserve"> </w:t>
            </w:r>
            <w:r w:rsidR="00961979">
              <w:rPr>
                <w:rFonts w:cs="Arial"/>
                <w:color w:val="000000"/>
                <w:sz w:val="22"/>
                <w:szCs w:val="22"/>
                <w:lang w:eastAsia="en-GB"/>
              </w:rPr>
              <w:t>April</w:t>
            </w:r>
            <w:r w:rsidR="00165E61">
              <w:rPr>
                <w:rFonts w:cs="Arial"/>
                <w:color w:val="000000"/>
                <w:sz w:val="22"/>
                <w:szCs w:val="22"/>
                <w:lang w:eastAsia="en-GB"/>
              </w:rPr>
              <w:t xml:space="preserve"> 2022</w:t>
            </w:r>
          </w:p>
          <w:p w14:paraId="050435D7" w14:textId="0C839561"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Monthly updates on progress and any issues</w:t>
            </w:r>
            <w:r w:rsidR="0054171A">
              <w:rPr>
                <w:rFonts w:cs="Arial"/>
                <w:color w:val="000000"/>
                <w:sz w:val="22"/>
                <w:szCs w:val="22"/>
                <w:lang w:eastAsia="en-GB"/>
              </w:rPr>
              <w:t xml:space="preserve"> </w:t>
            </w:r>
            <w:r w:rsidR="00961979">
              <w:rPr>
                <w:rFonts w:cs="Arial"/>
                <w:color w:val="000000"/>
                <w:sz w:val="22"/>
                <w:szCs w:val="22"/>
                <w:lang w:eastAsia="en-GB"/>
              </w:rPr>
              <w:t>February</w:t>
            </w:r>
            <w:r w:rsidR="006343D7">
              <w:rPr>
                <w:rFonts w:cs="Arial"/>
                <w:color w:val="000000"/>
                <w:sz w:val="22"/>
                <w:szCs w:val="22"/>
                <w:lang w:eastAsia="en-GB"/>
              </w:rPr>
              <w:t xml:space="preserve"> - </w:t>
            </w:r>
            <w:r w:rsidR="00961979">
              <w:rPr>
                <w:rFonts w:cs="Arial"/>
                <w:color w:val="000000"/>
                <w:sz w:val="22"/>
                <w:szCs w:val="22"/>
                <w:lang w:eastAsia="en-GB"/>
              </w:rPr>
              <w:t>May</w:t>
            </w:r>
            <w:r w:rsidR="0054171A">
              <w:rPr>
                <w:rFonts w:cs="Arial"/>
                <w:color w:val="000000"/>
                <w:sz w:val="22"/>
                <w:szCs w:val="22"/>
                <w:lang w:eastAsia="en-GB"/>
              </w:rPr>
              <w:t xml:space="preserve"> 2022</w:t>
            </w:r>
          </w:p>
          <w:p w14:paraId="3932EAEA" w14:textId="6258E277"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report by </w:t>
            </w:r>
            <w:r w:rsidR="00436F70">
              <w:rPr>
                <w:rFonts w:cs="Arial"/>
                <w:color w:val="000000"/>
                <w:sz w:val="22"/>
                <w:szCs w:val="22"/>
                <w:lang w:eastAsia="en-GB"/>
              </w:rPr>
              <w:t>May 2022</w:t>
            </w:r>
          </w:p>
          <w:p w14:paraId="716AE40F" w14:textId="7ADF8828" w:rsidR="00F52BE8"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Final report</w:t>
            </w:r>
            <w:r w:rsidR="004127F7">
              <w:rPr>
                <w:rFonts w:cs="Arial"/>
                <w:color w:val="000000"/>
                <w:sz w:val="22"/>
                <w:szCs w:val="22"/>
                <w:lang w:eastAsia="en-GB"/>
              </w:rPr>
              <w:t xml:space="preserve"> and presentation</w:t>
            </w:r>
            <w:r w:rsidRPr="0036077E">
              <w:rPr>
                <w:rFonts w:cs="Arial"/>
                <w:color w:val="000000"/>
                <w:sz w:val="22"/>
                <w:szCs w:val="22"/>
                <w:lang w:eastAsia="en-GB"/>
              </w:rPr>
              <w:t xml:space="preserve"> by</w:t>
            </w:r>
            <w:r w:rsidR="00275596">
              <w:rPr>
                <w:rFonts w:cs="Arial"/>
                <w:color w:val="000000"/>
                <w:sz w:val="22"/>
                <w:szCs w:val="22"/>
                <w:lang w:eastAsia="en-GB"/>
              </w:rPr>
              <w:t xml:space="preserve"> </w:t>
            </w:r>
            <w:r w:rsidR="00436F70">
              <w:rPr>
                <w:rFonts w:cs="Arial"/>
                <w:color w:val="000000"/>
                <w:sz w:val="22"/>
                <w:szCs w:val="22"/>
                <w:lang w:eastAsia="en-GB"/>
              </w:rPr>
              <w:t>June 2022</w:t>
            </w:r>
          </w:p>
          <w:p w14:paraId="2CBC09B0" w14:textId="77777777" w:rsidR="00F52BE8" w:rsidRDefault="00F52BE8" w:rsidP="00335497">
            <w:pPr>
              <w:autoSpaceDE w:val="0"/>
              <w:autoSpaceDN w:val="0"/>
              <w:adjustRightInd w:val="0"/>
              <w:spacing w:after="0"/>
              <w:rPr>
                <w:rFonts w:cs="Arial"/>
                <w:color w:val="000000"/>
                <w:sz w:val="22"/>
                <w:szCs w:val="22"/>
                <w:lang w:eastAsia="en-GB"/>
              </w:rPr>
            </w:pPr>
          </w:p>
          <w:p w14:paraId="395C7F3A" w14:textId="702FF663" w:rsidR="00F52BE8" w:rsidRPr="0036077E" w:rsidRDefault="00F52BE8" w:rsidP="00335497">
            <w:pPr>
              <w:autoSpaceDE w:val="0"/>
              <w:autoSpaceDN w:val="0"/>
              <w:adjustRightInd w:val="0"/>
              <w:spacing w:after="0"/>
              <w:rPr>
                <w:rFonts w:cs="Arial"/>
                <w:color w:val="000000"/>
                <w:sz w:val="22"/>
                <w:szCs w:val="22"/>
                <w:lang w:eastAsia="en-GB"/>
              </w:rPr>
            </w:pPr>
          </w:p>
        </w:tc>
      </w:tr>
      <w:tr w:rsidR="00F52BE8" w:rsidRPr="0036077E" w14:paraId="0C1C7899" w14:textId="77777777" w:rsidTr="00335497">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335497">
        <w:trPr>
          <w:trHeight w:val="127"/>
        </w:trPr>
        <w:tc>
          <w:tcPr>
            <w:tcW w:w="8528" w:type="dxa"/>
            <w:tcBorders>
              <w:bottom w:val="single" w:sz="4" w:space="0" w:color="auto"/>
            </w:tcBorders>
            <w:shd w:val="clear" w:color="auto" w:fill="auto"/>
          </w:tcPr>
          <w:p w14:paraId="505FE00B" w14:textId="16FF82E7" w:rsidR="00F52BE8" w:rsidRDefault="00F52BE8" w:rsidP="00335497">
            <w:pPr>
              <w:rPr>
                <w:rFonts w:cs="Arial"/>
                <w:color w:val="000000"/>
                <w:sz w:val="22"/>
                <w:szCs w:val="22"/>
              </w:rPr>
            </w:pPr>
            <w:r w:rsidRPr="0036077E">
              <w:rPr>
                <w:sz w:val="22"/>
                <w:szCs w:val="22"/>
              </w:rPr>
              <w:t>The maximum budget for this piece of work is £</w:t>
            </w:r>
            <w:r w:rsidR="00252D8B">
              <w:rPr>
                <w:sz w:val="22"/>
                <w:szCs w:val="22"/>
              </w:rPr>
              <w:t>50,000</w:t>
            </w:r>
            <w:r w:rsidRPr="0036077E">
              <w:rPr>
                <w:sz w:val="22"/>
                <w:szCs w:val="22"/>
              </w:rPr>
              <w:t xml:space="preserve"> (inc. of expenses, exc. of VAT)</w:t>
            </w:r>
            <w:r w:rsidRPr="0036077E">
              <w:rPr>
                <w:rFonts w:cs="Arial"/>
                <w:color w:val="000000"/>
                <w:sz w:val="22"/>
                <w:szCs w:val="22"/>
              </w:rPr>
              <w:t>.</w:t>
            </w:r>
          </w:p>
          <w:p w14:paraId="2620ED6F" w14:textId="61C4A1C4" w:rsidR="00F52BE8" w:rsidRPr="002B79F1" w:rsidRDefault="00F52BE8" w:rsidP="00335497">
            <w:pPr>
              <w:rPr>
                <w:rFonts w:cs="Arial"/>
                <w:sz w:val="22"/>
                <w:szCs w:val="22"/>
              </w:rPr>
            </w:pPr>
            <w:r>
              <w:rPr>
                <w:rFonts w:cs="Arial"/>
                <w:sz w:val="22"/>
                <w:szCs w:val="22"/>
              </w:rPr>
              <w:t>Payment of the total fee will be on the delivery and acceptance by ORR of all required outputs and/or deliverables.</w:t>
            </w:r>
            <w:r w:rsidRPr="00816394">
              <w:rPr>
                <w:b/>
                <w:color w:val="FF0000"/>
              </w:rPr>
              <w:t xml:space="preserve"> </w:t>
            </w:r>
          </w:p>
        </w:tc>
      </w:tr>
      <w:tr w:rsidR="00F52BE8" w:rsidRPr="0036077E" w14:paraId="6A95EAA1" w14:textId="77777777" w:rsidTr="00335497">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335497">
        <w:trPr>
          <w:trHeight w:val="127"/>
        </w:trPr>
        <w:tc>
          <w:tcPr>
            <w:tcW w:w="8528"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w:t>
            </w:r>
            <w:r>
              <w:rPr>
                <w:sz w:val="22"/>
                <w:szCs w:val="22"/>
              </w:rPr>
              <w:lastRenderedPageBreak/>
              <w:t xml:space="preserve">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335497">
            <w:pPr>
              <w:pStyle w:val="ListNumber"/>
              <w:numPr>
                <w:ilvl w:val="0"/>
                <w:numId w:val="0"/>
              </w:numPr>
              <w:spacing w:before="0" w:after="0"/>
              <w:rPr>
                <w:sz w:val="22"/>
                <w:szCs w:val="22"/>
              </w:rPr>
            </w:pPr>
          </w:p>
          <w:p w14:paraId="42CBBF11" w14:textId="77777777" w:rsidR="00F52BE8" w:rsidRPr="0036077E"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D26BC">
        <w:trPr>
          <w:trHeight w:val="841"/>
        </w:trPr>
        <w:tc>
          <w:tcPr>
            <w:tcW w:w="8528" w:type="dxa"/>
            <w:tcBorders>
              <w:bottom w:val="single" w:sz="4" w:space="0" w:color="auto"/>
            </w:tcBorders>
            <w:shd w:val="clear" w:color="auto" w:fill="auto"/>
          </w:tcPr>
          <w:p w14:paraId="78A4536E" w14:textId="4503AF21"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4C3DEF9C"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Demonstrate an understanding of the requirement and overall aims of the project</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7B5BE2" w14:textId="04AAE2A0" w:rsidR="00F52BE8" w:rsidRPr="000D0187" w:rsidRDefault="00F52BE8" w:rsidP="000D0187">
            <w:pPr>
              <w:rPr>
                <w:rFonts w:cs="Arial"/>
                <w:sz w:val="22"/>
                <w:szCs w:val="22"/>
              </w:rPr>
            </w:pPr>
            <w:r w:rsidRPr="0036077E">
              <w:rPr>
                <w:rFonts w:cs="Arial"/>
                <w:b/>
                <w:bCs/>
                <w:color w:val="000000"/>
                <w:sz w:val="22"/>
                <w:szCs w:val="22"/>
                <w:lang w:eastAsia="en-GB"/>
              </w:rPr>
              <w:t>b) Approach to customer's requirements</w:t>
            </w:r>
          </w:p>
          <w:p w14:paraId="2280A60D" w14:textId="69B39A9A"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29F2FBD3"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58354EF" w14:textId="7F1E0E2F" w:rsidR="00F52BE8" w:rsidRDefault="00F52BE8" w:rsidP="00F52BE8">
            <w:pPr>
              <w:pStyle w:val="ListNumber"/>
              <w:numPr>
                <w:ilvl w:val="0"/>
                <w:numId w:val="6"/>
              </w:numPr>
              <w:rPr>
                <w:sz w:val="22"/>
                <w:szCs w:val="22"/>
              </w:rPr>
            </w:pPr>
            <w:r w:rsidRPr="0036077E">
              <w:rPr>
                <w:sz w:val="22"/>
                <w:szCs w:val="22"/>
              </w:rPr>
              <w:t>What support bidders will require from ORR</w:t>
            </w:r>
          </w:p>
          <w:p w14:paraId="3F130B19" w14:textId="77777777" w:rsidR="00912F42" w:rsidRPr="0036077E" w:rsidRDefault="00912F42" w:rsidP="00912F42">
            <w:pPr>
              <w:pStyle w:val="ListNumber"/>
              <w:numPr>
                <w:ilvl w:val="0"/>
                <w:numId w:val="0"/>
              </w:numPr>
              <w:ind w:left="360"/>
              <w:rPr>
                <w:sz w:val="22"/>
                <w:szCs w:val="22"/>
              </w:rPr>
            </w:pPr>
          </w:p>
          <w:p w14:paraId="694E02A6" w14:textId="40665E0B" w:rsidR="00F52BE8" w:rsidRPr="004722E4" w:rsidRDefault="00F52BE8" w:rsidP="004722E4">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3B70A2FF" w14:textId="77777777" w:rsidR="004722E4" w:rsidRPr="004722E4" w:rsidRDefault="00F52BE8" w:rsidP="004722E4">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6B29E54E" w14:textId="77777777" w:rsidR="004722E4" w:rsidRDefault="004722E4" w:rsidP="004722E4">
            <w:pPr>
              <w:pStyle w:val="ListParagraph"/>
              <w:rPr>
                <w:rFonts w:cs="Arial"/>
                <w:sz w:val="22"/>
                <w:szCs w:val="22"/>
              </w:rPr>
            </w:pPr>
          </w:p>
          <w:p w14:paraId="3B31880F" w14:textId="414EC4EA" w:rsidR="00F52BE8" w:rsidRPr="004722E4" w:rsidRDefault="00F52BE8" w:rsidP="004722E4">
            <w:pPr>
              <w:numPr>
                <w:ilvl w:val="0"/>
                <w:numId w:val="18"/>
              </w:numPr>
              <w:autoSpaceDE w:val="0"/>
              <w:autoSpaceDN w:val="0"/>
              <w:adjustRightInd w:val="0"/>
              <w:spacing w:after="0"/>
              <w:rPr>
                <w:rFonts w:cs="Arial"/>
                <w:color w:val="000000"/>
                <w:sz w:val="22"/>
                <w:szCs w:val="22"/>
                <w:lang w:eastAsia="en-GB"/>
              </w:rPr>
            </w:pPr>
            <w:r w:rsidRPr="004722E4">
              <w:rPr>
                <w:rFonts w:cs="Arial"/>
                <w:sz w:val="22"/>
                <w:szCs w:val="22"/>
              </w:rPr>
              <w:t>Some relevant examples of previous work that bidders have carried out (</w:t>
            </w:r>
            <w:proofErr w:type="spellStart"/>
            <w:r w:rsidRPr="004722E4">
              <w:rPr>
                <w:rFonts w:cs="Arial"/>
                <w:sz w:val="22"/>
                <w:szCs w:val="22"/>
              </w:rPr>
              <w:t>eg.</w:t>
            </w:r>
            <w:proofErr w:type="spellEnd"/>
            <w:r w:rsidRPr="004722E4">
              <w:rPr>
                <w:rFonts w:cs="Arial"/>
                <w:sz w:val="22"/>
                <w:szCs w:val="22"/>
              </w:rPr>
              <w:t xml:space="preserve"> case studies) </w:t>
            </w:r>
          </w:p>
          <w:p w14:paraId="05E52E49" w14:textId="77777777" w:rsidR="004722E4" w:rsidRPr="004722E4" w:rsidRDefault="004722E4" w:rsidP="005D26BC">
            <w:pPr>
              <w:autoSpaceDE w:val="0"/>
              <w:autoSpaceDN w:val="0"/>
              <w:adjustRightInd w:val="0"/>
              <w:spacing w:after="0"/>
              <w:rPr>
                <w:rFonts w:cs="Arial"/>
                <w:color w:val="000000"/>
                <w:sz w:val="22"/>
                <w:szCs w:val="22"/>
                <w:lang w:eastAsia="en-GB"/>
              </w:rPr>
            </w:pP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 xml:space="preserve">outline what safeguards would be put </w:t>
            </w:r>
            <w:r w:rsidRPr="009878A7">
              <w:rPr>
                <w:rFonts w:cs="Arial"/>
                <w:sz w:val="22"/>
                <w:szCs w:val="22"/>
              </w:rPr>
              <w:lastRenderedPageBreak/>
              <w:t>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w:t>
            </w:r>
            <w:proofErr w:type="spellStart"/>
            <w:r w:rsidRPr="0036077E">
              <w:rPr>
                <w:rFonts w:ascii="Arial" w:hAnsi="Arial" w:cs="Arial"/>
                <w:sz w:val="22"/>
                <w:szCs w:val="22"/>
              </w:rPr>
              <w:t>ORR's</w:t>
            </w:r>
            <w:proofErr w:type="spellEnd"/>
            <w:r w:rsidRPr="0036077E">
              <w:rPr>
                <w:rFonts w:ascii="Arial" w:hAnsi="Arial" w:cs="Arial"/>
                <w:sz w:val="22"/>
                <w:szCs w:val="22"/>
              </w:rPr>
              <w:t xml:space="preserve">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A4C98A8" w14:textId="77777777" w:rsidR="00F52BE8" w:rsidRPr="0036077E" w:rsidRDefault="00F52BE8" w:rsidP="00335497">
            <w:pPr>
              <w:rPr>
                <w:b/>
                <w:color w:val="FF0000"/>
                <w:szCs w:val="24"/>
              </w:rPr>
            </w:pPr>
          </w:p>
          <w:p w14:paraId="178948B0" w14:textId="6496DF23" w:rsidR="00F52BE8" w:rsidRPr="0036077E" w:rsidRDefault="00F52BE8" w:rsidP="00335497">
            <w:pPr>
              <w:pStyle w:val="ListNumber"/>
              <w:numPr>
                <w:ilvl w:val="0"/>
                <w:numId w:val="0"/>
              </w:numPr>
              <w:rPr>
                <w:rFonts w:cs="Arial"/>
                <w:szCs w:val="24"/>
              </w:rPr>
            </w:pPr>
            <w:r w:rsidRPr="0036077E">
              <w:rPr>
                <w:rFonts w:cs="Arial"/>
                <w:b/>
                <w:szCs w:val="24"/>
              </w:rPr>
              <w:t>Methodology (</w:t>
            </w:r>
            <w:r w:rsidR="00EF3B5E">
              <w:rPr>
                <w:rFonts w:cs="Arial"/>
                <w:b/>
                <w:szCs w:val="24"/>
              </w:rPr>
              <w:t>40</w:t>
            </w:r>
            <w:r w:rsidRPr="0036077E">
              <w:rPr>
                <w:rFonts w:cs="Arial"/>
                <w:b/>
                <w:szCs w:val="24"/>
              </w:rPr>
              <w:t>%)</w:t>
            </w:r>
          </w:p>
          <w:p w14:paraId="08B651BF" w14:textId="5EF166DE"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w:t>
            </w:r>
            <w:r w:rsidR="00D070C8">
              <w:rPr>
                <w:sz w:val="22"/>
                <w:szCs w:val="22"/>
              </w:rPr>
              <w:t xml:space="preserve">, </w:t>
            </w:r>
            <w:r w:rsidRPr="0036077E">
              <w:rPr>
                <w:sz w:val="22"/>
                <w:szCs w:val="22"/>
              </w:rPr>
              <w:t>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 xml:space="preserve">Explain how your organisation will work in partnership with </w:t>
            </w:r>
            <w:proofErr w:type="spellStart"/>
            <w:r w:rsidRPr="0036077E">
              <w:rPr>
                <w:rFonts w:cs="Arial"/>
                <w:sz w:val="22"/>
                <w:szCs w:val="22"/>
              </w:rPr>
              <w:t>ORR’s</w:t>
            </w:r>
            <w:proofErr w:type="spellEnd"/>
            <w:r w:rsidRPr="0036077E">
              <w:rPr>
                <w:rFonts w:cs="Arial"/>
                <w:sz w:val="22"/>
                <w:szCs w:val="22"/>
              </w:rPr>
              <w:t xml:space="preserve">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Outline how the proposed approach utilises</w:t>
            </w:r>
            <w:r w:rsidRPr="005D26BC">
              <w:rPr>
                <w:rFonts w:cs="Arial"/>
                <w:bCs/>
              </w:rPr>
              <w:t xml:space="preserve"> 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54785844"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EF3B5E">
              <w:rPr>
                <w:rFonts w:cs="Arial"/>
                <w:b/>
                <w:bCs/>
                <w:szCs w:val="24"/>
                <w:lang w:eastAsia="en-GB"/>
              </w:rPr>
              <w:t>30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36077E"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5B68CDC0"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lastRenderedPageBreak/>
              <w:t>Experience (</w:t>
            </w:r>
            <w:r w:rsidR="00EF3B5E">
              <w:rPr>
                <w:rFonts w:cs="Arial"/>
                <w:b/>
                <w:szCs w:val="24"/>
              </w:rPr>
              <w:t>20</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545E43B6"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EF3B5E">
              <w:rPr>
                <w:rFonts w:cs="Arial"/>
                <w:b/>
                <w:szCs w:val="24"/>
              </w:rPr>
              <w:t>10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6077E">
                    <w:rPr>
                      <w:sz w:val="20"/>
                    </w:rPr>
                    <w:t>PRINCE2</w:t>
                  </w:r>
                  <w:proofErr w:type="spellEnd"/>
                  <w:r w:rsidRPr="0036077E">
                    <w:rPr>
                      <w:sz w:val="20"/>
                    </w:rPr>
                    <w:t xml:space="preserve">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6077E">
                    <w:rPr>
                      <w:sz w:val="20"/>
                    </w:rPr>
                    <w:t>PRINCE2</w:t>
                  </w:r>
                  <w:proofErr w:type="spellEnd"/>
                  <w:r w:rsidRPr="0036077E">
                    <w:rPr>
                      <w:sz w:val="20"/>
                    </w:rPr>
                    <w:t xml:space="preserve">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lastRenderedPageBreak/>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tbl>
      <w:tblPr>
        <w:tblW w:w="0" w:type="auto"/>
        <w:tblCellMar>
          <w:left w:w="0" w:type="dxa"/>
          <w:right w:w="0" w:type="dxa"/>
        </w:tblCellMar>
        <w:tblLook w:val="04A0" w:firstRow="1" w:lastRow="0" w:firstColumn="1" w:lastColumn="0" w:noHBand="0" w:noVBand="1"/>
      </w:tblPr>
      <w:tblGrid>
        <w:gridCol w:w="4789"/>
        <w:gridCol w:w="3503"/>
      </w:tblGrid>
      <w:tr w:rsidR="007136CC" w14:paraId="695EB7F3" w14:textId="77777777" w:rsidTr="007136CC">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8D331A" w14:textId="77777777" w:rsidR="007136CC" w:rsidRDefault="007136CC">
            <w:pPr>
              <w:pStyle w:val="ListNumber"/>
              <w:numPr>
                <w:ilvl w:val="0"/>
                <w:numId w:val="0"/>
              </w:numPr>
              <w:spacing w:before="0" w:after="0" w:line="252" w:lineRule="auto"/>
              <w:rPr>
                <w:b/>
                <w:bCs/>
                <w:lang w:val="en-US"/>
              </w:rPr>
            </w:pPr>
            <w:r>
              <w:rPr>
                <w:b/>
                <w:bCs/>
                <w:lang w:val="en-US"/>
              </w:rPr>
              <w:t>Element</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E41C9" w14:textId="77777777" w:rsidR="007136CC" w:rsidRDefault="007136CC">
            <w:pPr>
              <w:pStyle w:val="ListNumber"/>
              <w:numPr>
                <w:ilvl w:val="0"/>
                <w:numId w:val="0"/>
              </w:numPr>
              <w:spacing w:before="0" w:after="0" w:line="252" w:lineRule="auto"/>
              <w:rPr>
                <w:b/>
                <w:bCs/>
                <w:lang w:val="en-US"/>
              </w:rPr>
            </w:pPr>
            <w:r>
              <w:rPr>
                <w:b/>
                <w:bCs/>
                <w:lang w:val="en-US"/>
              </w:rPr>
              <w:t>Timescale</w:t>
            </w:r>
          </w:p>
        </w:tc>
      </w:tr>
      <w:tr w:rsidR="007136CC" w14:paraId="7B109527" w14:textId="77777777" w:rsidTr="007136CC">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3CFBF" w14:textId="77777777" w:rsidR="007136CC" w:rsidRDefault="007136CC">
            <w:pPr>
              <w:pStyle w:val="ListNumber"/>
              <w:numPr>
                <w:ilvl w:val="0"/>
                <w:numId w:val="0"/>
              </w:numPr>
              <w:spacing w:before="0" w:after="0" w:line="252" w:lineRule="auto"/>
              <w:rPr>
                <w:lang w:val="en-US"/>
              </w:rPr>
            </w:pPr>
            <w:r>
              <w:rPr>
                <w:lang w:val="en-US"/>
              </w:rPr>
              <w:t>Invitation to tender issued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0005D6DD" w14:textId="77777777" w:rsidR="007136CC" w:rsidRDefault="007136CC">
            <w:pPr>
              <w:pStyle w:val="ListNumber"/>
              <w:numPr>
                <w:ilvl w:val="0"/>
                <w:numId w:val="0"/>
              </w:numPr>
              <w:spacing w:before="0" w:after="0" w:line="252" w:lineRule="auto"/>
              <w:rPr>
                <w:lang w:val="en-US"/>
              </w:rPr>
            </w:pPr>
            <w:r>
              <w:rPr>
                <w:lang w:val="en-US"/>
              </w:rPr>
              <w:t>07/12/21</w:t>
            </w:r>
          </w:p>
        </w:tc>
      </w:tr>
      <w:tr w:rsidR="007136CC" w14:paraId="3F1698F4" w14:textId="77777777" w:rsidTr="007136CC">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6F434" w14:textId="77777777" w:rsidR="007136CC" w:rsidRDefault="007136CC">
            <w:pPr>
              <w:pStyle w:val="ListNumber"/>
              <w:numPr>
                <w:ilvl w:val="0"/>
                <w:numId w:val="0"/>
              </w:numPr>
              <w:spacing w:before="0" w:after="0" w:line="252" w:lineRule="auto"/>
              <w:rPr>
                <w:lang w:val="en-US"/>
              </w:rPr>
            </w:pPr>
            <w:r>
              <w:rPr>
                <w:lang w:val="en-US"/>
              </w:rPr>
              <w:t>Deadline for the submission of clarification questions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45433A0B" w14:textId="77777777" w:rsidR="007136CC" w:rsidRDefault="007136CC">
            <w:pPr>
              <w:pStyle w:val="ListNumber"/>
              <w:numPr>
                <w:ilvl w:val="0"/>
                <w:numId w:val="0"/>
              </w:numPr>
              <w:spacing w:before="0" w:after="0" w:line="252" w:lineRule="auto"/>
              <w:rPr>
                <w:lang w:val="en-US"/>
              </w:rPr>
            </w:pPr>
            <w:r>
              <w:rPr>
                <w:lang w:val="en-US"/>
              </w:rPr>
              <w:t xml:space="preserve">12/01/21 </w:t>
            </w:r>
            <w:proofErr w:type="spellStart"/>
            <w:r>
              <w:rPr>
                <w:lang w:val="en-US"/>
              </w:rPr>
              <w:t>12:00pm</w:t>
            </w:r>
            <w:proofErr w:type="spellEnd"/>
          </w:p>
        </w:tc>
      </w:tr>
      <w:tr w:rsidR="007136CC" w14:paraId="2841080B" w14:textId="77777777" w:rsidTr="007136CC">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6A420" w14:textId="77777777" w:rsidR="007136CC" w:rsidRDefault="007136CC">
            <w:pPr>
              <w:pStyle w:val="ListNumber"/>
              <w:numPr>
                <w:ilvl w:val="0"/>
                <w:numId w:val="0"/>
              </w:numPr>
              <w:spacing w:before="0" w:after="0" w:line="252" w:lineRule="auto"/>
              <w:rPr>
                <w:lang w:val="en-US"/>
              </w:rPr>
            </w:pPr>
            <w:r>
              <w:rPr>
                <w:lang w:val="en-US"/>
              </w:rPr>
              <w:t>Deadline for submission of proposals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71035782" w14:textId="77777777" w:rsidR="007136CC" w:rsidRDefault="007136CC">
            <w:pPr>
              <w:pStyle w:val="ListNumber"/>
              <w:numPr>
                <w:ilvl w:val="0"/>
                <w:numId w:val="0"/>
              </w:numPr>
              <w:spacing w:before="0" w:after="0" w:line="252" w:lineRule="auto"/>
              <w:rPr>
                <w:lang w:val="en-US"/>
              </w:rPr>
            </w:pPr>
            <w:r>
              <w:rPr>
                <w:lang w:val="en-US"/>
              </w:rPr>
              <w:t xml:space="preserve">19/01/22 </w:t>
            </w:r>
            <w:proofErr w:type="spellStart"/>
            <w:r>
              <w:rPr>
                <w:lang w:val="en-US"/>
              </w:rPr>
              <w:t>12:00pm</w:t>
            </w:r>
            <w:proofErr w:type="spellEnd"/>
          </w:p>
        </w:tc>
      </w:tr>
      <w:tr w:rsidR="007136CC" w14:paraId="12ACDEB6" w14:textId="77777777" w:rsidTr="007136CC">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E6489" w14:textId="77777777" w:rsidR="007136CC" w:rsidRDefault="007136CC">
            <w:pPr>
              <w:pStyle w:val="ListNumber"/>
              <w:numPr>
                <w:ilvl w:val="0"/>
                <w:numId w:val="0"/>
              </w:numPr>
              <w:spacing w:before="0" w:after="0" w:line="252" w:lineRule="auto"/>
              <w:rPr>
                <w:lang w:val="en-US"/>
              </w:rPr>
            </w:pPr>
            <w:r>
              <w:rPr>
                <w:lang w:val="en-US"/>
              </w:rPr>
              <w:t>Shortlisted suppliers notified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2BC3D41B" w14:textId="77777777" w:rsidR="007136CC" w:rsidRDefault="007136CC">
            <w:pPr>
              <w:pStyle w:val="ListNumber"/>
              <w:numPr>
                <w:ilvl w:val="0"/>
                <w:numId w:val="0"/>
              </w:numPr>
              <w:spacing w:before="0" w:after="0" w:line="252" w:lineRule="auto"/>
              <w:rPr>
                <w:lang w:val="en-US"/>
              </w:rPr>
            </w:pPr>
            <w:r>
              <w:rPr>
                <w:lang w:val="en-US"/>
              </w:rPr>
              <w:t xml:space="preserve">w/c 24/01/22 </w:t>
            </w:r>
          </w:p>
        </w:tc>
      </w:tr>
      <w:tr w:rsidR="007136CC" w14:paraId="4463BE3D" w14:textId="77777777" w:rsidTr="007136CC">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8A9DD" w14:textId="77777777" w:rsidR="007136CC" w:rsidRDefault="007136CC">
            <w:pPr>
              <w:pStyle w:val="ListNumber"/>
              <w:numPr>
                <w:ilvl w:val="0"/>
                <w:numId w:val="0"/>
              </w:numPr>
              <w:spacing w:before="0" w:after="0" w:line="252" w:lineRule="auto"/>
              <w:rPr>
                <w:lang w:val="en-US"/>
              </w:rPr>
            </w:pPr>
            <w:r>
              <w:rPr>
                <w:lang w:val="en-US"/>
              </w:rPr>
              <w:t>Interviews and presentations*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4C92A2C" w14:textId="77777777" w:rsidR="007136CC" w:rsidRDefault="007136CC">
            <w:pPr>
              <w:pStyle w:val="ListNumber"/>
              <w:numPr>
                <w:ilvl w:val="0"/>
                <w:numId w:val="0"/>
              </w:numPr>
              <w:spacing w:before="0" w:after="0" w:line="252" w:lineRule="auto"/>
              <w:rPr>
                <w:lang w:val="en-US"/>
              </w:rPr>
            </w:pPr>
            <w:r>
              <w:rPr>
                <w:lang w:val="en-US"/>
              </w:rPr>
              <w:t xml:space="preserve">w/c 31/01/22 </w:t>
            </w:r>
          </w:p>
        </w:tc>
      </w:tr>
      <w:tr w:rsidR="007136CC" w14:paraId="75F522E7" w14:textId="77777777" w:rsidTr="007136CC">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60559" w14:textId="77777777" w:rsidR="007136CC" w:rsidRDefault="007136CC">
            <w:pPr>
              <w:pStyle w:val="ListNumber"/>
              <w:numPr>
                <w:ilvl w:val="0"/>
                <w:numId w:val="0"/>
              </w:numPr>
              <w:spacing w:before="0" w:after="0" w:line="252" w:lineRule="auto"/>
              <w:rPr>
                <w:lang w:val="en-US"/>
              </w:rPr>
            </w:pPr>
            <w:r>
              <w:rPr>
                <w:lang w:val="en-US"/>
              </w:rPr>
              <w:t>Award contract</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4D880358" w14:textId="77777777" w:rsidR="007136CC" w:rsidRDefault="007136CC">
            <w:pPr>
              <w:pStyle w:val="ListNumber"/>
              <w:numPr>
                <w:ilvl w:val="0"/>
                <w:numId w:val="0"/>
              </w:numPr>
              <w:spacing w:before="0" w:after="0" w:line="252" w:lineRule="auto"/>
              <w:rPr>
                <w:lang w:val="en-US"/>
              </w:rPr>
            </w:pPr>
            <w:r>
              <w:rPr>
                <w:lang w:val="en-US"/>
              </w:rPr>
              <w:t>09/02/22</w:t>
            </w:r>
          </w:p>
        </w:tc>
      </w:tr>
      <w:tr w:rsidR="007136CC" w14:paraId="40941D10" w14:textId="77777777" w:rsidTr="007136CC">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8F340" w14:textId="77777777" w:rsidR="007136CC" w:rsidRDefault="007136CC">
            <w:pPr>
              <w:pStyle w:val="ListNumber"/>
              <w:numPr>
                <w:ilvl w:val="0"/>
                <w:numId w:val="0"/>
              </w:numPr>
              <w:spacing w:before="0" w:after="0" w:line="252" w:lineRule="auto"/>
              <w:rPr>
                <w:lang w:val="en-US"/>
              </w:rPr>
            </w:pPr>
            <w:r>
              <w:rPr>
                <w:lang w:val="en-US"/>
              </w:rPr>
              <w:t>Project Inception Meeting</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01A8B77E" w14:textId="77777777" w:rsidR="007136CC" w:rsidRDefault="007136CC">
            <w:pPr>
              <w:pStyle w:val="ListNumber"/>
              <w:numPr>
                <w:ilvl w:val="0"/>
                <w:numId w:val="0"/>
              </w:numPr>
              <w:spacing w:before="0" w:after="0" w:line="252" w:lineRule="auto"/>
              <w:rPr>
                <w:lang w:val="en-US"/>
              </w:rPr>
            </w:pPr>
            <w:r>
              <w:rPr>
                <w:lang w:val="en-US"/>
              </w:rPr>
              <w:t>14/02/22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 xml:space="preserve">Any contract arising from this procurement will be based upon </w:t>
      </w:r>
      <w:proofErr w:type="spellStart"/>
      <w:r w:rsidRPr="00720321">
        <w:t>ORR’s</w:t>
      </w:r>
      <w:proofErr w:type="spellEnd"/>
      <w:r w:rsidRPr="00720321">
        <w:t xml:space="preserve">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proofErr w:type="spellStart"/>
      <w:r>
        <w:t>ORR’s</w:t>
      </w:r>
      <w:proofErr w:type="spellEnd"/>
      <w:r>
        <w:t xml:space="preserve">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7136CC"/>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C58C9" w14:textId="77777777" w:rsidR="00AB591D" w:rsidRDefault="00AB591D">
      <w:pPr>
        <w:spacing w:after="0"/>
      </w:pPr>
      <w:r>
        <w:separator/>
      </w:r>
    </w:p>
  </w:endnote>
  <w:endnote w:type="continuationSeparator" w:id="0">
    <w:p w14:paraId="55FE53B7" w14:textId="77777777" w:rsidR="00AB591D" w:rsidRDefault="00AB5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713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713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BC5B" w14:textId="77777777" w:rsidR="00AB591D" w:rsidRDefault="00AB591D">
      <w:pPr>
        <w:spacing w:after="0"/>
      </w:pPr>
      <w:r>
        <w:separator/>
      </w:r>
    </w:p>
  </w:footnote>
  <w:footnote w:type="continuationSeparator" w:id="0">
    <w:p w14:paraId="3DBD346C" w14:textId="77777777" w:rsidR="00AB591D" w:rsidRDefault="00AB59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713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713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713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B197E"/>
    <w:multiLevelType w:val="hybridMultilevel"/>
    <w:tmpl w:val="9DC87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901E04"/>
    <w:multiLevelType w:val="hybridMultilevel"/>
    <w:tmpl w:val="2982EA02"/>
    <w:lvl w:ilvl="0" w:tplc="E4AADC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A5B1F"/>
    <w:multiLevelType w:val="hybridMultilevel"/>
    <w:tmpl w:val="0F4EA128"/>
    <w:lvl w:ilvl="0" w:tplc="B95216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E4F04"/>
    <w:multiLevelType w:val="hybridMultilevel"/>
    <w:tmpl w:val="797C2ED4"/>
    <w:lvl w:ilvl="0" w:tplc="F0AC96A4">
      <w:start w:val="2"/>
      <w:numFmt w:val="bullet"/>
      <w:lvlText w:val="-"/>
      <w:lvlJc w:val="left"/>
      <w:pPr>
        <w:ind w:left="720" w:hanging="360"/>
      </w:pPr>
      <w:rPr>
        <w:rFonts w:ascii="Arial" w:eastAsiaTheme="minorHAnsi"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6"/>
  </w:num>
  <w:num w:numId="4">
    <w:abstractNumId w:val="20"/>
  </w:num>
  <w:num w:numId="5">
    <w:abstractNumId w:val="11"/>
  </w:num>
  <w:num w:numId="6">
    <w:abstractNumId w:val="0"/>
  </w:num>
  <w:num w:numId="7">
    <w:abstractNumId w:val="16"/>
  </w:num>
  <w:num w:numId="8">
    <w:abstractNumId w:val="4"/>
  </w:num>
  <w:num w:numId="9">
    <w:abstractNumId w:val="7"/>
  </w:num>
  <w:num w:numId="10">
    <w:abstractNumId w:val="13"/>
  </w:num>
  <w:num w:numId="11">
    <w:abstractNumId w:val="24"/>
  </w:num>
  <w:num w:numId="12">
    <w:abstractNumId w:val="5"/>
  </w:num>
  <w:num w:numId="13">
    <w:abstractNumId w:val="2"/>
  </w:num>
  <w:num w:numId="14">
    <w:abstractNumId w:val="12"/>
  </w:num>
  <w:num w:numId="15">
    <w:abstractNumId w:val="25"/>
  </w:num>
  <w:num w:numId="16">
    <w:abstractNumId w:val="1"/>
  </w:num>
  <w:num w:numId="17">
    <w:abstractNumId w:val="23"/>
  </w:num>
  <w:num w:numId="18">
    <w:abstractNumId w:val="10"/>
  </w:num>
  <w:num w:numId="19">
    <w:abstractNumId w:val="8"/>
  </w:num>
  <w:num w:numId="20">
    <w:abstractNumId w:val="1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2"/>
  </w:num>
  <w:num w:numId="24">
    <w:abstractNumId w:val="26"/>
  </w:num>
  <w:num w:numId="25">
    <w:abstractNumId w:val="14"/>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51AC"/>
    <w:rsid w:val="000052DC"/>
    <w:rsid w:val="000404BC"/>
    <w:rsid w:val="00055B3C"/>
    <w:rsid w:val="00056979"/>
    <w:rsid w:val="00062876"/>
    <w:rsid w:val="000A3EB4"/>
    <w:rsid w:val="000A3EB5"/>
    <w:rsid w:val="000B3DA0"/>
    <w:rsid w:val="000D0187"/>
    <w:rsid w:val="000D3DC2"/>
    <w:rsid w:val="000E3571"/>
    <w:rsid w:val="000F387D"/>
    <w:rsid w:val="00110E30"/>
    <w:rsid w:val="00135327"/>
    <w:rsid w:val="001500F4"/>
    <w:rsid w:val="00165E61"/>
    <w:rsid w:val="001845B5"/>
    <w:rsid w:val="001A5D12"/>
    <w:rsid w:val="001B3639"/>
    <w:rsid w:val="001D0211"/>
    <w:rsid w:val="001E0217"/>
    <w:rsid w:val="001F3F1F"/>
    <w:rsid w:val="00212824"/>
    <w:rsid w:val="002424BB"/>
    <w:rsid w:val="00243C6B"/>
    <w:rsid w:val="00252D8B"/>
    <w:rsid w:val="00255087"/>
    <w:rsid w:val="00275596"/>
    <w:rsid w:val="00296648"/>
    <w:rsid w:val="002B3FB4"/>
    <w:rsid w:val="002B79F1"/>
    <w:rsid w:val="002C0FC2"/>
    <w:rsid w:val="00300460"/>
    <w:rsid w:val="00362F01"/>
    <w:rsid w:val="00373ED4"/>
    <w:rsid w:val="0039411F"/>
    <w:rsid w:val="003A2348"/>
    <w:rsid w:val="003B3ECA"/>
    <w:rsid w:val="003C6E3D"/>
    <w:rsid w:val="003E7F52"/>
    <w:rsid w:val="0040172D"/>
    <w:rsid w:val="004127F7"/>
    <w:rsid w:val="00436F70"/>
    <w:rsid w:val="004507A6"/>
    <w:rsid w:val="00452BB5"/>
    <w:rsid w:val="004722E4"/>
    <w:rsid w:val="004936FC"/>
    <w:rsid w:val="00503B9B"/>
    <w:rsid w:val="00525F5C"/>
    <w:rsid w:val="00527CDE"/>
    <w:rsid w:val="0054171A"/>
    <w:rsid w:val="00561AB0"/>
    <w:rsid w:val="00567C55"/>
    <w:rsid w:val="00581507"/>
    <w:rsid w:val="00591ADB"/>
    <w:rsid w:val="005D26BC"/>
    <w:rsid w:val="00606B7F"/>
    <w:rsid w:val="006343D7"/>
    <w:rsid w:val="00642340"/>
    <w:rsid w:val="00653342"/>
    <w:rsid w:val="0065726B"/>
    <w:rsid w:val="00695556"/>
    <w:rsid w:val="006A16CB"/>
    <w:rsid w:val="006C256C"/>
    <w:rsid w:val="006E1D0C"/>
    <w:rsid w:val="006F406A"/>
    <w:rsid w:val="007136CC"/>
    <w:rsid w:val="00715FE4"/>
    <w:rsid w:val="00724A80"/>
    <w:rsid w:val="00767202"/>
    <w:rsid w:val="00783961"/>
    <w:rsid w:val="00791C78"/>
    <w:rsid w:val="007B3373"/>
    <w:rsid w:val="007B37D1"/>
    <w:rsid w:val="007C1CC1"/>
    <w:rsid w:val="00821A7E"/>
    <w:rsid w:val="00831C70"/>
    <w:rsid w:val="00847992"/>
    <w:rsid w:val="00882C9B"/>
    <w:rsid w:val="00886A04"/>
    <w:rsid w:val="008870EF"/>
    <w:rsid w:val="00896CB6"/>
    <w:rsid w:val="008B32D5"/>
    <w:rsid w:val="008D0B53"/>
    <w:rsid w:val="00907369"/>
    <w:rsid w:val="00907461"/>
    <w:rsid w:val="00912F42"/>
    <w:rsid w:val="0091677F"/>
    <w:rsid w:val="00935D3B"/>
    <w:rsid w:val="00937B8C"/>
    <w:rsid w:val="009547A6"/>
    <w:rsid w:val="00961979"/>
    <w:rsid w:val="009878A7"/>
    <w:rsid w:val="009C31B9"/>
    <w:rsid w:val="009D179F"/>
    <w:rsid w:val="009E530F"/>
    <w:rsid w:val="00A04393"/>
    <w:rsid w:val="00A05345"/>
    <w:rsid w:val="00A620E0"/>
    <w:rsid w:val="00A9526A"/>
    <w:rsid w:val="00A974F7"/>
    <w:rsid w:val="00AB591D"/>
    <w:rsid w:val="00B21902"/>
    <w:rsid w:val="00B323FC"/>
    <w:rsid w:val="00B3569C"/>
    <w:rsid w:val="00B409CF"/>
    <w:rsid w:val="00B618AD"/>
    <w:rsid w:val="00B83884"/>
    <w:rsid w:val="00B853FB"/>
    <w:rsid w:val="00B91FBA"/>
    <w:rsid w:val="00B93A21"/>
    <w:rsid w:val="00BB4FFA"/>
    <w:rsid w:val="00BB5A4E"/>
    <w:rsid w:val="00BC1899"/>
    <w:rsid w:val="00BE369F"/>
    <w:rsid w:val="00BF6A6C"/>
    <w:rsid w:val="00C12CA4"/>
    <w:rsid w:val="00C25098"/>
    <w:rsid w:val="00C36354"/>
    <w:rsid w:val="00CA7F30"/>
    <w:rsid w:val="00CC4281"/>
    <w:rsid w:val="00CF001F"/>
    <w:rsid w:val="00CF4CA1"/>
    <w:rsid w:val="00D03EA9"/>
    <w:rsid w:val="00D070C8"/>
    <w:rsid w:val="00D14315"/>
    <w:rsid w:val="00D173CA"/>
    <w:rsid w:val="00D22CBB"/>
    <w:rsid w:val="00D37E7B"/>
    <w:rsid w:val="00D40EA7"/>
    <w:rsid w:val="00D74997"/>
    <w:rsid w:val="00D92609"/>
    <w:rsid w:val="00D95982"/>
    <w:rsid w:val="00DB20B4"/>
    <w:rsid w:val="00DB4EB3"/>
    <w:rsid w:val="00DD0BD0"/>
    <w:rsid w:val="00DE6991"/>
    <w:rsid w:val="00E067BF"/>
    <w:rsid w:val="00E1428F"/>
    <w:rsid w:val="00E16231"/>
    <w:rsid w:val="00E30583"/>
    <w:rsid w:val="00E40E18"/>
    <w:rsid w:val="00E444AC"/>
    <w:rsid w:val="00E73378"/>
    <w:rsid w:val="00E9197B"/>
    <w:rsid w:val="00EC75FB"/>
    <w:rsid w:val="00EF3B5E"/>
    <w:rsid w:val="00F15833"/>
    <w:rsid w:val="00F16E3D"/>
    <w:rsid w:val="00F267B3"/>
    <w:rsid w:val="00F26B55"/>
    <w:rsid w:val="00F52BE8"/>
    <w:rsid w:val="00F55D3A"/>
    <w:rsid w:val="00F81199"/>
    <w:rsid w:val="00FB2EF4"/>
    <w:rsid w:val="00FC655B"/>
    <w:rsid w:val="00FE5304"/>
    <w:rsid w:val="00FF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styleId="NoSpacing">
    <w:name w:val="No Spacing"/>
    <w:uiPriority w:val="1"/>
    <w:qFormat/>
    <w:rsid w:val="002424B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188594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rr.gov.uk/public-regist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3954</Words>
  <Characters>22542</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2</cp:revision>
  <dcterms:created xsi:type="dcterms:W3CDTF">2021-12-07T15:33:00Z</dcterms:created>
  <dcterms:modified xsi:type="dcterms:W3CDTF">2021-12-07T15:33:00Z</dcterms:modified>
</cp:coreProperties>
</file>