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F6616" w14:textId="77777777" w:rsidR="002C7161" w:rsidRPr="002C7161" w:rsidRDefault="002C716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C7161">
        <w:rPr>
          <w:rFonts w:ascii="Arial" w:eastAsia="Times New Roman" w:hAnsi="Arial" w:cs="Arial"/>
          <w:b/>
          <w:lang w:eastAsia="en-GB"/>
        </w:rPr>
        <w:t>Prospective Lab Ltd</w:t>
      </w:r>
    </w:p>
    <w:p w14:paraId="2752EB50" w14:textId="04DD72F9" w:rsidR="0084655D" w:rsidRPr="009F3D7F" w:rsidRDefault="001F312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8AF7860" w14:textId="77777777" w:rsidR="001F312A" w:rsidRPr="009F3D7F" w:rsidRDefault="0084655D" w:rsidP="001F312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F312A">
        <w:rPr>
          <w:rFonts w:ascii="Arial" w:eastAsia="Times New Roman" w:hAnsi="Arial" w:cs="Arial"/>
          <w:b/>
          <w:lang w:eastAsia="en-GB"/>
        </w:rPr>
        <w:t>REDACTED</w:t>
      </w:r>
    </w:p>
    <w:p w14:paraId="0E425FB9" w14:textId="30730C66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0F511964" w14:textId="426C3227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C7161">
        <w:rPr>
          <w:rFonts w:ascii="Arial" w:eastAsia="Times New Roman" w:hAnsi="Arial" w:cs="Arial"/>
        </w:rPr>
        <w:t>1</w:t>
      </w:r>
      <w:r w:rsidR="00C86EC7">
        <w:rPr>
          <w:rFonts w:ascii="Arial" w:eastAsia="Times New Roman" w:hAnsi="Arial" w:cs="Arial"/>
        </w:rPr>
        <w:t>5</w:t>
      </w:r>
      <w:r w:rsidR="002C7161" w:rsidRPr="002C7161">
        <w:rPr>
          <w:rFonts w:ascii="Arial" w:eastAsia="Times New Roman" w:hAnsi="Arial" w:cs="Arial"/>
          <w:vertAlign w:val="superscript"/>
        </w:rPr>
        <w:t>th</w:t>
      </w:r>
      <w:r w:rsidR="002C7161">
        <w:rPr>
          <w:rFonts w:ascii="Arial" w:eastAsia="Times New Roman" w:hAnsi="Arial" w:cs="Arial"/>
        </w:rPr>
        <w:t xml:space="preserve"> January 2018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6762CD67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C7161">
        <w:rPr>
          <w:rFonts w:ascii="Arial" w:eastAsia="Times New Roman" w:hAnsi="Arial" w:cs="Arial"/>
        </w:rPr>
        <w:t>CCSN17A30</w:t>
      </w:r>
    </w:p>
    <w:p w14:paraId="243B4330" w14:textId="77777777" w:rsidR="001F312A" w:rsidRPr="009F3D7F" w:rsidRDefault="0084655D" w:rsidP="001F312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</w:rPr>
        <w:t xml:space="preserve">Dear </w:t>
      </w:r>
      <w:r w:rsidR="001F312A">
        <w:rPr>
          <w:rFonts w:ascii="Arial" w:eastAsia="Times New Roman" w:hAnsi="Arial" w:cs="Arial"/>
          <w:b/>
          <w:lang w:eastAsia="en-GB"/>
        </w:rPr>
        <w:t>REDACTED</w:t>
      </w:r>
    </w:p>
    <w:p w14:paraId="1F7AEBCF" w14:textId="0EA9D41E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49B529BB" w14:textId="11A3541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2C716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NIC Transport Connectivity Indicators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1F8BD25B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2C7161">
        <w:rPr>
          <w:rFonts w:ascii="Arial" w:eastAsia="Times New Roman" w:hAnsi="Arial" w:cs="Arial"/>
          <w:lang w:eastAsia="en-GB"/>
        </w:rPr>
        <w:t>NIC Transport Connectivity Indicators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2C7161">
        <w:rPr>
          <w:rFonts w:ascii="Arial" w:eastAsia="Times New Roman" w:hAnsi="Arial" w:cs="Arial"/>
          <w:lang w:eastAsia="en-GB"/>
        </w:rPr>
        <w:t xml:space="preserve">National Infrastructure </w:t>
      </w:r>
      <w:r w:rsidR="002C7161" w:rsidRPr="002C7161">
        <w:rPr>
          <w:rFonts w:ascii="Arial" w:eastAsia="Times New Roman" w:hAnsi="Arial" w:cs="Arial"/>
          <w:lang w:eastAsia="en-GB"/>
        </w:rPr>
        <w:t>Commission</w:t>
      </w:r>
      <w:r w:rsidRPr="002C7161">
        <w:rPr>
          <w:rFonts w:ascii="Arial" w:eastAsia="Times New Roman" w:hAnsi="Arial" w:cs="Arial"/>
          <w:lang w:eastAsia="en-GB"/>
        </w:rPr>
        <w:t>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4F7BBC1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2C7161">
        <w:rPr>
          <w:rFonts w:ascii="Arial" w:eastAsia="Times New Roman" w:hAnsi="Arial" w:cs="Arial"/>
          <w:lang w:eastAsia="en-GB"/>
        </w:rPr>
        <w:t xml:space="preserve">National Infrastructure </w:t>
      </w:r>
      <w:r w:rsidR="002C7161" w:rsidRPr="002C7161">
        <w:rPr>
          <w:rFonts w:ascii="Arial" w:eastAsia="Times New Roman" w:hAnsi="Arial" w:cs="Arial"/>
          <w:lang w:eastAsia="en-GB"/>
        </w:rPr>
        <w:t>Commission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2C7161">
        <w:rPr>
          <w:rFonts w:ascii="Arial" w:eastAsia="Times New Roman" w:hAnsi="Arial" w:cs="Arial"/>
          <w:lang w:eastAsia="en-GB"/>
        </w:rPr>
        <w:t>Prospective Lab Ltd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</w:t>
      </w:r>
      <w:r w:rsidRPr="002C7161">
        <w:rPr>
          <w:rFonts w:ascii="Arial" w:eastAsia="Times New Roman" w:hAnsi="Arial" w:cs="Arial"/>
          <w:lang w:eastAsia="en-GB"/>
        </w:rPr>
        <w:t>the Services.  Unless the context otherwise requires, capitalised expressions used in this Award Letter have the same</w:t>
      </w:r>
      <w:r w:rsidRPr="00880B11">
        <w:rPr>
          <w:rFonts w:ascii="Arial" w:eastAsia="Times New Roman" w:hAnsi="Arial" w:cs="Arial"/>
          <w:lang w:eastAsia="en-GB"/>
        </w:rPr>
        <w:t xml:space="preserve">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620E7762" w14:textId="77777777" w:rsidR="001F312A" w:rsidRPr="009F3D7F" w:rsidRDefault="0084655D" w:rsidP="001F312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2" w:name="_Ref377110627"/>
      <w:r w:rsidRPr="001F312A">
        <w:rPr>
          <w:rFonts w:ascii="Arial" w:eastAsia="Times New Roman" w:hAnsi="Arial" w:cs="Arial"/>
          <w:lang w:eastAsia="en-GB"/>
        </w:rPr>
        <w:t xml:space="preserve">The Services shall be performed at </w:t>
      </w:r>
      <w:bookmarkEnd w:id="2"/>
      <w:r w:rsidR="002C6287" w:rsidRPr="001F312A">
        <w:rPr>
          <w:rFonts w:ascii="Arial" w:eastAsia="Times New Roman" w:hAnsi="Arial" w:cs="Arial"/>
          <w:lang w:eastAsia="en-GB"/>
        </w:rPr>
        <w:t>the Supplier’s premises</w:t>
      </w:r>
      <w:r w:rsidR="001F312A">
        <w:rPr>
          <w:rFonts w:ascii="Arial" w:eastAsia="Times New Roman" w:hAnsi="Arial" w:cs="Arial"/>
          <w:lang w:eastAsia="en-GB"/>
        </w:rPr>
        <w:t xml:space="preserve"> </w:t>
      </w:r>
      <w:r w:rsidR="001F312A">
        <w:rPr>
          <w:rFonts w:ascii="Arial" w:eastAsia="Times New Roman" w:hAnsi="Arial" w:cs="Arial"/>
          <w:b/>
          <w:lang w:eastAsia="en-GB"/>
        </w:rPr>
        <w:t>REDACTED</w:t>
      </w:r>
    </w:p>
    <w:p w14:paraId="2515B984" w14:textId="45FC1793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the </w:t>
      </w:r>
      <w:r w:rsidRPr="00971658">
        <w:rPr>
          <w:rFonts w:ascii="Arial" w:eastAsia="Times New Roman" w:hAnsi="Arial" w:cs="Arial"/>
          <w:lang w:eastAsia="en-GB"/>
        </w:rPr>
        <w:t>S</w:t>
      </w:r>
      <w:r w:rsidR="00E17914" w:rsidRPr="00971658">
        <w:rPr>
          <w:rFonts w:ascii="Arial" w:eastAsia="Times New Roman" w:hAnsi="Arial" w:cs="Arial"/>
          <w:lang w:eastAsia="en-GB"/>
        </w:rPr>
        <w:t>ervices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770A8A" w:rsidRPr="00F25935">
        <w:rPr>
          <w:rFonts w:ascii="Arial" w:eastAsiaTheme="minorEastAsia" w:hAnsi="Arial" w:cs="Arial"/>
        </w:rPr>
        <w:t>contract value shall be £</w:t>
      </w:r>
      <w:r w:rsidR="00971658">
        <w:rPr>
          <w:rFonts w:ascii="Arial" w:eastAsiaTheme="minorEastAsia" w:hAnsi="Arial" w:cs="Arial"/>
        </w:rPr>
        <w:t>30,000.00</w:t>
      </w:r>
      <w:r w:rsidR="00770A8A">
        <w:rPr>
          <w:rFonts w:ascii="Arial" w:eastAsiaTheme="minorEastAsia" w:hAnsi="Arial" w:cs="Arial"/>
        </w:rPr>
        <w:t>,</w:t>
      </w:r>
      <w:r w:rsidR="00A42C45">
        <w:rPr>
          <w:rFonts w:ascii="Arial" w:eastAsiaTheme="minorEastAsia" w:hAnsi="Arial" w:cs="Arial"/>
        </w:rPr>
        <w:t xml:space="preserve"> excluding </w:t>
      </w:r>
      <w:r w:rsidR="00C86EC7">
        <w:rPr>
          <w:rFonts w:ascii="Arial" w:eastAsiaTheme="minorEastAsia" w:hAnsi="Arial" w:cs="Arial"/>
        </w:rPr>
        <w:t>VAT including</w:t>
      </w:r>
      <w:r w:rsidR="00770A8A">
        <w:rPr>
          <w:rFonts w:ascii="Arial" w:eastAsiaTheme="minorEastAsia" w:hAnsi="Arial" w:cs="Arial"/>
        </w:rPr>
        <w:t xml:space="preserve">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59CBA4CB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971658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 xml:space="preserve">response at </w:t>
      </w:r>
      <w:r w:rsidR="00E17914" w:rsidRPr="00971658">
        <w:rPr>
          <w:rFonts w:ascii="Arial" w:eastAsia="Times New Roman" w:hAnsi="Arial" w:cs="Arial"/>
          <w:lang w:eastAsia="en-GB"/>
        </w:rPr>
        <w:t>Annex 4.</w:t>
      </w:r>
      <w:bookmarkStart w:id="5" w:name="_Ref377110639"/>
      <w:r w:rsidR="003770B5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360206E4" w14:textId="5B16FEF5" w:rsidR="006762F9" w:rsidRPr="00971658" w:rsidRDefault="0084655D" w:rsidP="0024081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971658">
        <w:rPr>
          <w:rFonts w:ascii="Arial" w:eastAsia="Times New Roman" w:hAnsi="Arial" w:cs="Arial"/>
          <w:lang w:eastAsia="en-GB"/>
        </w:rPr>
        <w:t xml:space="preserve">The Term shall commence on </w:t>
      </w:r>
      <w:r w:rsidR="00971658" w:rsidRPr="00971658">
        <w:rPr>
          <w:rFonts w:ascii="Arial" w:eastAsia="Times New Roman" w:hAnsi="Arial" w:cs="Arial"/>
          <w:lang w:eastAsia="en-GB"/>
        </w:rPr>
        <w:t>Tuesday 1</w:t>
      </w:r>
      <w:r w:rsidR="00C86EC7">
        <w:rPr>
          <w:rFonts w:ascii="Arial" w:eastAsia="Times New Roman" w:hAnsi="Arial" w:cs="Arial"/>
          <w:lang w:eastAsia="en-GB"/>
        </w:rPr>
        <w:t>7</w:t>
      </w:r>
      <w:r w:rsidR="00971658" w:rsidRPr="00971658">
        <w:rPr>
          <w:rFonts w:ascii="Arial" w:eastAsia="Times New Roman" w:hAnsi="Arial" w:cs="Arial"/>
          <w:vertAlign w:val="superscript"/>
          <w:lang w:eastAsia="en-GB"/>
        </w:rPr>
        <w:t>th</w:t>
      </w:r>
      <w:r w:rsidR="00971658" w:rsidRPr="00971658">
        <w:rPr>
          <w:rFonts w:ascii="Arial" w:eastAsia="Times New Roman" w:hAnsi="Arial" w:cs="Arial"/>
          <w:lang w:eastAsia="en-GB"/>
        </w:rPr>
        <w:t xml:space="preserve"> January 2018</w:t>
      </w:r>
      <w:r w:rsidR="00770A8A" w:rsidRPr="00971658">
        <w:rPr>
          <w:rFonts w:ascii="Arial" w:eastAsia="Times New Roman" w:hAnsi="Arial" w:cs="Arial"/>
          <w:lang w:eastAsia="en-GB"/>
        </w:rPr>
        <w:t xml:space="preserve"> (the “Start Date”)</w:t>
      </w:r>
      <w:r w:rsidRPr="00971658">
        <w:rPr>
          <w:rFonts w:ascii="Arial" w:eastAsia="Times New Roman" w:hAnsi="Arial" w:cs="Arial"/>
          <w:lang w:eastAsia="en-GB"/>
        </w:rPr>
        <w:t xml:space="preserve"> and the Expiry Date shall be </w:t>
      </w:r>
      <w:r w:rsidR="00971658" w:rsidRPr="00971658">
        <w:rPr>
          <w:rFonts w:ascii="Arial" w:eastAsia="Times New Roman" w:hAnsi="Arial" w:cs="Arial"/>
          <w:lang w:eastAsia="en-GB"/>
        </w:rPr>
        <w:t>1</w:t>
      </w:r>
      <w:r w:rsidR="00C86EC7">
        <w:rPr>
          <w:rFonts w:ascii="Arial" w:eastAsia="Times New Roman" w:hAnsi="Arial" w:cs="Arial"/>
          <w:lang w:eastAsia="en-GB"/>
        </w:rPr>
        <w:t>6</w:t>
      </w:r>
      <w:r w:rsidR="00971658" w:rsidRPr="00971658">
        <w:rPr>
          <w:rFonts w:ascii="Arial" w:eastAsia="Times New Roman" w:hAnsi="Arial" w:cs="Arial"/>
          <w:vertAlign w:val="superscript"/>
          <w:lang w:eastAsia="en-GB"/>
        </w:rPr>
        <w:t>th</w:t>
      </w:r>
      <w:r w:rsidR="00971658" w:rsidRPr="00971658">
        <w:rPr>
          <w:rFonts w:ascii="Arial" w:eastAsia="Times New Roman" w:hAnsi="Arial" w:cs="Arial"/>
          <w:lang w:eastAsia="en-GB"/>
        </w:rPr>
        <w:t xml:space="preserve"> July 2018</w:t>
      </w:r>
      <w:bookmarkEnd w:id="5"/>
      <w:r w:rsidR="00971658">
        <w:rPr>
          <w:rFonts w:ascii="Arial" w:eastAsia="Times New Roman" w:hAnsi="Arial" w:cs="Arial"/>
          <w:lang w:eastAsia="en-GB"/>
        </w:rPr>
        <w:t>.</w:t>
      </w:r>
      <w:r w:rsidR="00D6687B" w:rsidRPr="00971658">
        <w:rPr>
          <w:rFonts w:ascii="Arial" w:eastAsia="Times New Roman" w:hAnsi="Arial" w:cs="Arial"/>
          <w:lang w:eastAsia="en-GB"/>
        </w:rPr>
        <w:tab/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156E9E9E" w14:textId="4765D5DA" w:rsidR="00971658" w:rsidRDefault="00971658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971658">
              <w:rPr>
                <w:rFonts w:ascii="Arial" w:eastAsia="Times New Roman" w:hAnsi="Arial" w:cs="Arial"/>
                <w:lang w:eastAsia="en-GB"/>
              </w:rPr>
              <w:t>National Infrastructure Commission</w:t>
            </w:r>
          </w:p>
          <w:p w14:paraId="71C40A4F" w14:textId="2388A86D" w:rsidR="0084655D" w:rsidRPr="00FD19ED" w:rsidRDefault="001F312A" w:rsidP="007774C5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5EB25889" w14:textId="0F036929" w:rsidR="00971658" w:rsidRPr="007774C5" w:rsidRDefault="00971658" w:rsidP="00971658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774C5">
              <w:rPr>
                <w:rFonts w:ascii="Arial" w:eastAsia="Times New Roman" w:hAnsi="Arial" w:cs="Arial"/>
                <w:lang w:eastAsia="en-GB"/>
              </w:rPr>
              <w:t>Prospective Lab Ltd</w:t>
            </w:r>
          </w:p>
          <w:p w14:paraId="6BB893C1" w14:textId="684B404B" w:rsidR="0084655D" w:rsidRPr="00880B11" w:rsidRDefault="001F312A" w:rsidP="007774C5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30D7A86B" w14:textId="77777777" w:rsidR="001F312A" w:rsidRPr="009F3D7F" w:rsidRDefault="001F312A" w:rsidP="001F312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6FD52CC3" w14:textId="3B4FCD78" w:rsidR="0084655D" w:rsidRPr="000A23F2" w:rsidRDefault="0084655D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500" w:type="dxa"/>
          </w:tcPr>
          <w:p w14:paraId="77473F5D" w14:textId="77777777" w:rsidR="001F312A" w:rsidRPr="009F3D7F" w:rsidRDefault="001F312A" w:rsidP="001F312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60231AD1" w14:textId="29EE701D" w:rsidR="0084655D" w:rsidRPr="000A23F2" w:rsidRDefault="0084655D" w:rsidP="000A23F2">
            <w:pPr>
              <w:spacing w:line="240" w:lineRule="atLeast"/>
              <w:ind w:right="3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C64E22B" w14:textId="77777777" w:rsidR="001F312A" w:rsidRPr="009F3D7F" w:rsidRDefault="001F312A" w:rsidP="001F312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55956BA6" w14:textId="7890C2C0" w:rsidR="00271837" w:rsidRPr="000A23F2" w:rsidRDefault="00271837" w:rsidP="000A23F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500" w:type="dxa"/>
          </w:tcPr>
          <w:p w14:paraId="0356DBFC" w14:textId="77777777" w:rsidR="001F312A" w:rsidRPr="009F3D7F" w:rsidRDefault="001F312A" w:rsidP="001F312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604F9FBC" w14:textId="7F8A52A0" w:rsidR="00271837" w:rsidRPr="000A23F2" w:rsidRDefault="00271837" w:rsidP="000A23F2">
            <w:pPr>
              <w:spacing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EE2E58" w:rsidRPr="0084655D" w14:paraId="296404E9" w14:textId="77777777" w:rsidTr="000A23F2">
        <w:tc>
          <w:tcPr>
            <w:tcW w:w="3812" w:type="dxa"/>
            <w:shd w:val="clear" w:color="auto" w:fill="auto"/>
          </w:tcPr>
          <w:p w14:paraId="7F8A4A09" w14:textId="77777777" w:rsidR="001F312A" w:rsidRPr="009F3D7F" w:rsidRDefault="001F312A" w:rsidP="001F312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0162E33E" w14:textId="735BC6F0" w:rsidR="00EE2E58" w:rsidRPr="000A23F2" w:rsidRDefault="00EE2E58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500" w:type="dxa"/>
          </w:tcPr>
          <w:p w14:paraId="3641F624" w14:textId="77777777" w:rsidR="001F312A" w:rsidRPr="009F3D7F" w:rsidRDefault="001F312A" w:rsidP="001F312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49B46A6F" w14:textId="648C3F0D" w:rsidR="00EE2E58" w:rsidRPr="000A23F2" w:rsidRDefault="00EE2E58" w:rsidP="000A23F2">
            <w:pPr>
              <w:spacing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7F1AB32A" w14:textId="77777777" w:rsidR="00F54ABC" w:rsidRDefault="00F54ABC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E584160" w14:textId="578C74DD" w:rsidR="0084655D" w:rsidRPr="00FD19ED" w:rsidRDefault="0084655D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For the purposes of the </w:t>
      </w:r>
      <w:r w:rsidRPr="007774C5">
        <w:rPr>
          <w:rFonts w:ascii="Arial" w:eastAsia="Times New Roman" w:hAnsi="Arial" w:cs="Arial"/>
          <w:lang w:eastAsia="en-GB"/>
        </w:rPr>
        <w:t xml:space="preserve">Agreement the data security </w:t>
      </w:r>
      <w:r w:rsidR="007774C5" w:rsidRPr="007774C5">
        <w:rPr>
          <w:rFonts w:ascii="Arial" w:eastAsia="Times New Roman" w:hAnsi="Arial" w:cs="Arial"/>
          <w:lang w:eastAsia="en-GB"/>
        </w:rPr>
        <w:t>requirements</w:t>
      </w:r>
      <w:r w:rsidR="00A42C45">
        <w:rPr>
          <w:rFonts w:ascii="Arial" w:eastAsia="Times New Roman" w:hAnsi="Arial" w:cs="Arial"/>
          <w:lang w:eastAsia="en-GB"/>
        </w:rPr>
        <w:t xml:space="preserve"> are</w:t>
      </w:r>
      <w:r w:rsidRPr="007774C5">
        <w:rPr>
          <w:rFonts w:ascii="Arial" w:eastAsia="Times New Roman" w:hAnsi="Arial" w:cs="Arial"/>
          <w:lang w:eastAsia="en-GB"/>
        </w:rPr>
        <w:t xml:space="preserve"> </w:t>
      </w:r>
      <w:r w:rsidR="00880B11" w:rsidRPr="007774C5">
        <w:rPr>
          <w:rFonts w:ascii="Arial" w:eastAsia="Times New Roman" w:hAnsi="Arial" w:cs="Arial"/>
          <w:lang w:eastAsia="en-GB"/>
        </w:rPr>
        <w:t>within Annex 3</w:t>
      </w:r>
      <w:r w:rsidR="007774C5" w:rsidRPr="007774C5">
        <w:rPr>
          <w:rFonts w:ascii="Arial" w:eastAsia="Times New Roman" w:hAnsi="Arial" w:cs="Arial"/>
          <w:lang w:eastAsia="en-GB"/>
        </w:rPr>
        <w:t>.</w:t>
      </w:r>
    </w:p>
    <w:p w14:paraId="5AD0E819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B64FA53" w14:textId="2DC85686" w:rsidR="00FD19ED" w:rsidRPr="00FD19ED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9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(each such conviction a “</w:t>
      </w:r>
      <w:r w:rsidRPr="00880B11">
        <w:rPr>
          <w:rFonts w:ascii="Arial" w:eastAsia="Times New Roman" w:hAnsi="Arial" w:cs="Arial"/>
          <w:b/>
          <w:lang w:eastAsia="en-GB"/>
        </w:rPr>
        <w:t>Relevant Conviction</w:t>
      </w:r>
      <w:r w:rsidRPr="00880B11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8"/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3A1D181E" w14:textId="77777777" w:rsidR="007774C5" w:rsidRPr="00A7686A" w:rsidRDefault="007774C5" w:rsidP="007774C5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23D35477" w14:textId="77777777" w:rsidR="007774C5" w:rsidRDefault="007774C5" w:rsidP="0024081F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7774C5">
        <w:rPr>
          <w:rFonts w:ascii="Arial" w:eastAsia="Times New Roman" w:hAnsi="Arial" w:cs="Arial"/>
          <w:lang w:eastAsia="en-GB"/>
        </w:rPr>
        <w:t xml:space="preserve">Payment can only be made following satisfactory and timely delivery of pre-agreed certified products and deliverables. Payment will be made in arrears, subject to invoice(s) being submitted for work carried out. </w:t>
      </w:r>
    </w:p>
    <w:p w14:paraId="7A7419AA" w14:textId="77777777" w:rsidR="007774C5" w:rsidRDefault="007774C5" w:rsidP="007774C5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514C5830" w14:textId="77777777" w:rsidR="001F312A" w:rsidRPr="009F3D7F" w:rsidRDefault="007774C5" w:rsidP="001F312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F312A">
        <w:rPr>
          <w:rFonts w:ascii="Arial" w:eastAsia="Times New Roman" w:hAnsi="Arial" w:cs="Arial"/>
          <w:lang w:eastAsia="en-GB"/>
        </w:rPr>
        <w:t xml:space="preserve">Before payment can be considered, invoice(s) must include a detailed elemental breakdown of work completed and the associated costs. The address for invoices should be: </w:t>
      </w:r>
      <w:r w:rsidR="001F312A">
        <w:rPr>
          <w:rFonts w:ascii="Arial" w:eastAsia="Times New Roman" w:hAnsi="Arial" w:cs="Arial"/>
          <w:b/>
          <w:lang w:eastAsia="en-GB"/>
        </w:rPr>
        <w:t>REDACTED</w:t>
      </w:r>
    </w:p>
    <w:p w14:paraId="3753915E" w14:textId="77777777" w:rsidR="007774C5" w:rsidRPr="001F312A" w:rsidRDefault="007774C5" w:rsidP="001F312A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44DF0CFB" w14:textId="77777777" w:rsidR="001F312A" w:rsidRPr="009F3D7F" w:rsidRDefault="0084655D" w:rsidP="001F312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For general liaison your contact will continue to be </w:t>
      </w:r>
      <w:r w:rsidR="001F312A">
        <w:rPr>
          <w:rFonts w:ascii="Arial" w:eastAsia="Times New Roman" w:hAnsi="Arial" w:cs="Arial"/>
          <w:b/>
          <w:lang w:eastAsia="en-GB"/>
        </w:rPr>
        <w:t>REDACTED</w:t>
      </w:r>
    </w:p>
    <w:p w14:paraId="40EE8F98" w14:textId="477F3158" w:rsidR="0084655D" w:rsidRDefault="003F7831" w:rsidP="001F312A">
      <w:pPr>
        <w:spacing w:after="120" w:line="240" w:lineRule="atLeast"/>
        <w:ind w:left="426"/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7774C5">
        <w:rPr>
          <w:rFonts w:ascii="Arial" w:eastAsia="Times New Roman" w:hAnsi="Arial" w:cs="Arial"/>
          <w:lang w:eastAsia="en-GB"/>
        </w:rPr>
        <w:t>Services</w:t>
      </w:r>
      <w:r w:rsidR="0084655D" w:rsidRPr="0084655D">
        <w:rPr>
          <w:rFonts w:ascii="Arial" w:eastAsia="Times New Roman" w:hAnsi="Arial" w:cs="Arial"/>
          <w:lang w:eastAsia="en-GB"/>
        </w:rPr>
        <w:t xml:space="preserve">.  Please confirm your acceptance of the award of this contract by signing and returning the enclosed copy of this letter </w:t>
      </w:r>
      <w:r w:rsidR="00EE2E58">
        <w:rPr>
          <w:rFonts w:ascii="Arial" w:eastAsia="Times New Roman" w:hAnsi="Arial" w:cs="Arial"/>
          <w:lang w:eastAsia="en-GB"/>
        </w:rPr>
        <w:t>via the e-sourcing portal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within </w:t>
      </w:r>
      <w:r w:rsidR="007774C5">
        <w:rPr>
          <w:rFonts w:ascii="Arial" w:eastAsia="Times New Roman" w:hAnsi="Arial" w:cs="Arial"/>
          <w:b/>
          <w:lang w:eastAsia="en-GB"/>
        </w:rPr>
        <w:t>2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 xml:space="preserve">reference number above in any future communications relating </w:t>
      </w:r>
      <w:r w:rsidR="0084655D" w:rsidRPr="00EE2E58">
        <w:rPr>
          <w:rFonts w:ascii="Arial" w:eastAsia="Times New Roman" w:hAnsi="Arial" w:cs="Arial"/>
          <w:lang w:eastAsia="en-GB"/>
        </w:rPr>
        <w:t>to this contract.</w:t>
      </w:r>
      <w:r w:rsidR="00B51C96" w:rsidRPr="00EE2E58">
        <w:rPr>
          <w:rFonts w:ascii="Arial" w:eastAsia="Times New Roman" w:hAnsi="Arial" w:cs="Arial"/>
          <w:lang w:eastAsia="en-GB"/>
        </w:rPr>
        <w:t xml:space="preserve"> </w:t>
      </w:r>
    </w:p>
    <w:p w14:paraId="4DE24D29" w14:textId="77777777" w:rsidR="000A23F2" w:rsidRPr="0084655D" w:rsidRDefault="000A23F2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2F7642EB" w14:textId="77777777" w:rsidR="001F312A" w:rsidRPr="009F3D7F" w:rsidRDefault="001F312A" w:rsidP="001F312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7225D2A4" w:rsidR="0084655D" w:rsidRPr="007774C5" w:rsidRDefault="0084655D" w:rsidP="007774C5">
            <w:pPr>
              <w:spacing w:after="0" w:line="240" w:lineRule="atLeast"/>
              <w:ind w:right="3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7774C5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7774C5" w:rsidRPr="00971658">
              <w:rPr>
                <w:rFonts w:ascii="Arial" w:eastAsia="Times New Roman" w:hAnsi="Arial" w:cs="Arial"/>
                <w:lang w:eastAsia="en-GB"/>
              </w:rPr>
              <w:t>National Infrastructure Commission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08B5D43E" w:rsidR="0084655D" w:rsidRPr="0084655D" w:rsidRDefault="0084655D" w:rsidP="007774C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7774C5">
              <w:rPr>
                <w:rFonts w:ascii="Arial" w:eastAsia="Times New Roman" w:hAnsi="Arial" w:cs="Arial"/>
              </w:rPr>
              <w:t>Name</w:t>
            </w:r>
            <w:r w:rsidR="007774C5" w:rsidRPr="007774C5">
              <w:rPr>
                <w:rFonts w:ascii="Arial" w:eastAsia="Times New Roman" w:hAnsi="Arial" w:cs="Arial"/>
              </w:rPr>
              <w:t>: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66F202F7" w14:textId="77777777" w:rsidR="001F312A" w:rsidRPr="009F3D7F" w:rsidRDefault="001F312A" w:rsidP="001F312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54"/>
        <w:gridCol w:w="3801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2A537AC4" w:rsidR="0084655D" w:rsidRPr="0084655D" w:rsidRDefault="0084655D" w:rsidP="007774C5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7774C5">
              <w:rPr>
                <w:rFonts w:ascii="Arial" w:eastAsia="Times New Roman" w:hAnsi="Arial" w:cs="Arial"/>
              </w:rPr>
              <w:t xml:space="preserve">Signed for and on behalf of </w:t>
            </w:r>
            <w:r w:rsidR="007774C5" w:rsidRPr="007774C5">
              <w:rPr>
                <w:rFonts w:ascii="Arial" w:eastAsia="Times New Roman" w:hAnsi="Arial" w:cs="Arial"/>
                <w:lang w:eastAsia="en-GB"/>
              </w:rPr>
              <w:t>Prospective Lab Ltd</w:t>
            </w:r>
            <w:r w:rsidR="007774C5">
              <w:rPr>
                <w:rFonts w:ascii="Arial" w:eastAsia="Times New Roman" w:hAnsi="Arial" w:cs="Arial"/>
              </w:rPr>
              <w:t xml:space="preserve"> </w:t>
            </w:r>
            <w:r w:rsidR="00770A8A" w:rsidRPr="007774C5">
              <w:rPr>
                <w:rFonts w:ascii="Arial" w:eastAsia="Times New Roman" w:hAnsi="Arial" w:cs="Arial"/>
                <w:bCs/>
              </w:rPr>
              <w:t>(“the Supplier</w:t>
            </w:r>
            <w:r w:rsidR="00884E03" w:rsidRPr="007774C5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7774C5">
        <w:trPr>
          <w:trHeight w:val="402"/>
        </w:trPr>
        <w:tc>
          <w:tcPr>
            <w:tcW w:w="4854" w:type="dxa"/>
          </w:tcPr>
          <w:p w14:paraId="4080C39F" w14:textId="64899AA8" w:rsidR="0084655D" w:rsidRPr="0084655D" w:rsidRDefault="007774C5" w:rsidP="007774C5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Name: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3801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7774C5">
        <w:trPr>
          <w:trHeight w:val="236"/>
        </w:trPr>
        <w:tc>
          <w:tcPr>
            <w:tcW w:w="4854" w:type="dxa"/>
          </w:tcPr>
          <w:p w14:paraId="6D68B683" w14:textId="77777777" w:rsidR="001F312A" w:rsidRPr="009F3D7F" w:rsidRDefault="001F312A" w:rsidP="001F312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5707015A" w14:textId="77777777" w:rsidR="007774C5" w:rsidRDefault="007774C5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bookmarkStart w:id="9" w:name="_GoBack"/>
            <w:bookmarkEnd w:id="9"/>
          </w:p>
          <w:p w14:paraId="7B82FD9A" w14:textId="70D94D72" w:rsidR="007774C5" w:rsidRPr="0084655D" w:rsidRDefault="007774C5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3801" w:type="dxa"/>
          </w:tcPr>
          <w:p w14:paraId="26D00469" w14:textId="77777777" w:rsidR="007774C5" w:rsidRDefault="0084655D" w:rsidP="007774C5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</w:t>
            </w:r>
          </w:p>
          <w:p w14:paraId="6B47F79A" w14:textId="42CD3F6D" w:rsidR="0084655D" w:rsidRPr="0084655D" w:rsidRDefault="0084655D" w:rsidP="007774C5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95DF1" w14:textId="77777777" w:rsidR="001F312A" w:rsidRDefault="001F312A" w:rsidP="0071513A">
      <w:pPr>
        <w:spacing w:after="0" w:line="240" w:lineRule="auto"/>
      </w:pPr>
      <w:r>
        <w:separator/>
      </w:r>
    </w:p>
  </w:endnote>
  <w:endnote w:type="continuationSeparator" w:id="0">
    <w:p w14:paraId="02219FCC" w14:textId="77777777" w:rsidR="001F312A" w:rsidRDefault="001F312A" w:rsidP="0071513A">
      <w:pPr>
        <w:spacing w:after="0" w:line="240" w:lineRule="auto"/>
      </w:pPr>
      <w:r>
        <w:continuationSeparator/>
      </w:r>
    </w:p>
  </w:endnote>
  <w:endnote w:type="continuationNotice" w:id="1">
    <w:p w14:paraId="0857B7D9" w14:textId="77777777" w:rsidR="001F312A" w:rsidRDefault="001F3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1F312A" w:rsidRDefault="001F312A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1F312A" w:rsidRDefault="001F312A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1F312A" w:rsidRDefault="001F312A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6B15568F" w:rsidR="001F312A" w:rsidRDefault="001F312A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V3.0 15/01/2018</w:t>
    </w:r>
  </w:p>
  <w:p w14:paraId="0EEA54C1" w14:textId="77777777" w:rsidR="001F312A" w:rsidRPr="00F00F8A" w:rsidRDefault="001F312A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B0884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1F312A" w:rsidRDefault="001F3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1CF54" w14:textId="77777777" w:rsidR="001F312A" w:rsidRDefault="001F312A" w:rsidP="0071513A">
      <w:pPr>
        <w:spacing w:after="0" w:line="240" w:lineRule="auto"/>
      </w:pPr>
      <w:r>
        <w:separator/>
      </w:r>
    </w:p>
  </w:footnote>
  <w:footnote w:type="continuationSeparator" w:id="0">
    <w:p w14:paraId="149A73CF" w14:textId="77777777" w:rsidR="001F312A" w:rsidRDefault="001F312A" w:rsidP="0071513A">
      <w:pPr>
        <w:spacing w:after="0" w:line="240" w:lineRule="auto"/>
      </w:pPr>
      <w:r>
        <w:continuationSeparator/>
      </w:r>
    </w:p>
  </w:footnote>
  <w:footnote w:type="continuationNotice" w:id="1">
    <w:p w14:paraId="792D79E3" w14:textId="77777777" w:rsidR="001F312A" w:rsidRDefault="001F3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1F312A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1F312A" w:rsidRPr="0071513A" w:rsidRDefault="001F312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1F312A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1F312A" w:rsidRPr="0071513A" w:rsidRDefault="001F312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1F312A" w:rsidRPr="0071513A" w:rsidRDefault="001F312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1F312A" w:rsidRPr="0071513A" w:rsidRDefault="001F312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1F312A" w:rsidRDefault="001F312A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1F312A" w:rsidRDefault="001F312A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1F312A" w:rsidRPr="0071513A" w:rsidRDefault="001F312A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1F312A" w:rsidRPr="0071513A" w:rsidRDefault="001F312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1F312A" w:rsidRPr="0071513A" w:rsidRDefault="001F312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1F312A" w:rsidRPr="0071513A" w:rsidRDefault="001F312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1F312A" w:rsidRPr="0071513A" w:rsidRDefault="001F312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1F312A" w:rsidRPr="00C008D5" w:rsidRDefault="001F312A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1F312A" w:rsidRDefault="001F312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16FFB"/>
    <w:rsid w:val="00090B56"/>
    <w:rsid w:val="000A23F2"/>
    <w:rsid w:val="000A2B62"/>
    <w:rsid w:val="000B0884"/>
    <w:rsid w:val="00123A6E"/>
    <w:rsid w:val="00170E8A"/>
    <w:rsid w:val="0017409A"/>
    <w:rsid w:val="001B2C91"/>
    <w:rsid w:val="001F312A"/>
    <w:rsid w:val="001F684C"/>
    <w:rsid w:val="00202B5D"/>
    <w:rsid w:val="0024081F"/>
    <w:rsid w:val="002412E5"/>
    <w:rsid w:val="00252849"/>
    <w:rsid w:val="00271837"/>
    <w:rsid w:val="002C6287"/>
    <w:rsid w:val="002C7161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A5B2C"/>
    <w:rsid w:val="004B258E"/>
    <w:rsid w:val="004F049F"/>
    <w:rsid w:val="00506611"/>
    <w:rsid w:val="005134CE"/>
    <w:rsid w:val="00514A93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774C5"/>
    <w:rsid w:val="007C2411"/>
    <w:rsid w:val="00813A56"/>
    <w:rsid w:val="0082321B"/>
    <w:rsid w:val="0084655D"/>
    <w:rsid w:val="00872420"/>
    <w:rsid w:val="008738F8"/>
    <w:rsid w:val="00880B11"/>
    <w:rsid w:val="00884E03"/>
    <w:rsid w:val="008B79E0"/>
    <w:rsid w:val="008E0209"/>
    <w:rsid w:val="00935571"/>
    <w:rsid w:val="00971658"/>
    <w:rsid w:val="00984953"/>
    <w:rsid w:val="00984F1A"/>
    <w:rsid w:val="009B1B73"/>
    <w:rsid w:val="009F3D7F"/>
    <w:rsid w:val="00A1051E"/>
    <w:rsid w:val="00A13190"/>
    <w:rsid w:val="00A31772"/>
    <w:rsid w:val="00A42C45"/>
    <w:rsid w:val="00A5182C"/>
    <w:rsid w:val="00A611E5"/>
    <w:rsid w:val="00A7686A"/>
    <w:rsid w:val="00A8216F"/>
    <w:rsid w:val="00A94459"/>
    <w:rsid w:val="00AD266E"/>
    <w:rsid w:val="00B1692E"/>
    <w:rsid w:val="00B32AE3"/>
    <w:rsid w:val="00B51C96"/>
    <w:rsid w:val="00B920EE"/>
    <w:rsid w:val="00B96861"/>
    <w:rsid w:val="00BA7699"/>
    <w:rsid w:val="00C008A6"/>
    <w:rsid w:val="00C008D5"/>
    <w:rsid w:val="00C82A9B"/>
    <w:rsid w:val="00C86EC7"/>
    <w:rsid w:val="00C93DB5"/>
    <w:rsid w:val="00C949C5"/>
    <w:rsid w:val="00CE0ECA"/>
    <w:rsid w:val="00CE1A09"/>
    <w:rsid w:val="00D1147E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336B4"/>
    <w:rsid w:val="00E51751"/>
    <w:rsid w:val="00E7260A"/>
    <w:rsid w:val="00E770D3"/>
    <w:rsid w:val="00E90806"/>
    <w:rsid w:val="00EC1349"/>
    <w:rsid w:val="00EE2E58"/>
    <w:rsid w:val="00EF3DBB"/>
    <w:rsid w:val="00F00F8A"/>
    <w:rsid w:val="00F227A4"/>
    <w:rsid w:val="00F23D45"/>
    <w:rsid w:val="00F250F8"/>
    <w:rsid w:val="00F449BB"/>
    <w:rsid w:val="00F50FDE"/>
    <w:rsid w:val="00F54ABC"/>
    <w:rsid w:val="00F61273"/>
    <w:rsid w:val="00FB1C62"/>
    <w:rsid w:val="00FB297F"/>
    <w:rsid w:val="00FC46F1"/>
    <w:rsid w:val="00FC518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299EDFE"/>
  <w15:docId w15:val="{E11E0CBA-8718-4A52-8BBD-C1712438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14</cp:revision>
  <dcterms:created xsi:type="dcterms:W3CDTF">2016-03-16T16:35:00Z</dcterms:created>
  <dcterms:modified xsi:type="dcterms:W3CDTF">2018-01-29T12:05:00Z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