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68" w:rsidRPr="00D908B4" w:rsidRDefault="00B11D68" w:rsidP="00B11D68">
      <w:pPr>
        <w:ind w:left="567"/>
        <w:rPr>
          <w:rFonts w:ascii="Arial" w:hAnsi="Arial" w:cs="Arial"/>
          <w:sz w:val="20"/>
        </w:rPr>
      </w:pPr>
    </w:p>
    <w:p w:rsidR="00B11D68" w:rsidRPr="00D908B4" w:rsidRDefault="00B11D68" w:rsidP="00142BBE">
      <w:pPr>
        <w:ind w:left="284"/>
        <w:rPr>
          <w:rFonts w:ascii="Arial" w:hAnsi="Arial" w:cs="Arial"/>
          <w:sz w:val="20"/>
        </w:rPr>
      </w:pPr>
    </w:p>
    <w:p w:rsidR="00B11D68" w:rsidRPr="00D908B4" w:rsidRDefault="00925708" w:rsidP="00142BBE">
      <w:pPr>
        <w:ind w:left="284"/>
        <w:jc w:val="center"/>
        <w:rPr>
          <w:rFonts w:ascii="Arial" w:hAnsi="Arial" w:cs="Arial"/>
          <w:b/>
          <w:szCs w:val="24"/>
          <w:u w:val="single"/>
        </w:rPr>
      </w:pPr>
      <w:r w:rsidRPr="00D908B4">
        <w:rPr>
          <w:rFonts w:ascii="Arial" w:hAnsi="Arial" w:cs="Arial"/>
          <w:b/>
          <w:szCs w:val="24"/>
          <w:u w:val="single"/>
        </w:rPr>
        <w:t xml:space="preserve">INVITATION TO </w:t>
      </w:r>
      <w:r w:rsidR="00FB2064">
        <w:rPr>
          <w:rFonts w:ascii="Arial" w:hAnsi="Arial" w:cs="Arial"/>
          <w:b/>
          <w:szCs w:val="24"/>
          <w:u w:val="single"/>
        </w:rPr>
        <w:t xml:space="preserve">QUOTE / </w:t>
      </w:r>
      <w:r w:rsidRPr="00D908B4">
        <w:rPr>
          <w:rFonts w:ascii="Arial" w:hAnsi="Arial" w:cs="Arial"/>
          <w:b/>
          <w:szCs w:val="24"/>
          <w:u w:val="single"/>
        </w:rPr>
        <w:t>TENDER GUIDANCE</w:t>
      </w:r>
    </w:p>
    <w:p w:rsidR="00B11D68" w:rsidRPr="00D908B4" w:rsidRDefault="00B11D68" w:rsidP="00142BBE">
      <w:pPr>
        <w:ind w:left="284"/>
        <w:rPr>
          <w:rFonts w:ascii="Arial" w:hAnsi="Arial" w:cs="Arial"/>
          <w:b/>
          <w:sz w:val="20"/>
          <w:u w:val="single"/>
        </w:rPr>
      </w:pPr>
    </w:p>
    <w:p w:rsidR="00B11D68" w:rsidRPr="00D908B4" w:rsidRDefault="00B11D68" w:rsidP="00142BBE">
      <w:pPr>
        <w:ind w:left="284"/>
        <w:rPr>
          <w:rFonts w:ascii="Arial" w:hAnsi="Arial" w:cs="Arial"/>
          <w:b/>
          <w:sz w:val="20"/>
        </w:rPr>
      </w:pPr>
    </w:p>
    <w:p w:rsidR="00B11D68" w:rsidRPr="0035106C" w:rsidRDefault="00B11D68" w:rsidP="00142BBE">
      <w:pPr>
        <w:ind w:left="284"/>
        <w:rPr>
          <w:rFonts w:ascii="Arial" w:hAnsi="Arial" w:cs="Arial"/>
          <w:b/>
          <w:sz w:val="20"/>
        </w:rPr>
      </w:pPr>
      <w:r w:rsidRPr="0035106C">
        <w:rPr>
          <w:rFonts w:ascii="Arial" w:hAnsi="Arial" w:cs="Arial"/>
          <w:b/>
          <w:sz w:val="20"/>
        </w:rPr>
        <w:t xml:space="preserve">STATEMENT OF </w:t>
      </w:r>
      <w:smartTag w:uri="urn:schemas-microsoft-com:office:smarttags" w:element="PersonName">
        <w:r w:rsidRPr="0035106C">
          <w:rPr>
            <w:rFonts w:ascii="Arial" w:hAnsi="Arial" w:cs="Arial"/>
            <w:b/>
            <w:sz w:val="20"/>
          </w:rPr>
          <w:t>P</w:t>
        </w:r>
      </w:smartTag>
      <w:r w:rsidRPr="0035106C">
        <w:rPr>
          <w:rFonts w:ascii="Arial" w:hAnsi="Arial" w:cs="Arial"/>
          <w:b/>
          <w:sz w:val="20"/>
        </w:rPr>
        <w:t>UR</w:t>
      </w:r>
      <w:smartTag w:uri="urn:schemas-microsoft-com:office:smarttags" w:element="PersonName">
        <w:r w:rsidRPr="0035106C">
          <w:rPr>
            <w:rFonts w:ascii="Arial" w:hAnsi="Arial" w:cs="Arial"/>
            <w:b/>
            <w:sz w:val="20"/>
          </w:rPr>
          <w:t>P</w:t>
        </w:r>
      </w:smartTag>
      <w:r w:rsidRPr="0035106C">
        <w:rPr>
          <w:rFonts w:ascii="Arial" w:hAnsi="Arial" w:cs="Arial"/>
          <w:b/>
          <w:sz w:val="20"/>
        </w:rPr>
        <w:t>OSE</w:t>
      </w:r>
    </w:p>
    <w:p w:rsidR="00B11D68" w:rsidRPr="00D908B4" w:rsidRDefault="00462F93" w:rsidP="00142BBE">
      <w:pPr>
        <w:tabs>
          <w:tab w:val="left" w:pos="284"/>
        </w:tabs>
        <w:ind w:left="284"/>
        <w:rPr>
          <w:rFonts w:ascii="Arial" w:hAnsi="Arial" w:cs="Arial"/>
          <w:sz w:val="20"/>
        </w:rPr>
      </w:pPr>
      <w:r>
        <w:rPr>
          <w:rFonts w:ascii="Arial" w:hAnsi="Arial" w:cs="Arial"/>
          <w:sz w:val="20"/>
        </w:rPr>
        <w:t>Royal Berkshire Fire Authority</w:t>
      </w:r>
      <w:r w:rsidR="00B11D68" w:rsidRPr="00D908B4">
        <w:rPr>
          <w:rFonts w:ascii="Arial" w:hAnsi="Arial" w:cs="Arial"/>
          <w:sz w:val="20"/>
        </w:rPr>
        <w:t xml:space="preserve"> (hereafter referred</w:t>
      </w:r>
      <w:r w:rsidR="00D908B4" w:rsidRPr="00D908B4">
        <w:rPr>
          <w:rFonts w:ascii="Arial" w:hAnsi="Arial" w:cs="Arial"/>
          <w:sz w:val="20"/>
        </w:rPr>
        <w:t xml:space="preserve"> to as “</w:t>
      </w:r>
      <w:r>
        <w:rPr>
          <w:rFonts w:ascii="Arial" w:hAnsi="Arial" w:cs="Arial"/>
          <w:sz w:val="20"/>
        </w:rPr>
        <w:t>The Authority</w:t>
      </w:r>
      <w:r w:rsidR="00D908B4" w:rsidRPr="00D908B4">
        <w:rPr>
          <w:rFonts w:ascii="Arial" w:hAnsi="Arial" w:cs="Arial"/>
          <w:sz w:val="20"/>
        </w:rPr>
        <w:t>”) is</w:t>
      </w:r>
      <w:r w:rsidR="00B11D68" w:rsidRPr="00D908B4">
        <w:rPr>
          <w:rFonts w:ascii="Arial" w:hAnsi="Arial" w:cs="Arial"/>
          <w:sz w:val="20"/>
        </w:rPr>
        <w:t xml:space="preserve"> submit</w:t>
      </w:r>
      <w:r w:rsidR="00D908B4" w:rsidRPr="00D908B4">
        <w:rPr>
          <w:rFonts w:ascii="Arial" w:hAnsi="Arial" w:cs="Arial"/>
          <w:sz w:val="20"/>
        </w:rPr>
        <w:t>ting</w:t>
      </w:r>
      <w:r w:rsidR="00B11D68" w:rsidRPr="00D908B4">
        <w:rPr>
          <w:rFonts w:ascii="Arial" w:hAnsi="Arial" w:cs="Arial"/>
          <w:sz w:val="20"/>
        </w:rPr>
        <w:t xml:space="preserve"> to tender </w:t>
      </w:r>
      <w:r w:rsidR="00D908B4" w:rsidRPr="00D908B4">
        <w:rPr>
          <w:rFonts w:ascii="Arial" w:hAnsi="Arial" w:cs="Arial"/>
          <w:sz w:val="20"/>
        </w:rPr>
        <w:t>its requirements for the supply</w:t>
      </w:r>
      <w:r w:rsidR="00B11D68" w:rsidRPr="00D908B4">
        <w:rPr>
          <w:rFonts w:ascii="Arial" w:hAnsi="Arial" w:cs="Arial"/>
          <w:sz w:val="20"/>
        </w:rPr>
        <w:t xml:space="preserve"> </w:t>
      </w:r>
      <w:r w:rsidR="000F2149">
        <w:rPr>
          <w:rFonts w:ascii="Arial" w:hAnsi="Arial" w:cs="Arial"/>
          <w:sz w:val="20"/>
        </w:rPr>
        <w:t xml:space="preserve">of Network and Server Resilience Services. </w:t>
      </w:r>
      <w:r w:rsidR="00B11D68" w:rsidRPr="00D908B4">
        <w:rPr>
          <w:rFonts w:ascii="Arial" w:hAnsi="Arial" w:cs="Arial"/>
          <w:sz w:val="20"/>
        </w:rPr>
        <w:t xml:space="preserve">The minimum practical number of suppliers will be selected to undertake this work. </w:t>
      </w:r>
      <w:proofErr w:type="gramStart"/>
      <w:r w:rsidR="002101B4">
        <w:rPr>
          <w:rFonts w:ascii="Arial" w:hAnsi="Arial" w:cs="Arial"/>
          <w:sz w:val="20"/>
        </w:rPr>
        <w:t>suppliers</w:t>
      </w:r>
      <w:proofErr w:type="gramEnd"/>
      <w:r w:rsidR="00B11D68" w:rsidRPr="00D908B4">
        <w:rPr>
          <w:rFonts w:ascii="Arial" w:hAnsi="Arial" w:cs="Arial"/>
          <w:sz w:val="20"/>
        </w:rPr>
        <w:t xml:space="preserve"> are now being formally invited to meet these requirements and the purpose of this document is to provide the necessary information</w:t>
      </w:r>
      <w:r w:rsidR="00E1473D">
        <w:rPr>
          <w:rFonts w:ascii="Arial" w:hAnsi="Arial" w:cs="Arial"/>
          <w:sz w:val="20"/>
        </w:rPr>
        <w:t xml:space="preserve"> and guidance to suppliers.</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All potential respondents receiving this Invitation to Tender (“ITT”) are hereinafter referred to as “Supplier”. </w:t>
      </w:r>
    </w:p>
    <w:p w:rsidR="00CD057E" w:rsidRPr="00D908B4" w:rsidRDefault="00CD057E"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 xml:space="preserve">PROCUREMENT </w:t>
      </w:r>
      <w:smartTag w:uri="urn:schemas-microsoft-com:office:smarttags" w:element="PersonName">
        <w:r w:rsidRPr="00D908B4">
          <w:rPr>
            <w:rFonts w:ascii="Arial" w:hAnsi="Arial" w:cs="Arial"/>
            <w:b/>
            <w:sz w:val="20"/>
          </w:rPr>
          <w:t>P</w:t>
        </w:r>
      </w:smartTag>
      <w:r w:rsidRPr="00D908B4">
        <w:rPr>
          <w:rFonts w:ascii="Arial" w:hAnsi="Arial" w:cs="Arial"/>
          <w:b/>
          <w:sz w:val="20"/>
        </w:rPr>
        <w:t>OLICY</w:t>
      </w:r>
    </w:p>
    <w:p w:rsidR="00B11D68" w:rsidRDefault="00B11D68" w:rsidP="00142BBE">
      <w:pPr>
        <w:tabs>
          <w:tab w:val="left" w:pos="284"/>
        </w:tabs>
        <w:ind w:left="284"/>
        <w:rPr>
          <w:rFonts w:ascii="Arial" w:hAnsi="Arial" w:cs="Arial"/>
          <w:sz w:val="20"/>
        </w:rPr>
      </w:pPr>
      <w:r w:rsidRPr="00D908B4">
        <w:rPr>
          <w:rFonts w:ascii="Arial" w:hAnsi="Arial" w:cs="Arial"/>
          <w:sz w:val="20"/>
        </w:rPr>
        <w:t xml:space="preserve">It is </w:t>
      </w:r>
      <w:r w:rsidR="00462F93">
        <w:rPr>
          <w:rFonts w:ascii="Arial" w:hAnsi="Arial" w:cs="Arial"/>
          <w:sz w:val="20"/>
        </w:rPr>
        <w:t>The Authority</w:t>
      </w:r>
      <w:r w:rsidRPr="00D908B4">
        <w:rPr>
          <w:rFonts w:ascii="Arial" w:hAnsi="Arial" w:cs="Arial"/>
          <w:sz w:val="20"/>
        </w:rPr>
        <w:t>’s policy to reduce current and future business costs wherever possible.</w:t>
      </w:r>
    </w:p>
    <w:p w:rsidR="002101B4" w:rsidRPr="00D908B4" w:rsidRDefault="002101B4"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The cost benefits must be economically justifiable </w:t>
      </w:r>
      <w:r w:rsidRPr="00D908B4">
        <w:rPr>
          <w:rFonts w:ascii="Arial" w:hAnsi="Arial" w:cs="Arial"/>
          <w:b/>
          <w:i/>
          <w:sz w:val="20"/>
        </w:rPr>
        <w:t xml:space="preserve">after </w:t>
      </w:r>
      <w:r w:rsidRPr="00D908B4">
        <w:rPr>
          <w:rFonts w:ascii="Arial" w:hAnsi="Arial" w:cs="Arial"/>
          <w:sz w:val="20"/>
        </w:rPr>
        <w:t xml:space="preserve">the objectives for </w:t>
      </w:r>
      <w:smartTag w:uri="urn:schemas-microsoft-com:office:smarttags" w:element="PersonName">
        <w:r w:rsidRPr="00D908B4">
          <w:rPr>
            <w:rFonts w:ascii="Arial" w:hAnsi="Arial" w:cs="Arial"/>
            <w:sz w:val="20"/>
          </w:rPr>
          <w:t>P</w:t>
        </w:r>
      </w:smartTag>
      <w:r w:rsidRPr="00D908B4">
        <w:rPr>
          <w:rFonts w:ascii="Arial" w:hAnsi="Arial" w:cs="Arial"/>
          <w:sz w:val="20"/>
        </w:rPr>
        <w:t xml:space="preserve">roducts/Services have been met. Individual </w:t>
      </w:r>
      <w:r w:rsidR="002101B4">
        <w:rPr>
          <w:rFonts w:ascii="Arial" w:hAnsi="Arial" w:cs="Arial"/>
          <w:sz w:val="20"/>
        </w:rPr>
        <w:t>suppliers</w:t>
      </w:r>
      <w:r w:rsidRPr="00D908B4">
        <w:rPr>
          <w:rFonts w:ascii="Arial" w:hAnsi="Arial" w:cs="Arial"/>
          <w:sz w:val="20"/>
        </w:rPr>
        <w:t>’ overall operations will be c</w:t>
      </w:r>
      <w:r w:rsidR="00D908B4" w:rsidRPr="00D908B4">
        <w:rPr>
          <w:rFonts w:ascii="Arial" w:hAnsi="Arial" w:cs="Arial"/>
          <w:sz w:val="20"/>
        </w:rPr>
        <w:t>onsidered in determining which r</w:t>
      </w:r>
      <w:r w:rsidRPr="00D908B4">
        <w:rPr>
          <w:rFonts w:ascii="Arial" w:hAnsi="Arial" w:cs="Arial"/>
          <w:sz w:val="20"/>
        </w:rPr>
        <w:t xml:space="preserve">esponse is the most appropriate for </w:t>
      </w:r>
      <w:r w:rsidR="00A13EF1">
        <w:rPr>
          <w:rFonts w:ascii="Arial" w:hAnsi="Arial" w:cs="Arial"/>
          <w:sz w:val="20"/>
        </w:rPr>
        <w:t>t</w:t>
      </w:r>
      <w:r w:rsidR="00462F93">
        <w:rPr>
          <w:rFonts w:ascii="Arial" w:hAnsi="Arial" w:cs="Arial"/>
          <w:sz w:val="20"/>
        </w:rPr>
        <w:t>he Authority</w:t>
      </w:r>
      <w:r w:rsidRPr="00D908B4">
        <w:rPr>
          <w:rFonts w:ascii="Arial" w:hAnsi="Arial" w:cs="Arial"/>
          <w:sz w:val="20"/>
        </w:rPr>
        <w:t xml:space="preserve">’s needs. </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LIABILITY</w:t>
      </w:r>
    </w:p>
    <w:p w:rsidR="00B11D68" w:rsidRPr="00D908B4" w:rsidRDefault="00462F93" w:rsidP="00142BBE">
      <w:pPr>
        <w:tabs>
          <w:tab w:val="left" w:pos="284"/>
        </w:tabs>
        <w:ind w:left="284"/>
        <w:rPr>
          <w:rFonts w:ascii="Arial" w:hAnsi="Arial" w:cs="Arial"/>
          <w:sz w:val="20"/>
        </w:rPr>
      </w:pPr>
      <w:r>
        <w:rPr>
          <w:rFonts w:ascii="Arial" w:hAnsi="Arial" w:cs="Arial"/>
          <w:sz w:val="20"/>
        </w:rPr>
        <w:t>The Authority</w:t>
      </w:r>
      <w:r w:rsidR="00B11D68" w:rsidRPr="00D908B4">
        <w:rPr>
          <w:rFonts w:ascii="Arial" w:hAnsi="Arial" w:cs="Arial"/>
          <w:sz w:val="20"/>
        </w:rPr>
        <w:t xml:space="preserve"> shall incur no obligation or liability whatsoever t</w:t>
      </w:r>
      <w:r w:rsidR="00D11DE9">
        <w:rPr>
          <w:rFonts w:ascii="Arial" w:hAnsi="Arial" w:cs="Arial"/>
          <w:sz w:val="20"/>
        </w:rPr>
        <w:t xml:space="preserve">o anyone by issuance of the ITT </w:t>
      </w:r>
      <w:r w:rsidR="00B11D68" w:rsidRPr="00D908B4">
        <w:rPr>
          <w:rFonts w:ascii="Arial" w:hAnsi="Arial" w:cs="Arial"/>
          <w:sz w:val="20"/>
        </w:rPr>
        <w:t>or action by any party relative hereto.</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TERMS OF VALIDITY</w:t>
      </w:r>
    </w:p>
    <w:p w:rsidR="00B11D68" w:rsidRPr="00D908B4" w:rsidRDefault="00B11D68" w:rsidP="00142BBE">
      <w:pPr>
        <w:tabs>
          <w:tab w:val="left" w:pos="284"/>
        </w:tabs>
        <w:ind w:left="284"/>
        <w:rPr>
          <w:rFonts w:ascii="Arial" w:hAnsi="Arial" w:cs="Arial"/>
          <w:b/>
          <w:i/>
          <w:sz w:val="20"/>
        </w:rPr>
      </w:pPr>
      <w:r w:rsidRPr="00D908B4">
        <w:rPr>
          <w:rFonts w:ascii="Arial" w:hAnsi="Arial" w:cs="Arial"/>
          <w:sz w:val="20"/>
        </w:rPr>
        <w:t>All Responses must be valid for a minimum of</w:t>
      </w:r>
      <w:r w:rsidRPr="00D908B4">
        <w:rPr>
          <w:rFonts w:ascii="Arial" w:hAnsi="Arial" w:cs="Arial"/>
          <w:b/>
          <w:i/>
          <w:sz w:val="20"/>
        </w:rPr>
        <w:t xml:space="preserve"> </w:t>
      </w:r>
      <w:r w:rsidR="000F2149">
        <w:rPr>
          <w:rFonts w:ascii="Arial" w:hAnsi="Arial" w:cs="Arial"/>
          <w:b/>
          <w:i/>
          <w:sz w:val="20"/>
        </w:rPr>
        <w:t>90</w:t>
      </w:r>
      <w:r w:rsidR="00CE0285">
        <w:rPr>
          <w:rFonts w:ascii="Arial" w:hAnsi="Arial" w:cs="Arial"/>
          <w:b/>
          <w:i/>
          <w:sz w:val="20"/>
        </w:rPr>
        <w:t xml:space="preserve"> days </w:t>
      </w:r>
      <w:r w:rsidRPr="00D908B4">
        <w:rPr>
          <w:rFonts w:ascii="Arial" w:hAnsi="Arial" w:cs="Arial"/>
          <w:sz w:val="20"/>
        </w:rPr>
        <w:t xml:space="preserve">from the </w:t>
      </w:r>
      <w:r w:rsidR="00142BBE" w:rsidRPr="00D908B4">
        <w:rPr>
          <w:rFonts w:ascii="Arial" w:hAnsi="Arial" w:cs="Arial"/>
          <w:sz w:val="20"/>
        </w:rPr>
        <w:t>tender response date.</w:t>
      </w:r>
      <w:r w:rsidRPr="00D908B4">
        <w:rPr>
          <w:rFonts w:ascii="Arial" w:hAnsi="Arial" w:cs="Arial"/>
          <w:b/>
          <w:i/>
          <w:sz w:val="20"/>
        </w:rPr>
        <w:t xml:space="preserve"> </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QUESTIONS/CLARIFICATION</w:t>
      </w:r>
    </w:p>
    <w:p w:rsidR="00B11D68" w:rsidRPr="00231310" w:rsidRDefault="002101B4" w:rsidP="00231310">
      <w:pPr>
        <w:tabs>
          <w:tab w:val="left" w:pos="284"/>
        </w:tabs>
        <w:ind w:left="284"/>
        <w:rPr>
          <w:rFonts w:ascii="Arial" w:hAnsi="Arial" w:cs="Arial"/>
          <w:sz w:val="20"/>
        </w:rPr>
      </w:pPr>
      <w:proofErr w:type="gramStart"/>
      <w:r>
        <w:rPr>
          <w:rFonts w:ascii="Arial" w:hAnsi="Arial" w:cs="Arial"/>
          <w:sz w:val="20"/>
        </w:rPr>
        <w:t>suppliers</w:t>
      </w:r>
      <w:proofErr w:type="gramEnd"/>
      <w:r w:rsidR="00B11D68" w:rsidRPr="00D908B4">
        <w:rPr>
          <w:rFonts w:ascii="Arial" w:hAnsi="Arial" w:cs="Arial"/>
          <w:sz w:val="20"/>
        </w:rPr>
        <w:t xml:space="preserve"> </w:t>
      </w:r>
      <w:r w:rsidR="009A3982">
        <w:rPr>
          <w:rFonts w:ascii="Arial" w:hAnsi="Arial" w:cs="Arial"/>
          <w:sz w:val="20"/>
        </w:rPr>
        <w:t>are</w:t>
      </w:r>
      <w:r w:rsidR="00B11D68" w:rsidRPr="00D908B4">
        <w:rPr>
          <w:rFonts w:ascii="Arial" w:hAnsi="Arial" w:cs="Arial"/>
          <w:sz w:val="20"/>
        </w:rPr>
        <w:t xml:space="preserve"> under an obligation to ask questions and/or clarify any issues, which the</w:t>
      </w:r>
      <w:r w:rsidR="009A3982">
        <w:rPr>
          <w:rFonts w:ascii="Arial" w:hAnsi="Arial" w:cs="Arial"/>
          <w:sz w:val="20"/>
        </w:rPr>
        <w:t>y</w:t>
      </w:r>
      <w:r w:rsidR="00B11D68" w:rsidRPr="00D908B4">
        <w:rPr>
          <w:rFonts w:ascii="Arial" w:hAnsi="Arial" w:cs="Arial"/>
          <w:sz w:val="20"/>
        </w:rPr>
        <w:t xml:space="preserve"> do not fully understand or believes may be interpreted in more than one way. </w:t>
      </w:r>
      <w:r w:rsidR="00462F93">
        <w:rPr>
          <w:rFonts w:ascii="Arial" w:hAnsi="Arial" w:cs="Arial"/>
          <w:sz w:val="20"/>
        </w:rPr>
        <w:t>The Authority</w:t>
      </w:r>
      <w:r w:rsidR="00B11D68" w:rsidRPr="00D908B4">
        <w:rPr>
          <w:rFonts w:ascii="Arial" w:hAnsi="Arial" w:cs="Arial"/>
          <w:sz w:val="20"/>
        </w:rPr>
        <w:t xml:space="preserve"> will attempt to answer all questions from </w:t>
      </w:r>
      <w:r>
        <w:rPr>
          <w:rFonts w:ascii="Arial" w:hAnsi="Arial" w:cs="Arial"/>
          <w:sz w:val="20"/>
        </w:rPr>
        <w:t>suppliers</w:t>
      </w:r>
      <w:r w:rsidR="00B11D68" w:rsidRPr="00D908B4">
        <w:rPr>
          <w:rFonts w:ascii="Arial" w:hAnsi="Arial" w:cs="Arial"/>
          <w:sz w:val="20"/>
        </w:rPr>
        <w:t xml:space="preserve">; however, </w:t>
      </w:r>
      <w:r w:rsidR="005508A4">
        <w:rPr>
          <w:rFonts w:ascii="Arial" w:hAnsi="Arial" w:cs="Arial"/>
          <w:sz w:val="20"/>
        </w:rPr>
        <w:t>t</w:t>
      </w:r>
      <w:r w:rsidR="00231310">
        <w:rPr>
          <w:rFonts w:ascii="Arial" w:hAnsi="Arial" w:cs="Arial"/>
          <w:sz w:val="20"/>
        </w:rPr>
        <w:t>h</w:t>
      </w:r>
      <w:r w:rsidR="00462F93">
        <w:rPr>
          <w:rFonts w:ascii="Arial" w:hAnsi="Arial" w:cs="Arial"/>
          <w:sz w:val="20"/>
        </w:rPr>
        <w:t>e Authority</w:t>
      </w:r>
      <w:r w:rsidR="00B11D68" w:rsidRPr="00D908B4">
        <w:rPr>
          <w:rFonts w:ascii="Arial" w:hAnsi="Arial" w:cs="Arial"/>
          <w:sz w:val="20"/>
        </w:rPr>
        <w:t xml:space="preserve"> is not required to do so. To ensure consistent interpretation of the ITT all clarification statements will be made available in writing to all </w:t>
      </w:r>
      <w:r>
        <w:rPr>
          <w:rFonts w:ascii="Arial" w:hAnsi="Arial" w:cs="Arial"/>
          <w:sz w:val="20"/>
        </w:rPr>
        <w:t>suppliers</w:t>
      </w:r>
      <w:r w:rsidR="009A3982">
        <w:rPr>
          <w:rFonts w:ascii="Arial" w:hAnsi="Arial" w:cs="Arial"/>
          <w:sz w:val="20"/>
        </w:rPr>
        <w:t>.</w:t>
      </w:r>
    </w:p>
    <w:p w:rsidR="00B11D68" w:rsidRPr="00D908B4" w:rsidRDefault="00B11D68" w:rsidP="00142BBE">
      <w:pPr>
        <w:tabs>
          <w:tab w:val="left" w:pos="284"/>
        </w:tabs>
        <w:ind w:left="284"/>
        <w:rPr>
          <w:rFonts w:ascii="Arial" w:hAnsi="Arial" w:cs="Arial"/>
          <w:sz w:val="20"/>
        </w:rPr>
      </w:pPr>
    </w:p>
    <w:p w:rsidR="00B11D68" w:rsidRDefault="00462F93" w:rsidP="00142BBE">
      <w:pPr>
        <w:tabs>
          <w:tab w:val="left" w:pos="284"/>
        </w:tabs>
        <w:ind w:left="284"/>
        <w:rPr>
          <w:rFonts w:ascii="Arial" w:hAnsi="Arial" w:cs="Arial"/>
          <w:sz w:val="20"/>
        </w:rPr>
      </w:pPr>
      <w:r>
        <w:rPr>
          <w:rFonts w:ascii="Arial" w:hAnsi="Arial" w:cs="Arial"/>
          <w:sz w:val="20"/>
        </w:rPr>
        <w:t>The Authority</w:t>
      </w:r>
      <w:r w:rsidR="00B11D68" w:rsidRPr="00D908B4">
        <w:rPr>
          <w:rFonts w:ascii="Arial" w:hAnsi="Arial" w:cs="Arial"/>
          <w:sz w:val="20"/>
        </w:rPr>
        <w:t xml:space="preserve"> reserves the right, at its discretion, to conduct meetings/discussions with responding </w:t>
      </w:r>
      <w:r w:rsidR="002101B4">
        <w:rPr>
          <w:rFonts w:ascii="Arial" w:hAnsi="Arial" w:cs="Arial"/>
          <w:sz w:val="20"/>
        </w:rPr>
        <w:t>suppliers</w:t>
      </w:r>
      <w:r w:rsidR="00A13EF1">
        <w:rPr>
          <w:rFonts w:ascii="Arial" w:hAnsi="Arial" w:cs="Arial"/>
          <w:sz w:val="20"/>
        </w:rPr>
        <w:t xml:space="preserve"> at any time during the ITT </w:t>
      </w:r>
      <w:r w:rsidR="00B11D68" w:rsidRPr="00D908B4">
        <w:rPr>
          <w:rFonts w:ascii="Arial" w:hAnsi="Arial" w:cs="Arial"/>
          <w:sz w:val="20"/>
        </w:rPr>
        <w:t xml:space="preserve">process. </w:t>
      </w:r>
    </w:p>
    <w:p w:rsidR="008E4EE5" w:rsidRDefault="008E4EE5" w:rsidP="00142BBE">
      <w:pPr>
        <w:tabs>
          <w:tab w:val="left" w:pos="284"/>
        </w:tabs>
        <w:ind w:left="284"/>
        <w:rPr>
          <w:rFonts w:ascii="Arial" w:hAnsi="Arial" w:cs="Arial"/>
          <w:sz w:val="20"/>
        </w:rPr>
      </w:pPr>
    </w:p>
    <w:p w:rsidR="008E4EE5" w:rsidRDefault="008E4EE5" w:rsidP="00142BBE">
      <w:pPr>
        <w:tabs>
          <w:tab w:val="left" w:pos="284"/>
        </w:tabs>
        <w:ind w:left="284"/>
        <w:rPr>
          <w:rFonts w:ascii="Arial" w:hAnsi="Arial" w:cs="Arial"/>
          <w:sz w:val="20"/>
        </w:rPr>
      </w:pPr>
      <w:r>
        <w:rPr>
          <w:rFonts w:ascii="Arial" w:hAnsi="Arial" w:cs="Arial"/>
          <w:sz w:val="20"/>
        </w:rPr>
        <w:t xml:space="preserve">Questions / clarifications should be issued to the Authority in accordance with the tender program, by sending an e-mail to </w:t>
      </w:r>
      <w:hyperlink r:id="rId7" w:history="1">
        <w:r w:rsidRPr="00CE1022">
          <w:rPr>
            <w:rStyle w:val="Hyperlink"/>
            <w:rFonts w:ascii="Arial" w:hAnsi="Arial" w:cs="Arial"/>
            <w:sz w:val="20"/>
          </w:rPr>
          <w:t>tenders@rbfrs.co.uk</w:t>
        </w:r>
      </w:hyperlink>
      <w:r>
        <w:rPr>
          <w:rFonts w:ascii="Arial" w:hAnsi="Arial" w:cs="Arial"/>
          <w:sz w:val="20"/>
        </w:rPr>
        <w:t>. The ITT Project Number and Title should be referenced in the email subject line.</w:t>
      </w:r>
    </w:p>
    <w:p w:rsidR="008E4EE5" w:rsidRDefault="008E4EE5" w:rsidP="00142BBE">
      <w:pPr>
        <w:tabs>
          <w:tab w:val="left" w:pos="284"/>
        </w:tabs>
        <w:ind w:left="284"/>
        <w:rPr>
          <w:rFonts w:ascii="Arial" w:hAnsi="Arial" w:cs="Arial"/>
          <w:sz w:val="20"/>
        </w:rPr>
      </w:pPr>
    </w:p>
    <w:p w:rsidR="008E4EE5" w:rsidRDefault="008E4EE5" w:rsidP="00142BBE">
      <w:pPr>
        <w:tabs>
          <w:tab w:val="left" w:pos="284"/>
        </w:tabs>
        <w:ind w:left="284"/>
        <w:rPr>
          <w:rFonts w:ascii="Arial" w:hAnsi="Arial" w:cs="Arial"/>
          <w:sz w:val="20"/>
        </w:rPr>
      </w:pPr>
      <w:r>
        <w:rPr>
          <w:rFonts w:ascii="Arial" w:hAnsi="Arial" w:cs="Arial"/>
          <w:sz w:val="20"/>
        </w:rPr>
        <w:t xml:space="preserve">The Authority will, at its </w:t>
      </w:r>
      <w:r w:rsidR="002101B4">
        <w:rPr>
          <w:rFonts w:ascii="Arial" w:hAnsi="Arial" w:cs="Arial"/>
          <w:sz w:val="20"/>
        </w:rPr>
        <w:t xml:space="preserve">own discretion, endeavour to </w:t>
      </w:r>
      <w:r>
        <w:rPr>
          <w:rFonts w:ascii="Arial" w:hAnsi="Arial" w:cs="Arial"/>
          <w:sz w:val="20"/>
        </w:rPr>
        <w:t xml:space="preserve">respond to </w:t>
      </w:r>
      <w:r w:rsidR="002101B4">
        <w:rPr>
          <w:rFonts w:ascii="Arial" w:hAnsi="Arial" w:cs="Arial"/>
          <w:sz w:val="20"/>
        </w:rPr>
        <w:t>suppliers</w:t>
      </w:r>
      <w:r>
        <w:rPr>
          <w:rFonts w:ascii="Arial" w:hAnsi="Arial" w:cs="Arial"/>
          <w:sz w:val="20"/>
        </w:rPr>
        <w:t xml:space="preserve"> within the tender program date. All questions and requests for clarification or further information, and corresponding responses, maybe circulated to all </w:t>
      </w:r>
      <w:r w:rsidR="002101B4">
        <w:rPr>
          <w:rFonts w:ascii="Arial" w:hAnsi="Arial" w:cs="Arial"/>
          <w:sz w:val="20"/>
        </w:rPr>
        <w:t>suppliers</w:t>
      </w:r>
      <w:r>
        <w:rPr>
          <w:rFonts w:ascii="Arial" w:hAnsi="Arial" w:cs="Arial"/>
          <w:sz w:val="20"/>
        </w:rPr>
        <w:t xml:space="preserve"> subject to the following provisions:</w:t>
      </w:r>
    </w:p>
    <w:p w:rsidR="008E4EE5" w:rsidRDefault="008E4EE5" w:rsidP="00142BBE">
      <w:pPr>
        <w:tabs>
          <w:tab w:val="left" w:pos="284"/>
        </w:tabs>
        <w:ind w:left="284"/>
        <w:rPr>
          <w:rFonts w:ascii="Arial" w:hAnsi="Arial" w:cs="Arial"/>
          <w:sz w:val="20"/>
        </w:rPr>
      </w:pPr>
    </w:p>
    <w:p w:rsidR="008E4EE5" w:rsidRPr="002B0C4D" w:rsidRDefault="008E4EE5" w:rsidP="008E4EE5">
      <w:pPr>
        <w:pStyle w:val="ListParagraph"/>
        <w:numPr>
          <w:ilvl w:val="0"/>
          <w:numId w:val="44"/>
        </w:numPr>
        <w:tabs>
          <w:tab w:val="left" w:pos="284"/>
        </w:tabs>
        <w:rPr>
          <w:rFonts w:ascii="Arial" w:hAnsi="Arial" w:cs="Arial"/>
          <w:sz w:val="20"/>
        </w:rPr>
      </w:pPr>
      <w:r>
        <w:rPr>
          <w:rFonts w:ascii="Arial" w:hAnsi="Arial" w:cs="Arial"/>
          <w:sz w:val="20"/>
        </w:rPr>
        <w:t xml:space="preserve">When submitting a question or </w:t>
      </w:r>
      <w:r w:rsidR="002B0C4D">
        <w:rPr>
          <w:rFonts w:ascii="Arial" w:hAnsi="Arial" w:cs="Arial"/>
          <w:sz w:val="20"/>
        </w:rPr>
        <w:t xml:space="preserve">request for clarification for further information, </w:t>
      </w:r>
      <w:r w:rsidR="002101B4">
        <w:rPr>
          <w:rFonts w:ascii="Arial" w:hAnsi="Arial" w:cs="Arial"/>
          <w:sz w:val="20"/>
        </w:rPr>
        <w:t>suppliers</w:t>
      </w:r>
      <w:r w:rsidR="002B0C4D">
        <w:rPr>
          <w:rFonts w:ascii="Arial" w:hAnsi="Arial" w:cs="Arial"/>
          <w:sz w:val="20"/>
        </w:rPr>
        <w:t xml:space="preserve"> should indicate whether or not they believe the question or request for clarification or further information is commercially sensitive or confidential to them. This should be done through marking the question or request for clarification or further information </w:t>
      </w:r>
      <w:r w:rsidR="002B0C4D" w:rsidRPr="002B0C4D">
        <w:rPr>
          <w:rFonts w:ascii="Arial" w:hAnsi="Arial" w:cs="Arial"/>
          <w:b/>
          <w:sz w:val="20"/>
        </w:rPr>
        <w:t xml:space="preserve">“confidential – not to be circulated to other </w:t>
      </w:r>
      <w:r w:rsidR="002101B4">
        <w:rPr>
          <w:rFonts w:ascii="Arial" w:hAnsi="Arial" w:cs="Arial"/>
          <w:b/>
          <w:sz w:val="20"/>
        </w:rPr>
        <w:t>suppliers</w:t>
      </w:r>
      <w:r w:rsidR="002B0C4D" w:rsidRPr="002B0C4D">
        <w:rPr>
          <w:rFonts w:ascii="Arial" w:hAnsi="Arial" w:cs="Arial"/>
          <w:b/>
          <w:sz w:val="20"/>
        </w:rPr>
        <w:t>”</w:t>
      </w:r>
      <w:r w:rsidR="002B0C4D">
        <w:rPr>
          <w:rFonts w:ascii="Arial" w:hAnsi="Arial" w:cs="Arial"/>
          <w:b/>
          <w:sz w:val="20"/>
        </w:rPr>
        <w:br/>
      </w:r>
    </w:p>
    <w:p w:rsidR="002B0C4D" w:rsidRPr="002B0C4D" w:rsidRDefault="002B0C4D" w:rsidP="008E4EE5">
      <w:pPr>
        <w:pStyle w:val="ListParagraph"/>
        <w:numPr>
          <w:ilvl w:val="0"/>
          <w:numId w:val="44"/>
        </w:numPr>
        <w:tabs>
          <w:tab w:val="left" w:pos="284"/>
        </w:tabs>
        <w:rPr>
          <w:rFonts w:ascii="Arial" w:hAnsi="Arial" w:cs="Arial"/>
          <w:sz w:val="20"/>
        </w:rPr>
      </w:pPr>
      <w:r w:rsidRPr="002B0C4D">
        <w:rPr>
          <w:rFonts w:ascii="Arial" w:hAnsi="Arial" w:cs="Arial"/>
          <w:sz w:val="20"/>
        </w:rPr>
        <w:t>If the Authority considers that, i</w:t>
      </w:r>
      <w:r>
        <w:rPr>
          <w:rFonts w:ascii="Arial" w:hAnsi="Arial" w:cs="Arial"/>
          <w:sz w:val="20"/>
        </w:rPr>
        <w:t xml:space="preserve">n the interests of open and fair competition, it is unable to respond to the question, or request for clarification for further information on a confidential basis it will inform the Supplier who has submitted it. The Supplier must as soon as practicable thereafter respond in writing requesting that either the query be withdrawn or treated </w:t>
      </w:r>
      <w:r w:rsidR="0080735D">
        <w:rPr>
          <w:rFonts w:ascii="Arial" w:hAnsi="Arial" w:cs="Arial"/>
          <w:sz w:val="20"/>
        </w:rPr>
        <w:t>as not confidential or commercially sensitive.  The Authority will deem that the question or request for clarification or further information has been withdrawn if the Authority is not contacted in writing within 3 working days following their informing the Supplier as referred to above.</w:t>
      </w:r>
    </w:p>
    <w:p w:rsidR="00925708" w:rsidRPr="00D908B4" w:rsidRDefault="00925708" w:rsidP="00142BBE">
      <w:pPr>
        <w:tabs>
          <w:tab w:val="left" w:pos="284"/>
        </w:tabs>
        <w:ind w:left="284"/>
        <w:rPr>
          <w:rFonts w:ascii="Arial" w:hAnsi="Arial" w:cs="Arial"/>
          <w:sz w:val="20"/>
        </w:rPr>
      </w:pPr>
    </w:p>
    <w:p w:rsidR="00925708" w:rsidRPr="00D908B4" w:rsidRDefault="00925708" w:rsidP="00142BBE">
      <w:pPr>
        <w:tabs>
          <w:tab w:val="left" w:pos="284"/>
        </w:tabs>
        <w:ind w:left="284"/>
        <w:rPr>
          <w:rFonts w:ascii="Arial" w:hAnsi="Arial" w:cs="Arial"/>
          <w:b/>
          <w:sz w:val="20"/>
        </w:rPr>
      </w:pPr>
      <w:r w:rsidRPr="00D908B4">
        <w:rPr>
          <w:rFonts w:ascii="Arial" w:hAnsi="Arial" w:cs="Arial"/>
          <w:b/>
          <w:sz w:val="20"/>
        </w:rPr>
        <w:lastRenderedPageBreak/>
        <w:t>CONDITIONS/ASSUM</w:t>
      </w:r>
      <w:smartTag w:uri="urn:schemas-microsoft-com:office:smarttags" w:element="PersonName">
        <w:r w:rsidRPr="00D908B4">
          <w:rPr>
            <w:rFonts w:ascii="Arial" w:hAnsi="Arial" w:cs="Arial"/>
            <w:b/>
            <w:sz w:val="20"/>
          </w:rPr>
          <w:t>P</w:t>
        </w:r>
      </w:smartTag>
      <w:r w:rsidRPr="00D908B4">
        <w:rPr>
          <w:rFonts w:ascii="Arial" w:hAnsi="Arial" w:cs="Arial"/>
          <w:b/>
          <w:sz w:val="20"/>
        </w:rPr>
        <w:t>TIONS</w:t>
      </w:r>
    </w:p>
    <w:p w:rsidR="00925708" w:rsidRPr="00D908B4" w:rsidRDefault="00925708" w:rsidP="00142BBE">
      <w:pPr>
        <w:tabs>
          <w:tab w:val="left" w:pos="284"/>
        </w:tabs>
        <w:ind w:left="284"/>
        <w:rPr>
          <w:rFonts w:ascii="Arial" w:hAnsi="Arial" w:cs="Arial"/>
          <w:sz w:val="20"/>
        </w:rPr>
      </w:pPr>
      <w:r w:rsidRPr="00D908B4">
        <w:rPr>
          <w:rFonts w:ascii="Arial" w:hAnsi="Arial" w:cs="Arial"/>
          <w:sz w:val="20"/>
        </w:rPr>
        <w:t>The Supplier is required to clearly explain any assumptions or conditions it imposes on or includes in its response to this ITT.</w:t>
      </w:r>
    </w:p>
    <w:p w:rsidR="00925708" w:rsidRPr="00D908B4" w:rsidRDefault="00925708" w:rsidP="00142BBE">
      <w:pPr>
        <w:tabs>
          <w:tab w:val="left" w:pos="284"/>
        </w:tabs>
        <w:ind w:left="284"/>
        <w:rPr>
          <w:rFonts w:ascii="Arial" w:hAnsi="Arial" w:cs="Arial"/>
          <w:sz w:val="20"/>
        </w:rPr>
      </w:pPr>
    </w:p>
    <w:p w:rsidR="00A13EF1" w:rsidRDefault="00A13EF1" w:rsidP="00142BBE">
      <w:pPr>
        <w:tabs>
          <w:tab w:val="left" w:pos="284"/>
        </w:tabs>
        <w:ind w:left="284"/>
        <w:rPr>
          <w:rFonts w:ascii="Arial" w:hAnsi="Arial" w:cs="Arial"/>
          <w:b/>
          <w:sz w:val="20"/>
        </w:rPr>
      </w:pPr>
      <w:r>
        <w:rPr>
          <w:rFonts w:ascii="Arial" w:hAnsi="Arial" w:cs="Arial"/>
          <w:b/>
          <w:sz w:val="20"/>
        </w:rPr>
        <w:t>PREPARATION OF TENDER</w:t>
      </w:r>
    </w:p>
    <w:p w:rsidR="00A13EF1" w:rsidRDefault="00A13EF1" w:rsidP="00142BBE">
      <w:pPr>
        <w:tabs>
          <w:tab w:val="left" w:pos="284"/>
        </w:tabs>
        <w:ind w:left="284"/>
        <w:rPr>
          <w:rFonts w:ascii="Arial" w:hAnsi="Arial" w:cs="Arial"/>
          <w:sz w:val="20"/>
        </w:rPr>
      </w:pPr>
      <w:r>
        <w:rPr>
          <w:rFonts w:ascii="Arial" w:hAnsi="Arial" w:cs="Arial"/>
          <w:sz w:val="20"/>
        </w:rPr>
        <w:t>The</w:t>
      </w:r>
      <w:r w:rsidRPr="00A13EF1">
        <w:rPr>
          <w:rFonts w:ascii="Arial" w:hAnsi="Arial" w:cs="Arial"/>
          <w:sz w:val="20"/>
        </w:rPr>
        <w:t xml:space="preserve"> information contained within this </w:t>
      </w:r>
      <w:r>
        <w:rPr>
          <w:rFonts w:ascii="Arial" w:hAnsi="Arial" w:cs="Arial"/>
          <w:sz w:val="20"/>
        </w:rPr>
        <w:t xml:space="preserve">ITT should be regarded as a statement of the Authority’s current position as it is able to determine at this time. Supplier’s must at their </w:t>
      </w:r>
      <w:r w:rsidR="002101B4">
        <w:rPr>
          <w:rFonts w:ascii="Arial" w:hAnsi="Arial" w:cs="Arial"/>
          <w:sz w:val="20"/>
        </w:rPr>
        <w:t xml:space="preserve">own </w:t>
      </w:r>
      <w:r>
        <w:rPr>
          <w:rFonts w:ascii="Arial" w:hAnsi="Arial" w:cs="Arial"/>
          <w:sz w:val="20"/>
        </w:rPr>
        <w:t xml:space="preserve">expense carefully examine and consider the ITT documents and satisfy themselves of the appropriateness and validity of the information provided. In submitting a tender, </w:t>
      </w:r>
      <w:r w:rsidR="002101B4">
        <w:rPr>
          <w:rFonts w:ascii="Arial" w:hAnsi="Arial" w:cs="Arial"/>
          <w:sz w:val="20"/>
        </w:rPr>
        <w:t>suppliers</w:t>
      </w:r>
      <w:r>
        <w:rPr>
          <w:rFonts w:ascii="Arial" w:hAnsi="Arial" w:cs="Arial"/>
          <w:sz w:val="20"/>
        </w:rPr>
        <w:t xml:space="preserve"> shall be deemed to have read and understood all the contents of the ITT Documents.</w:t>
      </w:r>
    </w:p>
    <w:p w:rsidR="00A13EF1" w:rsidRPr="00A13EF1" w:rsidRDefault="00A13EF1" w:rsidP="00142BBE">
      <w:pPr>
        <w:tabs>
          <w:tab w:val="left" w:pos="284"/>
        </w:tabs>
        <w:ind w:left="284"/>
        <w:rPr>
          <w:rFonts w:ascii="Arial" w:hAnsi="Arial" w:cs="Arial"/>
          <w:sz w:val="20"/>
        </w:rPr>
      </w:pPr>
    </w:p>
    <w:p w:rsidR="00142BBE" w:rsidRPr="00D908B4" w:rsidRDefault="00142BBE" w:rsidP="00142BBE">
      <w:pPr>
        <w:tabs>
          <w:tab w:val="left" w:pos="284"/>
        </w:tabs>
        <w:ind w:left="284"/>
        <w:rPr>
          <w:rFonts w:ascii="Arial" w:hAnsi="Arial" w:cs="Arial"/>
          <w:b/>
          <w:sz w:val="20"/>
        </w:rPr>
      </w:pPr>
      <w:r w:rsidRPr="00D908B4">
        <w:rPr>
          <w:rFonts w:ascii="Arial" w:hAnsi="Arial" w:cs="Arial"/>
          <w:b/>
          <w:sz w:val="20"/>
        </w:rPr>
        <w:t xml:space="preserve">RESPONSE CONVENTIONS </w:t>
      </w:r>
    </w:p>
    <w:p w:rsidR="00142BBE" w:rsidRPr="00D908B4" w:rsidRDefault="00142BBE" w:rsidP="00142BBE">
      <w:pPr>
        <w:tabs>
          <w:tab w:val="left" w:pos="284"/>
        </w:tabs>
        <w:ind w:left="284"/>
        <w:rPr>
          <w:rFonts w:ascii="Arial" w:hAnsi="Arial" w:cs="Arial"/>
          <w:sz w:val="20"/>
        </w:rPr>
      </w:pPr>
      <w:r w:rsidRPr="00D908B4">
        <w:rPr>
          <w:rFonts w:ascii="Arial" w:hAnsi="Arial" w:cs="Arial"/>
          <w:sz w:val="20"/>
        </w:rPr>
        <w:t xml:space="preserve">All suppliers should follow the following </w:t>
      </w:r>
      <w:r w:rsidR="00D908B4" w:rsidRPr="00D908B4">
        <w:rPr>
          <w:rFonts w:ascii="Arial" w:hAnsi="Arial" w:cs="Arial"/>
          <w:sz w:val="20"/>
        </w:rPr>
        <w:t>conventions</w:t>
      </w:r>
      <w:r w:rsidRPr="00D908B4">
        <w:rPr>
          <w:rFonts w:ascii="Arial" w:hAnsi="Arial" w:cs="Arial"/>
          <w:sz w:val="20"/>
        </w:rPr>
        <w:t xml:space="preserve"> when assessing</w:t>
      </w:r>
      <w:r w:rsidR="00D908B4" w:rsidRPr="00D908B4">
        <w:rPr>
          <w:rFonts w:ascii="Arial" w:hAnsi="Arial" w:cs="Arial"/>
          <w:sz w:val="20"/>
        </w:rPr>
        <w:t xml:space="preserve"> </w:t>
      </w:r>
      <w:r w:rsidRPr="00D908B4">
        <w:rPr>
          <w:rFonts w:ascii="Arial" w:hAnsi="Arial" w:cs="Arial"/>
          <w:sz w:val="20"/>
        </w:rPr>
        <w:t xml:space="preserve">compliance to the documentation </w:t>
      </w:r>
      <w:r w:rsidR="009A3982">
        <w:rPr>
          <w:rFonts w:ascii="Arial" w:hAnsi="Arial" w:cs="Arial"/>
          <w:sz w:val="20"/>
        </w:rPr>
        <w:t xml:space="preserve">of the invitation to tender. </w:t>
      </w:r>
    </w:p>
    <w:p w:rsidR="00142BBE" w:rsidRPr="00D908B4" w:rsidRDefault="00142BBE" w:rsidP="00142BBE">
      <w:pPr>
        <w:tabs>
          <w:tab w:val="left" w:pos="284"/>
        </w:tabs>
        <w:ind w:left="284"/>
        <w:rPr>
          <w:rFonts w:ascii="Arial" w:hAnsi="Arial" w:cs="Arial"/>
          <w:b/>
          <w:sz w:val="20"/>
        </w:rPr>
      </w:pPr>
    </w:p>
    <w:p w:rsidR="00142BBE" w:rsidRPr="00D908B4" w:rsidRDefault="00142BBE" w:rsidP="00142BBE">
      <w:pPr>
        <w:numPr>
          <w:ilvl w:val="0"/>
          <w:numId w:val="42"/>
        </w:numPr>
        <w:tabs>
          <w:tab w:val="left" w:pos="284"/>
        </w:tabs>
        <w:ind w:left="644"/>
        <w:rPr>
          <w:rFonts w:ascii="Arial" w:hAnsi="Arial" w:cs="Arial"/>
          <w:sz w:val="20"/>
        </w:rPr>
      </w:pPr>
      <w:r w:rsidRPr="00D908B4">
        <w:rPr>
          <w:rFonts w:ascii="Arial" w:hAnsi="Arial" w:cs="Arial"/>
          <w:b/>
          <w:sz w:val="20"/>
        </w:rPr>
        <w:t xml:space="preserve">Complies - </w:t>
      </w:r>
      <w:r w:rsidRPr="00D908B4">
        <w:rPr>
          <w:rFonts w:ascii="Arial" w:hAnsi="Arial" w:cs="Arial"/>
          <w:sz w:val="20"/>
        </w:rPr>
        <w:t xml:space="preserve">Supplier’s product or service completely satisfies the stated condition or need. </w:t>
      </w:r>
    </w:p>
    <w:p w:rsidR="00142BBE" w:rsidRPr="00D908B4" w:rsidRDefault="00142BBE" w:rsidP="00142BBE">
      <w:pPr>
        <w:numPr>
          <w:ilvl w:val="0"/>
          <w:numId w:val="42"/>
        </w:numPr>
        <w:tabs>
          <w:tab w:val="left" w:pos="284"/>
        </w:tabs>
        <w:ind w:left="644"/>
        <w:rPr>
          <w:rFonts w:ascii="Arial" w:hAnsi="Arial" w:cs="Arial"/>
          <w:sz w:val="20"/>
        </w:rPr>
      </w:pPr>
      <w:smartTag w:uri="urn:schemas-microsoft-com:office:smarttags" w:element="PersonName">
        <w:r w:rsidRPr="00D908B4">
          <w:rPr>
            <w:rFonts w:ascii="Arial" w:hAnsi="Arial" w:cs="Arial"/>
            <w:b/>
            <w:sz w:val="20"/>
          </w:rPr>
          <w:t>P</w:t>
        </w:r>
      </w:smartTag>
      <w:r w:rsidRPr="00D908B4">
        <w:rPr>
          <w:rFonts w:ascii="Arial" w:hAnsi="Arial" w:cs="Arial"/>
          <w:b/>
          <w:sz w:val="20"/>
        </w:rPr>
        <w:t xml:space="preserve">artially Complies - </w:t>
      </w:r>
      <w:r w:rsidRPr="00D908B4">
        <w:rPr>
          <w:rFonts w:ascii="Arial" w:hAnsi="Arial" w:cs="Arial"/>
          <w:sz w:val="20"/>
        </w:rPr>
        <w:t xml:space="preserve">Supplier’s product or service only partially satisfies the stated condition or need. </w:t>
      </w:r>
      <w:r w:rsidRPr="00D908B4">
        <w:rPr>
          <w:rFonts w:ascii="Arial" w:hAnsi="Arial" w:cs="Arial"/>
          <w:b/>
          <w:sz w:val="20"/>
        </w:rPr>
        <w:t xml:space="preserve">Does not Comply </w:t>
      </w:r>
      <w:r w:rsidRPr="00D908B4">
        <w:rPr>
          <w:rFonts w:ascii="Arial" w:hAnsi="Arial" w:cs="Arial"/>
          <w:sz w:val="20"/>
        </w:rPr>
        <w:t>- Supplier’s product/service does not satisfy any part of the stated condition or Supplier does not or cannot provide the services needed</w:t>
      </w:r>
      <w:r w:rsidR="009A3982">
        <w:rPr>
          <w:rFonts w:ascii="Arial" w:hAnsi="Arial" w:cs="Arial"/>
          <w:sz w:val="20"/>
        </w:rPr>
        <w:t>.</w:t>
      </w:r>
    </w:p>
    <w:p w:rsidR="00142BBE" w:rsidRPr="00D908B4" w:rsidRDefault="00142BBE" w:rsidP="00142BBE">
      <w:pPr>
        <w:numPr>
          <w:ilvl w:val="0"/>
          <w:numId w:val="42"/>
        </w:numPr>
        <w:tabs>
          <w:tab w:val="left" w:pos="284"/>
        </w:tabs>
        <w:ind w:left="644"/>
        <w:rPr>
          <w:rFonts w:ascii="Arial" w:hAnsi="Arial" w:cs="Arial"/>
          <w:b/>
          <w:sz w:val="20"/>
        </w:rPr>
      </w:pPr>
      <w:r w:rsidRPr="00D908B4">
        <w:rPr>
          <w:rFonts w:ascii="Arial" w:hAnsi="Arial" w:cs="Arial"/>
          <w:b/>
          <w:sz w:val="20"/>
        </w:rPr>
        <w:t>Noted</w:t>
      </w:r>
      <w:r w:rsidRPr="00D908B4">
        <w:rPr>
          <w:rFonts w:ascii="Arial" w:hAnsi="Arial" w:cs="Arial"/>
          <w:sz w:val="20"/>
        </w:rPr>
        <w:t xml:space="preserve"> - where a clause only provides general information.</w:t>
      </w:r>
      <w:r w:rsidRPr="00D908B4">
        <w:rPr>
          <w:rFonts w:ascii="Arial" w:hAnsi="Arial" w:cs="Arial"/>
          <w:b/>
          <w:sz w:val="20"/>
        </w:rPr>
        <w:t xml:space="preserve"> </w:t>
      </w:r>
    </w:p>
    <w:p w:rsidR="00142BBE" w:rsidRDefault="00142BBE" w:rsidP="00142BBE">
      <w:pPr>
        <w:tabs>
          <w:tab w:val="left" w:pos="284"/>
        </w:tabs>
        <w:ind w:left="284"/>
        <w:rPr>
          <w:rFonts w:ascii="Arial" w:hAnsi="Arial" w:cs="Arial"/>
          <w:b/>
          <w:sz w:val="20"/>
        </w:rPr>
      </w:pPr>
    </w:p>
    <w:p w:rsidR="00925708" w:rsidRPr="00D908B4" w:rsidRDefault="00925708" w:rsidP="00142BBE">
      <w:pPr>
        <w:tabs>
          <w:tab w:val="left" w:pos="284"/>
        </w:tabs>
        <w:ind w:left="284"/>
        <w:rPr>
          <w:rFonts w:ascii="Arial" w:hAnsi="Arial" w:cs="Arial"/>
          <w:b/>
          <w:sz w:val="20"/>
        </w:rPr>
      </w:pPr>
      <w:r w:rsidRPr="00D908B4">
        <w:rPr>
          <w:rFonts w:ascii="Arial" w:hAnsi="Arial" w:cs="Arial"/>
          <w:b/>
          <w:sz w:val="20"/>
        </w:rPr>
        <w:t>RESPONSES TO TENDER</w:t>
      </w:r>
    </w:p>
    <w:p w:rsidR="00925708" w:rsidRPr="00D908B4" w:rsidRDefault="00925708" w:rsidP="00142BBE">
      <w:pPr>
        <w:tabs>
          <w:tab w:val="left" w:pos="284"/>
        </w:tabs>
        <w:ind w:left="284"/>
        <w:rPr>
          <w:rFonts w:ascii="Arial" w:hAnsi="Arial" w:cs="Arial"/>
          <w:sz w:val="20"/>
        </w:rPr>
      </w:pPr>
      <w:r w:rsidRPr="00D908B4">
        <w:rPr>
          <w:rFonts w:ascii="Arial" w:hAnsi="Arial" w:cs="Arial"/>
          <w:sz w:val="20"/>
        </w:rPr>
        <w:t xml:space="preserve">All </w:t>
      </w:r>
      <w:r w:rsidR="002101B4">
        <w:rPr>
          <w:rFonts w:ascii="Arial" w:hAnsi="Arial" w:cs="Arial"/>
          <w:sz w:val="20"/>
        </w:rPr>
        <w:t>suppliers</w:t>
      </w:r>
      <w:r w:rsidRPr="00D908B4">
        <w:rPr>
          <w:rFonts w:ascii="Arial" w:hAnsi="Arial" w:cs="Arial"/>
          <w:sz w:val="20"/>
        </w:rPr>
        <w:t xml:space="preserve"> shall submit their tender </w:t>
      </w:r>
      <w:r w:rsidR="002101B4">
        <w:rPr>
          <w:rFonts w:ascii="Arial" w:hAnsi="Arial" w:cs="Arial"/>
          <w:sz w:val="20"/>
        </w:rPr>
        <w:t xml:space="preserve">responses </w:t>
      </w:r>
      <w:r w:rsidRPr="00D908B4">
        <w:rPr>
          <w:rFonts w:ascii="Arial" w:hAnsi="Arial" w:cs="Arial"/>
          <w:sz w:val="20"/>
        </w:rPr>
        <w:t>in accordance with the following criteria</w:t>
      </w:r>
    </w:p>
    <w:p w:rsidR="00925708" w:rsidRPr="007009B0" w:rsidRDefault="00925708" w:rsidP="00142BBE">
      <w:pPr>
        <w:tabs>
          <w:tab w:val="left" w:pos="284"/>
        </w:tabs>
        <w:ind w:left="284"/>
        <w:rPr>
          <w:rFonts w:ascii="Arial" w:hAnsi="Arial" w:cs="Arial"/>
          <w:sz w:val="20"/>
        </w:rPr>
      </w:pPr>
    </w:p>
    <w:p w:rsidR="00D11DE9" w:rsidRDefault="00925708" w:rsidP="00142BBE">
      <w:pPr>
        <w:numPr>
          <w:ilvl w:val="0"/>
          <w:numId w:val="36"/>
        </w:numPr>
        <w:tabs>
          <w:tab w:val="left" w:pos="284"/>
        </w:tabs>
        <w:ind w:left="644"/>
        <w:rPr>
          <w:rFonts w:ascii="Arial" w:hAnsi="Arial" w:cs="Arial"/>
          <w:sz w:val="20"/>
        </w:rPr>
      </w:pPr>
      <w:r w:rsidRPr="007009B0">
        <w:rPr>
          <w:rFonts w:ascii="Arial" w:hAnsi="Arial" w:cs="Arial"/>
          <w:sz w:val="20"/>
        </w:rPr>
        <w:t>Responses must be submitted</w:t>
      </w:r>
      <w:r w:rsidR="00D11DE9">
        <w:rPr>
          <w:rFonts w:ascii="Arial" w:hAnsi="Arial" w:cs="Arial"/>
          <w:sz w:val="20"/>
        </w:rPr>
        <w:t xml:space="preserve"> as follows:</w:t>
      </w:r>
    </w:p>
    <w:p w:rsidR="0080735D" w:rsidRPr="0080735D" w:rsidRDefault="0080735D" w:rsidP="0080735D">
      <w:pPr>
        <w:ind w:left="2160"/>
        <w:rPr>
          <w:rFonts w:ascii="Arial" w:hAnsi="Arial" w:cs="Arial"/>
          <w:sz w:val="20"/>
        </w:rPr>
      </w:pPr>
      <w:r>
        <w:rPr>
          <w:rFonts w:ascii="Arial" w:hAnsi="Arial" w:cs="Arial"/>
          <w:sz w:val="20"/>
        </w:rPr>
        <w:t xml:space="preserve">One signed hard copy </w:t>
      </w:r>
      <w:r w:rsidR="00D11DE9">
        <w:rPr>
          <w:rFonts w:ascii="Arial" w:hAnsi="Arial" w:cs="Arial"/>
          <w:sz w:val="20"/>
        </w:rPr>
        <w:t>to be addressed to</w:t>
      </w:r>
      <w:r w:rsidR="0083110E">
        <w:rPr>
          <w:rFonts w:ascii="Arial" w:hAnsi="Arial" w:cs="Arial"/>
          <w:sz w:val="20"/>
        </w:rPr>
        <w:t xml:space="preserve">: </w:t>
      </w:r>
      <w:r>
        <w:rPr>
          <w:rFonts w:ascii="Arial" w:hAnsi="Arial" w:cs="Arial"/>
          <w:sz w:val="20"/>
        </w:rPr>
        <w:br/>
      </w:r>
      <w:r w:rsidRPr="0080735D">
        <w:rPr>
          <w:rFonts w:ascii="Arial" w:hAnsi="Arial" w:cs="Arial"/>
          <w:sz w:val="20"/>
        </w:rPr>
        <w:t>The Chief Fire Officer</w:t>
      </w:r>
    </w:p>
    <w:p w:rsidR="0080735D" w:rsidRPr="0080735D" w:rsidRDefault="0083110E" w:rsidP="0080735D">
      <w:pPr>
        <w:ind w:left="2160"/>
        <w:rPr>
          <w:rFonts w:ascii="Arial" w:hAnsi="Arial" w:cs="Arial"/>
          <w:sz w:val="20"/>
        </w:rPr>
      </w:pPr>
      <w:r w:rsidRPr="0080735D">
        <w:rPr>
          <w:rFonts w:ascii="Arial" w:hAnsi="Arial" w:cs="Arial"/>
          <w:sz w:val="20"/>
        </w:rPr>
        <w:t>C/o</w:t>
      </w:r>
      <w:r w:rsidR="0080735D" w:rsidRPr="0080735D">
        <w:rPr>
          <w:rFonts w:ascii="Arial" w:hAnsi="Arial" w:cs="Arial"/>
          <w:sz w:val="20"/>
        </w:rPr>
        <w:t xml:space="preserve"> Mr Billy Allen – Head of Procurement</w:t>
      </w:r>
    </w:p>
    <w:p w:rsidR="0080735D" w:rsidRPr="0080735D" w:rsidRDefault="0080735D" w:rsidP="0080735D">
      <w:pPr>
        <w:ind w:left="2160"/>
        <w:rPr>
          <w:rFonts w:ascii="Arial" w:hAnsi="Arial" w:cs="Arial"/>
          <w:sz w:val="20"/>
        </w:rPr>
      </w:pPr>
      <w:r w:rsidRPr="0080735D">
        <w:rPr>
          <w:rFonts w:ascii="Arial" w:hAnsi="Arial" w:cs="Arial"/>
          <w:sz w:val="20"/>
        </w:rPr>
        <w:t>Royal Berkshire Fire and Rescue Service</w:t>
      </w:r>
    </w:p>
    <w:p w:rsidR="0080735D" w:rsidRPr="0080735D" w:rsidRDefault="0080735D" w:rsidP="0080735D">
      <w:pPr>
        <w:ind w:left="2160"/>
        <w:rPr>
          <w:rFonts w:ascii="Arial" w:hAnsi="Arial" w:cs="Arial"/>
          <w:sz w:val="20"/>
        </w:rPr>
      </w:pPr>
      <w:r w:rsidRPr="0080735D">
        <w:rPr>
          <w:rFonts w:ascii="Arial" w:hAnsi="Arial" w:cs="Arial"/>
          <w:sz w:val="20"/>
        </w:rPr>
        <w:t>Newsham Court</w:t>
      </w:r>
    </w:p>
    <w:p w:rsidR="0080735D" w:rsidRPr="0080735D" w:rsidRDefault="0080735D" w:rsidP="0080735D">
      <w:pPr>
        <w:ind w:left="2160"/>
        <w:rPr>
          <w:rFonts w:ascii="Arial" w:hAnsi="Arial" w:cs="Arial"/>
          <w:sz w:val="20"/>
        </w:rPr>
      </w:pPr>
      <w:r w:rsidRPr="0080735D">
        <w:rPr>
          <w:rFonts w:ascii="Arial" w:hAnsi="Arial" w:cs="Arial"/>
          <w:sz w:val="20"/>
        </w:rPr>
        <w:t>Calcot</w:t>
      </w:r>
    </w:p>
    <w:p w:rsidR="0080735D" w:rsidRPr="0080735D" w:rsidRDefault="0080735D" w:rsidP="0080735D">
      <w:pPr>
        <w:ind w:left="2160"/>
        <w:rPr>
          <w:rFonts w:ascii="Arial" w:hAnsi="Arial" w:cs="Arial"/>
          <w:sz w:val="20"/>
        </w:rPr>
      </w:pPr>
      <w:r w:rsidRPr="0080735D">
        <w:rPr>
          <w:rFonts w:ascii="Arial" w:hAnsi="Arial" w:cs="Arial"/>
          <w:sz w:val="20"/>
        </w:rPr>
        <w:t>Reading</w:t>
      </w:r>
    </w:p>
    <w:p w:rsidR="0080735D" w:rsidRPr="0080735D" w:rsidRDefault="0080735D" w:rsidP="0080735D">
      <w:pPr>
        <w:ind w:left="2160"/>
        <w:rPr>
          <w:rFonts w:ascii="Arial" w:hAnsi="Arial" w:cs="Arial"/>
          <w:sz w:val="20"/>
        </w:rPr>
      </w:pPr>
      <w:r w:rsidRPr="0080735D">
        <w:rPr>
          <w:rFonts w:ascii="Arial" w:hAnsi="Arial" w:cs="Arial"/>
          <w:sz w:val="20"/>
        </w:rPr>
        <w:t>RG31 7SD</w:t>
      </w:r>
    </w:p>
    <w:p w:rsidR="00142BBE" w:rsidRPr="00E0220C" w:rsidRDefault="00D11DE9" w:rsidP="00E0220C">
      <w:pPr>
        <w:tabs>
          <w:tab w:val="left" w:pos="284"/>
        </w:tabs>
        <w:ind w:left="2160"/>
        <w:rPr>
          <w:rFonts w:ascii="Arial" w:hAnsi="Arial" w:cs="Arial"/>
          <w:sz w:val="20"/>
        </w:rPr>
      </w:pPr>
      <w:r w:rsidRPr="00E0220C">
        <w:rPr>
          <w:rFonts w:ascii="Arial" w:hAnsi="Arial" w:cs="Arial"/>
          <w:sz w:val="20"/>
        </w:rPr>
        <w:br/>
      </w:r>
      <w:r w:rsidR="0080735D" w:rsidRPr="00E0220C">
        <w:rPr>
          <w:rFonts w:ascii="Arial" w:hAnsi="Arial" w:cs="Arial"/>
          <w:sz w:val="20"/>
        </w:rPr>
        <w:t xml:space="preserve">One </w:t>
      </w:r>
      <w:r w:rsidR="00925708" w:rsidRPr="00E0220C">
        <w:rPr>
          <w:rFonts w:ascii="Arial" w:hAnsi="Arial" w:cs="Arial"/>
          <w:sz w:val="20"/>
        </w:rPr>
        <w:t xml:space="preserve">electronically </w:t>
      </w:r>
      <w:r w:rsidR="0080735D" w:rsidRPr="00E0220C">
        <w:rPr>
          <w:rFonts w:ascii="Arial" w:hAnsi="Arial" w:cs="Arial"/>
          <w:sz w:val="20"/>
        </w:rPr>
        <w:t xml:space="preserve">copy on CD / Memory Stick. To be clearly marked with </w:t>
      </w:r>
      <w:r w:rsidR="002101B4">
        <w:rPr>
          <w:rFonts w:ascii="Arial" w:hAnsi="Arial" w:cs="Arial"/>
          <w:sz w:val="20"/>
        </w:rPr>
        <w:t>Supplier’s name.</w:t>
      </w:r>
    </w:p>
    <w:p w:rsidR="0080735D" w:rsidRPr="007009B0" w:rsidRDefault="0080735D" w:rsidP="00D11DE9">
      <w:pPr>
        <w:tabs>
          <w:tab w:val="left" w:pos="284"/>
        </w:tabs>
        <w:ind w:left="927"/>
        <w:rPr>
          <w:rFonts w:ascii="Arial" w:hAnsi="Arial" w:cs="Arial"/>
          <w:sz w:val="20"/>
        </w:rPr>
      </w:pPr>
    </w:p>
    <w:p w:rsidR="00142BBE" w:rsidRPr="00D908B4" w:rsidRDefault="00462F93" w:rsidP="00142BBE">
      <w:pPr>
        <w:numPr>
          <w:ilvl w:val="0"/>
          <w:numId w:val="36"/>
        </w:numPr>
        <w:tabs>
          <w:tab w:val="left" w:pos="284"/>
        </w:tabs>
        <w:ind w:left="644"/>
        <w:rPr>
          <w:rFonts w:ascii="Arial" w:hAnsi="Arial" w:cs="Arial"/>
          <w:sz w:val="20"/>
        </w:rPr>
      </w:pPr>
      <w:r>
        <w:rPr>
          <w:rFonts w:ascii="Arial" w:hAnsi="Arial" w:cs="Arial"/>
          <w:sz w:val="20"/>
        </w:rPr>
        <w:t>The Authority</w:t>
      </w:r>
      <w:r w:rsidR="00925708" w:rsidRPr="00D908B4">
        <w:rPr>
          <w:rFonts w:ascii="Arial" w:hAnsi="Arial" w:cs="Arial"/>
          <w:sz w:val="20"/>
        </w:rPr>
        <w:t xml:space="preserve">’s logo, trademarks and other identifying marks are proprietary and may not be incorporated in Supplier’s response without </w:t>
      </w:r>
      <w:r>
        <w:rPr>
          <w:rFonts w:ascii="Arial" w:hAnsi="Arial" w:cs="Arial"/>
          <w:sz w:val="20"/>
        </w:rPr>
        <w:t>The Authority</w:t>
      </w:r>
      <w:r w:rsidR="00925708" w:rsidRPr="00D908B4">
        <w:rPr>
          <w:rFonts w:ascii="Arial" w:hAnsi="Arial" w:cs="Arial"/>
          <w:sz w:val="20"/>
        </w:rPr>
        <w:t xml:space="preserve">’s written permission. </w:t>
      </w:r>
    </w:p>
    <w:p w:rsidR="00142BBE" w:rsidRPr="00D908B4" w:rsidRDefault="00142BBE" w:rsidP="00142BBE">
      <w:pPr>
        <w:numPr>
          <w:ilvl w:val="0"/>
          <w:numId w:val="36"/>
        </w:numPr>
        <w:tabs>
          <w:tab w:val="left" w:pos="284"/>
        </w:tabs>
        <w:ind w:left="644"/>
        <w:rPr>
          <w:rFonts w:ascii="Arial" w:hAnsi="Arial" w:cs="Arial"/>
          <w:sz w:val="20"/>
        </w:rPr>
      </w:pPr>
      <w:r w:rsidRPr="00D908B4">
        <w:rPr>
          <w:rFonts w:ascii="Arial" w:hAnsi="Arial" w:cs="Arial"/>
          <w:sz w:val="20"/>
        </w:rPr>
        <w:t xml:space="preserve">The </w:t>
      </w:r>
      <w:r w:rsidR="00925708" w:rsidRPr="00D908B4">
        <w:rPr>
          <w:rFonts w:ascii="Arial" w:hAnsi="Arial" w:cs="Arial"/>
          <w:sz w:val="20"/>
        </w:rPr>
        <w:t>Supplier should clearly reference the ITT</w:t>
      </w:r>
      <w:r w:rsidRPr="00D908B4">
        <w:rPr>
          <w:rFonts w:ascii="Arial" w:hAnsi="Arial" w:cs="Arial"/>
          <w:sz w:val="20"/>
        </w:rPr>
        <w:t xml:space="preserve"> </w:t>
      </w:r>
      <w:r w:rsidR="00925708" w:rsidRPr="00D908B4">
        <w:rPr>
          <w:rFonts w:ascii="Arial" w:hAnsi="Arial" w:cs="Arial"/>
          <w:sz w:val="20"/>
        </w:rPr>
        <w:t>on its response and any related correspondence.</w:t>
      </w:r>
      <w:r w:rsidRPr="00D908B4">
        <w:rPr>
          <w:rFonts w:ascii="Arial" w:hAnsi="Arial" w:cs="Arial"/>
          <w:sz w:val="20"/>
        </w:rPr>
        <w:t xml:space="preserve"> </w:t>
      </w:r>
    </w:p>
    <w:p w:rsidR="00142BBE" w:rsidRPr="00D908B4" w:rsidRDefault="00925708" w:rsidP="00142BBE">
      <w:pPr>
        <w:numPr>
          <w:ilvl w:val="0"/>
          <w:numId w:val="36"/>
        </w:numPr>
        <w:tabs>
          <w:tab w:val="left" w:pos="284"/>
        </w:tabs>
        <w:ind w:left="644"/>
        <w:rPr>
          <w:rFonts w:ascii="Arial" w:hAnsi="Arial" w:cs="Arial"/>
          <w:sz w:val="20"/>
        </w:rPr>
      </w:pPr>
      <w:r w:rsidRPr="00D908B4">
        <w:rPr>
          <w:rFonts w:ascii="Arial" w:hAnsi="Arial" w:cs="Arial"/>
          <w:sz w:val="20"/>
        </w:rPr>
        <w:t xml:space="preserve">Responses received after </w:t>
      </w:r>
      <w:r w:rsidR="007218CC" w:rsidRPr="00D908B4">
        <w:rPr>
          <w:rFonts w:ascii="Arial" w:hAnsi="Arial" w:cs="Arial"/>
          <w:sz w:val="20"/>
        </w:rPr>
        <w:t>the due date may</w:t>
      </w:r>
      <w:r w:rsidRPr="00D908B4">
        <w:rPr>
          <w:rFonts w:ascii="Arial" w:hAnsi="Arial" w:cs="Arial"/>
          <w:sz w:val="20"/>
        </w:rPr>
        <w:t xml:space="preserve"> not be considered and may be returned unopened. </w:t>
      </w:r>
    </w:p>
    <w:p w:rsidR="005508A4" w:rsidRDefault="005508A4" w:rsidP="00142BBE">
      <w:pPr>
        <w:tabs>
          <w:tab w:val="left" w:pos="284"/>
        </w:tabs>
        <w:ind w:left="284"/>
        <w:rPr>
          <w:rFonts w:ascii="Arial" w:hAnsi="Arial" w:cs="Arial"/>
          <w:b/>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 xml:space="preserve">NON-CONFORMING </w:t>
      </w:r>
      <w:r w:rsidR="00934E22">
        <w:rPr>
          <w:rFonts w:ascii="Arial" w:hAnsi="Arial" w:cs="Arial"/>
          <w:b/>
          <w:sz w:val="20"/>
        </w:rPr>
        <w:t xml:space="preserve">AND UNSUCCESSFUL </w:t>
      </w:r>
      <w:r w:rsidRPr="00D908B4">
        <w:rPr>
          <w:rFonts w:ascii="Arial" w:hAnsi="Arial" w:cs="Arial"/>
          <w:b/>
          <w:sz w:val="20"/>
        </w:rPr>
        <w:t>RESPONSES</w:t>
      </w: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Responses must be complete in all respects. Responses with deviations in format </w:t>
      </w:r>
      <w:r w:rsidR="00C2195B">
        <w:rPr>
          <w:rFonts w:ascii="Arial" w:hAnsi="Arial" w:cs="Arial"/>
          <w:sz w:val="20"/>
        </w:rPr>
        <w:t xml:space="preserve">or not meeting specified requirements, including response deadlines, </w:t>
      </w:r>
      <w:r w:rsidRPr="00D908B4">
        <w:rPr>
          <w:rFonts w:ascii="Arial" w:hAnsi="Arial" w:cs="Arial"/>
          <w:sz w:val="20"/>
        </w:rPr>
        <w:t>may be disqualifie</w:t>
      </w:r>
      <w:r w:rsidR="00C2195B">
        <w:rPr>
          <w:rFonts w:ascii="Arial" w:hAnsi="Arial" w:cs="Arial"/>
          <w:sz w:val="20"/>
        </w:rPr>
        <w:t xml:space="preserve">d. Responses must be signed by </w:t>
      </w:r>
      <w:r w:rsidRPr="00D908B4">
        <w:rPr>
          <w:rFonts w:ascii="Arial" w:hAnsi="Arial" w:cs="Arial"/>
          <w:sz w:val="20"/>
        </w:rPr>
        <w:t>duly authorised representative</w:t>
      </w:r>
      <w:r w:rsidR="00C2195B">
        <w:rPr>
          <w:rFonts w:ascii="Arial" w:hAnsi="Arial" w:cs="Arial"/>
          <w:sz w:val="20"/>
        </w:rPr>
        <w:t xml:space="preserve">(s) </w:t>
      </w:r>
      <w:r w:rsidRPr="00D908B4">
        <w:rPr>
          <w:rFonts w:ascii="Arial" w:hAnsi="Arial" w:cs="Arial"/>
          <w:sz w:val="20"/>
        </w:rPr>
        <w:t xml:space="preserve">of </w:t>
      </w:r>
      <w:r w:rsidR="00934E22">
        <w:rPr>
          <w:rFonts w:ascii="Arial" w:hAnsi="Arial" w:cs="Arial"/>
          <w:sz w:val="20"/>
        </w:rPr>
        <w:t xml:space="preserve">the </w:t>
      </w:r>
      <w:r w:rsidRPr="00D908B4">
        <w:rPr>
          <w:rFonts w:ascii="Arial" w:hAnsi="Arial" w:cs="Arial"/>
          <w:sz w:val="20"/>
        </w:rPr>
        <w:t>Supplier.</w:t>
      </w:r>
    </w:p>
    <w:p w:rsidR="00B11D68" w:rsidRPr="00D908B4" w:rsidRDefault="00B11D68" w:rsidP="00934E22">
      <w:pPr>
        <w:tabs>
          <w:tab w:val="left" w:pos="284"/>
        </w:tabs>
        <w:rPr>
          <w:rFonts w:ascii="Arial" w:hAnsi="Arial" w:cs="Arial"/>
          <w:b/>
          <w:sz w:val="20"/>
        </w:rPr>
      </w:pPr>
    </w:p>
    <w:p w:rsidR="00B11D68" w:rsidRPr="00D908B4" w:rsidRDefault="00462F93" w:rsidP="00142BBE">
      <w:pPr>
        <w:tabs>
          <w:tab w:val="left" w:pos="284"/>
        </w:tabs>
        <w:ind w:left="284"/>
        <w:rPr>
          <w:rFonts w:ascii="Arial" w:hAnsi="Arial" w:cs="Arial"/>
          <w:sz w:val="20"/>
        </w:rPr>
      </w:pPr>
      <w:r>
        <w:rPr>
          <w:rFonts w:ascii="Arial" w:hAnsi="Arial" w:cs="Arial"/>
          <w:sz w:val="20"/>
        </w:rPr>
        <w:t>The Authority</w:t>
      </w:r>
      <w:r w:rsidR="00B11D68" w:rsidRPr="00D908B4">
        <w:rPr>
          <w:rFonts w:ascii="Arial" w:hAnsi="Arial" w:cs="Arial"/>
          <w:sz w:val="20"/>
        </w:rPr>
        <w:t xml:space="preserve"> will notify each Supplier in writing as soon as possible whether it has been successful. </w:t>
      </w:r>
      <w:r>
        <w:rPr>
          <w:rFonts w:ascii="Arial" w:hAnsi="Arial" w:cs="Arial"/>
          <w:sz w:val="20"/>
        </w:rPr>
        <w:t>The Authority</w:t>
      </w:r>
      <w:r w:rsidR="00B11D68" w:rsidRPr="00D908B4">
        <w:rPr>
          <w:rFonts w:ascii="Arial" w:hAnsi="Arial" w:cs="Arial"/>
          <w:sz w:val="20"/>
        </w:rPr>
        <w:t xml:space="preserve"> </w:t>
      </w:r>
      <w:r w:rsidR="00E0220C">
        <w:rPr>
          <w:rFonts w:ascii="Arial" w:hAnsi="Arial" w:cs="Arial"/>
          <w:sz w:val="20"/>
        </w:rPr>
        <w:t xml:space="preserve">will notify all </w:t>
      </w:r>
      <w:r w:rsidR="00C2195B">
        <w:rPr>
          <w:rFonts w:ascii="Arial" w:hAnsi="Arial" w:cs="Arial"/>
          <w:sz w:val="20"/>
        </w:rPr>
        <w:t>s</w:t>
      </w:r>
      <w:r w:rsidR="00E0220C">
        <w:rPr>
          <w:rFonts w:ascii="Arial" w:hAnsi="Arial" w:cs="Arial"/>
          <w:sz w:val="20"/>
        </w:rPr>
        <w:t>upplier</w:t>
      </w:r>
      <w:r w:rsidR="00C2195B">
        <w:rPr>
          <w:rFonts w:ascii="Arial" w:hAnsi="Arial" w:cs="Arial"/>
          <w:sz w:val="20"/>
        </w:rPr>
        <w:t>s</w:t>
      </w:r>
      <w:r w:rsidR="00E0220C">
        <w:rPr>
          <w:rFonts w:ascii="Arial" w:hAnsi="Arial" w:cs="Arial"/>
          <w:sz w:val="20"/>
        </w:rPr>
        <w:t xml:space="preserve"> if they have been successful or not. For un-successful suppliers the Authority will advise </w:t>
      </w:r>
      <w:r w:rsidR="00C2195B">
        <w:rPr>
          <w:rFonts w:ascii="Arial" w:hAnsi="Arial" w:cs="Arial"/>
          <w:sz w:val="20"/>
        </w:rPr>
        <w:t xml:space="preserve">the evaluation score and place ranking within the adjudication process. </w:t>
      </w:r>
      <w:r w:rsidR="00B11D68" w:rsidRPr="00D908B4">
        <w:rPr>
          <w:rFonts w:ascii="Arial" w:hAnsi="Arial" w:cs="Arial"/>
          <w:sz w:val="20"/>
        </w:rPr>
        <w:t xml:space="preserve"> At its discretion, </w:t>
      </w:r>
      <w:r w:rsidR="00C2195B">
        <w:rPr>
          <w:rFonts w:ascii="Arial" w:hAnsi="Arial" w:cs="Arial"/>
          <w:sz w:val="20"/>
        </w:rPr>
        <w:t>t</w:t>
      </w:r>
      <w:r>
        <w:rPr>
          <w:rFonts w:ascii="Arial" w:hAnsi="Arial" w:cs="Arial"/>
          <w:sz w:val="20"/>
        </w:rPr>
        <w:t>he Authority</w:t>
      </w:r>
      <w:r w:rsidR="00B11D68" w:rsidRPr="00D908B4">
        <w:rPr>
          <w:rFonts w:ascii="Arial" w:hAnsi="Arial" w:cs="Arial"/>
          <w:sz w:val="20"/>
        </w:rPr>
        <w:t xml:space="preserve"> may conduct debriefings for those </w:t>
      </w:r>
      <w:r w:rsidR="002101B4">
        <w:rPr>
          <w:rFonts w:ascii="Arial" w:hAnsi="Arial" w:cs="Arial"/>
          <w:sz w:val="20"/>
        </w:rPr>
        <w:t>suppliers</w:t>
      </w:r>
      <w:r w:rsidR="00B11D68" w:rsidRPr="00D908B4">
        <w:rPr>
          <w:rFonts w:ascii="Arial" w:hAnsi="Arial" w:cs="Arial"/>
          <w:sz w:val="20"/>
        </w:rPr>
        <w:t xml:space="preserve"> whose responses were unsuccessful.</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426"/>
        </w:tabs>
        <w:ind w:left="284"/>
        <w:rPr>
          <w:rFonts w:ascii="Arial" w:hAnsi="Arial" w:cs="Arial"/>
          <w:b/>
          <w:sz w:val="20"/>
        </w:rPr>
      </w:pPr>
      <w:r w:rsidRPr="00D908B4">
        <w:rPr>
          <w:rFonts w:ascii="Arial" w:hAnsi="Arial" w:cs="Arial"/>
          <w:b/>
          <w:sz w:val="20"/>
        </w:rPr>
        <w:t>DIS</w:t>
      </w:r>
      <w:smartTag w:uri="urn:schemas-microsoft-com:office:smarttags" w:element="PersonName">
        <w:r w:rsidRPr="00D908B4">
          <w:rPr>
            <w:rFonts w:ascii="Arial" w:hAnsi="Arial" w:cs="Arial"/>
            <w:b/>
            <w:sz w:val="20"/>
          </w:rPr>
          <w:t>P</w:t>
        </w:r>
      </w:smartTag>
      <w:r w:rsidRPr="00D908B4">
        <w:rPr>
          <w:rFonts w:ascii="Arial" w:hAnsi="Arial" w:cs="Arial"/>
          <w:b/>
          <w:sz w:val="20"/>
        </w:rPr>
        <w:t>OSITION OF RES</w:t>
      </w:r>
      <w:smartTag w:uri="urn:schemas-microsoft-com:office:smarttags" w:element="PersonName">
        <w:r w:rsidRPr="00D908B4">
          <w:rPr>
            <w:rFonts w:ascii="Arial" w:hAnsi="Arial" w:cs="Arial"/>
            <w:b/>
            <w:sz w:val="20"/>
          </w:rPr>
          <w:t>P</w:t>
        </w:r>
      </w:smartTag>
      <w:r w:rsidRPr="00D908B4">
        <w:rPr>
          <w:rFonts w:ascii="Arial" w:hAnsi="Arial" w:cs="Arial"/>
          <w:b/>
          <w:sz w:val="20"/>
        </w:rPr>
        <w:t>ONSES</w:t>
      </w: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Response openings will be conducted privately. All materials submitted in response to this ITT will become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 xml:space="preserve">’s property and may be retained by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w:t>
      </w:r>
    </w:p>
    <w:p w:rsidR="00B11D68" w:rsidRPr="00D908B4" w:rsidRDefault="00B11D68" w:rsidP="00142BBE">
      <w:pPr>
        <w:tabs>
          <w:tab w:val="left" w:pos="284"/>
        </w:tabs>
        <w:ind w:left="284"/>
        <w:rPr>
          <w:rFonts w:ascii="Arial" w:hAnsi="Arial" w:cs="Arial"/>
          <w:b/>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SU</w:t>
      </w:r>
      <w:smartTag w:uri="urn:schemas-microsoft-com:office:smarttags" w:element="PersonName">
        <w:r w:rsidRPr="00D908B4">
          <w:rPr>
            <w:rFonts w:ascii="Arial" w:hAnsi="Arial" w:cs="Arial"/>
            <w:b/>
            <w:sz w:val="20"/>
          </w:rPr>
          <w:t>P</w:t>
        </w:r>
      </w:smartTag>
      <w:smartTag w:uri="urn:schemas-microsoft-com:office:smarttags" w:element="PersonName">
        <w:r w:rsidRPr="00D908B4">
          <w:rPr>
            <w:rFonts w:ascii="Arial" w:hAnsi="Arial" w:cs="Arial"/>
            <w:b/>
            <w:sz w:val="20"/>
          </w:rPr>
          <w:t>P</w:t>
        </w:r>
      </w:smartTag>
      <w:r w:rsidRPr="00D908B4">
        <w:rPr>
          <w:rFonts w:ascii="Arial" w:hAnsi="Arial" w:cs="Arial"/>
          <w:b/>
          <w:sz w:val="20"/>
        </w:rPr>
        <w:t>LIER QUALIFICATIONS</w:t>
      </w: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During the time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 xml:space="preserve"> is evaluating responses, the Supplier should be prepared to demonstrate that it can meet all the proposed requirements detailed herein.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 xml:space="preserve"> or its representative shall have the right to cond</w:t>
      </w:r>
      <w:r w:rsidR="002101B4">
        <w:rPr>
          <w:rFonts w:ascii="Arial" w:hAnsi="Arial" w:cs="Arial"/>
          <w:sz w:val="20"/>
        </w:rPr>
        <w:t>uct a supplier audit to verify s</w:t>
      </w:r>
      <w:r w:rsidRPr="00D908B4">
        <w:rPr>
          <w:rFonts w:ascii="Arial" w:hAnsi="Arial" w:cs="Arial"/>
          <w:sz w:val="20"/>
        </w:rPr>
        <w:t>upplier’s ability to meet the requirements of this ITT.</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SU</w:t>
      </w:r>
      <w:smartTag w:uri="urn:schemas-microsoft-com:office:smarttags" w:element="PersonName">
        <w:r w:rsidRPr="00D908B4">
          <w:rPr>
            <w:rFonts w:ascii="Arial" w:hAnsi="Arial" w:cs="Arial"/>
            <w:b/>
            <w:sz w:val="20"/>
          </w:rPr>
          <w:t>P</w:t>
        </w:r>
      </w:smartTag>
      <w:smartTag w:uri="urn:schemas-microsoft-com:office:smarttags" w:element="PersonName">
        <w:r w:rsidRPr="00D908B4">
          <w:rPr>
            <w:rFonts w:ascii="Arial" w:hAnsi="Arial" w:cs="Arial"/>
            <w:b/>
            <w:sz w:val="20"/>
          </w:rPr>
          <w:t>P</w:t>
        </w:r>
      </w:smartTag>
      <w:r w:rsidRPr="00D908B4">
        <w:rPr>
          <w:rFonts w:ascii="Arial" w:hAnsi="Arial" w:cs="Arial"/>
          <w:b/>
          <w:sz w:val="20"/>
        </w:rPr>
        <w:t>LIER’S COST</w:t>
      </w: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Any costs incurred by the Supplier in responding to this ITT or in support of activities associated with the response to this ITT, are to be borne by the Supplier and are not reimbursable by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w:t>
      </w:r>
    </w:p>
    <w:p w:rsidR="00B11D68" w:rsidRPr="00D908B4" w:rsidRDefault="00B11D68" w:rsidP="00142BBE">
      <w:pPr>
        <w:tabs>
          <w:tab w:val="left" w:pos="284"/>
        </w:tabs>
        <w:ind w:left="284"/>
        <w:rPr>
          <w:rFonts w:ascii="Arial" w:hAnsi="Arial" w:cs="Arial"/>
          <w:sz w:val="20"/>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CODE OF CONDUCT</w:t>
      </w:r>
    </w:p>
    <w:p w:rsidR="00B11D68" w:rsidRPr="00D908B4" w:rsidRDefault="00B11D68" w:rsidP="00142BBE">
      <w:pPr>
        <w:tabs>
          <w:tab w:val="left" w:pos="284"/>
        </w:tabs>
        <w:ind w:left="284"/>
        <w:rPr>
          <w:rFonts w:ascii="Arial" w:hAnsi="Arial" w:cs="Arial"/>
          <w:sz w:val="20"/>
        </w:rPr>
      </w:pPr>
      <w:r w:rsidRPr="00D908B4">
        <w:rPr>
          <w:rFonts w:ascii="Arial" w:hAnsi="Arial" w:cs="Arial"/>
          <w:sz w:val="20"/>
        </w:rPr>
        <w:t xml:space="preserve">It is </w:t>
      </w:r>
      <w:r w:rsidR="00C2195B">
        <w:rPr>
          <w:rFonts w:ascii="Arial" w:hAnsi="Arial" w:cs="Arial"/>
          <w:sz w:val="20"/>
        </w:rPr>
        <w:t>t</w:t>
      </w:r>
      <w:r w:rsidR="00462F93">
        <w:rPr>
          <w:rFonts w:ascii="Arial" w:hAnsi="Arial" w:cs="Arial"/>
          <w:sz w:val="20"/>
        </w:rPr>
        <w:t>he Authority</w:t>
      </w:r>
      <w:r w:rsidRPr="00D908B4">
        <w:rPr>
          <w:rFonts w:ascii="Arial" w:hAnsi="Arial" w:cs="Arial"/>
          <w:sz w:val="20"/>
        </w:rPr>
        <w:t xml:space="preserve">’s objective to obtain the best goods and services possible by giving fair and impartial consideration to all </w:t>
      </w:r>
      <w:r w:rsidR="002101B4">
        <w:rPr>
          <w:rFonts w:ascii="Arial" w:hAnsi="Arial" w:cs="Arial"/>
          <w:sz w:val="20"/>
        </w:rPr>
        <w:t>suppliers</w:t>
      </w:r>
      <w:r w:rsidRPr="00D908B4">
        <w:rPr>
          <w:rFonts w:ascii="Arial" w:hAnsi="Arial" w:cs="Arial"/>
          <w:sz w:val="20"/>
        </w:rPr>
        <w:t xml:space="preserve"> invited to submit a Response. Every potential Supplier will be evaluated on a fair and equal basis. </w:t>
      </w:r>
      <w:r w:rsidR="002101B4">
        <w:rPr>
          <w:rFonts w:ascii="Arial" w:hAnsi="Arial" w:cs="Arial"/>
          <w:sz w:val="20"/>
        </w:rPr>
        <w:t>Suppliers</w:t>
      </w:r>
      <w:r w:rsidRPr="00D908B4">
        <w:rPr>
          <w:rFonts w:ascii="Arial" w:hAnsi="Arial" w:cs="Arial"/>
          <w:sz w:val="20"/>
        </w:rPr>
        <w:t xml:space="preserve"> will be given the same information and treated equally with respect to the selection process. The granting of any advantage to one while excluding others is not permitted.</w:t>
      </w:r>
    </w:p>
    <w:p w:rsidR="00B11D68" w:rsidRPr="00D908B4" w:rsidRDefault="00B11D68" w:rsidP="00142BBE">
      <w:pPr>
        <w:tabs>
          <w:tab w:val="left" w:pos="284"/>
        </w:tabs>
        <w:ind w:left="284"/>
        <w:rPr>
          <w:rFonts w:ascii="Arial" w:hAnsi="Arial" w:cs="Arial"/>
          <w:sz w:val="20"/>
        </w:rPr>
      </w:pPr>
    </w:p>
    <w:p w:rsidR="00B11D68" w:rsidRPr="00D908B4" w:rsidRDefault="00462F93" w:rsidP="00142BBE">
      <w:pPr>
        <w:tabs>
          <w:tab w:val="left" w:pos="284"/>
        </w:tabs>
        <w:ind w:left="284"/>
        <w:rPr>
          <w:rFonts w:ascii="Arial" w:hAnsi="Arial" w:cs="Arial"/>
          <w:sz w:val="20"/>
        </w:rPr>
      </w:pPr>
      <w:r>
        <w:rPr>
          <w:rFonts w:ascii="Arial" w:hAnsi="Arial" w:cs="Arial"/>
          <w:sz w:val="20"/>
        </w:rPr>
        <w:t>The Authority</w:t>
      </w:r>
      <w:r w:rsidR="00B11D68" w:rsidRPr="00D908B4">
        <w:rPr>
          <w:rFonts w:ascii="Arial" w:hAnsi="Arial" w:cs="Arial"/>
          <w:sz w:val="20"/>
        </w:rPr>
        <w:t>’s employees, their families and friends, may not accept any gifts, gratuities or favours from suppliers at any time.</w:t>
      </w:r>
      <w:r w:rsidR="0083110E">
        <w:rPr>
          <w:rFonts w:ascii="Arial" w:hAnsi="Arial" w:cs="Arial"/>
          <w:sz w:val="20"/>
        </w:rPr>
        <w:br/>
      </w:r>
      <w:r w:rsidR="0083110E">
        <w:rPr>
          <w:rFonts w:ascii="Arial" w:hAnsi="Arial" w:cs="Arial"/>
          <w:sz w:val="20"/>
        </w:rPr>
        <w:br/>
        <w:t>Any Supplier who directly or indirectly canvases any member, agent or officer of the Authority concerning the award of Contract will be disqualified.</w:t>
      </w:r>
    </w:p>
    <w:p w:rsidR="00B11D68" w:rsidRPr="00D908B4" w:rsidRDefault="00B11D68" w:rsidP="00142BBE">
      <w:pPr>
        <w:tabs>
          <w:tab w:val="left" w:pos="284"/>
        </w:tabs>
        <w:ind w:left="284"/>
        <w:rPr>
          <w:rFonts w:ascii="Arial" w:hAnsi="Arial" w:cs="Arial"/>
          <w:b/>
          <w:sz w:val="20"/>
          <w:lang w:val="pt-BR"/>
        </w:rPr>
      </w:pPr>
    </w:p>
    <w:p w:rsidR="00B11D68" w:rsidRPr="00D908B4" w:rsidRDefault="00B11D68" w:rsidP="00142BBE">
      <w:pPr>
        <w:tabs>
          <w:tab w:val="left" w:pos="284"/>
        </w:tabs>
        <w:ind w:left="284"/>
        <w:rPr>
          <w:rFonts w:ascii="Arial" w:hAnsi="Arial" w:cs="Arial"/>
          <w:b/>
          <w:sz w:val="20"/>
        </w:rPr>
      </w:pPr>
      <w:r w:rsidRPr="00D908B4">
        <w:rPr>
          <w:rFonts w:ascii="Arial" w:hAnsi="Arial" w:cs="Arial"/>
          <w:b/>
          <w:sz w:val="20"/>
        </w:rPr>
        <w:t>SUB-CONTRACTORS</w:t>
      </w:r>
    </w:p>
    <w:p w:rsidR="00B11D68" w:rsidRDefault="00B11D68" w:rsidP="00142BBE">
      <w:pPr>
        <w:tabs>
          <w:tab w:val="left" w:pos="284"/>
        </w:tabs>
        <w:ind w:left="284"/>
        <w:rPr>
          <w:rFonts w:ascii="Arial" w:hAnsi="Arial" w:cs="Arial"/>
          <w:sz w:val="20"/>
        </w:rPr>
      </w:pPr>
      <w:r w:rsidRPr="00D908B4">
        <w:rPr>
          <w:rFonts w:ascii="Arial" w:hAnsi="Arial" w:cs="Arial"/>
          <w:sz w:val="20"/>
        </w:rPr>
        <w:t xml:space="preserve">Where </w:t>
      </w:r>
      <w:r w:rsidR="00EE3663">
        <w:rPr>
          <w:rFonts w:ascii="Arial" w:hAnsi="Arial" w:cs="Arial"/>
          <w:sz w:val="20"/>
        </w:rPr>
        <w:t>a</w:t>
      </w:r>
      <w:r w:rsidRPr="00D908B4">
        <w:rPr>
          <w:rFonts w:ascii="Arial" w:hAnsi="Arial" w:cs="Arial"/>
          <w:sz w:val="20"/>
        </w:rPr>
        <w:t xml:space="preserve"> supplier is proposing to sub</w:t>
      </w:r>
      <w:r w:rsidR="003E5C40" w:rsidRPr="00D908B4">
        <w:rPr>
          <w:rFonts w:ascii="Arial" w:hAnsi="Arial" w:cs="Arial"/>
          <w:sz w:val="20"/>
        </w:rPr>
        <w:t>-</w:t>
      </w:r>
      <w:r w:rsidRPr="00D908B4">
        <w:rPr>
          <w:rFonts w:ascii="Arial" w:hAnsi="Arial" w:cs="Arial"/>
          <w:sz w:val="20"/>
        </w:rPr>
        <w:t>contract any pa</w:t>
      </w:r>
      <w:r w:rsidR="00934E22">
        <w:rPr>
          <w:rFonts w:ascii="Arial" w:hAnsi="Arial" w:cs="Arial"/>
          <w:sz w:val="20"/>
        </w:rPr>
        <w:t>rt of the service it</w:t>
      </w:r>
      <w:r w:rsidRPr="00D908B4">
        <w:rPr>
          <w:rFonts w:ascii="Arial" w:hAnsi="Arial" w:cs="Arial"/>
          <w:sz w:val="20"/>
        </w:rPr>
        <w:t>,</w:t>
      </w:r>
      <w:r w:rsidR="00610465">
        <w:rPr>
          <w:rFonts w:ascii="Arial" w:hAnsi="Arial" w:cs="Arial"/>
          <w:sz w:val="20"/>
        </w:rPr>
        <w:t xml:space="preserve"> </w:t>
      </w:r>
      <w:r w:rsidRPr="00D908B4">
        <w:rPr>
          <w:rFonts w:ascii="Arial" w:hAnsi="Arial" w:cs="Arial"/>
          <w:sz w:val="20"/>
        </w:rPr>
        <w:t>must be</w:t>
      </w:r>
      <w:r w:rsidR="002101B4">
        <w:rPr>
          <w:rFonts w:ascii="Arial" w:hAnsi="Arial" w:cs="Arial"/>
          <w:sz w:val="20"/>
        </w:rPr>
        <w:t xml:space="preserve"> clearly stated in all cases. </w:t>
      </w:r>
      <w:r w:rsidRPr="00D908B4">
        <w:rPr>
          <w:rFonts w:ascii="Arial" w:hAnsi="Arial" w:cs="Arial"/>
          <w:sz w:val="20"/>
        </w:rPr>
        <w:t xml:space="preserve">The supplier shall manage and control any sub-contractor services included in their proposal and provide evidence of how they intend to </w:t>
      </w:r>
      <w:r w:rsidR="0083110E">
        <w:rPr>
          <w:rFonts w:ascii="Arial" w:hAnsi="Arial" w:cs="Arial"/>
          <w:sz w:val="20"/>
        </w:rPr>
        <w:t>control the sub-contractor(s).</w:t>
      </w:r>
    </w:p>
    <w:p w:rsidR="0083110E" w:rsidRDefault="0083110E" w:rsidP="00142BBE">
      <w:pPr>
        <w:tabs>
          <w:tab w:val="left" w:pos="284"/>
        </w:tabs>
        <w:ind w:left="284"/>
        <w:rPr>
          <w:rFonts w:ascii="Arial" w:hAnsi="Arial" w:cs="Arial"/>
          <w:sz w:val="20"/>
        </w:rPr>
      </w:pPr>
    </w:p>
    <w:p w:rsidR="0083110E" w:rsidRDefault="0083110E" w:rsidP="0083110E">
      <w:pPr>
        <w:tabs>
          <w:tab w:val="left" w:pos="284"/>
        </w:tabs>
        <w:rPr>
          <w:rFonts w:ascii="Arial" w:hAnsi="Arial" w:cs="Arial"/>
          <w:b/>
          <w:sz w:val="20"/>
        </w:rPr>
      </w:pPr>
      <w:r>
        <w:rPr>
          <w:rFonts w:ascii="Arial" w:hAnsi="Arial" w:cs="Arial"/>
          <w:sz w:val="20"/>
        </w:rPr>
        <w:tab/>
      </w:r>
      <w:r w:rsidRPr="0083110E">
        <w:rPr>
          <w:rFonts w:ascii="Arial" w:hAnsi="Arial" w:cs="Arial"/>
          <w:b/>
          <w:sz w:val="20"/>
        </w:rPr>
        <w:t>CONTENT AND FORMAT</w:t>
      </w:r>
    </w:p>
    <w:p w:rsidR="002101B4" w:rsidRDefault="0083110E" w:rsidP="0083110E">
      <w:pPr>
        <w:tabs>
          <w:tab w:val="left" w:pos="284"/>
        </w:tabs>
        <w:rPr>
          <w:rFonts w:ascii="Arial" w:hAnsi="Arial" w:cs="Arial"/>
          <w:sz w:val="20"/>
        </w:rPr>
      </w:pPr>
      <w:r>
        <w:rPr>
          <w:rFonts w:ascii="Arial" w:hAnsi="Arial" w:cs="Arial"/>
          <w:b/>
          <w:sz w:val="20"/>
        </w:rPr>
        <w:tab/>
      </w:r>
      <w:r>
        <w:rPr>
          <w:rFonts w:ascii="Arial" w:hAnsi="Arial" w:cs="Arial"/>
          <w:sz w:val="20"/>
        </w:rPr>
        <w:t xml:space="preserve">This document aims to set out the specific requirements for the completed tenders. </w:t>
      </w:r>
      <w:r w:rsidR="002101B4">
        <w:rPr>
          <w:rFonts w:ascii="Arial" w:hAnsi="Arial" w:cs="Arial"/>
          <w:sz w:val="20"/>
        </w:rPr>
        <w:t>Suppliers</w:t>
      </w:r>
      <w:r>
        <w:rPr>
          <w:rFonts w:ascii="Arial" w:hAnsi="Arial" w:cs="Arial"/>
          <w:sz w:val="20"/>
        </w:rPr>
        <w:t xml:space="preserve"> should note </w:t>
      </w:r>
    </w:p>
    <w:p w:rsidR="0083110E" w:rsidRDefault="002101B4" w:rsidP="0083110E">
      <w:pPr>
        <w:tabs>
          <w:tab w:val="left" w:pos="284"/>
        </w:tabs>
        <w:rPr>
          <w:rFonts w:ascii="Arial" w:hAnsi="Arial" w:cs="Arial"/>
          <w:sz w:val="20"/>
        </w:rPr>
      </w:pPr>
      <w:r>
        <w:rPr>
          <w:rFonts w:ascii="Arial" w:hAnsi="Arial" w:cs="Arial"/>
          <w:sz w:val="20"/>
        </w:rPr>
        <w:tab/>
      </w:r>
      <w:proofErr w:type="gramStart"/>
      <w:r w:rsidR="0083110E">
        <w:rPr>
          <w:rFonts w:ascii="Arial" w:hAnsi="Arial" w:cs="Arial"/>
          <w:sz w:val="20"/>
        </w:rPr>
        <w:t>the</w:t>
      </w:r>
      <w:proofErr w:type="gramEnd"/>
      <w:r w:rsidR="0083110E">
        <w:rPr>
          <w:rFonts w:ascii="Arial" w:hAnsi="Arial" w:cs="Arial"/>
          <w:sz w:val="20"/>
        </w:rPr>
        <w:t xml:space="preserve"> following:</w:t>
      </w:r>
    </w:p>
    <w:p w:rsidR="0083110E" w:rsidRDefault="0083110E" w:rsidP="0083110E">
      <w:pPr>
        <w:tabs>
          <w:tab w:val="left" w:pos="284"/>
        </w:tabs>
        <w:rPr>
          <w:rFonts w:ascii="Arial" w:hAnsi="Arial" w:cs="Arial"/>
          <w:sz w:val="20"/>
        </w:rPr>
      </w:pPr>
    </w:p>
    <w:p w:rsidR="0083110E" w:rsidRDefault="0083110E" w:rsidP="0083110E">
      <w:pPr>
        <w:pStyle w:val="ListParagraph"/>
        <w:numPr>
          <w:ilvl w:val="0"/>
          <w:numId w:val="45"/>
        </w:numPr>
        <w:tabs>
          <w:tab w:val="left" w:pos="284"/>
        </w:tabs>
        <w:rPr>
          <w:rFonts w:ascii="Arial" w:hAnsi="Arial" w:cs="Arial"/>
          <w:sz w:val="20"/>
        </w:rPr>
      </w:pPr>
      <w:r>
        <w:rPr>
          <w:rFonts w:ascii="Arial" w:hAnsi="Arial" w:cs="Arial"/>
          <w:sz w:val="20"/>
        </w:rPr>
        <w:t xml:space="preserve">These instructions and guidance are designed to ensure that all </w:t>
      </w:r>
      <w:r w:rsidR="002101B4">
        <w:rPr>
          <w:rFonts w:ascii="Arial" w:hAnsi="Arial" w:cs="Arial"/>
          <w:sz w:val="20"/>
        </w:rPr>
        <w:t>suppliers</w:t>
      </w:r>
      <w:r>
        <w:rPr>
          <w:rFonts w:ascii="Arial" w:hAnsi="Arial" w:cs="Arial"/>
          <w:sz w:val="20"/>
        </w:rPr>
        <w:t xml:space="preserve"> are given fair and equal consideration. It is therefore important that you provide all the information asked for in the format and order specified.</w:t>
      </w:r>
      <w:r w:rsidR="00072748">
        <w:rPr>
          <w:rFonts w:ascii="Arial" w:hAnsi="Arial" w:cs="Arial"/>
          <w:sz w:val="20"/>
        </w:rPr>
        <w:br/>
      </w:r>
    </w:p>
    <w:p w:rsidR="0083110E" w:rsidRDefault="0083110E" w:rsidP="0083110E">
      <w:pPr>
        <w:pStyle w:val="ListParagraph"/>
        <w:numPr>
          <w:ilvl w:val="0"/>
          <w:numId w:val="45"/>
        </w:numPr>
        <w:tabs>
          <w:tab w:val="left" w:pos="284"/>
        </w:tabs>
        <w:rPr>
          <w:rFonts w:ascii="Arial" w:hAnsi="Arial" w:cs="Arial"/>
          <w:sz w:val="20"/>
        </w:rPr>
      </w:pPr>
      <w:r>
        <w:rPr>
          <w:rFonts w:ascii="Arial" w:hAnsi="Arial" w:cs="Arial"/>
          <w:sz w:val="20"/>
        </w:rPr>
        <w:t>Whilst every endeavour has been made to give suppliers an accurate description of the Authority’s requirements, suppliers should form their own conclusions about the methods and resources needed to meet those requirements.</w:t>
      </w:r>
    </w:p>
    <w:p w:rsidR="0083110E" w:rsidRPr="0083110E" w:rsidRDefault="0083110E" w:rsidP="0083110E">
      <w:pPr>
        <w:tabs>
          <w:tab w:val="left" w:pos="284"/>
        </w:tabs>
        <w:rPr>
          <w:rFonts w:ascii="Arial" w:hAnsi="Arial" w:cs="Arial"/>
          <w:sz w:val="20"/>
        </w:rPr>
      </w:pPr>
    </w:p>
    <w:sectPr w:rsidR="0083110E" w:rsidRPr="0083110E" w:rsidSect="00D11DE9">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B4" w:rsidRDefault="002101B4">
      <w:r>
        <w:separator/>
      </w:r>
    </w:p>
  </w:endnote>
  <w:endnote w:type="continuationSeparator" w:id="0">
    <w:p w:rsidR="002101B4" w:rsidRDefault="00210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B4" w:rsidRPr="004204EA" w:rsidRDefault="002101B4" w:rsidP="00C33CBD">
    <w:pPr>
      <w:pStyle w:val="Footer"/>
      <w:jc w:val="center"/>
      <w:rPr>
        <w:rFonts w:ascii="Arial" w:hAnsi="Arial" w:cs="Arial"/>
        <w:sz w:val="16"/>
      </w:rPr>
    </w:pPr>
    <w:r w:rsidRPr="004204EA">
      <w:rPr>
        <w:rFonts w:ascii="Arial" w:hAnsi="Arial" w:cs="Arial"/>
        <w:sz w:val="16"/>
      </w:rPr>
      <w:t xml:space="preserve">Page </w:t>
    </w:r>
    <w:r w:rsidRPr="004204EA">
      <w:rPr>
        <w:rFonts w:ascii="Arial" w:hAnsi="Arial" w:cs="Arial"/>
        <w:sz w:val="16"/>
      </w:rPr>
      <w:fldChar w:fldCharType="begin"/>
    </w:r>
    <w:r w:rsidRPr="004204EA">
      <w:rPr>
        <w:rFonts w:ascii="Arial" w:hAnsi="Arial" w:cs="Arial"/>
        <w:sz w:val="16"/>
      </w:rPr>
      <w:instrText xml:space="preserve"> PAGE  \* MERGEFORMAT </w:instrText>
    </w:r>
    <w:r w:rsidRPr="004204EA">
      <w:rPr>
        <w:rFonts w:ascii="Arial" w:hAnsi="Arial" w:cs="Arial"/>
        <w:sz w:val="16"/>
      </w:rPr>
      <w:fldChar w:fldCharType="separate"/>
    </w:r>
    <w:r w:rsidR="00072748">
      <w:rPr>
        <w:rFonts w:ascii="Arial" w:hAnsi="Arial" w:cs="Arial"/>
        <w:noProof/>
        <w:sz w:val="16"/>
      </w:rPr>
      <w:t>3</w:t>
    </w:r>
    <w:r w:rsidRPr="004204EA">
      <w:rPr>
        <w:rFonts w:ascii="Arial" w:hAnsi="Arial" w:cs="Arial"/>
        <w:sz w:val="16"/>
      </w:rPr>
      <w:fldChar w:fldCharType="end"/>
    </w:r>
    <w:r w:rsidRPr="004204EA">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B4" w:rsidRDefault="002101B4">
      <w:r>
        <w:separator/>
      </w:r>
    </w:p>
  </w:footnote>
  <w:footnote w:type="continuationSeparator" w:id="0">
    <w:p w:rsidR="002101B4" w:rsidRDefault="00210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8362A"/>
    <w:multiLevelType w:val="hybridMultilevel"/>
    <w:tmpl w:val="43767AE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8345FCE"/>
    <w:multiLevelType w:val="hybridMultilevel"/>
    <w:tmpl w:val="659C9B0A"/>
    <w:lvl w:ilvl="0" w:tplc="FB907E28">
      <w:start w:val="1"/>
      <w:numFmt w:val="upperRoman"/>
      <w:lvlText w:val="%1."/>
      <w:lvlJc w:val="right"/>
      <w:pPr>
        <w:tabs>
          <w:tab w:val="num" w:pos="397"/>
        </w:tabs>
        <w:ind w:left="397"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B5756F"/>
    <w:multiLevelType w:val="singleLevel"/>
    <w:tmpl w:val="FA1E1792"/>
    <w:lvl w:ilvl="0">
      <w:start w:val="3"/>
      <w:numFmt w:val="decimal"/>
      <w:lvlText w:val="(%1) "/>
      <w:legacy w:legacy="1" w:legacySpace="0" w:legacyIndent="283"/>
      <w:lvlJc w:val="left"/>
      <w:pPr>
        <w:ind w:left="283" w:hanging="283"/>
      </w:pPr>
      <w:rPr>
        <w:b w:val="0"/>
        <w:i w:val="0"/>
        <w:sz w:val="24"/>
      </w:rPr>
    </w:lvl>
  </w:abstractNum>
  <w:abstractNum w:abstractNumId="4">
    <w:nsid w:val="0FCD6976"/>
    <w:multiLevelType w:val="hybridMultilevel"/>
    <w:tmpl w:val="68DA04F2"/>
    <w:lvl w:ilvl="0" w:tplc="0809000F">
      <w:start w:val="6"/>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
    <w:nsid w:val="154360D5"/>
    <w:multiLevelType w:val="hybridMultilevel"/>
    <w:tmpl w:val="4D704A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1C4364EE"/>
    <w:multiLevelType w:val="hybridMultilevel"/>
    <w:tmpl w:val="8E5835F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1DD817EB"/>
    <w:multiLevelType w:val="hybridMultilevel"/>
    <w:tmpl w:val="AD8A39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06A2957"/>
    <w:multiLevelType w:val="hybridMultilevel"/>
    <w:tmpl w:val="7382DF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2FA7EBC"/>
    <w:multiLevelType w:val="hybridMultilevel"/>
    <w:tmpl w:val="ADFE8FFC"/>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0">
    <w:nsid w:val="232F7FB6"/>
    <w:multiLevelType w:val="hybridMultilevel"/>
    <w:tmpl w:val="8E5ABCAC"/>
    <w:lvl w:ilvl="0" w:tplc="FA1E1792">
      <w:start w:val="3"/>
      <w:numFmt w:val="decimal"/>
      <w:lvlText w:val="(%1) "/>
      <w:lvlJc w:val="left"/>
      <w:pPr>
        <w:ind w:left="1287" w:hanging="360"/>
      </w:pPr>
      <w:rPr>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2678128E"/>
    <w:multiLevelType w:val="hybridMultilevel"/>
    <w:tmpl w:val="14987D3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7010854"/>
    <w:multiLevelType w:val="hybridMultilevel"/>
    <w:tmpl w:val="6922C7CC"/>
    <w:lvl w:ilvl="0" w:tplc="D5B291E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33D6D70"/>
    <w:multiLevelType w:val="hybridMultilevel"/>
    <w:tmpl w:val="2A1E3D0E"/>
    <w:lvl w:ilvl="0" w:tplc="B93E20FA">
      <w:start w:val="6"/>
      <w:numFmt w:val="decimal"/>
      <w:lvlText w:val="%1."/>
      <w:lvlJc w:val="left"/>
      <w:pPr>
        <w:tabs>
          <w:tab w:val="num" w:pos="360"/>
        </w:tabs>
        <w:ind w:left="360" w:hanging="360"/>
      </w:pPr>
      <w:rPr>
        <w:rFonts w:hint="default"/>
        <w:sz w:val="24"/>
      </w:rPr>
    </w:lvl>
    <w:lvl w:ilvl="1" w:tplc="8360A1FC">
      <w:numFmt w:val="none"/>
      <w:lvlText w:val=""/>
      <w:lvlJc w:val="left"/>
      <w:pPr>
        <w:tabs>
          <w:tab w:val="num" w:pos="360"/>
        </w:tabs>
      </w:pPr>
    </w:lvl>
    <w:lvl w:ilvl="2" w:tplc="E8A0DFBA">
      <w:numFmt w:val="none"/>
      <w:lvlText w:val=""/>
      <w:lvlJc w:val="left"/>
      <w:pPr>
        <w:tabs>
          <w:tab w:val="num" w:pos="360"/>
        </w:tabs>
      </w:pPr>
    </w:lvl>
    <w:lvl w:ilvl="3" w:tplc="6E1E0772">
      <w:numFmt w:val="none"/>
      <w:lvlText w:val=""/>
      <w:lvlJc w:val="left"/>
      <w:pPr>
        <w:tabs>
          <w:tab w:val="num" w:pos="360"/>
        </w:tabs>
      </w:pPr>
    </w:lvl>
    <w:lvl w:ilvl="4" w:tplc="EF44C7FC">
      <w:numFmt w:val="none"/>
      <w:lvlText w:val=""/>
      <w:lvlJc w:val="left"/>
      <w:pPr>
        <w:tabs>
          <w:tab w:val="num" w:pos="360"/>
        </w:tabs>
      </w:pPr>
    </w:lvl>
    <w:lvl w:ilvl="5" w:tplc="BE5457E0">
      <w:numFmt w:val="none"/>
      <w:lvlText w:val=""/>
      <w:lvlJc w:val="left"/>
      <w:pPr>
        <w:tabs>
          <w:tab w:val="num" w:pos="360"/>
        </w:tabs>
      </w:pPr>
    </w:lvl>
    <w:lvl w:ilvl="6" w:tplc="AE4634C2">
      <w:numFmt w:val="none"/>
      <w:lvlText w:val=""/>
      <w:lvlJc w:val="left"/>
      <w:pPr>
        <w:tabs>
          <w:tab w:val="num" w:pos="360"/>
        </w:tabs>
      </w:pPr>
    </w:lvl>
    <w:lvl w:ilvl="7" w:tplc="6B0632D6">
      <w:numFmt w:val="none"/>
      <w:lvlText w:val=""/>
      <w:lvlJc w:val="left"/>
      <w:pPr>
        <w:tabs>
          <w:tab w:val="num" w:pos="360"/>
        </w:tabs>
      </w:pPr>
    </w:lvl>
    <w:lvl w:ilvl="8" w:tplc="AA0AAB34">
      <w:numFmt w:val="none"/>
      <w:lvlText w:val=""/>
      <w:lvlJc w:val="left"/>
      <w:pPr>
        <w:tabs>
          <w:tab w:val="num" w:pos="360"/>
        </w:tabs>
      </w:pPr>
    </w:lvl>
  </w:abstractNum>
  <w:abstractNum w:abstractNumId="14">
    <w:nsid w:val="354B4525"/>
    <w:multiLevelType w:val="multilevel"/>
    <w:tmpl w:val="0EAC58EE"/>
    <w:lvl w:ilvl="0">
      <w:start w:val="1"/>
      <w:numFmt w:val="decimal"/>
      <w:pStyle w:val="Level1"/>
      <w:lvlText w:val="S%1."/>
      <w:lvlJc w:val="left"/>
      <w:pPr>
        <w:tabs>
          <w:tab w:val="num" w:pos="851"/>
        </w:tabs>
        <w:ind w:left="851" w:hanging="851"/>
      </w:pPr>
      <w:rPr>
        <w:rFonts w:ascii="Arial" w:hAnsi="Arial" w:cs="Arial" w:hint="default"/>
        <w:b w:val="0"/>
        <w:i w:val="0"/>
        <w:sz w:val="20"/>
        <w:szCs w:val="20"/>
        <w:u w:val="none"/>
      </w:rPr>
    </w:lvl>
    <w:lvl w:ilvl="1">
      <w:start w:val="1"/>
      <w:numFmt w:val="decimal"/>
      <w:pStyle w:val="Level2"/>
      <w:lvlText w:val="S%1.%2"/>
      <w:lvlJc w:val="left"/>
      <w:pPr>
        <w:tabs>
          <w:tab w:val="num" w:pos="851"/>
        </w:tabs>
        <w:ind w:left="851" w:hanging="851"/>
      </w:pPr>
      <w:rPr>
        <w:rFonts w:ascii="Arial" w:hAnsi="Arial" w:cs="Arial" w:hint="default"/>
        <w:b w:val="0"/>
        <w:i w:val="0"/>
        <w:sz w:val="20"/>
        <w:szCs w:val="20"/>
        <w:u w:val="none"/>
      </w:rPr>
    </w:lvl>
    <w:lvl w:ilvl="2">
      <w:start w:val="1"/>
      <w:numFmt w:val="decimal"/>
      <w:pStyle w:val="Level3"/>
      <w:lvlText w:val="S%1.%2.%3"/>
      <w:lvlJc w:val="left"/>
      <w:pPr>
        <w:tabs>
          <w:tab w:val="num" w:pos="2720"/>
        </w:tabs>
        <w:ind w:left="2720" w:hanging="850"/>
      </w:pPr>
      <w:rPr>
        <w:rFonts w:ascii="Arial" w:hAnsi="Arial" w:cs="Arial" w:hint="default"/>
        <w:b w:val="0"/>
        <w:i w:val="0"/>
        <w:u w:val="none"/>
      </w:rPr>
    </w:lvl>
    <w:lvl w:ilvl="3">
      <w:start w:val="1"/>
      <w:numFmt w:val="decimal"/>
      <w:pStyle w:val="Level4"/>
      <w:lvlText w:val="S%1.%2.%3.%4"/>
      <w:lvlJc w:val="left"/>
      <w:pPr>
        <w:tabs>
          <w:tab w:val="num" w:pos="2835"/>
        </w:tabs>
        <w:ind w:left="2835" w:hanging="1134"/>
      </w:pPr>
      <w:rPr>
        <w:rFonts w:ascii="Arial" w:hAnsi="Arial" w:hint="default"/>
        <w:b w:val="0"/>
        <w:i w:val="0"/>
        <w:u w:val="none"/>
      </w:rPr>
    </w:lvl>
    <w:lvl w:ilvl="4">
      <w:start w:val="1"/>
      <w:numFmt w:val="lowerRoman"/>
      <w:pStyle w:val="Level5"/>
      <w:lvlText w:val="(%5)"/>
      <w:lvlJc w:val="left"/>
      <w:pPr>
        <w:tabs>
          <w:tab w:val="num" w:pos="2835"/>
        </w:tabs>
        <w:ind w:left="2835" w:hanging="1134"/>
      </w:pPr>
      <w:rPr>
        <w:rFonts w:ascii="Arial" w:hAnsi="Arial" w:cs="Arial" w:hint="default"/>
        <w:b w:val="0"/>
        <w:i w:val="0"/>
        <w:sz w:val="20"/>
        <w:szCs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nsid w:val="3A300887"/>
    <w:multiLevelType w:val="hybridMultilevel"/>
    <w:tmpl w:val="5F92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485B8A"/>
    <w:multiLevelType w:val="singleLevel"/>
    <w:tmpl w:val="F9CEE100"/>
    <w:lvl w:ilvl="0">
      <w:start w:val="1"/>
      <w:numFmt w:val="decimal"/>
      <w:lvlText w:val="%1."/>
      <w:legacy w:legacy="1" w:legacySpace="0" w:legacyIndent="720"/>
      <w:lvlJc w:val="left"/>
      <w:pPr>
        <w:ind w:left="720" w:hanging="720"/>
      </w:pPr>
    </w:lvl>
  </w:abstractNum>
  <w:abstractNum w:abstractNumId="17">
    <w:nsid w:val="409B38C7"/>
    <w:multiLevelType w:val="multilevel"/>
    <w:tmpl w:val="B3B6FD3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4DC004A"/>
    <w:multiLevelType w:val="hybridMultilevel"/>
    <w:tmpl w:val="785CD0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6656358"/>
    <w:multiLevelType w:val="hybridMultilevel"/>
    <w:tmpl w:val="C0864C8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4A9218AB"/>
    <w:multiLevelType w:val="hybridMultilevel"/>
    <w:tmpl w:val="F71A63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4AB26355"/>
    <w:multiLevelType w:val="hybridMultilevel"/>
    <w:tmpl w:val="E89C4556"/>
    <w:lvl w:ilvl="0" w:tplc="633EACE6">
      <w:start w:val="1"/>
      <w:numFmt w:val="lowerLetter"/>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25162826">
      <w:start w:val="4"/>
      <w:numFmt w:val="decimal"/>
      <w:lvlText w:val="%3"/>
      <w:lvlJc w:val="left"/>
      <w:pPr>
        <w:tabs>
          <w:tab w:val="num" w:pos="2340"/>
        </w:tabs>
        <w:ind w:left="2340" w:hanging="360"/>
      </w:pPr>
      <w:rPr>
        <w:rFonts w:hint="default"/>
      </w:rPr>
    </w:lvl>
    <w:lvl w:ilvl="3" w:tplc="DA5814F8">
      <w:start w:val="4"/>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782EF594">
      <w:start w:val="4"/>
      <w:numFmt w:val="decimal"/>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256C1E"/>
    <w:multiLevelType w:val="multilevel"/>
    <w:tmpl w:val="2EB065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07C6380"/>
    <w:multiLevelType w:val="hybridMultilevel"/>
    <w:tmpl w:val="C1F0C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905404"/>
    <w:multiLevelType w:val="hybridMultilevel"/>
    <w:tmpl w:val="AE4C1ACE"/>
    <w:lvl w:ilvl="0" w:tplc="5500560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1A73F79"/>
    <w:multiLevelType w:val="hybridMultilevel"/>
    <w:tmpl w:val="0914A052"/>
    <w:lvl w:ilvl="0" w:tplc="E4BCB730">
      <w:start w:val="1"/>
      <w:numFmt w:val="decimal"/>
      <w:lvlText w:val="%1."/>
      <w:lvlJc w:val="left"/>
      <w:pPr>
        <w:tabs>
          <w:tab w:val="num" w:pos="360"/>
        </w:tabs>
        <w:ind w:left="36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7C32DD"/>
    <w:multiLevelType w:val="multilevel"/>
    <w:tmpl w:val="A5F4F4A6"/>
    <w:lvl w:ilvl="0">
      <w:start w:val="1"/>
      <w:numFmt w:val="decimal"/>
      <w:lvlText w:val="%1."/>
      <w:lvlJc w:val="left"/>
      <w:pPr>
        <w:tabs>
          <w:tab w:val="num" w:pos="851"/>
        </w:tabs>
        <w:ind w:left="851" w:hanging="851"/>
      </w:pPr>
      <w:rPr>
        <w:rFonts w:ascii="Arial" w:hAnsi="Arial" w:cs="Arial" w:hint="default"/>
        <w:b w:val="0"/>
        <w:i w:val="0"/>
        <w:sz w:val="20"/>
        <w:szCs w:val="20"/>
        <w:u w:val="none"/>
      </w:rPr>
    </w:lvl>
    <w:lvl w:ilvl="1">
      <w:start w:val="1"/>
      <w:numFmt w:val="decimal"/>
      <w:lvlText w:val="%1.%2"/>
      <w:lvlJc w:val="left"/>
      <w:pPr>
        <w:tabs>
          <w:tab w:val="num" w:pos="851"/>
        </w:tabs>
        <w:ind w:left="851" w:hanging="851"/>
      </w:pPr>
      <w:rPr>
        <w:rFonts w:ascii="Arial" w:hAnsi="Arial" w:cs="Arial" w:hint="default"/>
        <w:b w:val="0"/>
        <w:i w:val="0"/>
        <w:sz w:val="20"/>
        <w:szCs w:val="20"/>
        <w:u w:val="none"/>
      </w:rPr>
    </w:lvl>
    <w:lvl w:ilvl="2">
      <w:start w:val="1"/>
      <w:numFmt w:val="lowerLetter"/>
      <w:lvlText w:val="%3)"/>
      <w:lvlJc w:val="left"/>
      <w:pPr>
        <w:tabs>
          <w:tab w:val="num" w:pos="360"/>
        </w:tabs>
        <w:ind w:left="360" w:hanging="360"/>
      </w:pPr>
      <w:rPr>
        <w:rFonts w:hint="default"/>
        <w:b w:val="0"/>
        <w:i w:val="0"/>
        <w:sz w:val="20"/>
        <w:szCs w:val="20"/>
        <w:u w:val="none"/>
      </w:rPr>
    </w:lvl>
    <w:lvl w:ilvl="3">
      <w:start w:val="1"/>
      <w:numFmt w:val="decimal"/>
      <w:lvlText w:val="%1.%2.%3.%4"/>
      <w:lvlJc w:val="left"/>
      <w:pPr>
        <w:tabs>
          <w:tab w:val="num" w:pos="2835"/>
        </w:tabs>
        <w:ind w:left="2835" w:hanging="1134"/>
      </w:pPr>
      <w:rPr>
        <w:rFonts w:ascii="Arial" w:hAnsi="Arial" w:hint="default"/>
        <w:b w:val="0"/>
        <w:i w:val="0"/>
        <w:u w:val="none"/>
      </w:rPr>
    </w:lvl>
    <w:lvl w:ilvl="4">
      <w:start w:val="1"/>
      <w:numFmt w:val="lowerRoman"/>
      <w:lvlText w:val="(%5)"/>
      <w:lvlJc w:val="left"/>
      <w:pPr>
        <w:tabs>
          <w:tab w:val="num" w:pos="2835"/>
        </w:tabs>
        <w:ind w:left="2835" w:hanging="1134"/>
      </w:pPr>
      <w:rPr>
        <w:rFonts w:ascii="Arial" w:hAnsi="Arial" w:cs="Arial" w:hint="default"/>
        <w:b w:val="0"/>
        <w:i w:val="0"/>
        <w:sz w:val="20"/>
        <w:szCs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nsid w:val="53C32320"/>
    <w:multiLevelType w:val="hybridMultilevel"/>
    <w:tmpl w:val="8AE4B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565606"/>
    <w:multiLevelType w:val="hybridMultilevel"/>
    <w:tmpl w:val="FA7AC808"/>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29">
    <w:nsid w:val="5C9048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D81766F"/>
    <w:multiLevelType w:val="hybridMultilevel"/>
    <w:tmpl w:val="9D46F6BC"/>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D973467"/>
    <w:multiLevelType w:val="hybridMultilevel"/>
    <w:tmpl w:val="2922484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F59342B"/>
    <w:multiLevelType w:val="hybridMultilevel"/>
    <w:tmpl w:val="10EA5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F7E3CFA"/>
    <w:multiLevelType w:val="hybridMultilevel"/>
    <w:tmpl w:val="2242A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787184"/>
    <w:multiLevelType w:val="multilevel"/>
    <w:tmpl w:val="A5F4F4A6"/>
    <w:lvl w:ilvl="0">
      <w:start w:val="1"/>
      <w:numFmt w:val="decimal"/>
      <w:lvlText w:val="%1."/>
      <w:lvlJc w:val="left"/>
      <w:pPr>
        <w:tabs>
          <w:tab w:val="num" w:pos="851"/>
        </w:tabs>
        <w:ind w:left="851" w:hanging="851"/>
      </w:pPr>
      <w:rPr>
        <w:rFonts w:ascii="Arial" w:hAnsi="Arial" w:cs="Arial" w:hint="default"/>
        <w:b w:val="0"/>
        <w:i w:val="0"/>
        <w:sz w:val="20"/>
        <w:szCs w:val="20"/>
        <w:u w:val="none"/>
      </w:rPr>
    </w:lvl>
    <w:lvl w:ilvl="1">
      <w:start w:val="1"/>
      <w:numFmt w:val="decimal"/>
      <w:lvlText w:val="%1.%2"/>
      <w:lvlJc w:val="left"/>
      <w:pPr>
        <w:tabs>
          <w:tab w:val="num" w:pos="851"/>
        </w:tabs>
        <w:ind w:left="851" w:hanging="851"/>
      </w:pPr>
      <w:rPr>
        <w:rFonts w:ascii="Arial" w:hAnsi="Arial" w:cs="Arial" w:hint="default"/>
        <w:b w:val="0"/>
        <w:i w:val="0"/>
        <w:sz w:val="20"/>
        <w:szCs w:val="20"/>
        <w:u w:val="none"/>
      </w:rPr>
    </w:lvl>
    <w:lvl w:ilvl="2">
      <w:start w:val="1"/>
      <w:numFmt w:val="lowerLetter"/>
      <w:lvlText w:val="%3)"/>
      <w:lvlJc w:val="left"/>
      <w:pPr>
        <w:tabs>
          <w:tab w:val="num" w:pos="1260"/>
        </w:tabs>
        <w:ind w:left="1260" w:hanging="360"/>
      </w:pPr>
      <w:rPr>
        <w:rFonts w:hint="default"/>
        <w:b w:val="0"/>
        <w:i w:val="0"/>
        <w:sz w:val="20"/>
        <w:szCs w:val="20"/>
        <w:u w:val="none"/>
      </w:rPr>
    </w:lvl>
    <w:lvl w:ilvl="3">
      <w:start w:val="1"/>
      <w:numFmt w:val="decimal"/>
      <w:lvlText w:val="%1.%2.%3.%4"/>
      <w:lvlJc w:val="left"/>
      <w:pPr>
        <w:tabs>
          <w:tab w:val="num" w:pos="2835"/>
        </w:tabs>
        <w:ind w:left="2835" w:hanging="1134"/>
      </w:pPr>
      <w:rPr>
        <w:rFonts w:ascii="Arial" w:hAnsi="Arial" w:hint="default"/>
        <w:b w:val="0"/>
        <w:i w:val="0"/>
        <w:u w:val="none"/>
      </w:rPr>
    </w:lvl>
    <w:lvl w:ilvl="4">
      <w:start w:val="1"/>
      <w:numFmt w:val="lowerRoman"/>
      <w:lvlText w:val="(%5)"/>
      <w:lvlJc w:val="left"/>
      <w:pPr>
        <w:tabs>
          <w:tab w:val="num" w:pos="2835"/>
        </w:tabs>
        <w:ind w:left="2835" w:hanging="1134"/>
      </w:pPr>
      <w:rPr>
        <w:rFonts w:ascii="Arial" w:hAnsi="Arial" w:cs="Arial" w:hint="default"/>
        <w:b w:val="0"/>
        <w:i w:val="0"/>
        <w:sz w:val="20"/>
        <w:szCs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nsid w:val="63811829"/>
    <w:multiLevelType w:val="hybridMultilevel"/>
    <w:tmpl w:val="09287D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6911F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CB777EA"/>
    <w:multiLevelType w:val="hybridMultilevel"/>
    <w:tmpl w:val="5BD0C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20327D7"/>
    <w:multiLevelType w:val="hybridMultilevel"/>
    <w:tmpl w:val="3E943936"/>
    <w:lvl w:ilvl="0" w:tplc="0778CD12">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E820A14C">
      <w:start w:val="1"/>
      <w:numFmt w:val="upperRoman"/>
      <w:lvlText w:val="%5."/>
      <w:lvlJc w:val="right"/>
      <w:pPr>
        <w:tabs>
          <w:tab w:val="num" w:pos="454"/>
        </w:tabs>
        <w:ind w:left="510" w:hanging="56"/>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4192B1B"/>
    <w:multiLevelType w:val="hybridMultilevel"/>
    <w:tmpl w:val="B1E2C0BA"/>
    <w:lvl w:ilvl="0" w:tplc="ED4043CE">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9B328C9"/>
    <w:multiLevelType w:val="singleLevel"/>
    <w:tmpl w:val="A498DDC6"/>
    <w:lvl w:ilvl="0">
      <w:start w:val="1"/>
      <w:numFmt w:val="lowerLetter"/>
      <w:lvlText w:val="(%1)"/>
      <w:lvlJc w:val="left"/>
      <w:pPr>
        <w:tabs>
          <w:tab w:val="num" w:pos="1069"/>
        </w:tabs>
        <w:ind w:left="1069" w:hanging="360"/>
      </w:pPr>
      <w:rPr>
        <w:rFonts w:hint="default"/>
      </w:rPr>
    </w:lvl>
  </w:abstractNum>
  <w:abstractNum w:abstractNumId="41">
    <w:nsid w:val="7D8106B2"/>
    <w:multiLevelType w:val="hybridMultilevel"/>
    <w:tmpl w:val="16DAE6B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nsid w:val="7E2D5A85"/>
    <w:multiLevelType w:val="hybridMultilevel"/>
    <w:tmpl w:val="CF3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BB25FF"/>
    <w:multiLevelType w:val="multilevel"/>
    <w:tmpl w:val="A8FEB0A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6"/>
  </w:num>
  <w:num w:numId="5">
    <w:abstractNumId w:val="29"/>
  </w:num>
  <w:num w:numId="6">
    <w:abstractNumId w:val="36"/>
  </w:num>
  <w:num w:numId="7">
    <w:abstractNumId w:val="4"/>
  </w:num>
  <w:num w:numId="8">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 w:numId="9">
    <w:abstractNumId w:val="15"/>
  </w:num>
  <w:num w:numId="10">
    <w:abstractNumId w:val="40"/>
  </w:num>
  <w:num w:numId="11">
    <w:abstractNumId w:val="33"/>
  </w:num>
  <w:num w:numId="12">
    <w:abstractNumId w:val="30"/>
  </w:num>
  <w:num w:numId="13">
    <w:abstractNumId w:val="34"/>
  </w:num>
  <w:num w:numId="14">
    <w:abstractNumId w:val="14"/>
  </w:num>
  <w:num w:numId="15">
    <w:abstractNumId w:val="26"/>
  </w:num>
  <w:num w:numId="16">
    <w:abstractNumId w:val="39"/>
  </w:num>
  <w:num w:numId="17">
    <w:abstractNumId w:val="24"/>
  </w:num>
  <w:num w:numId="18">
    <w:abstractNumId w:val="38"/>
  </w:num>
  <w:num w:numId="19">
    <w:abstractNumId w:val="21"/>
  </w:num>
  <w:num w:numId="20">
    <w:abstractNumId w:val="2"/>
  </w:num>
  <w:num w:numId="21">
    <w:abstractNumId w:val="25"/>
  </w:num>
  <w:num w:numId="22">
    <w:abstractNumId w:val="43"/>
  </w:num>
  <w:num w:numId="23">
    <w:abstractNumId w:val="13"/>
  </w:num>
  <w:num w:numId="24">
    <w:abstractNumId w:val="22"/>
  </w:num>
  <w:num w:numId="25">
    <w:abstractNumId w:val="17"/>
  </w:num>
  <w:num w:numId="26">
    <w:abstractNumId w:val="23"/>
  </w:num>
  <w:num w:numId="27">
    <w:abstractNumId w:val="9"/>
  </w:num>
  <w:num w:numId="28">
    <w:abstractNumId w:val="1"/>
  </w:num>
  <w:num w:numId="29">
    <w:abstractNumId w:val="5"/>
  </w:num>
  <w:num w:numId="30">
    <w:abstractNumId w:val="41"/>
  </w:num>
  <w:num w:numId="31">
    <w:abstractNumId w:val="37"/>
  </w:num>
  <w:num w:numId="32">
    <w:abstractNumId w:val="12"/>
  </w:num>
  <w:num w:numId="33">
    <w:abstractNumId w:val="8"/>
  </w:num>
  <w:num w:numId="34">
    <w:abstractNumId w:val="31"/>
  </w:num>
  <w:num w:numId="35">
    <w:abstractNumId w:val="11"/>
  </w:num>
  <w:num w:numId="36">
    <w:abstractNumId w:val="19"/>
  </w:num>
  <w:num w:numId="37">
    <w:abstractNumId w:val="7"/>
  </w:num>
  <w:num w:numId="38">
    <w:abstractNumId w:val="28"/>
  </w:num>
  <w:num w:numId="39">
    <w:abstractNumId w:val="20"/>
  </w:num>
  <w:num w:numId="40">
    <w:abstractNumId w:val="32"/>
  </w:num>
  <w:num w:numId="41">
    <w:abstractNumId w:val="35"/>
  </w:num>
  <w:num w:numId="42">
    <w:abstractNumId w:val="18"/>
  </w:num>
  <w:num w:numId="43">
    <w:abstractNumId w:val="10"/>
  </w:num>
  <w:num w:numId="44">
    <w:abstractNumId w:val="27"/>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6102"/>
    <w:rsid w:val="00012484"/>
    <w:rsid w:val="00013BBA"/>
    <w:rsid w:val="00021F8F"/>
    <w:rsid w:val="0003576D"/>
    <w:rsid w:val="00061519"/>
    <w:rsid w:val="000664CD"/>
    <w:rsid w:val="00072748"/>
    <w:rsid w:val="00085DAA"/>
    <w:rsid w:val="0009278D"/>
    <w:rsid w:val="000A7BF0"/>
    <w:rsid w:val="000B7EC5"/>
    <w:rsid w:val="000D151C"/>
    <w:rsid w:val="000D156C"/>
    <w:rsid w:val="000F2149"/>
    <w:rsid w:val="00142BBE"/>
    <w:rsid w:val="00154617"/>
    <w:rsid w:val="001602BE"/>
    <w:rsid w:val="00167794"/>
    <w:rsid w:val="0018567D"/>
    <w:rsid w:val="00186ECC"/>
    <w:rsid w:val="001A2AA8"/>
    <w:rsid w:val="001A577E"/>
    <w:rsid w:val="001A5CE9"/>
    <w:rsid w:val="001C733A"/>
    <w:rsid w:val="001E15BC"/>
    <w:rsid w:val="001E7F41"/>
    <w:rsid w:val="001F4533"/>
    <w:rsid w:val="002101B4"/>
    <w:rsid w:val="00231310"/>
    <w:rsid w:val="0023618C"/>
    <w:rsid w:val="002379D1"/>
    <w:rsid w:val="002573E8"/>
    <w:rsid w:val="0025769B"/>
    <w:rsid w:val="00260260"/>
    <w:rsid w:val="00261A59"/>
    <w:rsid w:val="00263D13"/>
    <w:rsid w:val="00285869"/>
    <w:rsid w:val="0029128C"/>
    <w:rsid w:val="002B0C4D"/>
    <w:rsid w:val="002B4ADD"/>
    <w:rsid w:val="002E6F8B"/>
    <w:rsid w:val="00301F9B"/>
    <w:rsid w:val="00313215"/>
    <w:rsid w:val="00321479"/>
    <w:rsid w:val="00343105"/>
    <w:rsid w:val="0035106C"/>
    <w:rsid w:val="0035688F"/>
    <w:rsid w:val="00396605"/>
    <w:rsid w:val="003C2742"/>
    <w:rsid w:val="003C4EA9"/>
    <w:rsid w:val="003E5C40"/>
    <w:rsid w:val="003F6BAB"/>
    <w:rsid w:val="00431022"/>
    <w:rsid w:val="00436102"/>
    <w:rsid w:val="00462F93"/>
    <w:rsid w:val="00465265"/>
    <w:rsid w:val="00473173"/>
    <w:rsid w:val="0049478A"/>
    <w:rsid w:val="004B3E05"/>
    <w:rsid w:val="004C0B67"/>
    <w:rsid w:val="00520CD3"/>
    <w:rsid w:val="005231B5"/>
    <w:rsid w:val="00532F2D"/>
    <w:rsid w:val="005455D3"/>
    <w:rsid w:val="005508A4"/>
    <w:rsid w:val="005A050F"/>
    <w:rsid w:val="005D00A3"/>
    <w:rsid w:val="005D11D7"/>
    <w:rsid w:val="005D70B5"/>
    <w:rsid w:val="00610465"/>
    <w:rsid w:val="00664F8D"/>
    <w:rsid w:val="0068144B"/>
    <w:rsid w:val="006B4FB7"/>
    <w:rsid w:val="006E317B"/>
    <w:rsid w:val="006E4AFF"/>
    <w:rsid w:val="007009B0"/>
    <w:rsid w:val="00702DAE"/>
    <w:rsid w:val="007218CC"/>
    <w:rsid w:val="007238B3"/>
    <w:rsid w:val="0074597A"/>
    <w:rsid w:val="00753ADA"/>
    <w:rsid w:val="00762A57"/>
    <w:rsid w:val="0077690C"/>
    <w:rsid w:val="00791A17"/>
    <w:rsid w:val="007E7557"/>
    <w:rsid w:val="007F7142"/>
    <w:rsid w:val="0080735D"/>
    <w:rsid w:val="00820EB0"/>
    <w:rsid w:val="0083110E"/>
    <w:rsid w:val="008777D3"/>
    <w:rsid w:val="00885A35"/>
    <w:rsid w:val="00892A61"/>
    <w:rsid w:val="008B27EA"/>
    <w:rsid w:val="008B3639"/>
    <w:rsid w:val="008D288E"/>
    <w:rsid w:val="008D3BFB"/>
    <w:rsid w:val="008E4EE5"/>
    <w:rsid w:val="008E5AB5"/>
    <w:rsid w:val="00903036"/>
    <w:rsid w:val="00925708"/>
    <w:rsid w:val="00934E22"/>
    <w:rsid w:val="009575A2"/>
    <w:rsid w:val="009A3982"/>
    <w:rsid w:val="009B153E"/>
    <w:rsid w:val="009B59BD"/>
    <w:rsid w:val="009D4228"/>
    <w:rsid w:val="009F6B86"/>
    <w:rsid w:val="00A13EF1"/>
    <w:rsid w:val="00A608ED"/>
    <w:rsid w:val="00A73BA1"/>
    <w:rsid w:val="00A815EC"/>
    <w:rsid w:val="00A961B5"/>
    <w:rsid w:val="00AF16DD"/>
    <w:rsid w:val="00AF34CB"/>
    <w:rsid w:val="00B11D68"/>
    <w:rsid w:val="00B2789C"/>
    <w:rsid w:val="00B51E9B"/>
    <w:rsid w:val="00B541AD"/>
    <w:rsid w:val="00B55CAB"/>
    <w:rsid w:val="00BA1B1E"/>
    <w:rsid w:val="00BB61DC"/>
    <w:rsid w:val="00BB7476"/>
    <w:rsid w:val="00BE331D"/>
    <w:rsid w:val="00C2195B"/>
    <w:rsid w:val="00C33CBD"/>
    <w:rsid w:val="00CD057E"/>
    <w:rsid w:val="00CE0285"/>
    <w:rsid w:val="00CE5CA4"/>
    <w:rsid w:val="00CF0AE4"/>
    <w:rsid w:val="00CF74D5"/>
    <w:rsid w:val="00D11DE9"/>
    <w:rsid w:val="00D360B8"/>
    <w:rsid w:val="00D609E2"/>
    <w:rsid w:val="00D908B4"/>
    <w:rsid w:val="00D93BF3"/>
    <w:rsid w:val="00DB6DEC"/>
    <w:rsid w:val="00DD1F16"/>
    <w:rsid w:val="00DE5F24"/>
    <w:rsid w:val="00E0220C"/>
    <w:rsid w:val="00E05460"/>
    <w:rsid w:val="00E109E6"/>
    <w:rsid w:val="00E1473D"/>
    <w:rsid w:val="00E15EC1"/>
    <w:rsid w:val="00E16E74"/>
    <w:rsid w:val="00E307CB"/>
    <w:rsid w:val="00E64023"/>
    <w:rsid w:val="00E64880"/>
    <w:rsid w:val="00E704FA"/>
    <w:rsid w:val="00E76C70"/>
    <w:rsid w:val="00E82E59"/>
    <w:rsid w:val="00E94488"/>
    <w:rsid w:val="00EB6493"/>
    <w:rsid w:val="00ED7A2C"/>
    <w:rsid w:val="00EE3663"/>
    <w:rsid w:val="00F74936"/>
    <w:rsid w:val="00F84670"/>
    <w:rsid w:val="00F927E2"/>
    <w:rsid w:val="00FB2064"/>
    <w:rsid w:val="00FD35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8"/>
    <w:rPr>
      <w:sz w:val="24"/>
      <w:lang w:eastAsia="en-US"/>
    </w:rPr>
  </w:style>
  <w:style w:type="paragraph" w:styleId="Heading1">
    <w:name w:val="heading 1"/>
    <w:basedOn w:val="Normal"/>
    <w:next w:val="Normal"/>
    <w:qFormat/>
    <w:rsid w:val="00B11D68"/>
    <w:pPr>
      <w:keepNext/>
      <w:spacing w:before="240" w:after="60"/>
      <w:outlineLvl w:val="0"/>
    </w:pPr>
    <w:rPr>
      <w:rFonts w:ascii="Arial" w:hAnsi="Arial"/>
      <w:b/>
      <w:smallCaps/>
      <w:kern w:val="28"/>
      <w:sz w:val="22"/>
    </w:rPr>
  </w:style>
  <w:style w:type="paragraph" w:styleId="Heading2">
    <w:name w:val="heading 2"/>
    <w:basedOn w:val="Normal"/>
    <w:next w:val="Normal"/>
    <w:qFormat/>
    <w:rsid w:val="00C33CBD"/>
    <w:pPr>
      <w:keepNext/>
      <w:numPr>
        <w:ilvl w:val="12"/>
      </w:numPr>
      <w:tabs>
        <w:tab w:val="left" w:pos="851"/>
        <w:tab w:val="left" w:pos="1440"/>
        <w:tab w:val="left" w:pos="2160"/>
        <w:tab w:val="left" w:pos="2880"/>
        <w:tab w:val="left" w:pos="3600"/>
        <w:tab w:val="left" w:pos="4320"/>
        <w:tab w:val="left" w:pos="5040"/>
        <w:tab w:val="left" w:pos="5760"/>
        <w:tab w:val="left" w:pos="6480"/>
        <w:tab w:val="left" w:pos="7200"/>
        <w:tab w:val="left" w:pos="7920"/>
      </w:tabs>
      <w:ind w:right="864"/>
      <w:jc w:val="both"/>
      <w:outlineLvl w:val="1"/>
    </w:pPr>
    <w:rPr>
      <w:rFonts w:ascii="Arial" w:hAnsi="Arial"/>
      <w:i/>
      <w:color w:val="0000FF"/>
      <w:sz w:val="20"/>
    </w:rPr>
  </w:style>
  <w:style w:type="paragraph" w:styleId="Heading3">
    <w:name w:val="heading 3"/>
    <w:basedOn w:val="Normal"/>
    <w:next w:val="Normal"/>
    <w:qFormat/>
    <w:rsid w:val="00B11D68"/>
    <w:pPr>
      <w:keepNext/>
      <w:outlineLvl w:val="2"/>
    </w:pPr>
    <w:rPr>
      <w:b/>
      <w:color w:val="000000"/>
    </w:rPr>
  </w:style>
  <w:style w:type="paragraph" w:styleId="Heading4">
    <w:name w:val="heading 4"/>
    <w:basedOn w:val="Normal"/>
    <w:next w:val="Normal"/>
    <w:qFormat/>
    <w:rsid w:val="00C33CBD"/>
    <w:pPr>
      <w:keepNext/>
      <w:numPr>
        <w:ilvl w:val="12"/>
      </w:numPr>
      <w:tabs>
        <w:tab w:val="left" w:pos="6030"/>
        <w:tab w:val="left" w:pos="6840"/>
      </w:tabs>
      <w:ind w:right="728"/>
      <w:jc w:val="both"/>
      <w:outlineLvl w:val="3"/>
    </w:pPr>
    <w:rPr>
      <w:rFonts w:ascii="Arial" w:hAnsi="Arial"/>
      <w:i/>
      <w:color w:val="FF0000"/>
      <w:sz w:val="20"/>
    </w:rPr>
  </w:style>
  <w:style w:type="paragraph" w:styleId="Heading5">
    <w:name w:val="heading 5"/>
    <w:basedOn w:val="Normal"/>
    <w:next w:val="Normal"/>
    <w:qFormat/>
    <w:rsid w:val="00C33C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990"/>
      </w:tabs>
      <w:ind w:right="864"/>
      <w:jc w:val="both"/>
      <w:outlineLvl w:val="4"/>
    </w:pPr>
    <w:rPr>
      <w:rFonts w:ascii="Arial" w:hAnsi="Arial"/>
      <w:i/>
      <w:color w:val="FF0000"/>
      <w:sz w:val="20"/>
    </w:rPr>
  </w:style>
  <w:style w:type="paragraph" w:styleId="Heading6">
    <w:name w:val="heading 6"/>
    <w:basedOn w:val="Normal"/>
    <w:next w:val="Normal"/>
    <w:qFormat/>
    <w:rsid w:val="00B11D68"/>
    <w:pPr>
      <w:keepNext/>
      <w:outlineLvl w:val="5"/>
    </w:pPr>
    <w:rPr>
      <w:rFonts w:ascii="Arial" w:hAnsi="Arial"/>
      <w:b/>
      <w:color w:val="000000"/>
      <w:sz w:val="16"/>
    </w:rPr>
  </w:style>
  <w:style w:type="paragraph" w:styleId="Heading8">
    <w:name w:val="heading 8"/>
    <w:basedOn w:val="Normal"/>
    <w:next w:val="Normal"/>
    <w:qFormat/>
    <w:rsid w:val="00B11D68"/>
    <w:pPr>
      <w:keepNext/>
      <w:tabs>
        <w:tab w:val="left" w:pos="5760"/>
      </w:tabs>
      <w:jc w:val="both"/>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1D68"/>
    <w:pPr>
      <w:tabs>
        <w:tab w:val="center" w:pos="4819"/>
        <w:tab w:val="right" w:pos="9071"/>
      </w:tabs>
    </w:pPr>
    <w:rPr>
      <w:rFonts w:ascii="Tms Rmn" w:hAnsi="Tms Rmn"/>
      <w:sz w:val="20"/>
    </w:rPr>
  </w:style>
  <w:style w:type="paragraph" w:styleId="Header">
    <w:name w:val="header"/>
    <w:basedOn w:val="Normal"/>
    <w:rsid w:val="00B11D68"/>
    <w:pPr>
      <w:tabs>
        <w:tab w:val="center" w:pos="4320"/>
        <w:tab w:val="right" w:pos="8640"/>
      </w:tabs>
    </w:pPr>
  </w:style>
  <w:style w:type="paragraph" w:styleId="BodyText2">
    <w:name w:val="Body Text 2"/>
    <w:basedOn w:val="Normal"/>
    <w:rsid w:val="00B11D68"/>
    <w:pPr>
      <w:tabs>
        <w:tab w:val="left" w:pos="540"/>
        <w:tab w:val="left" w:pos="1080"/>
      </w:tabs>
      <w:ind w:left="270" w:hanging="270"/>
    </w:pPr>
  </w:style>
  <w:style w:type="character" w:styleId="Hyperlink">
    <w:name w:val="Hyperlink"/>
    <w:basedOn w:val="DefaultParagraphFont"/>
    <w:rsid w:val="00B11D68"/>
    <w:rPr>
      <w:color w:val="0000FF"/>
      <w:u w:val="single"/>
    </w:rPr>
  </w:style>
  <w:style w:type="character" w:customStyle="1" w:styleId="standardcontrolreadonly1">
    <w:name w:val="standardcontrolreadonly1"/>
    <w:basedOn w:val="DefaultParagraphFont"/>
    <w:rsid w:val="00B11D68"/>
    <w:rPr>
      <w:rFonts w:ascii="Verdana" w:hAnsi="Verdana" w:hint="default"/>
      <w:b w:val="0"/>
      <w:bCs w:val="0"/>
      <w:color w:val="696969"/>
      <w:sz w:val="20"/>
      <w:szCs w:val="20"/>
      <w:bdr w:val="single" w:sz="6" w:space="0" w:color="F8FCFF" w:frame="1"/>
      <w:shd w:val="clear" w:color="auto" w:fill="F8FCFF"/>
    </w:rPr>
  </w:style>
  <w:style w:type="paragraph" w:styleId="BodyText">
    <w:name w:val="Body Text"/>
    <w:basedOn w:val="Normal"/>
    <w:rsid w:val="00C33CBD"/>
    <w:pPr>
      <w:spacing w:after="120"/>
    </w:pPr>
  </w:style>
  <w:style w:type="paragraph" w:styleId="BodyText3">
    <w:name w:val="Body Text 3"/>
    <w:basedOn w:val="Normal"/>
    <w:rsid w:val="00C33CBD"/>
    <w:pPr>
      <w:jc w:val="both"/>
    </w:pPr>
    <w:rPr>
      <w:rFonts w:ascii="Arial" w:hAnsi="Arial"/>
      <w:i/>
      <w:color w:val="FF0000"/>
      <w:sz w:val="22"/>
    </w:rPr>
  </w:style>
  <w:style w:type="character" w:styleId="Emphasis">
    <w:name w:val="Emphasis"/>
    <w:basedOn w:val="DefaultParagraphFont"/>
    <w:qFormat/>
    <w:rsid w:val="00C33CBD"/>
    <w:rPr>
      <w:i/>
    </w:rPr>
  </w:style>
  <w:style w:type="paragraph" w:styleId="Title">
    <w:name w:val="Title"/>
    <w:basedOn w:val="Normal"/>
    <w:qFormat/>
    <w:rsid w:val="00C33CBD"/>
    <w:pPr>
      <w:jc w:val="center"/>
    </w:pPr>
    <w:rPr>
      <w:rFonts w:ascii="Arial" w:hAnsi="Arial"/>
      <w:b/>
      <w:i/>
      <w:color w:val="FF0000"/>
      <w:sz w:val="18"/>
      <w:szCs w:val="24"/>
      <w:u w:val="single"/>
    </w:rPr>
  </w:style>
  <w:style w:type="character" w:styleId="Strong">
    <w:name w:val="Strong"/>
    <w:basedOn w:val="DefaultParagraphFont"/>
    <w:qFormat/>
    <w:rsid w:val="00C33CBD"/>
    <w:rPr>
      <w:b/>
    </w:rPr>
  </w:style>
  <w:style w:type="paragraph" w:styleId="BodyTextIndent">
    <w:name w:val="Body Text Indent"/>
    <w:basedOn w:val="Normal"/>
    <w:rsid w:val="00C33CBD"/>
    <w:pPr>
      <w:widowControl w:val="0"/>
      <w:tabs>
        <w:tab w:val="left" w:pos="561"/>
        <w:tab w:val="num" w:pos="1418"/>
        <w:tab w:val="left" w:pos="1701"/>
        <w:tab w:val="left" w:pos="2268"/>
        <w:tab w:val="left" w:pos="2835"/>
        <w:tab w:val="left" w:pos="3402"/>
        <w:tab w:val="left" w:pos="3969"/>
      </w:tabs>
      <w:spacing w:line="277" w:lineRule="exact"/>
      <w:ind w:left="426"/>
      <w:jc w:val="both"/>
    </w:pPr>
    <w:rPr>
      <w:rFonts w:ascii="Arial" w:hAnsi="Arial"/>
      <w:color w:val="000000"/>
      <w:sz w:val="20"/>
    </w:rPr>
  </w:style>
  <w:style w:type="paragraph" w:styleId="CommentText">
    <w:name w:val="annotation text"/>
    <w:basedOn w:val="Normal"/>
    <w:semiHidden/>
    <w:rsid w:val="00C33CBD"/>
    <w:rPr>
      <w:rFonts w:ascii="Arial" w:hAnsi="Arial"/>
      <w:sz w:val="20"/>
    </w:rPr>
  </w:style>
  <w:style w:type="paragraph" w:customStyle="1" w:styleId="para1">
    <w:name w:val="para1"/>
    <w:rsid w:val="00C33CBD"/>
    <w:pPr>
      <w:ind w:left="720" w:hanging="720"/>
    </w:pPr>
    <w:rPr>
      <w:sz w:val="24"/>
      <w:lang w:eastAsia="en-US"/>
    </w:rPr>
  </w:style>
  <w:style w:type="paragraph" w:styleId="TOC1">
    <w:name w:val="toc 1"/>
    <w:basedOn w:val="Normal"/>
    <w:next w:val="Normal"/>
    <w:autoRedefine/>
    <w:semiHidden/>
    <w:rsid w:val="00C33CBD"/>
    <w:pPr>
      <w:tabs>
        <w:tab w:val="right" w:leader="dot" w:pos="8296"/>
      </w:tabs>
      <w:ind w:left="-1418"/>
    </w:pPr>
    <w:rPr>
      <w:szCs w:val="24"/>
      <w:lang w:eastAsia="en-GB"/>
    </w:rPr>
  </w:style>
  <w:style w:type="paragraph" w:styleId="NormalWeb">
    <w:name w:val="Normal (Web)"/>
    <w:basedOn w:val="Normal"/>
    <w:rsid w:val="00C33CBD"/>
    <w:pPr>
      <w:spacing w:before="100" w:beforeAutospacing="1" w:after="100" w:afterAutospacing="1"/>
    </w:pPr>
    <w:rPr>
      <w:szCs w:val="24"/>
      <w:lang w:eastAsia="en-GB"/>
    </w:rPr>
  </w:style>
  <w:style w:type="paragraph" w:styleId="ListBullet">
    <w:name w:val="List Bullet"/>
    <w:basedOn w:val="List"/>
    <w:rsid w:val="00C33CBD"/>
    <w:pPr>
      <w:spacing w:after="220" w:line="220" w:lineRule="atLeast"/>
      <w:ind w:left="1800" w:right="720" w:hanging="360"/>
    </w:pPr>
    <w:rPr>
      <w:sz w:val="20"/>
      <w:szCs w:val="20"/>
      <w:lang w:val="en-US" w:eastAsia="en-US"/>
    </w:rPr>
  </w:style>
  <w:style w:type="paragraph" w:styleId="List">
    <w:name w:val="List"/>
    <w:basedOn w:val="Normal"/>
    <w:rsid w:val="00C33CBD"/>
    <w:pPr>
      <w:ind w:left="283" w:hanging="283"/>
    </w:pPr>
    <w:rPr>
      <w:szCs w:val="24"/>
      <w:lang w:eastAsia="en-GB"/>
    </w:rPr>
  </w:style>
  <w:style w:type="paragraph" w:customStyle="1" w:styleId="Level1">
    <w:name w:val="Level 1"/>
    <w:basedOn w:val="Normal"/>
    <w:rsid w:val="00C33CBD"/>
    <w:pPr>
      <w:numPr>
        <w:numId w:val="14"/>
      </w:numPr>
      <w:spacing w:after="240" w:line="312" w:lineRule="auto"/>
      <w:jc w:val="both"/>
      <w:outlineLvl w:val="0"/>
    </w:pPr>
    <w:rPr>
      <w:lang w:eastAsia="en-GB"/>
    </w:rPr>
  </w:style>
  <w:style w:type="paragraph" w:customStyle="1" w:styleId="Level2">
    <w:name w:val="Level 2"/>
    <w:basedOn w:val="Normal"/>
    <w:rsid w:val="00C33CBD"/>
    <w:pPr>
      <w:numPr>
        <w:ilvl w:val="1"/>
        <w:numId w:val="14"/>
      </w:numPr>
      <w:spacing w:after="240" w:line="312" w:lineRule="auto"/>
      <w:jc w:val="both"/>
      <w:outlineLvl w:val="1"/>
    </w:pPr>
    <w:rPr>
      <w:lang w:eastAsia="en-GB"/>
    </w:rPr>
  </w:style>
  <w:style w:type="paragraph" w:customStyle="1" w:styleId="Level3">
    <w:name w:val="Level 3"/>
    <w:basedOn w:val="Normal"/>
    <w:rsid w:val="00C33CBD"/>
    <w:pPr>
      <w:numPr>
        <w:ilvl w:val="2"/>
        <w:numId w:val="14"/>
      </w:numPr>
      <w:tabs>
        <w:tab w:val="left" w:pos="1701"/>
      </w:tabs>
      <w:spacing w:after="240" w:line="312" w:lineRule="auto"/>
      <w:jc w:val="both"/>
      <w:outlineLvl w:val="2"/>
    </w:pPr>
    <w:rPr>
      <w:lang w:eastAsia="en-GB"/>
    </w:rPr>
  </w:style>
  <w:style w:type="paragraph" w:customStyle="1" w:styleId="Level4">
    <w:name w:val="Level 4"/>
    <w:basedOn w:val="Normal"/>
    <w:rsid w:val="00C33CBD"/>
    <w:pPr>
      <w:numPr>
        <w:ilvl w:val="3"/>
        <w:numId w:val="14"/>
      </w:numPr>
      <w:spacing w:after="240" w:line="312" w:lineRule="auto"/>
      <w:jc w:val="both"/>
      <w:outlineLvl w:val="3"/>
    </w:pPr>
    <w:rPr>
      <w:lang w:eastAsia="en-GB"/>
    </w:rPr>
  </w:style>
  <w:style w:type="paragraph" w:customStyle="1" w:styleId="Level5">
    <w:name w:val="Level 5"/>
    <w:basedOn w:val="Normal"/>
    <w:rsid w:val="00C33CBD"/>
    <w:pPr>
      <w:numPr>
        <w:ilvl w:val="4"/>
        <w:numId w:val="14"/>
      </w:numPr>
      <w:spacing w:after="240" w:line="312" w:lineRule="auto"/>
      <w:jc w:val="both"/>
      <w:outlineLvl w:val="4"/>
    </w:pPr>
    <w:rPr>
      <w:lang w:eastAsia="en-GB"/>
    </w:rPr>
  </w:style>
  <w:style w:type="character" w:customStyle="1" w:styleId="Level1asHeadingtext">
    <w:name w:val="Level 1 as Heading (text)"/>
    <w:basedOn w:val="DefaultParagraphFont"/>
    <w:rsid w:val="00C33CBD"/>
    <w:rPr>
      <w:b/>
    </w:rPr>
  </w:style>
  <w:style w:type="character" w:customStyle="1" w:styleId="CrossReference">
    <w:name w:val="Cross Reference"/>
    <w:basedOn w:val="DefaultParagraphFont"/>
    <w:rsid w:val="00C33CBD"/>
    <w:rPr>
      <w:rFonts w:ascii="Times New Roman" w:hAnsi="Times New Roman" w:cs="Times New Roman"/>
      <w:b w:val="0"/>
      <w:color w:val="auto"/>
      <w:sz w:val="24"/>
      <w:u w:val="none"/>
    </w:rPr>
  </w:style>
  <w:style w:type="paragraph" w:customStyle="1" w:styleId="Body1">
    <w:name w:val="Body 1"/>
    <w:basedOn w:val="Normal"/>
    <w:rsid w:val="00C33CBD"/>
    <w:pPr>
      <w:tabs>
        <w:tab w:val="left" w:pos="851"/>
      </w:tabs>
      <w:spacing w:after="240" w:line="312" w:lineRule="auto"/>
      <w:ind w:left="851"/>
      <w:jc w:val="both"/>
    </w:pPr>
    <w:rPr>
      <w:lang w:eastAsia="en-GB"/>
    </w:rPr>
  </w:style>
  <w:style w:type="paragraph" w:customStyle="1" w:styleId="Indent">
    <w:name w:val="Indent"/>
    <w:basedOn w:val="Normal"/>
    <w:rsid w:val="00F927E2"/>
    <w:pPr>
      <w:tabs>
        <w:tab w:val="left" w:pos="5400"/>
      </w:tabs>
    </w:pPr>
    <w:rPr>
      <w:rFonts w:ascii="Tms Rmn" w:hAnsi="Tms Rmn"/>
      <w:sz w:val="20"/>
    </w:rPr>
  </w:style>
  <w:style w:type="paragraph" w:styleId="BalloonText">
    <w:name w:val="Balloon Text"/>
    <w:basedOn w:val="Normal"/>
    <w:semiHidden/>
    <w:rsid w:val="003E5C40"/>
    <w:rPr>
      <w:rFonts w:ascii="Tahoma" w:hAnsi="Tahoma" w:cs="Tahoma"/>
      <w:sz w:val="16"/>
      <w:szCs w:val="16"/>
    </w:rPr>
  </w:style>
  <w:style w:type="paragraph" w:styleId="Revision">
    <w:name w:val="Revision"/>
    <w:hidden/>
    <w:uiPriority w:val="99"/>
    <w:semiHidden/>
    <w:rsid w:val="00925708"/>
    <w:rPr>
      <w:sz w:val="24"/>
      <w:lang w:eastAsia="en-US"/>
    </w:rPr>
  </w:style>
  <w:style w:type="table" w:styleId="TableGrid">
    <w:name w:val="Table Grid"/>
    <w:basedOn w:val="TableNormal"/>
    <w:rsid w:val="009257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E4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s@rbf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kerilld\Desktop\Document%20Templates\ITT%20Guidanc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ITT Guidance Notes</Template>
  <TotalTime>172</TotalTime>
  <Pages>3</Pages>
  <Words>1283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Our Ref: HAL</vt:lpstr>
    </vt:vector>
  </TitlesOfParts>
  <Company>Halcrow Group Ltd</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HAL</dc:title>
  <dc:creator>dockerilld</dc:creator>
  <cp:lastModifiedBy>dockerilld</cp:lastModifiedBy>
  <cp:revision>8</cp:revision>
  <cp:lastPrinted>2015-10-21T14:46:00Z</cp:lastPrinted>
  <dcterms:created xsi:type="dcterms:W3CDTF">2015-08-10T13:55:00Z</dcterms:created>
  <dcterms:modified xsi:type="dcterms:W3CDTF">2015-10-21T15:07:00Z</dcterms:modified>
</cp:coreProperties>
</file>