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A7" w:rsidRDefault="00D40EA7">
      <w:bookmarkStart w:id="0" w:name="_GoBack"/>
      <w:bookmarkEnd w:id="0"/>
    </w:p>
    <w:tbl>
      <w:tblPr>
        <w:tblW w:w="9700" w:type="dxa"/>
        <w:tblInd w:w="93" w:type="dxa"/>
        <w:tblLook w:val="04A0" w:firstRow="1" w:lastRow="0" w:firstColumn="1" w:lastColumn="0" w:noHBand="0" w:noVBand="1"/>
      </w:tblPr>
      <w:tblGrid>
        <w:gridCol w:w="2992"/>
        <w:gridCol w:w="6708"/>
      </w:tblGrid>
      <w:tr w:rsidR="00435DE1" w:rsidRPr="00D1216B" w:rsidTr="00435DE1">
        <w:trPr>
          <w:trHeight w:val="315"/>
        </w:trPr>
        <w:tc>
          <w:tcPr>
            <w:tcW w:w="2992" w:type="dxa"/>
            <w:tcBorders>
              <w:top w:val="single" w:sz="8" w:space="0" w:color="808080"/>
              <w:left w:val="single" w:sz="8" w:space="0" w:color="808080"/>
              <w:bottom w:val="single" w:sz="8" w:space="0" w:color="808080"/>
              <w:right w:val="single" w:sz="8" w:space="0" w:color="808080"/>
            </w:tcBorders>
            <w:shd w:val="clear" w:color="000000" w:fill="002060"/>
            <w:vAlign w:val="center"/>
            <w:hideMark/>
          </w:tcPr>
          <w:p w:rsidR="00435DE1" w:rsidRPr="00D1216B" w:rsidRDefault="005B7192"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Provider / C</w:t>
            </w:r>
            <w:r w:rsidR="00435DE1">
              <w:rPr>
                <w:rFonts w:ascii="Calibri" w:eastAsia="Times New Roman" w:hAnsi="Calibri" w:cs="Calibri"/>
                <w:color w:val="FFFFFF"/>
                <w:sz w:val="20"/>
                <w:szCs w:val="20"/>
                <w:lang w:eastAsia="en-GB"/>
              </w:rPr>
              <w:t>ontract</w:t>
            </w:r>
            <w:r>
              <w:rPr>
                <w:rFonts w:ascii="Calibri" w:eastAsia="Times New Roman" w:hAnsi="Calibri" w:cs="Calibri"/>
                <w:color w:val="FFFFFF"/>
                <w:sz w:val="20"/>
                <w:szCs w:val="20"/>
                <w:lang w:eastAsia="en-GB"/>
              </w:rPr>
              <w:t xml:space="preserve"> reference</w:t>
            </w:r>
            <w:r w:rsidR="00435DE1" w:rsidRPr="00D1216B">
              <w:rPr>
                <w:rFonts w:ascii="Calibri" w:eastAsia="Times New Roman" w:hAnsi="Calibri" w:cs="Calibri"/>
                <w:color w:val="FFFFFF"/>
                <w:sz w:val="20"/>
                <w:szCs w:val="20"/>
                <w:lang w:eastAsia="en-GB"/>
              </w:rPr>
              <w:t>:</w:t>
            </w:r>
          </w:p>
        </w:tc>
        <w:tc>
          <w:tcPr>
            <w:tcW w:w="6708" w:type="dxa"/>
            <w:tcBorders>
              <w:top w:val="single" w:sz="8" w:space="0" w:color="808080"/>
              <w:left w:val="single" w:sz="8" w:space="0" w:color="808080"/>
              <w:bottom w:val="single" w:sz="8" w:space="0" w:color="808080"/>
              <w:right w:val="single" w:sz="8" w:space="0" w:color="808080"/>
            </w:tcBorders>
            <w:shd w:val="clear" w:color="000000" w:fill="002060"/>
            <w:vAlign w:val="center"/>
          </w:tcPr>
          <w:p w:rsidR="00435DE1" w:rsidRPr="00D1216B" w:rsidRDefault="00585F8A"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single" w:sz="8" w:space="0" w:color="808080"/>
              <w:left w:val="single" w:sz="8" w:space="0" w:color="808080"/>
              <w:bottom w:val="single" w:sz="8" w:space="0" w:color="808080"/>
              <w:right w:val="single" w:sz="8" w:space="0" w:color="808080"/>
            </w:tcBorders>
            <w:shd w:val="clear" w:color="000000" w:fill="002060"/>
            <w:vAlign w:val="center"/>
            <w:hideMark/>
          </w:tcPr>
          <w:p w:rsidR="00EC2CF8" w:rsidRPr="00D1216B" w:rsidRDefault="00435DE1" w:rsidP="00435DE1">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Service Specification No</w:t>
            </w:r>
            <w:r w:rsidR="00EC2CF8" w:rsidRPr="00D1216B">
              <w:rPr>
                <w:rFonts w:ascii="Calibri" w:eastAsia="Times New Roman" w:hAnsi="Calibri" w:cs="Calibri"/>
                <w:color w:val="FFFFFF"/>
                <w:sz w:val="20"/>
                <w:szCs w:val="20"/>
                <w:lang w:eastAsia="en-GB"/>
              </w:rPr>
              <w:t>:</w:t>
            </w:r>
          </w:p>
        </w:tc>
        <w:tc>
          <w:tcPr>
            <w:tcW w:w="6708" w:type="dxa"/>
            <w:tcBorders>
              <w:top w:val="single" w:sz="8" w:space="0" w:color="808080"/>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Service:</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27639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Dementia Support Service – Memory Cafe</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Commissioner Lead: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Vikki Cochran</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Provider Lead: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TBC</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Period:</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2019/20 to be renewed on annual basis </w:t>
            </w:r>
          </w:p>
        </w:tc>
      </w:tr>
      <w:tr w:rsidR="00EC2CF8" w:rsidRPr="00D1216B" w:rsidTr="00EC2CF8">
        <w:trPr>
          <w:trHeight w:val="315"/>
        </w:trPr>
        <w:tc>
          <w:tcPr>
            <w:tcW w:w="2992" w:type="dxa"/>
            <w:tcBorders>
              <w:top w:val="nil"/>
              <w:left w:val="single" w:sz="8" w:space="0" w:color="808080"/>
              <w:bottom w:val="single" w:sz="8" w:space="0" w:color="808080"/>
              <w:right w:val="single" w:sz="8" w:space="0" w:color="808080"/>
            </w:tcBorders>
            <w:shd w:val="clear" w:color="000000" w:fill="002060"/>
            <w:vAlign w:val="center"/>
            <w:hideMark/>
          </w:tcPr>
          <w:p w:rsidR="00EC2CF8" w:rsidRPr="00D1216B" w:rsidRDefault="00EC2CF8" w:rsidP="00D1216B">
            <w:pPr>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Date of Review:</w:t>
            </w:r>
          </w:p>
        </w:tc>
        <w:tc>
          <w:tcPr>
            <w:tcW w:w="6708" w:type="dxa"/>
            <w:tcBorders>
              <w:top w:val="nil"/>
              <w:left w:val="single" w:sz="8" w:space="0" w:color="808080"/>
              <w:bottom w:val="single" w:sz="8" w:space="0" w:color="808080"/>
              <w:right w:val="single" w:sz="8" w:space="0" w:color="808080"/>
            </w:tcBorders>
            <w:shd w:val="clear" w:color="000000" w:fill="002060"/>
            <w:vAlign w:val="center"/>
          </w:tcPr>
          <w:p w:rsidR="00EC2CF8" w:rsidRPr="00D1216B" w:rsidRDefault="00585F8A" w:rsidP="00D1216B">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31</w:t>
            </w:r>
            <w:r w:rsidRPr="00585F8A">
              <w:rPr>
                <w:rFonts w:ascii="Calibri" w:eastAsia="Times New Roman" w:hAnsi="Calibri" w:cs="Calibri"/>
                <w:color w:val="FFFFFF"/>
                <w:sz w:val="20"/>
                <w:szCs w:val="20"/>
                <w:vertAlign w:val="superscript"/>
                <w:lang w:eastAsia="en-GB"/>
              </w:rPr>
              <w:t>st</w:t>
            </w:r>
            <w:r>
              <w:rPr>
                <w:rFonts w:ascii="Calibri" w:eastAsia="Times New Roman" w:hAnsi="Calibri" w:cs="Calibri"/>
                <w:color w:val="FFFFFF"/>
                <w:sz w:val="20"/>
                <w:szCs w:val="20"/>
                <w:lang w:eastAsia="en-GB"/>
              </w:rPr>
              <w:t xml:space="preserve"> December 2019</w:t>
            </w:r>
          </w:p>
        </w:tc>
      </w:tr>
    </w:tbl>
    <w:p w:rsidR="00D1216B" w:rsidRDefault="00D1216B"/>
    <w:tbl>
      <w:tblPr>
        <w:tblW w:w="9700" w:type="dxa"/>
        <w:tblInd w:w="93" w:type="dxa"/>
        <w:tblLook w:val="04A0" w:firstRow="1" w:lastRow="0" w:firstColumn="1" w:lastColumn="0" w:noHBand="0" w:noVBand="1"/>
      </w:tblPr>
      <w:tblGrid>
        <w:gridCol w:w="9700"/>
      </w:tblGrid>
      <w:tr w:rsidR="00D1216B"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D1216B" w:rsidRPr="00D1216B" w:rsidRDefault="00D1216B" w:rsidP="001F01DD">
            <w:pPr>
              <w:jc w:val="both"/>
              <w:rPr>
                <w:rFonts w:ascii="Calibri" w:eastAsia="Times New Roman" w:hAnsi="Calibri" w:cs="Calibri"/>
                <w:color w:val="FFFFFF"/>
                <w:sz w:val="20"/>
                <w:szCs w:val="20"/>
                <w:lang w:eastAsia="en-GB"/>
              </w:rPr>
            </w:pPr>
            <w:r w:rsidRPr="00D1216B">
              <w:rPr>
                <w:rFonts w:ascii="Calibri" w:eastAsia="Times New Roman" w:hAnsi="Calibri" w:cs="Calibri"/>
                <w:color w:val="FFFFFF"/>
                <w:sz w:val="20"/>
                <w:szCs w:val="20"/>
                <w:lang w:eastAsia="en-GB"/>
              </w:rPr>
              <w:t xml:space="preserve">1.  </w:t>
            </w:r>
            <w:r w:rsidR="001F01DD">
              <w:rPr>
                <w:rFonts w:ascii="Calibri" w:eastAsia="Times New Roman" w:hAnsi="Calibri" w:cs="Calibri"/>
                <w:color w:val="FFFFFF"/>
                <w:sz w:val="20"/>
                <w:szCs w:val="20"/>
                <w:lang w:eastAsia="en-GB"/>
              </w:rPr>
              <w:t xml:space="preserve">Population Needs </w:t>
            </w:r>
          </w:p>
        </w:tc>
      </w:tr>
      <w:tr w:rsidR="00D1216B"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D1216B" w:rsidRPr="00D1216B" w:rsidRDefault="00D1216B" w:rsidP="00D1216B">
            <w:pPr>
              <w:rPr>
                <w:rFonts w:ascii="Calibri" w:eastAsia="Times New Roman" w:hAnsi="Calibri" w:cs="Calibri"/>
                <w:b/>
                <w:bCs/>
                <w:sz w:val="20"/>
                <w:szCs w:val="20"/>
                <w:lang w:eastAsia="en-GB"/>
              </w:rPr>
            </w:pPr>
            <w:r w:rsidRPr="00D1216B">
              <w:rPr>
                <w:rFonts w:ascii="Calibri" w:eastAsia="Times New Roman" w:hAnsi="Calibri" w:cs="Calibri"/>
                <w:b/>
                <w:bCs/>
                <w:sz w:val="20"/>
                <w:szCs w:val="20"/>
                <w:lang w:eastAsia="en-GB"/>
              </w:rPr>
              <w:t>1.1 National and evidence base</w:t>
            </w:r>
          </w:p>
        </w:tc>
      </w:tr>
      <w:tr w:rsidR="00D1216B" w:rsidRPr="00D1216B" w:rsidTr="00876705">
        <w:trPr>
          <w:trHeight w:val="315"/>
        </w:trPr>
        <w:tc>
          <w:tcPr>
            <w:tcW w:w="9700" w:type="dxa"/>
            <w:tcBorders>
              <w:top w:val="nil"/>
              <w:left w:val="single" w:sz="8" w:space="0" w:color="C0C0C0"/>
              <w:bottom w:val="single" w:sz="8" w:space="0" w:color="999999"/>
              <w:right w:val="single" w:sz="8" w:space="0" w:color="C0C0C0"/>
            </w:tcBorders>
            <w:shd w:val="clear" w:color="auto" w:fill="auto"/>
            <w:vAlign w:val="center"/>
            <w:hideMark/>
          </w:tcPr>
          <w:p w:rsidR="001F01DD" w:rsidRDefault="001F01DD" w:rsidP="0027429A">
            <w:pPr>
              <w:pStyle w:val="Default"/>
              <w:rPr>
                <w:rFonts w:ascii="Calibri" w:eastAsia="Times New Roman" w:hAnsi="Calibri" w:cs="Calibri"/>
                <w:b/>
                <w:bCs/>
                <w:sz w:val="20"/>
                <w:szCs w:val="20"/>
                <w:lang w:eastAsia="en-GB"/>
              </w:rPr>
            </w:pPr>
          </w:p>
          <w:p w:rsidR="00585F8A" w:rsidRPr="00585F8A" w:rsidRDefault="00585F8A" w:rsidP="0027429A">
            <w:pPr>
              <w:pStyle w:val="Default"/>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Improving care for individuals living with Dementia and their carers/families is a national priority following the publication of the first National Dementia Strategy (2009) and the Prime Minister’s Challenge on Dementia (2015). The latter provided five key aims which are:</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Preventing Well</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Diagnosing Well</w:t>
            </w:r>
          </w:p>
          <w:p w:rsidR="00585F8A" w:rsidRPr="0081599B" w:rsidRDefault="00585F8A" w:rsidP="00585F8A">
            <w:pPr>
              <w:pStyle w:val="Default"/>
              <w:numPr>
                <w:ilvl w:val="0"/>
                <w:numId w:val="22"/>
              </w:numPr>
              <w:rPr>
                <w:rFonts w:ascii="Calibri" w:eastAsia="Times New Roman" w:hAnsi="Calibri" w:cs="Calibri"/>
                <w:b/>
                <w:bCs/>
                <w:sz w:val="20"/>
                <w:szCs w:val="20"/>
                <w:lang w:eastAsia="en-GB"/>
              </w:rPr>
            </w:pPr>
            <w:r w:rsidRPr="0081599B">
              <w:rPr>
                <w:rFonts w:ascii="Calibri" w:eastAsia="Times New Roman" w:hAnsi="Calibri" w:cs="Calibri"/>
                <w:b/>
                <w:bCs/>
                <w:sz w:val="20"/>
                <w:szCs w:val="20"/>
                <w:lang w:eastAsia="en-GB"/>
              </w:rPr>
              <w:t>Supporting Well</w:t>
            </w:r>
          </w:p>
          <w:p w:rsidR="00585F8A" w:rsidRPr="0081599B" w:rsidRDefault="00585F8A" w:rsidP="00585F8A">
            <w:pPr>
              <w:pStyle w:val="Default"/>
              <w:numPr>
                <w:ilvl w:val="0"/>
                <w:numId w:val="22"/>
              </w:numPr>
              <w:rPr>
                <w:rFonts w:ascii="Calibri" w:eastAsia="Times New Roman" w:hAnsi="Calibri" w:cs="Calibri"/>
                <w:b/>
                <w:bCs/>
                <w:sz w:val="20"/>
                <w:szCs w:val="20"/>
                <w:lang w:eastAsia="en-GB"/>
              </w:rPr>
            </w:pPr>
            <w:r w:rsidRPr="0081599B">
              <w:rPr>
                <w:rFonts w:ascii="Calibri" w:eastAsia="Times New Roman" w:hAnsi="Calibri" w:cs="Calibri"/>
                <w:b/>
                <w:bCs/>
                <w:sz w:val="20"/>
                <w:szCs w:val="20"/>
                <w:lang w:eastAsia="en-GB"/>
              </w:rPr>
              <w:t>Living Well</w:t>
            </w:r>
          </w:p>
          <w:p w:rsidR="00585F8A" w:rsidRPr="00585F8A" w:rsidRDefault="00585F8A" w:rsidP="00585F8A">
            <w:pPr>
              <w:pStyle w:val="Default"/>
              <w:numPr>
                <w:ilvl w:val="0"/>
                <w:numId w:val="22"/>
              </w:numPr>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Dying Well</w:t>
            </w:r>
          </w:p>
          <w:p w:rsidR="00585F8A" w:rsidRPr="00585F8A" w:rsidRDefault="00585F8A" w:rsidP="0027429A">
            <w:pPr>
              <w:pStyle w:val="Default"/>
              <w:rPr>
                <w:rFonts w:ascii="Calibri" w:eastAsia="Times New Roman" w:hAnsi="Calibri" w:cs="Calibri"/>
                <w:bCs/>
                <w:sz w:val="20"/>
                <w:szCs w:val="20"/>
                <w:lang w:eastAsia="en-GB"/>
              </w:rPr>
            </w:pPr>
          </w:p>
          <w:p w:rsidR="0081599B" w:rsidRDefault="00585F8A" w:rsidP="0027429A">
            <w:pPr>
              <w:pStyle w:val="Default"/>
              <w:rPr>
                <w:rFonts w:ascii="Calibri" w:eastAsia="Times New Roman" w:hAnsi="Calibri" w:cs="Calibri"/>
                <w:bCs/>
                <w:sz w:val="20"/>
                <w:szCs w:val="20"/>
                <w:lang w:eastAsia="en-GB"/>
              </w:rPr>
            </w:pPr>
            <w:r w:rsidRPr="00585F8A">
              <w:rPr>
                <w:rFonts w:ascii="Calibri" w:eastAsia="Times New Roman" w:hAnsi="Calibri" w:cs="Calibri"/>
                <w:bCs/>
                <w:sz w:val="20"/>
                <w:szCs w:val="20"/>
                <w:lang w:eastAsia="en-GB"/>
              </w:rPr>
              <w:t>Dementia is a growing, global challenge. As the population ages, it has become one of the most important health and care issues facing the world. The number of people living with dementia worldwide today is estimated at 44 million people</w:t>
            </w:r>
            <w:r w:rsidR="0081599B">
              <w:rPr>
                <w:rFonts w:ascii="Calibri" w:eastAsia="Times New Roman" w:hAnsi="Calibri" w:cs="Calibri"/>
                <w:bCs/>
                <w:sz w:val="20"/>
                <w:szCs w:val="20"/>
                <w:lang w:eastAsia="en-GB"/>
              </w:rPr>
              <w:t>, set to almost double by 2030.</w:t>
            </w:r>
            <w:r w:rsidRPr="00585F8A">
              <w:rPr>
                <w:rFonts w:ascii="Calibri" w:eastAsia="Times New Roman" w:hAnsi="Calibri" w:cs="Calibri"/>
                <w:bCs/>
                <w:sz w:val="20"/>
                <w:szCs w:val="20"/>
                <w:lang w:eastAsia="en-GB"/>
              </w:rPr>
              <w:t xml:space="preserve"> In England, it is estimated that around 676,000 people have dementia. Dementia has, and will continue to have, a huge impact on people living with the condition, their carers, families and society more generally.</w:t>
            </w:r>
            <w:r w:rsidR="0081599B">
              <w:rPr>
                <w:rFonts w:ascii="Calibri" w:eastAsia="Times New Roman" w:hAnsi="Calibri" w:cs="Calibri"/>
                <w:bCs/>
                <w:sz w:val="20"/>
                <w:szCs w:val="20"/>
                <w:lang w:eastAsia="en-GB"/>
              </w:rPr>
              <w:t xml:space="preserve"> </w:t>
            </w:r>
          </w:p>
          <w:p w:rsidR="0081599B" w:rsidRDefault="0081599B" w:rsidP="0027429A">
            <w:pPr>
              <w:pStyle w:val="Default"/>
              <w:rPr>
                <w:rFonts w:ascii="Calibri" w:eastAsia="Times New Roman" w:hAnsi="Calibri" w:cs="Calibri"/>
                <w:bCs/>
                <w:sz w:val="20"/>
                <w:szCs w:val="20"/>
                <w:lang w:eastAsia="en-GB"/>
              </w:rPr>
            </w:pPr>
          </w:p>
          <w:p w:rsidR="0081599B" w:rsidRDefault="0081599B" w:rsidP="0027429A">
            <w:pPr>
              <w:pStyle w:val="Default"/>
              <w:rPr>
                <w:rFonts w:ascii="Calibri" w:eastAsia="Times New Roman" w:hAnsi="Calibri" w:cs="Calibri"/>
                <w:bCs/>
                <w:sz w:val="20"/>
                <w:szCs w:val="20"/>
                <w:lang w:eastAsia="en-GB"/>
              </w:rPr>
            </w:pPr>
            <w:r w:rsidRPr="0081599B">
              <w:rPr>
                <w:rFonts w:ascii="Calibri" w:eastAsia="Times New Roman" w:hAnsi="Calibri" w:cs="Calibri"/>
                <w:b/>
                <w:bCs/>
                <w:sz w:val="20"/>
                <w:szCs w:val="20"/>
                <w:lang w:eastAsia="en-GB"/>
              </w:rPr>
              <w:t xml:space="preserve">1.1 </w:t>
            </w:r>
            <w:r>
              <w:rPr>
                <w:rFonts w:ascii="Calibri" w:eastAsia="Times New Roman" w:hAnsi="Calibri" w:cs="Calibri"/>
                <w:b/>
                <w:bCs/>
                <w:sz w:val="20"/>
                <w:szCs w:val="20"/>
                <w:lang w:eastAsia="en-GB"/>
              </w:rPr>
              <w:t>L</w:t>
            </w:r>
            <w:r w:rsidRPr="0081599B">
              <w:rPr>
                <w:rFonts w:ascii="Calibri" w:eastAsia="Times New Roman" w:hAnsi="Calibri" w:cs="Calibri"/>
                <w:b/>
                <w:bCs/>
                <w:sz w:val="20"/>
                <w:szCs w:val="20"/>
                <w:lang w:eastAsia="en-GB"/>
              </w:rPr>
              <w:t>ocal context and evidence base</w:t>
            </w:r>
          </w:p>
          <w:p w:rsidR="0081599B" w:rsidRDefault="0081599B" w:rsidP="0027429A">
            <w:pPr>
              <w:pStyle w:val="Default"/>
              <w:rPr>
                <w:rFonts w:ascii="Calibri" w:eastAsia="Times New Roman" w:hAnsi="Calibri" w:cs="Calibri"/>
                <w:bCs/>
                <w:sz w:val="20"/>
                <w:szCs w:val="20"/>
                <w:lang w:eastAsia="en-GB"/>
              </w:rPr>
            </w:pPr>
          </w:p>
          <w:p w:rsidR="00876705" w:rsidRPr="00585F8A" w:rsidRDefault="0081599B" w:rsidP="0027429A">
            <w:pPr>
              <w:pStyle w:val="Default"/>
              <w:rPr>
                <w:rFonts w:ascii="Calibri" w:eastAsia="Times New Roman" w:hAnsi="Calibri" w:cs="Calibri"/>
                <w:bCs/>
                <w:sz w:val="20"/>
                <w:szCs w:val="20"/>
                <w:lang w:eastAsia="en-GB"/>
              </w:rPr>
            </w:pPr>
            <w:r>
              <w:rPr>
                <w:rFonts w:ascii="Calibri" w:eastAsia="Times New Roman" w:hAnsi="Calibri" w:cs="Calibri"/>
                <w:bCs/>
                <w:sz w:val="20"/>
                <w:szCs w:val="20"/>
                <w:lang w:eastAsia="en-GB"/>
              </w:rPr>
              <w:t>Dementia is a key priority within the Mental Health Workstream and Within Torbay there are 2,355 indi</w:t>
            </w:r>
            <w:r w:rsidR="00536EF0">
              <w:rPr>
                <w:rFonts w:ascii="Calibri" w:eastAsia="Times New Roman" w:hAnsi="Calibri" w:cs="Calibri"/>
                <w:bCs/>
                <w:sz w:val="20"/>
                <w:szCs w:val="20"/>
                <w:lang w:eastAsia="en-GB"/>
              </w:rPr>
              <w:t>viduals who are believed</w:t>
            </w:r>
            <w:r>
              <w:rPr>
                <w:rFonts w:ascii="Calibri" w:eastAsia="Times New Roman" w:hAnsi="Calibri" w:cs="Calibri"/>
                <w:bCs/>
                <w:sz w:val="20"/>
                <w:szCs w:val="20"/>
                <w:lang w:eastAsia="en-GB"/>
              </w:rPr>
              <w:t xml:space="preserve"> to have Dementia, based on the national prevalence rates from NHS England, of which 65.4% have a formal diagnosis. However it is known that due to the demographic within Torbay this figure is likely to increase potentially in excess of the predicted national rates that have been </w:t>
            </w:r>
            <w:r w:rsidR="007C1780">
              <w:rPr>
                <w:rFonts w:ascii="Calibri" w:eastAsia="Times New Roman" w:hAnsi="Calibri" w:cs="Calibri"/>
                <w:bCs/>
                <w:sz w:val="20"/>
                <w:szCs w:val="20"/>
                <w:lang w:eastAsia="en-GB"/>
              </w:rPr>
              <w:t>identified</w:t>
            </w:r>
            <w:r>
              <w:rPr>
                <w:rFonts w:ascii="Calibri" w:eastAsia="Times New Roman" w:hAnsi="Calibri" w:cs="Calibri"/>
                <w:bCs/>
                <w:sz w:val="20"/>
                <w:szCs w:val="20"/>
                <w:lang w:eastAsia="en-GB"/>
              </w:rPr>
              <w:t xml:space="preserve">.  </w:t>
            </w:r>
          </w:p>
          <w:p w:rsidR="00876705" w:rsidRPr="00D1216B" w:rsidRDefault="00876705" w:rsidP="0027429A">
            <w:pPr>
              <w:pStyle w:val="Default"/>
              <w:rPr>
                <w:rFonts w:ascii="Calibri" w:eastAsia="Times New Roman" w:hAnsi="Calibri" w:cs="Calibri"/>
                <w:b/>
                <w:bCs/>
                <w:sz w:val="20"/>
                <w:szCs w:val="20"/>
                <w:lang w:eastAsia="en-GB"/>
              </w:rPr>
            </w:pP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tcPr>
          <w:p w:rsidR="00091DE0" w:rsidRPr="00D1216B" w:rsidRDefault="00091DE0"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2.  Outcomes </w:t>
            </w:r>
          </w:p>
        </w:tc>
      </w:tr>
      <w:tr w:rsidR="00091DE0" w:rsidRPr="00D1216B" w:rsidTr="00876705">
        <w:trPr>
          <w:trHeight w:val="1958"/>
        </w:trPr>
        <w:tc>
          <w:tcPr>
            <w:tcW w:w="9700" w:type="dxa"/>
            <w:tcBorders>
              <w:top w:val="nil"/>
              <w:left w:val="single" w:sz="8" w:space="0" w:color="C0C0C0"/>
              <w:bottom w:val="nil"/>
              <w:right w:val="single" w:sz="8" w:space="0" w:color="C0C0C0"/>
            </w:tcBorders>
            <w:shd w:val="clear" w:color="auto" w:fill="FFFFFF" w:themeFill="background1"/>
            <w:vAlign w:val="center"/>
          </w:tcPr>
          <w:p w:rsidR="00091DE0" w:rsidRDefault="00091DE0" w:rsidP="00D1216B">
            <w:pPr>
              <w:jc w:val="both"/>
              <w:rPr>
                <w:rFonts w:ascii="Calibri" w:eastAsia="Times New Roman" w:hAnsi="Calibri" w:cs="Calibri"/>
                <w:b/>
                <w:sz w:val="20"/>
                <w:szCs w:val="20"/>
                <w:lang w:eastAsia="en-GB"/>
              </w:rPr>
            </w:pPr>
            <w:r w:rsidRPr="00091DE0">
              <w:rPr>
                <w:rFonts w:ascii="Calibri" w:eastAsia="Times New Roman" w:hAnsi="Calibri" w:cs="Calibri"/>
                <w:b/>
                <w:sz w:val="20"/>
                <w:szCs w:val="20"/>
                <w:lang w:eastAsia="en-GB"/>
              </w:rPr>
              <w:t>2.1</w:t>
            </w:r>
            <w:r w:rsidR="00CC74E0">
              <w:rPr>
                <w:rFonts w:ascii="Calibri" w:eastAsia="Times New Roman" w:hAnsi="Calibri" w:cs="Calibri"/>
                <w:b/>
                <w:sz w:val="20"/>
                <w:szCs w:val="20"/>
                <w:lang w:eastAsia="en-GB"/>
              </w:rPr>
              <w:t xml:space="preserve"> </w:t>
            </w:r>
            <w:r>
              <w:rPr>
                <w:rFonts w:ascii="Calibri" w:eastAsia="Times New Roman" w:hAnsi="Calibri" w:cs="Calibri"/>
                <w:b/>
                <w:sz w:val="20"/>
                <w:szCs w:val="20"/>
                <w:lang w:eastAsia="en-GB"/>
              </w:rPr>
              <w:t>NHS Outcomes Framework domains &amp; Indicators</w:t>
            </w:r>
            <w:r w:rsidR="005B7192">
              <w:rPr>
                <w:rFonts w:ascii="Calibri" w:eastAsia="Times New Roman" w:hAnsi="Calibri" w:cs="Calibri"/>
                <w:b/>
                <w:sz w:val="20"/>
                <w:szCs w:val="20"/>
                <w:lang w:eastAsia="en-GB"/>
              </w:rPr>
              <w:t xml:space="preserve"> </w:t>
            </w:r>
            <w:r w:rsidR="005B7192" w:rsidRPr="005B7192">
              <w:rPr>
                <w:rFonts w:ascii="Calibri" w:eastAsia="Times New Roman" w:hAnsi="Calibri" w:cs="Calibri"/>
                <w:sz w:val="20"/>
                <w:szCs w:val="20"/>
                <w:lang w:eastAsia="en-GB"/>
              </w:rPr>
              <w:t xml:space="preserve">(please highlight </w:t>
            </w:r>
            <w:r w:rsidR="00747D92">
              <w:rPr>
                <w:rFonts w:ascii="Calibri" w:eastAsia="Times New Roman" w:hAnsi="Calibri" w:cs="Calibri"/>
                <w:sz w:val="20"/>
                <w:szCs w:val="20"/>
                <w:lang w:eastAsia="en-GB"/>
              </w:rPr>
              <w:t xml:space="preserve">relevant </w:t>
            </w:r>
            <w:r w:rsidR="005B7192" w:rsidRPr="005B7192">
              <w:rPr>
                <w:rFonts w:ascii="Calibri" w:eastAsia="Times New Roman" w:hAnsi="Calibri" w:cs="Calibri"/>
                <w:sz w:val="20"/>
                <w:szCs w:val="20"/>
                <w:lang w:eastAsia="en-GB"/>
              </w:rPr>
              <w:t>domain</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and provide detail</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of the applicable measure</w:t>
            </w:r>
            <w:r w:rsidR="00747D92">
              <w:rPr>
                <w:rFonts w:ascii="Calibri" w:eastAsia="Times New Roman" w:hAnsi="Calibri" w:cs="Calibri"/>
                <w:sz w:val="20"/>
                <w:szCs w:val="20"/>
                <w:lang w:eastAsia="en-GB"/>
              </w:rPr>
              <w:t>s</w:t>
            </w:r>
            <w:r w:rsidR="005B7192" w:rsidRPr="005B7192">
              <w:rPr>
                <w:rFonts w:ascii="Calibri" w:eastAsia="Times New Roman" w:hAnsi="Calibri" w:cs="Calibri"/>
                <w:sz w:val="20"/>
                <w:szCs w:val="20"/>
                <w:lang w:eastAsia="en-GB"/>
              </w:rPr>
              <w:t xml:space="preserve">). </w:t>
            </w:r>
            <w:r w:rsidR="005B7192">
              <w:rPr>
                <w:rFonts w:ascii="Calibri" w:eastAsia="Times New Roman" w:hAnsi="Calibri" w:cs="Calibri"/>
                <w:b/>
                <w:sz w:val="20"/>
                <w:szCs w:val="20"/>
                <w:lang w:eastAsia="en-GB"/>
              </w:rPr>
              <w:t xml:space="preserve"> </w:t>
            </w:r>
          </w:p>
          <w:p w:rsidR="00CC74E0" w:rsidRDefault="00CC74E0" w:rsidP="00D1216B">
            <w:pPr>
              <w:jc w:val="both"/>
              <w:rPr>
                <w:rFonts w:ascii="Calibri" w:eastAsia="Times New Roman" w:hAnsi="Calibri" w:cs="Calibri"/>
                <w:b/>
                <w:sz w:val="20"/>
                <w:szCs w:val="20"/>
                <w:lang w:eastAsia="en-GB"/>
              </w:rPr>
            </w:pPr>
          </w:p>
          <w:p w:rsidR="00CC74E0" w:rsidRDefault="00CC74E0" w:rsidP="00D1216B">
            <w:pPr>
              <w:jc w:val="both"/>
              <w:rPr>
                <w:rFonts w:ascii="Calibri" w:eastAsia="Times New Roman" w:hAnsi="Calibri" w:cs="Calibri"/>
                <w:b/>
                <w:sz w:val="20"/>
                <w:szCs w:val="20"/>
                <w:lang w:eastAsia="en-GB"/>
              </w:rPr>
            </w:pPr>
          </w:p>
          <w:tbl>
            <w:tblPr>
              <w:tblStyle w:val="TableGrid"/>
              <w:tblpPr w:leftFromText="180" w:rightFromText="180" w:vertAnchor="text" w:horzAnchor="margin" w:tblpY="-243"/>
              <w:tblOverlap w:val="never"/>
              <w:tblW w:w="0" w:type="auto"/>
              <w:tblLook w:val="04A0" w:firstRow="1" w:lastRow="0" w:firstColumn="1" w:lastColumn="0" w:noHBand="0" w:noVBand="1"/>
            </w:tblPr>
            <w:tblGrid>
              <w:gridCol w:w="988"/>
              <w:gridCol w:w="7229"/>
              <w:gridCol w:w="998"/>
            </w:tblGrid>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1</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Preventing People from dying </w:t>
                  </w:r>
                  <w:r>
                    <w:rPr>
                      <w:rFonts w:ascii="Calibri" w:eastAsia="Times New Roman" w:hAnsi="Calibri" w:cs="Calibri"/>
                      <w:b/>
                      <w:sz w:val="16"/>
                      <w:szCs w:val="16"/>
                      <w:lang w:eastAsia="en-GB"/>
                    </w:rPr>
                    <w:t>p</w:t>
                  </w:r>
                  <w:r w:rsidRPr="00D21C40">
                    <w:rPr>
                      <w:rFonts w:ascii="Calibri" w:eastAsia="Times New Roman" w:hAnsi="Calibri" w:cs="Calibri"/>
                      <w:b/>
                      <w:sz w:val="16"/>
                      <w:szCs w:val="16"/>
                      <w:lang w:eastAsia="en-GB"/>
                    </w:rPr>
                    <w:t>r</w:t>
                  </w:r>
                  <w:r>
                    <w:rPr>
                      <w:rFonts w:ascii="Calibri" w:eastAsia="Times New Roman" w:hAnsi="Calibri" w:cs="Calibri"/>
                      <w:b/>
                      <w:sz w:val="16"/>
                      <w:szCs w:val="16"/>
                      <w:lang w:eastAsia="en-GB"/>
                    </w:rPr>
                    <w:t>e</w:t>
                  </w:r>
                  <w:r w:rsidRPr="00D21C40">
                    <w:rPr>
                      <w:rFonts w:ascii="Calibri" w:eastAsia="Times New Roman" w:hAnsi="Calibri" w:cs="Calibri"/>
                      <w:b/>
                      <w:sz w:val="16"/>
                      <w:szCs w:val="16"/>
                      <w:lang w:eastAsia="en-GB"/>
                    </w:rPr>
                    <w:t>maturely</w:t>
                  </w:r>
                </w:p>
              </w:tc>
              <w:tc>
                <w:tcPr>
                  <w:tcW w:w="998" w:type="dxa"/>
                </w:tcPr>
                <w:p w:rsidR="00CC74E0" w:rsidRPr="00D21C40" w:rsidRDefault="00CC74E0" w:rsidP="00CC74E0">
                  <w:pPr>
                    <w:jc w:val="both"/>
                    <w:rPr>
                      <w:rFonts w:ascii="Calibri" w:eastAsia="Times New Roman" w:hAnsi="Calibri" w:cs="Calibri"/>
                      <w:sz w:val="16"/>
                      <w:szCs w:val="16"/>
                      <w:lang w:eastAsia="en-GB"/>
                    </w:rPr>
                  </w:pP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2</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Enhancing quality of life for people with long-term conditions</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3</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Helping people to recover from episodes of ill health or following injury</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Domain 4</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Ensuring people have a positive experience of care</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r w:rsidR="00CC74E0" w:rsidTr="00CC74E0">
              <w:tc>
                <w:tcPr>
                  <w:tcW w:w="988"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Domain 5 </w:t>
                  </w:r>
                </w:p>
              </w:tc>
              <w:tc>
                <w:tcPr>
                  <w:tcW w:w="7229" w:type="dxa"/>
                </w:tcPr>
                <w:p w:rsidR="00CC74E0" w:rsidRPr="00D21C40" w:rsidRDefault="00CC74E0" w:rsidP="00CC74E0">
                  <w:pPr>
                    <w:jc w:val="both"/>
                    <w:rPr>
                      <w:rFonts w:ascii="Calibri" w:eastAsia="Times New Roman" w:hAnsi="Calibri" w:cs="Calibri"/>
                      <w:b/>
                      <w:sz w:val="16"/>
                      <w:szCs w:val="16"/>
                      <w:lang w:eastAsia="en-GB"/>
                    </w:rPr>
                  </w:pPr>
                  <w:r w:rsidRPr="00D21C40">
                    <w:rPr>
                      <w:rFonts w:ascii="Calibri" w:eastAsia="Times New Roman" w:hAnsi="Calibri" w:cs="Calibri"/>
                      <w:b/>
                      <w:sz w:val="16"/>
                      <w:szCs w:val="16"/>
                      <w:lang w:eastAsia="en-GB"/>
                    </w:rPr>
                    <w:t xml:space="preserve">Treating and caring for people in safe environment and protecting them from avoidable harm </w:t>
                  </w:r>
                </w:p>
              </w:tc>
              <w:tc>
                <w:tcPr>
                  <w:tcW w:w="998" w:type="dxa"/>
                </w:tcPr>
                <w:p w:rsidR="00CC74E0" w:rsidRPr="00D21C40" w:rsidRDefault="0081599B" w:rsidP="00CC74E0">
                  <w:pPr>
                    <w:jc w:val="both"/>
                    <w:rPr>
                      <w:rFonts w:ascii="Calibri" w:eastAsia="Times New Roman" w:hAnsi="Calibri" w:cs="Calibri"/>
                      <w:sz w:val="16"/>
                      <w:szCs w:val="16"/>
                      <w:lang w:eastAsia="en-GB"/>
                    </w:rPr>
                  </w:pPr>
                  <w:r>
                    <w:rPr>
                      <w:rFonts w:ascii="Calibri" w:eastAsia="Times New Roman" w:hAnsi="Calibri" w:cs="Calibri"/>
                      <w:sz w:val="16"/>
                      <w:szCs w:val="16"/>
                      <w:lang w:eastAsia="en-GB"/>
                    </w:rPr>
                    <w:t>X</w:t>
                  </w:r>
                </w:p>
              </w:tc>
            </w:tr>
          </w:tbl>
          <w:p w:rsidR="00984B4F" w:rsidRPr="00091DE0" w:rsidRDefault="00984B4F" w:rsidP="00D1216B">
            <w:pPr>
              <w:jc w:val="both"/>
              <w:rPr>
                <w:rFonts w:ascii="Calibri" w:eastAsia="Times New Roman" w:hAnsi="Calibri" w:cs="Calibri"/>
                <w:b/>
                <w:sz w:val="20"/>
                <w:szCs w:val="20"/>
                <w:lang w:eastAsia="en-GB"/>
              </w:rPr>
            </w:pP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091DE0" w:rsidRDefault="00091DE0" w:rsidP="00D1216B">
            <w:pPr>
              <w:jc w:val="both"/>
              <w:rPr>
                <w:rFonts w:ascii="Calibri" w:eastAsia="Times New Roman" w:hAnsi="Calibri" w:cs="Calibri"/>
                <w:b/>
                <w:sz w:val="20"/>
                <w:szCs w:val="20"/>
                <w:lang w:eastAsia="en-GB"/>
              </w:rPr>
            </w:pPr>
            <w:r>
              <w:rPr>
                <w:rFonts w:ascii="Calibri" w:eastAsia="Times New Roman" w:hAnsi="Calibri" w:cs="Calibri"/>
                <w:b/>
                <w:sz w:val="20"/>
                <w:szCs w:val="20"/>
                <w:lang w:eastAsia="en-GB"/>
              </w:rPr>
              <w:t>2.2 Locally defined outcomes</w:t>
            </w:r>
          </w:p>
          <w:p w:rsidR="007215BF" w:rsidRDefault="007215BF" w:rsidP="00D1216B">
            <w:pPr>
              <w:jc w:val="both"/>
              <w:rPr>
                <w:rFonts w:ascii="Calibri" w:eastAsia="Times New Roman" w:hAnsi="Calibri" w:cs="Calibri"/>
                <w:b/>
                <w:sz w:val="20"/>
                <w:szCs w:val="20"/>
                <w:lang w:eastAsia="en-GB"/>
              </w:rPr>
            </w:pPr>
          </w:p>
          <w:p w:rsidR="007215BF" w:rsidRPr="002C3B81" w:rsidRDefault="002C3B81" w:rsidP="002C3B81">
            <w:pPr>
              <w:pStyle w:val="ListParagraph"/>
              <w:numPr>
                <w:ilvl w:val="0"/>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 xml:space="preserve">Individuals with Dementia and their carers will have the opportunity to meet regularly with other people </w:t>
            </w:r>
            <w:r>
              <w:rPr>
                <w:rFonts w:ascii="Calibri" w:eastAsia="Times New Roman" w:hAnsi="Calibri" w:cs="Calibri"/>
                <w:sz w:val="20"/>
                <w:szCs w:val="20"/>
                <w:lang w:eastAsia="en-GB"/>
              </w:rPr>
              <w:t>impacted by the condition</w:t>
            </w:r>
          </w:p>
          <w:p w:rsidR="002C3B81" w:rsidRPr="002C3B81" w:rsidRDefault="002C3B81" w:rsidP="002C3B81">
            <w:pPr>
              <w:pStyle w:val="ListParagraph"/>
              <w:numPr>
                <w:ilvl w:val="0"/>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An informal learning environment which provides:</w:t>
            </w:r>
          </w:p>
          <w:p w:rsidR="002C3B81" w:rsidRPr="002C3B81" w:rsidRDefault="002C3B81" w:rsidP="002C3B81">
            <w:pPr>
              <w:pStyle w:val="ListParagraph"/>
              <w:numPr>
                <w:ilvl w:val="1"/>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Information about Dementia</w:t>
            </w:r>
          </w:p>
          <w:p w:rsidR="002C3B81" w:rsidRPr="002C3B81" w:rsidRDefault="002C3B81" w:rsidP="002C3B81">
            <w:pPr>
              <w:pStyle w:val="ListParagraph"/>
              <w:numPr>
                <w:ilvl w:val="1"/>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Practical advice and tips in relation to living well with Dementia</w:t>
            </w:r>
          </w:p>
          <w:p w:rsidR="002C3B81" w:rsidRPr="002C3B81" w:rsidRDefault="002C3B81" w:rsidP="002C3B81">
            <w:pPr>
              <w:pStyle w:val="ListParagraph"/>
              <w:numPr>
                <w:ilvl w:val="1"/>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Reducing social isolation</w:t>
            </w:r>
          </w:p>
          <w:p w:rsidR="002C3B81" w:rsidRDefault="002C3B81" w:rsidP="002C3B81">
            <w:pPr>
              <w:pStyle w:val="ListParagraph"/>
              <w:numPr>
                <w:ilvl w:val="0"/>
                <w:numId w:val="24"/>
              </w:numPr>
              <w:jc w:val="both"/>
              <w:rPr>
                <w:rFonts w:ascii="Calibri" w:eastAsia="Times New Roman" w:hAnsi="Calibri" w:cs="Calibri"/>
                <w:sz w:val="20"/>
                <w:szCs w:val="20"/>
                <w:lang w:eastAsia="en-GB"/>
              </w:rPr>
            </w:pPr>
            <w:r w:rsidRPr="002C3B81">
              <w:rPr>
                <w:rFonts w:ascii="Calibri" w:eastAsia="Times New Roman" w:hAnsi="Calibri" w:cs="Calibri"/>
                <w:sz w:val="20"/>
                <w:szCs w:val="20"/>
                <w:lang w:eastAsia="en-GB"/>
              </w:rPr>
              <w:t>Individuals with Dementia</w:t>
            </w:r>
            <w:r>
              <w:rPr>
                <w:rFonts w:ascii="Calibri" w:eastAsia="Times New Roman" w:hAnsi="Calibri" w:cs="Calibri"/>
                <w:sz w:val="20"/>
                <w:szCs w:val="20"/>
                <w:lang w:eastAsia="en-GB"/>
              </w:rPr>
              <w:t xml:space="preserve"> and their carers are supported to access services and assistance</w:t>
            </w:r>
          </w:p>
          <w:p w:rsidR="002C3B81" w:rsidRDefault="002C3B81" w:rsidP="002C3B81">
            <w:pPr>
              <w:pStyle w:val="ListParagraph"/>
              <w:numPr>
                <w:ilvl w:val="0"/>
                <w:numId w:val="24"/>
              </w:numPr>
              <w:jc w:val="both"/>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Assisting in reducing the stigma of a Dementia diagnosis </w:t>
            </w:r>
          </w:p>
          <w:p w:rsidR="002C3B81" w:rsidRDefault="002C3B81" w:rsidP="002C3B81">
            <w:pPr>
              <w:pStyle w:val="ListParagraph"/>
              <w:numPr>
                <w:ilvl w:val="0"/>
                <w:numId w:val="24"/>
              </w:numPr>
              <w:jc w:val="both"/>
              <w:rPr>
                <w:rFonts w:ascii="Calibri" w:eastAsia="Times New Roman" w:hAnsi="Calibri" w:cs="Calibri"/>
                <w:sz w:val="20"/>
                <w:szCs w:val="20"/>
                <w:lang w:eastAsia="en-GB"/>
              </w:rPr>
            </w:pPr>
            <w:r>
              <w:rPr>
                <w:rFonts w:ascii="Calibri" w:eastAsia="Times New Roman" w:hAnsi="Calibri" w:cs="Calibri"/>
                <w:sz w:val="20"/>
                <w:szCs w:val="20"/>
                <w:lang w:eastAsia="en-GB"/>
              </w:rPr>
              <w:t>Assisting in improving community connectiveness for Individuals living with Dementia and their carers</w:t>
            </w:r>
          </w:p>
          <w:p w:rsidR="002C3B81" w:rsidRDefault="002C3B81" w:rsidP="002C3B81">
            <w:pPr>
              <w:pStyle w:val="ListParagraph"/>
              <w:numPr>
                <w:ilvl w:val="0"/>
                <w:numId w:val="24"/>
              </w:numPr>
              <w:jc w:val="both"/>
              <w:rPr>
                <w:rFonts w:ascii="Calibri" w:eastAsia="Times New Roman" w:hAnsi="Calibri" w:cs="Calibri"/>
                <w:sz w:val="20"/>
                <w:szCs w:val="20"/>
                <w:lang w:eastAsia="en-GB"/>
              </w:rPr>
            </w:pPr>
            <w:r>
              <w:rPr>
                <w:rFonts w:ascii="Calibri" w:eastAsia="Times New Roman" w:hAnsi="Calibri" w:cs="Calibri"/>
                <w:sz w:val="20"/>
                <w:szCs w:val="20"/>
                <w:lang w:eastAsia="en-GB"/>
              </w:rPr>
              <w:t>Improved carer resilience</w:t>
            </w:r>
          </w:p>
          <w:p w:rsidR="007215BF" w:rsidRPr="002C3B81" w:rsidRDefault="002C3B81" w:rsidP="00D1216B">
            <w:pPr>
              <w:pStyle w:val="ListParagraph"/>
              <w:numPr>
                <w:ilvl w:val="0"/>
                <w:numId w:val="24"/>
              </w:numPr>
              <w:jc w:val="both"/>
              <w:rPr>
                <w:rFonts w:ascii="Calibri" w:eastAsia="Times New Roman" w:hAnsi="Calibri" w:cs="Calibri"/>
                <w:sz w:val="20"/>
                <w:szCs w:val="20"/>
                <w:lang w:eastAsia="en-GB"/>
              </w:rPr>
            </w:pPr>
            <w:r>
              <w:rPr>
                <w:rFonts w:ascii="Calibri" w:eastAsia="Times New Roman" w:hAnsi="Calibri" w:cs="Calibri"/>
                <w:sz w:val="20"/>
                <w:szCs w:val="20"/>
                <w:lang w:eastAsia="en-GB"/>
              </w:rPr>
              <w:t>Improved choice and control for individuals living with Dementia</w:t>
            </w:r>
          </w:p>
        </w:tc>
      </w:tr>
      <w:tr w:rsidR="00091DE0"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Pr="00091DE0" w:rsidRDefault="00984B4F" w:rsidP="00E21FA9">
            <w:pPr>
              <w:jc w:val="both"/>
              <w:rPr>
                <w:rFonts w:ascii="Calibri" w:eastAsia="Times New Roman" w:hAnsi="Calibri" w:cs="Calibri"/>
                <w:b/>
                <w:sz w:val="20"/>
                <w:szCs w:val="20"/>
                <w:lang w:eastAsia="en-GB"/>
              </w:rPr>
            </w:pPr>
          </w:p>
        </w:tc>
      </w:tr>
      <w:tr w:rsidR="00D1216B"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D1216B" w:rsidRPr="00D1216B" w:rsidRDefault="00091DE0"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3. </w:t>
            </w:r>
            <w:r w:rsidR="005B7192">
              <w:rPr>
                <w:rFonts w:ascii="Calibri" w:eastAsia="Times New Roman" w:hAnsi="Calibri" w:cs="Calibri"/>
                <w:color w:val="FFFFFF"/>
                <w:sz w:val="20"/>
                <w:szCs w:val="20"/>
                <w:lang w:eastAsia="en-GB"/>
              </w:rPr>
              <w:t xml:space="preserve"> Scope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7215BF" w:rsidRDefault="00984B4F" w:rsidP="007215BF">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.1 Aims and objectives of service</w:t>
            </w:r>
          </w:p>
          <w:p w:rsidR="007215BF" w:rsidRDefault="007215BF" w:rsidP="007215BF">
            <w:pPr>
              <w:rPr>
                <w:rFonts w:ascii="Calibri" w:eastAsia="Times New Roman" w:hAnsi="Calibri" w:cs="Calibri"/>
                <w:b/>
                <w:bCs/>
                <w:sz w:val="20"/>
                <w:szCs w:val="20"/>
                <w:lang w:eastAsia="en-GB"/>
              </w:rPr>
            </w:pPr>
          </w:p>
          <w:p w:rsidR="007215BF" w:rsidRDefault="007C1780" w:rsidP="007215BF">
            <w:pPr>
              <w:rPr>
                <w:rFonts w:ascii="Calibri" w:eastAsia="Times New Roman" w:hAnsi="Calibri" w:cs="Calibri"/>
                <w:bCs/>
                <w:sz w:val="20"/>
                <w:szCs w:val="20"/>
                <w:lang w:eastAsia="en-GB"/>
              </w:rPr>
            </w:pPr>
            <w:r w:rsidRPr="007C1780">
              <w:rPr>
                <w:rFonts w:ascii="Calibri" w:eastAsia="Times New Roman" w:hAnsi="Calibri" w:cs="Calibri"/>
                <w:bCs/>
                <w:sz w:val="20"/>
                <w:szCs w:val="20"/>
                <w:lang w:eastAsia="en-GB"/>
              </w:rPr>
              <w:t xml:space="preserve">The aim of the service is to provide connectivity for individuals with Dementia and their family/carers as well as with their local community and neighbourhood. This service will provide a consistent and regular meeting point for the service users as well as information on local and national services and activities which individuals can participate in. The aim of the service is to provide a peer support network to assist in reducing social isolation for individuals, their carers and families. </w:t>
            </w:r>
          </w:p>
          <w:p w:rsidR="007C1780" w:rsidRDefault="007C1780" w:rsidP="007215BF">
            <w:pPr>
              <w:rPr>
                <w:rFonts w:ascii="Calibri" w:eastAsia="Times New Roman" w:hAnsi="Calibri" w:cs="Calibri"/>
                <w:bCs/>
                <w:sz w:val="20"/>
                <w:szCs w:val="20"/>
                <w:lang w:eastAsia="en-GB"/>
              </w:rPr>
            </w:pPr>
          </w:p>
          <w:p w:rsidR="007C1780" w:rsidRPr="007C1780" w:rsidRDefault="007C1780" w:rsidP="007215BF">
            <w:pPr>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Feedback from current users of existing services has highlighted the benefits of these groups, in terms of activities provided, information and support as well as having </w:t>
            </w:r>
            <w:r w:rsidR="00117669">
              <w:rPr>
                <w:rFonts w:ascii="Calibri" w:eastAsia="Times New Roman" w:hAnsi="Calibri" w:cs="Calibri"/>
                <w:bCs/>
                <w:sz w:val="20"/>
                <w:szCs w:val="20"/>
                <w:lang w:eastAsia="en-GB"/>
              </w:rPr>
              <w:t xml:space="preserve">the knowledge that this is regular weekly meeting point. Suggestions have been made as to how the current service can be improved and these have been incorporated into the service description. </w:t>
            </w:r>
          </w:p>
          <w:p w:rsidR="007215BF" w:rsidRPr="00D1216B" w:rsidRDefault="007215BF" w:rsidP="007215BF">
            <w:pPr>
              <w:rPr>
                <w:rFonts w:ascii="Calibri" w:eastAsia="Times New Roman" w:hAnsi="Calibri" w:cs="Calibri"/>
                <w:b/>
                <w:bCs/>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color w:val="808080" w:themeColor="background1" w:themeShade="80"/>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984B4F" w:rsidP="00212884">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.2 Service description/care pathway</w:t>
            </w:r>
          </w:p>
          <w:p w:rsidR="00550F7D" w:rsidRDefault="00550F7D" w:rsidP="00212884">
            <w:pPr>
              <w:rPr>
                <w:rFonts w:ascii="Calibri" w:eastAsia="Times New Roman" w:hAnsi="Calibri" w:cs="Calibri"/>
                <w:b/>
                <w:bCs/>
                <w:sz w:val="20"/>
                <w:szCs w:val="20"/>
                <w:lang w:eastAsia="en-GB"/>
              </w:rPr>
            </w:pPr>
          </w:p>
          <w:p w:rsidR="007215BF" w:rsidRDefault="001D0F1E" w:rsidP="00212884">
            <w:pPr>
              <w:rPr>
                <w:rFonts w:ascii="Calibri" w:eastAsia="Times New Roman" w:hAnsi="Calibri" w:cs="Calibri"/>
                <w:bCs/>
                <w:sz w:val="20"/>
                <w:szCs w:val="20"/>
                <w:lang w:eastAsia="en-GB"/>
              </w:rPr>
            </w:pPr>
            <w:r w:rsidRPr="00BE7D84">
              <w:rPr>
                <w:rFonts w:ascii="Calibri" w:eastAsia="Times New Roman" w:hAnsi="Calibri" w:cs="Calibri"/>
                <w:bCs/>
                <w:sz w:val="20"/>
                <w:szCs w:val="20"/>
                <w:lang w:eastAsia="en-GB"/>
              </w:rPr>
              <w:t xml:space="preserve">The provider will be commissioned to provide and facilitate a </w:t>
            </w:r>
            <w:r w:rsidR="00BE7D84" w:rsidRPr="00BE7D84">
              <w:rPr>
                <w:rFonts w:ascii="Calibri" w:eastAsia="Times New Roman" w:hAnsi="Calibri" w:cs="Calibri"/>
                <w:bCs/>
                <w:sz w:val="20"/>
                <w:szCs w:val="20"/>
                <w:lang w:eastAsia="en-GB"/>
              </w:rPr>
              <w:t xml:space="preserve">weekly </w:t>
            </w:r>
            <w:r w:rsidRPr="00BE7D84">
              <w:rPr>
                <w:rFonts w:ascii="Calibri" w:eastAsia="Times New Roman" w:hAnsi="Calibri" w:cs="Calibri"/>
                <w:bCs/>
                <w:sz w:val="20"/>
                <w:szCs w:val="20"/>
                <w:lang w:eastAsia="en-GB"/>
              </w:rPr>
              <w:t>memory café style service for residents within To</w:t>
            </w:r>
            <w:r w:rsidR="00BE7D84" w:rsidRPr="00BE7D84">
              <w:rPr>
                <w:rFonts w:ascii="Calibri" w:eastAsia="Times New Roman" w:hAnsi="Calibri" w:cs="Calibri"/>
                <w:bCs/>
                <w:sz w:val="20"/>
                <w:szCs w:val="20"/>
                <w:lang w:eastAsia="en-GB"/>
              </w:rPr>
              <w:t xml:space="preserve">rbay, across each of the three towns, Torquay, Paignton and Brixham. </w:t>
            </w:r>
            <w:r w:rsidR="007C1780">
              <w:rPr>
                <w:rFonts w:ascii="Calibri" w:eastAsia="Times New Roman" w:hAnsi="Calibri" w:cs="Calibri"/>
                <w:bCs/>
                <w:sz w:val="20"/>
                <w:szCs w:val="20"/>
                <w:lang w:eastAsia="en-GB"/>
              </w:rPr>
              <w:t>The sessions are expected to last for at least two hours and will be incorporate the following</w:t>
            </w:r>
            <w:r w:rsidR="00117669">
              <w:rPr>
                <w:rFonts w:ascii="Calibri" w:eastAsia="Times New Roman" w:hAnsi="Calibri" w:cs="Calibri"/>
                <w:bCs/>
                <w:sz w:val="20"/>
                <w:szCs w:val="20"/>
                <w:lang w:eastAsia="en-GB"/>
              </w:rPr>
              <w:t>:</w:t>
            </w:r>
          </w:p>
          <w:p w:rsidR="00BE7D84" w:rsidRPr="00117669" w:rsidRDefault="00BE7D84" w:rsidP="00117669">
            <w:pPr>
              <w:pStyle w:val="ListParagraph"/>
              <w:numPr>
                <w:ilvl w:val="0"/>
                <w:numId w:val="25"/>
              </w:numPr>
              <w:rPr>
                <w:rFonts w:ascii="Calibri" w:eastAsia="Times New Roman" w:hAnsi="Calibri" w:cs="Calibri"/>
                <w:bCs/>
                <w:sz w:val="20"/>
                <w:szCs w:val="20"/>
                <w:lang w:eastAsia="en-GB"/>
              </w:rPr>
            </w:pPr>
            <w:r w:rsidRPr="00117669">
              <w:rPr>
                <w:rFonts w:ascii="Calibri" w:eastAsia="Times New Roman" w:hAnsi="Calibri" w:cs="Calibri"/>
                <w:bCs/>
                <w:sz w:val="20"/>
                <w:szCs w:val="20"/>
                <w:lang w:eastAsia="en-GB"/>
              </w:rPr>
              <w:t>Activities</w:t>
            </w:r>
            <w:r w:rsidR="00117669" w:rsidRPr="00117669">
              <w:rPr>
                <w:rFonts w:ascii="Calibri" w:eastAsia="Times New Roman" w:hAnsi="Calibri" w:cs="Calibri"/>
                <w:bCs/>
                <w:sz w:val="20"/>
                <w:szCs w:val="20"/>
                <w:lang w:eastAsia="en-GB"/>
              </w:rPr>
              <w:t xml:space="preserve"> (to include a variety of activities which are suitable for the individuals attending)</w:t>
            </w:r>
          </w:p>
          <w:p w:rsidR="007C1780" w:rsidRPr="00117669" w:rsidRDefault="007C1780" w:rsidP="00117669">
            <w:pPr>
              <w:pStyle w:val="ListParagraph"/>
              <w:numPr>
                <w:ilvl w:val="0"/>
                <w:numId w:val="25"/>
              </w:numPr>
              <w:rPr>
                <w:rFonts w:ascii="Calibri" w:eastAsia="Times New Roman" w:hAnsi="Calibri" w:cs="Calibri"/>
                <w:bCs/>
                <w:sz w:val="20"/>
                <w:szCs w:val="20"/>
                <w:lang w:eastAsia="en-GB"/>
              </w:rPr>
            </w:pPr>
            <w:r w:rsidRPr="00117669">
              <w:rPr>
                <w:rFonts w:ascii="Calibri" w:eastAsia="Times New Roman" w:hAnsi="Calibri" w:cs="Calibri"/>
                <w:bCs/>
                <w:sz w:val="20"/>
                <w:szCs w:val="20"/>
                <w:lang w:eastAsia="en-GB"/>
              </w:rPr>
              <w:t>Outdoor activities, where appropriate (such as Dementia Friendly walks)</w:t>
            </w:r>
          </w:p>
          <w:p w:rsidR="00BE7D84" w:rsidRPr="00117669" w:rsidRDefault="00BE7D84" w:rsidP="00117669">
            <w:pPr>
              <w:pStyle w:val="ListParagraph"/>
              <w:numPr>
                <w:ilvl w:val="0"/>
                <w:numId w:val="25"/>
              </w:numPr>
              <w:rPr>
                <w:rFonts w:ascii="Calibri" w:eastAsia="Times New Roman" w:hAnsi="Calibri" w:cs="Calibri"/>
                <w:bCs/>
                <w:sz w:val="20"/>
                <w:szCs w:val="20"/>
                <w:lang w:eastAsia="en-GB"/>
              </w:rPr>
            </w:pPr>
            <w:r w:rsidRPr="00117669">
              <w:rPr>
                <w:rFonts w:ascii="Calibri" w:eastAsia="Times New Roman" w:hAnsi="Calibri" w:cs="Calibri"/>
                <w:bCs/>
                <w:sz w:val="20"/>
                <w:szCs w:val="20"/>
                <w:lang w:eastAsia="en-GB"/>
              </w:rPr>
              <w:t>Information</w:t>
            </w:r>
          </w:p>
          <w:p w:rsidR="00BE7D84" w:rsidRPr="00117669" w:rsidRDefault="00BE7D84" w:rsidP="00117669">
            <w:pPr>
              <w:pStyle w:val="ListParagraph"/>
              <w:numPr>
                <w:ilvl w:val="0"/>
                <w:numId w:val="25"/>
              </w:numPr>
              <w:rPr>
                <w:rFonts w:ascii="Calibri" w:eastAsia="Times New Roman" w:hAnsi="Calibri" w:cs="Calibri"/>
                <w:bCs/>
                <w:sz w:val="20"/>
                <w:szCs w:val="20"/>
                <w:lang w:eastAsia="en-GB"/>
              </w:rPr>
            </w:pPr>
            <w:r w:rsidRPr="00117669">
              <w:rPr>
                <w:rFonts w:ascii="Calibri" w:eastAsia="Times New Roman" w:hAnsi="Calibri" w:cs="Calibri"/>
                <w:bCs/>
                <w:sz w:val="20"/>
                <w:szCs w:val="20"/>
                <w:lang w:eastAsia="en-GB"/>
              </w:rPr>
              <w:t>Refreshments</w:t>
            </w:r>
          </w:p>
          <w:p w:rsidR="00BE7D84" w:rsidRDefault="00BE7D84" w:rsidP="00212884">
            <w:pPr>
              <w:rPr>
                <w:rFonts w:ascii="Calibri" w:eastAsia="Times New Roman" w:hAnsi="Calibri" w:cs="Calibri"/>
                <w:bCs/>
                <w:sz w:val="20"/>
                <w:szCs w:val="20"/>
                <w:lang w:eastAsia="en-GB"/>
              </w:rPr>
            </w:pPr>
          </w:p>
          <w:p w:rsidR="00117669" w:rsidRDefault="00117669"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Feedback from the existing groups have suggested that they would like to be involved in defining the activity programme and would bene</w:t>
            </w:r>
            <w:r w:rsidR="00153871">
              <w:rPr>
                <w:rFonts w:ascii="Calibri" w:eastAsia="Times New Roman" w:hAnsi="Calibri" w:cs="Calibri"/>
                <w:bCs/>
                <w:sz w:val="20"/>
                <w:szCs w:val="20"/>
                <w:lang w:eastAsia="en-GB"/>
              </w:rPr>
              <w:t>fit from more than one activity</w:t>
            </w:r>
            <w:r>
              <w:rPr>
                <w:rFonts w:ascii="Calibri" w:eastAsia="Times New Roman" w:hAnsi="Calibri" w:cs="Calibri"/>
                <w:bCs/>
                <w:sz w:val="20"/>
                <w:szCs w:val="20"/>
                <w:lang w:eastAsia="en-GB"/>
              </w:rPr>
              <w:t xml:space="preserve"> happening at once, so individuals can chose what they would like to do. A</w:t>
            </w:r>
            <w:r w:rsidR="00153871">
              <w:rPr>
                <w:rFonts w:ascii="Calibri" w:eastAsia="Times New Roman" w:hAnsi="Calibri" w:cs="Calibri"/>
                <w:bCs/>
                <w:sz w:val="20"/>
                <w:szCs w:val="20"/>
                <w:lang w:eastAsia="en-GB"/>
              </w:rPr>
              <w:t xml:space="preserve">in addition there be </w:t>
            </w:r>
            <w:r>
              <w:rPr>
                <w:rFonts w:ascii="Calibri" w:eastAsia="Times New Roman" w:hAnsi="Calibri" w:cs="Calibri"/>
                <w:bCs/>
                <w:sz w:val="20"/>
                <w:szCs w:val="20"/>
                <w:lang w:eastAsia="en-GB"/>
              </w:rPr>
              <w:t xml:space="preserve">activities such as being able to watch short films, tea dances, talks and visits from various supporting agencies to assist in providing information and support to both the individual and their carers/families. </w:t>
            </w:r>
          </w:p>
          <w:p w:rsidR="00117669" w:rsidRDefault="00117669" w:rsidP="00212884">
            <w:pPr>
              <w:rPr>
                <w:rFonts w:ascii="Calibri" w:eastAsia="Times New Roman" w:hAnsi="Calibri" w:cs="Calibri"/>
                <w:bCs/>
                <w:sz w:val="20"/>
                <w:szCs w:val="20"/>
                <w:lang w:eastAsia="en-GB"/>
              </w:rPr>
            </w:pPr>
          </w:p>
          <w:p w:rsidR="00BE7D84" w:rsidRPr="00BE7D84" w:rsidRDefault="00BE7D84"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There is an expectation that a voluntary contribution</w:t>
            </w:r>
            <w:r w:rsidR="00117669">
              <w:rPr>
                <w:rFonts w:ascii="Calibri" w:eastAsia="Times New Roman" w:hAnsi="Calibri" w:cs="Calibri"/>
                <w:bCs/>
                <w:sz w:val="20"/>
                <w:szCs w:val="20"/>
                <w:lang w:eastAsia="en-GB"/>
              </w:rPr>
              <w:t xml:space="preserve"> will be provided by those attending, which is suggested at £1 per individual with Dementia per session. However individuals will still be able to access the Memory Café if they are unable to contribute to this. </w:t>
            </w:r>
            <w:r>
              <w:rPr>
                <w:rFonts w:ascii="Calibri" w:eastAsia="Times New Roman" w:hAnsi="Calibri" w:cs="Calibri"/>
                <w:bCs/>
                <w:sz w:val="20"/>
                <w:szCs w:val="20"/>
                <w:lang w:eastAsia="en-GB"/>
              </w:rPr>
              <w:t xml:space="preserve"> </w:t>
            </w:r>
          </w:p>
          <w:p w:rsidR="007215BF" w:rsidRPr="00117669" w:rsidRDefault="007215BF" w:rsidP="00212884">
            <w:pPr>
              <w:rPr>
                <w:rFonts w:ascii="Calibri" w:eastAsia="Times New Roman" w:hAnsi="Calibri" w:cs="Calibri"/>
                <w:bCs/>
                <w:sz w:val="20"/>
                <w:szCs w:val="20"/>
                <w:lang w:eastAsia="en-GB"/>
              </w:rPr>
            </w:pPr>
          </w:p>
          <w:p w:rsidR="007215BF" w:rsidRDefault="00117669" w:rsidP="00212884">
            <w:pPr>
              <w:rPr>
                <w:rFonts w:ascii="Calibri" w:eastAsia="Times New Roman" w:hAnsi="Calibri" w:cs="Calibri"/>
                <w:bCs/>
                <w:sz w:val="20"/>
                <w:szCs w:val="20"/>
                <w:lang w:eastAsia="en-GB"/>
              </w:rPr>
            </w:pPr>
            <w:r w:rsidRPr="00117669">
              <w:rPr>
                <w:rFonts w:ascii="Calibri" w:eastAsia="Times New Roman" w:hAnsi="Calibri" w:cs="Calibri"/>
                <w:bCs/>
                <w:sz w:val="20"/>
                <w:szCs w:val="20"/>
                <w:lang w:eastAsia="en-GB"/>
              </w:rPr>
              <w:t xml:space="preserve">One of the key aspects of this is that the Memory Cafes should be accessible, close to local bus routes as well as being accessible for those who have physical disabilities. Any future venues must ensure that this is maintained. </w:t>
            </w:r>
          </w:p>
          <w:p w:rsidR="00117669" w:rsidRDefault="00117669" w:rsidP="00212884">
            <w:pPr>
              <w:rPr>
                <w:rFonts w:ascii="Calibri" w:eastAsia="Times New Roman" w:hAnsi="Calibri" w:cs="Calibri"/>
                <w:bCs/>
                <w:sz w:val="20"/>
                <w:szCs w:val="20"/>
                <w:lang w:eastAsia="en-GB"/>
              </w:rPr>
            </w:pPr>
          </w:p>
          <w:p w:rsidR="007215BF" w:rsidRPr="00117669" w:rsidRDefault="00117669" w:rsidP="00212884">
            <w:pPr>
              <w:rPr>
                <w:rFonts w:ascii="Calibri" w:eastAsia="Times New Roman" w:hAnsi="Calibri" w:cs="Calibri"/>
                <w:bCs/>
                <w:sz w:val="20"/>
                <w:szCs w:val="20"/>
                <w:lang w:eastAsia="en-GB"/>
              </w:rPr>
            </w:pPr>
            <w:r>
              <w:rPr>
                <w:rFonts w:ascii="Calibri" w:eastAsia="Times New Roman" w:hAnsi="Calibri" w:cs="Calibri"/>
                <w:bCs/>
                <w:sz w:val="20"/>
                <w:szCs w:val="20"/>
                <w:lang w:eastAsia="en-GB"/>
              </w:rPr>
              <w:t xml:space="preserve">There is no requirement for the name of the service to remain as a Memory Café, however any new title should make it clear and accessible to the group that it will be serving.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984B4F" w:rsidP="00212884">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.3 Population covered</w:t>
            </w:r>
          </w:p>
          <w:p w:rsidR="00550F7D" w:rsidRDefault="00550F7D" w:rsidP="00550F7D">
            <w:pPr>
              <w:rPr>
                <w:rFonts w:ascii="Calibri" w:eastAsia="Times New Roman" w:hAnsi="Calibri" w:cs="Calibri"/>
                <w:b/>
                <w:bCs/>
                <w:sz w:val="20"/>
                <w:szCs w:val="20"/>
                <w:lang w:eastAsia="en-GB"/>
              </w:rPr>
            </w:pPr>
          </w:p>
          <w:p w:rsidR="007215BF" w:rsidRPr="00536EF0" w:rsidRDefault="00536EF0" w:rsidP="00550F7D">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 xml:space="preserve">This service will cover the geographical area of Torbay, which includes the towns of Torquay, Paignton and Brixham, of which there are approximately 1500 individuals with a formal diagnosis of Dementia.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rPr>
                <w:rFonts w:ascii="Calibri" w:eastAsia="Times New Roman" w:hAnsi="Calibri" w:cs="Calibri"/>
                <w:bCs/>
                <w:i/>
                <w:color w:val="A6A6A6" w:themeColor="background1" w:themeShade="A6"/>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984B4F" w:rsidP="00212884">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3</w:t>
            </w:r>
            <w:r w:rsidRPr="00D1216B">
              <w:rPr>
                <w:rFonts w:ascii="Calibri" w:eastAsia="Times New Roman" w:hAnsi="Calibri" w:cs="Calibri"/>
                <w:b/>
                <w:bCs/>
                <w:sz w:val="20"/>
                <w:szCs w:val="20"/>
                <w:lang w:eastAsia="en-GB"/>
              </w:rPr>
              <w:t xml:space="preserve">.4 Any acceptance and exclusion criteria </w:t>
            </w:r>
            <w:r w:rsidR="00B2049D">
              <w:rPr>
                <w:rFonts w:ascii="Calibri" w:eastAsia="Times New Roman" w:hAnsi="Calibri" w:cs="Calibri"/>
                <w:b/>
                <w:bCs/>
                <w:sz w:val="20"/>
                <w:szCs w:val="20"/>
                <w:lang w:eastAsia="en-GB"/>
              </w:rPr>
              <w:t>and thresholds</w:t>
            </w:r>
          </w:p>
          <w:p w:rsidR="00550F7D" w:rsidRDefault="00550F7D" w:rsidP="00212884">
            <w:pPr>
              <w:rPr>
                <w:rFonts w:ascii="Calibri" w:eastAsia="Times New Roman" w:hAnsi="Calibri" w:cs="Calibri"/>
                <w:b/>
                <w:bCs/>
                <w:sz w:val="20"/>
                <w:szCs w:val="20"/>
                <w:lang w:eastAsia="en-GB"/>
              </w:rPr>
            </w:pPr>
          </w:p>
          <w:p w:rsidR="00550F7D" w:rsidRPr="00536EF0" w:rsidRDefault="00536EF0" w:rsidP="0027429A">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 xml:space="preserve">Individuals living in Torbay and/or who are registered with a Torbay GP who have a diagnosis of Dementia or who are concerned about their memory as well as the families/carers of these individuals. The service is provided for the </w:t>
            </w:r>
            <w:r w:rsidRPr="00536EF0">
              <w:rPr>
                <w:rFonts w:ascii="Calibri" w:eastAsia="Times New Roman" w:hAnsi="Calibri" w:cs="Calibri"/>
                <w:bCs/>
                <w:sz w:val="20"/>
                <w:szCs w:val="20"/>
                <w:lang w:eastAsia="en-GB"/>
              </w:rPr>
              <w:lastRenderedPageBreak/>
              <w:t xml:space="preserve">individual living with Dementia as the first priority. </w:t>
            </w:r>
          </w:p>
          <w:p w:rsidR="00536EF0" w:rsidRPr="00536EF0" w:rsidRDefault="00536EF0" w:rsidP="0027429A">
            <w:pPr>
              <w:rPr>
                <w:rFonts w:ascii="Calibri" w:eastAsia="Times New Roman" w:hAnsi="Calibri" w:cs="Calibri"/>
                <w:bCs/>
                <w:sz w:val="20"/>
                <w:szCs w:val="20"/>
                <w:lang w:eastAsia="en-GB"/>
              </w:rPr>
            </w:pPr>
          </w:p>
          <w:p w:rsidR="00536EF0" w:rsidRPr="00536EF0" w:rsidRDefault="00536EF0" w:rsidP="0027429A">
            <w:p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The service is not suitable for individuals who attend alone if they have the following:</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Mobility issues that require aid</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Incontinence difficulties</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Medication difficulties</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High levels of anxiety</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Challenging behaviour</w:t>
            </w:r>
          </w:p>
          <w:p w:rsidR="00536EF0" w:rsidRPr="00536EF0" w:rsidRDefault="00536EF0" w:rsidP="00536EF0">
            <w:pPr>
              <w:pStyle w:val="ListParagraph"/>
              <w:numPr>
                <w:ilvl w:val="0"/>
                <w:numId w:val="26"/>
              </w:numPr>
              <w:rPr>
                <w:rFonts w:ascii="Calibri" w:eastAsia="Times New Roman" w:hAnsi="Calibri" w:cs="Calibri"/>
                <w:bCs/>
                <w:sz w:val="20"/>
                <w:szCs w:val="20"/>
                <w:lang w:eastAsia="en-GB"/>
              </w:rPr>
            </w:pPr>
            <w:r w:rsidRPr="00536EF0">
              <w:rPr>
                <w:rFonts w:ascii="Calibri" w:eastAsia="Times New Roman" w:hAnsi="Calibri" w:cs="Calibri"/>
                <w:bCs/>
                <w:sz w:val="20"/>
                <w:szCs w:val="20"/>
                <w:lang w:eastAsia="en-GB"/>
              </w:rPr>
              <w:t>Medical conditions which require ongoing monitoring during the session</w:t>
            </w:r>
          </w:p>
          <w:p w:rsidR="007215BF" w:rsidRDefault="007215BF" w:rsidP="0027429A">
            <w:pPr>
              <w:rPr>
                <w:rFonts w:ascii="Calibri" w:eastAsia="Times New Roman" w:hAnsi="Calibri" w:cs="Calibri"/>
                <w:b/>
                <w:bCs/>
                <w:sz w:val="20"/>
                <w:szCs w:val="20"/>
                <w:lang w:eastAsia="en-GB"/>
              </w:rPr>
            </w:pPr>
          </w:p>
          <w:p w:rsidR="00CC5DB9" w:rsidRPr="00CC5DB9" w:rsidRDefault="00CC5DB9" w:rsidP="0027429A">
            <w:p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Memory Café provider has the right to consult with the individual service users and their carers if it is found that this service is no longer appropriate. This may be because:</w:t>
            </w:r>
          </w:p>
          <w:p w:rsidR="00CC5DB9" w:rsidRPr="00CC5DB9" w:rsidRDefault="00CC5DB9" w:rsidP="00CC5DB9">
            <w:pPr>
              <w:pStyle w:val="ListParagraph"/>
              <w:numPr>
                <w:ilvl w:val="0"/>
                <w:numId w:val="27"/>
              </w:num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behaviour of the individual with Dementia is disrupting to the detriment of other service users and/or</w:t>
            </w:r>
          </w:p>
          <w:p w:rsidR="00CC5DB9" w:rsidRPr="00CC5DB9" w:rsidRDefault="00CC5DB9" w:rsidP="00CC5DB9">
            <w:pPr>
              <w:pStyle w:val="ListParagraph"/>
              <w:numPr>
                <w:ilvl w:val="0"/>
                <w:numId w:val="27"/>
              </w:num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The physical health of the person with Dementia has deteriorated and their needs cannot be met within this information social environment.</w:t>
            </w:r>
          </w:p>
          <w:p w:rsidR="00CC5DB9" w:rsidRDefault="00CC5DB9" w:rsidP="0027429A">
            <w:pPr>
              <w:rPr>
                <w:rFonts w:ascii="Calibri" w:eastAsia="Times New Roman" w:hAnsi="Calibri" w:cs="Calibri"/>
                <w:b/>
                <w:bCs/>
                <w:sz w:val="20"/>
                <w:szCs w:val="20"/>
                <w:lang w:eastAsia="en-GB"/>
              </w:rPr>
            </w:pPr>
          </w:p>
          <w:p w:rsidR="007215BF" w:rsidRPr="00CC5DB9" w:rsidRDefault="00CC5DB9" w:rsidP="0027429A">
            <w:pPr>
              <w:rPr>
                <w:rFonts w:ascii="Calibri" w:eastAsia="Times New Roman" w:hAnsi="Calibri" w:cs="Calibri"/>
                <w:bCs/>
                <w:sz w:val="20"/>
                <w:szCs w:val="20"/>
                <w:lang w:eastAsia="en-GB"/>
              </w:rPr>
            </w:pPr>
            <w:r w:rsidRPr="00CC5DB9">
              <w:rPr>
                <w:rFonts w:ascii="Calibri" w:eastAsia="Times New Roman" w:hAnsi="Calibri" w:cs="Calibri"/>
                <w:bCs/>
                <w:sz w:val="20"/>
                <w:szCs w:val="20"/>
                <w:lang w:eastAsia="en-GB"/>
              </w:rPr>
              <w:t xml:space="preserve">In the event of a person being deemed unsuitable to attend the service, a system should be in place to refer/signpost them to alternative support services, appropriate to the level of need. </w:t>
            </w:r>
            <w:r>
              <w:rPr>
                <w:rFonts w:ascii="Calibri" w:eastAsia="Times New Roman" w:hAnsi="Calibri" w:cs="Calibri"/>
                <w:b/>
                <w:bCs/>
                <w:sz w:val="20"/>
                <w:szCs w:val="20"/>
                <w:lang w:eastAsia="en-GB"/>
              </w:rPr>
              <w:t xml:space="preserve">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641A97" w:rsidRDefault="00984B4F" w:rsidP="001F01DD">
            <w:pPr>
              <w:autoSpaceDE w:val="0"/>
              <w:autoSpaceDN w:val="0"/>
              <w:adjustRightInd w:val="0"/>
              <w:rPr>
                <w:rFonts w:ascii="Calibri" w:eastAsia="Times New Roman" w:hAnsi="Calibri" w:cs="Calibri"/>
                <w:bCs/>
                <w:i/>
                <w:color w:val="A6A6A6" w:themeColor="background1" w:themeShade="A6"/>
                <w:sz w:val="20"/>
                <w:szCs w:val="20"/>
                <w:lang w:eastAsia="en-GB"/>
              </w:rPr>
            </w:pPr>
          </w:p>
        </w:tc>
      </w:tr>
      <w:tr w:rsidR="00984B4F" w:rsidRPr="006C1607"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CC74E0" w:rsidRPr="00876705" w:rsidRDefault="00876705" w:rsidP="00CC74E0">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3.5  </w:t>
            </w:r>
            <w:r w:rsidR="00CC74E0" w:rsidRPr="00876705">
              <w:rPr>
                <w:rFonts w:ascii="Calibri" w:eastAsia="Times New Roman" w:hAnsi="Calibri" w:cs="Calibri"/>
                <w:b/>
                <w:bCs/>
                <w:sz w:val="20"/>
                <w:szCs w:val="20"/>
                <w:lang w:eastAsia="en-GB"/>
              </w:rPr>
              <w:t>Interdependence with other services/providers</w:t>
            </w:r>
          </w:p>
          <w:p w:rsidR="00550F7D" w:rsidRDefault="00984B4F" w:rsidP="0027429A">
            <w:pPr>
              <w:jc w:val="both"/>
              <w:rPr>
                <w:rFonts w:ascii="Calibri" w:eastAsia="Times New Roman" w:hAnsi="Calibri" w:cs="Calibri"/>
                <w:color w:val="FFFFFF"/>
                <w:sz w:val="20"/>
                <w:szCs w:val="20"/>
                <w:lang w:eastAsia="en-GB"/>
              </w:rPr>
            </w:pPr>
            <w:r w:rsidRPr="006C1607">
              <w:rPr>
                <w:rFonts w:ascii="Calibri" w:eastAsia="Times New Roman" w:hAnsi="Calibri" w:cs="Calibri"/>
                <w:color w:val="FFFFFF"/>
                <w:sz w:val="20"/>
                <w:szCs w:val="20"/>
                <w:lang w:eastAsia="en-GB"/>
              </w:rPr>
              <w:t>other services</w:t>
            </w:r>
            <w:r w:rsidR="00B2049D" w:rsidRPr="006C1607">
              <w:rPr>
                <w:rFonts w:ascii="Calibri" w:eastAsia="Times New Roman" w:hAnsi="Calibri" w:cs="Calibri"/>
                <w:color w:val="FFFFFF"/>
                <w:sz w:val="20"/>
                <w:szCs w:val="20"/>
                <w:lang w:eastAsia="en-GB"/>
              </w:rPr>
              <w:t>/providers</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Dementia Adviser Service (currently run by Alzheimer’s Society)</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Devon Partnership Trust (Older Persons Mental Health Teams)</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Torbay and South Devon NHS Foundation Trust (Adult Social Care</w:t>
            </w:r>
            <w:r w:rsidR="00463EC5">
              <w:rPr>
                <w:rFonts w:ascii="Calibri" w:eastAsia="Times New Roman" w:hAnsi="Calibri" w:cs="Calibri"/>
                <w:color w:val="000000" w:themeColor="text1"/>
                <w:sz w:val="20"/>
                <w:szCs w:val="20"/>
                <w:lang w:eastAsia="en-GB"/>
              </w:rPr>
              <w:t>, Torbay Carers Service</w:t>
            </w:r>
            <w:r w:rsidRPr="001F13D5">
              <w:rPr>
                <w:rFonts w:ascii="Calibri" w:eastAsia="Times New Roman" w:hAnsi="Calibri" w:cs="Calibri"/>
                <w:color w:val="000000" w:themeColor="text1"/>
                <w:sz w:val="20"/>
                <w:szCs w:val="20"/>
                <w:lang w:eastAsia="en-GB"/>
              </w:rPr>
              <w:t>)</w:t>
            </w:r>
          </w:p>
          <w:p w:rsidR="00CC5DB9" w:rsidRPr="001F13D5" w:rsidRDefault="00CC5DB9" w:rsidP="001F13D5">
            <w:pPr>
              <w:pStyle w:val="ListParagraph"/>
              <w:numPr>
                <w:ilvl w:val="0"/>
                <w:numId w:val="28"/>
              </w:numPr>
              <w:jc w:val="both"/>
              <w:rPr>
                <w:rFonts w:ascii="Calibri" w:eastAsia="Times New Roman" w:hAnsi="Calibri" w:cs="Calibri"/>
                <w:color w:val="000000" w:themeColor="text1"/>
                <w:sz w:val="20"/>
                <w:szCs w:val="20"/>
                <w:lang w:eastAsia="en-GB"/>
              </w:rPr>
            </w:pPr>
            <w:r w:rsidRPr="001F13D5">
              <w:rPr>
                <w:rFonts w:ascii="Calibri" w:eastAsia="Times New Roman" w:hAnsi="Calibri" w:cs="Calibri"/>
                <w:color w:val="000000" w:themeColor="text1"/>
                <w:sz w:val="20"/>
                <w:szCs w:val="20"/>
                <w:lang w:eastAsia="en-GB"/>
              </w:rPr>
              <w:t xml:space="preserve">Voluntary Sector </w:t>
            </w:r>
            <w:r w:rsidR="001F13D5">
              <w:rPr>
                <w:rFonts w:ascii="Calibri" w:eastAsia="Times New Roman" w:hAnsi="Calibri" w:cs="Calibri"/>
                <w:color w:val="000000" w:themeColor="text1"/>
                <w:sz w:val="20"/>
                <w:szCs w:val="20"/>
                <w:lang w:eastAsia="en-GB"/>
              </w:rPr>
              <w:t>providers, including Age UK Torbay, Brixham Does Care etc</w:t>
            </w:r>
          </w:p>
          <w:p w:rsidR="007215BF" w:rsidRPr="006C1607" w:rsidRDefault="007215BF" w:rsidP="0027429A">
            <w:pPr>
              <w:jc w:val="both"/>
              <w:rPr>
                <w:rFonts w:ascii="Calibri" w:eastAsia="Times New Roman" w:hAnsi="Calibri" w:cs="Calibri"/>
                <w:color w:val="FFFFFF"/>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auto"/>
            <w:vAlign w:val="center"/>
            <w:hideMark/>
          </w:tcPr>
          <w:p w:rsidR="00984B4F" w:rsidRPr="00D1216B" w:rsidRDefault="00984B4F" w:rsidP="00212884">
            <w:pPr>
              <w:ind w:firstLineChars="24" w:firstLine="48"/>
              <w:rPr>
                <w:rFonts w:ascii="Calibri" w:eastAsia="Times New Roman" w:hAnsi="Calibri" w:cs="Calibri"/>
                <w:b/>
                <w:bCs/>
                <w:color w:val="000000"/>
                <w:sz w:val="20"/>
                <w:szCs w:val="20"/>
                <w:lang w:eastAsia="en-GB"/>
              </w:rPr>
            </w:pPr>
            <w:r w:rsidRPr="00D1216B">
              <w:rPr>
                <w:rFonts w:ascii="Calibri" w:eastAsia="Times New Roman" w:hAnsi="Calibri" w:cs="Calibri"/>
                <w:b/>
                <w:bCs/>
                <w:color w:val="000000"/>
                <w:sz w:val="20"/>
                <w:szCs w:val="20"/>
                <w:lang w:eastAsia="en-GB"/>
              </w:rPr>
              <w:t> </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D1216B" w:rsidRDefault="00984B4F" w:rsidP="00D1216B">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4</w:t>
            </w:r>
            <w:r w:rsidRPr="00D1216B">
              <w:rPr>
                <w:rFonts w:ascii="Calibri" w:eastAsia="Times New Roman" w:hAnsi="Calibri" w:cs="Calibri"/>
                <w:color w:val="FFFFFF"/>
                <w:sz w:val="20"/>
                <w:szCs w:val="20"/>
                <w:lang w:eastAsia="en-GB"/>
              </w:rPr>
              <w:t>.  Applicab</w:t>
            </w:r>
            <w:r w:rsidR="005B7192">
              <w:rPr>
                <w:rFonts w:ascii="Calibri" w:eastAsia="Times New Roman" w:hAnsi="Calibri" w:cs="Calibri"/>
                <w:color w:val="FFFFFF"/>
                <w:sz w:val="20"/>
                <w:szCs w:val="20"/>
                <w:lang w:eastAsia="en-GB"/>
              </w:rPr>
              <w:t xml:space="preserve">le Service Standards </w:t>
            </w:r>
          </w:p>
        </w:tc>
      </w:tr>
      <w:tr w:rsidR="00984B4F" w:rsidRPr="00D1216B" w:rsidTr="00876705">
        <w:trPr>
          <w:trHeight w:val="1635"/>
        </w:trPr>
        <w:tc>
          <w:tcPr>
            <w:tcW w:w="9700" w:type="dxa"/>
            <w:tcBorders>
              <w:top w:val="nil"/>
              <w:left w:val="single" w:sz="8" w:space="0" w:color="C0C0C0"/>
              <w:right w:val="single" w:sz="8" w:space="0" w:color="C0C0C0"/>
            </w:tcBorders>
            <w:shd w:val="clear" w:color="auto" w:fill="auto"/>
            <w:vAlign w:val="center"/>
            <w:hideMark/>
          </w:tcPr>
          <w:p w:rsidR="005B7192" w:rsidRDefault="00984B4F"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4</w:t>
            </w:r>
            <w:r w:rsidRPr="00D1216B">
              <w:rPr>
                <w:rFonts w:ascii="Calibri" w:eastAsia="Times New Roman" w:hAnsi="Calibri" w:cs="Calibri"/>
                <w:b/>
                <w:bCs/>
                <w:sz w:val="20"/>
                <w:szCs w:val="20"/>
                <w:lang w:eastAsia="en-GB"/>
              </w:rPr>
              <w:t xml:space="preserve">.1 </w:t>
            </w:r>
            <w:r w:rsidR="005B7192">
              <w:rPr>
                <w:rFonts w:ascii="Calibri" w:eastAsia="Times New Roman" w:hAnsi="Calibri" w:cs="Calibri"/>
                <w:b/>
                <w:bCs/>
                <w:sz w:val="20"/>
                <w:szCs w:val="20"/>
                <w:lang w:eastAsia="en-GB"/>
              </w:rPr>
              <w:t>A</w:t>
            </w:r>
            <w:r w:rsidRPr="00D1216B">
              <w:rPr>
                <w:rFonts w:ascii="Calibri" w:eastAsia="Times New Roman" w:hAnsi="Calibri" w:cs="Calibri"/>
                <w:b/>
                <w:bCs/>
                <w:sz w:val="20"/>
                <w:szCs w:val="20"/>
                <w:lang w:eastAsia="en-GB"/>
              </w:rPr>
              <w:t xml:space="preserve">pplicable </w:t>
            </w:r>
            <w:r w:rsidR="005B7192">
              <w:rPr>
                <w:rFonts w:ascii="Calibri" w:eastAsia="Times New Roman" w:hAnsi="Calibri" w:cs="Calibri"/>
                <w:b/>
                <w:bCs/>
                <w:sz w:val="20"/>
                <w:szCs w:val="20"/>
                <w:lang w:eastAsia="en-GB"/>
              </w:rPr>
              <w:t xml:space="preserve">national </w:t>
            </w:r>
            <w:r>
              <w:rPr>
                <w:rFonts w:ascii="Calibri" w:eastAsia="Times New Roman" w:hAnsi="Calibri" w:cs="Calibri"/>
                <w:b/>
                <w:bCs/>
                <w:sz w:val="20"/>
                <w:szCs w:val="20"/>
                <w:lang w:eastAsia="en-GB"/>
              </w:rPr>
              <w:t xml:space="preserve">standards </w:t>
            </w:r>
            <w:r w:rsidR="005B7192">
              <w:rPr>
                <w:rFonts w:ascii="Calibri" w:eastAsia="Times New Roman" w:hAnsi="Calibri" w:cs="Calibri"/>
                <w:b/>
                <w:bCs/>
                <w:sz w:val="20"/>
                <w:szCs w:val="20"/>
                <w:lang w:eastAsia="en-GB"/>
              </w:rPr>
              <w:t>i.e. NICE and how they will be assessed.</w:t>
            </w:r>
          </w:p>
          <w:p w:rsidR="00550F7D" w:rsidRDefault="00550F7D"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550F7D" w:rsidRPr="00E5679C" w:rsidRDefault="00463EC5" w:rsidP="00E5679C">
            <w:pPr>
              <w:pStyle w:val="ListParagraph"/>
              <w:numPr>
                <w:ilvl w:val="0"/>
                <w:numId w:val="32"/>
              </w:numPr>
              <w:jc w:val="both"/>
              <w:rPr>
                <w:rFonts w:ascii="Calibri" w:eastAsia="Times New Roman" w:hAnsi="Calibri" w:cs="Calibri"/>
                <w:color w:val="000000" w:themeColor="text1"/>
                <w:sz w:val="20"/>
                <w:szCs w:val="20"/>
                <w:lang w:eastAsia="en-GB"/>
              </w:rPr>
            </w:pPr>
            <w:r w:rsidRPr="00E5679C">
              <w:rPr>
                <w:rFonts w:ascii="Calibri" w:eastAsia="Times New Roman" w:hAnsi="Calibri" w:cs="Calibri"/>
                <w:color w:val="000000" w:themeColor="text1"/>
                <w:sz w:val="20"/>
                <w:szCs w:val="20"/>
                <w:lang w:eastAsia="en-GB"/>
              </w:rPr>
              <w:t>Nice Quality Dementia Standards</w:t>
            </w:r>
          </w:p>
          <w:p w:rsidR="00463EC5" w:rsidRPr="00E5679C" w:rsidRDefault="00463EC5" w:rsidP="00E5679C">
            <w:pPr>
              <w:pStyle w:val="ListParagraph"/>
              <w:numPr>
                <w:ilvl w:val="0"/>
                <w:numId w:val="32"/>
              </w:numPr>
              <w:jc w:val="both"/>
              <w:rPr>
                <w:rFonts w:ascii="Calibri" w:eastAsia="Times New Roman" w:hAnsi="Calibri" w:cs="Calibri"/>
                <w:color w:val="000000" w:themeColor="text1"/>
                <w:sz w:val="20"/>
                <w:szCs w:val="20"/>
                <w:lang w:eastAsia="en-GB"/>
              </w:rPr>
            </w:pPr>
            <w:r w:rsidRPr="00E5679C">
              <w:rPr>
                <w:rFonts w:ascii="Calibri" w:eastAsia="Times New Roman" w:hAnsi="Calibri" w:cs="Calibri"/>
                <w:color w:val="000000" w:themeColor="text1"/>
                <w:sz w:val="20"/>
                <w:szCs w:val="20"/>
                <w:lang w:eastAsia="en-GB"/>
              </w:rPr>
              <w:t>Living well with Dementia (2009 DH National Dementia Strategy)</w:t>
            </w:r>
          </w:p>
          <w:p w:rsidR="007215BF" w:rsidRPr="00E5679C" w:rsidRDefault="00463EC5" w:rsidP="00E5679C">
            <w:pPr>
              <w:pStyle w:val="ListParagraph"/>
              <w:numPr>
                <w:ilvl w:val="0"/>
                <w:numId w:val="32"/>
              </w:numPr>
              <w:jc w:val="both"/>
              <w:rPr>
                <w:rFonts w:ascii="Arial" w:eastAsia="Times New Roman" w:hAnsi="Arial" w:cs="Arial"/>
                <w:bCs/>
                <w:sz w:val="20"/>
                <w:szCs w:val="20"/>
              </w:rPr>
            </w:pPr>
            <w:r w:rsidRPr="00E5679C">
              <w:rPr>
                <w:rFonts w:ascii="Calibri" w:eastAsia="Times New Roman" w:hAnsi="Calibri" w:cs="Calibri"/>
                <w:color w:val="000000" w:themeColor="text1"/>
                <w:sz w:val="20"/>
                <w:szCs w:val="20"/>
                <w:lang w:eastAsia="en-GB"/>
              </w:rPr>
              <w:t xml:space="preserve">Equality Act (2010 in terms of accessibility for individuals) </w:t>
            </w:r>
          </w:p>
        </w:tc>
      </w:tr>
      <w:tr w:rsidR="00876705" w:rsidRPr="00D1216B" w:rsidTr="00876705">
        <w:trPr>
          <w:trHeight w:val="315"/>
        </w:trPr>
        <w:tc>
          <w:tcPr>
            <w:tcW w:w="9700" w:type="dxa"/>
            <w:tcBorders>
              <w:left w:val="single" w:sz="8" w:space="0" w:color="C0C0C0"/>
              <w:bottom w:val="nil"/>
              <w:right w:val="single" w:sz="8" w:space="0" w:color="C0C0C0"/>
            </w:tcBorders>
            <w:shd w:val="clear" w:color="auto" w:fill="auto"/>
            <w:vAlign w:val="center"/>
          </w:tcPr>
          <w:p w:rsidR="00876705" w:rsidRPr="00876705" w:rsidRDefault="00876705"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CC74E0" w:rsidRPr="00D1216B" w:rsidTr="00876705">
        <w:trPr>
          <w:trHeight w:val="1710"/>
        </w:trPr>
        <w:tc>
          <w:tcPr>
            <w:tcW w:w="9700" w:type="dxa"/>
            <w:tcBorders>
              <w:left w:val="single" w:sz="8" w:space="0" w:color="C0C0C0"/>
              <w:bottom w:val="nil"/>
              <w:right w:val="single" w:sz="8" w:space="0" w:color="C0C0C0"/>
            </w:tcBorders>
            <w:shd w:val="clear" w:color="auto" w:fill="auto"/>
            <w:vAlign w:val="center"/>
          </w:tcPr>
          <w:p w:rsidR="00CC74E0" w:rsidRPr="00876705"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sidRPr="00876705">
              <w:rPr>
                <w:rFonts w:ascii="Calibri" w:eastAsia="Times New Roman" w:hAnsi="Calibri" w:cs="Calibri"/>
                <w:b/>
                <w:bCs/>
                <w:sz w:val="20"/>
                <w:szCs w:val="20"/>
                <w:lang w:eastAsia="en-GB"/>
              </w:rPr>
              <w:t xml:space="preserve">4.2 Applicable standards as set out in guidance and/or issued by a competent body e.g. Royal Colleges and how they will be assessed. </w:t>
            </w:r>
          </w:p>
          <w:p w:rsidR="00CC74E0" w:rsidRPr="00876705" w:rsidRDefault="00CC74E0" w:rsidP="00876705">
            <w:pPr>
              <w:pBdr>
                <w:left w:val="outset" w:sz="6" w:space="4" w:color="A6A6A6" w:themeColor="background1" w:themeShade="A6"/>
                <w:right w:val="outset" w:sz="6" w:space="4" w:color="A6A6A6" w:themeColor="background1" w:themeShade="A6"/>
              </w:pBdr>
              <w:rPr>
                <w:rFonts w:ascii="Arial" w:hAnsi="Arial" w:cs="Arial"/>
                <w:b/>
                <w:sz w:val="20"/>
              </w:rPr>
            </w:pPr>
          </w:p>
          <w:p w:rsidR="00CC74E0" w:rsidRPr="00876705" w:rsidRDefault="00CC74E0" w:rsidP="00876705">
            <w:pPr>
              <w:pBdr>
                <w:left w:val="outset" w:sz="6" w:space="4" w:color="A6A6A6" w:themeColor="background1" w:themeShade="A6"/>
                <w:right w:val="outset" w:sz="6" w:space="4" w:color="A6A6A6" w:themeColor="background1" w:themeShade="A6"/>
              </w:pBdr>
              <w:rPr>
                <w:rFonts w:ascii="Arial" w:hAnsi="Arial" w:cs="Arial"/>
                <w:b/>
                <w:sz w:val="20"/>
              </w:rPr>
            </w:pPr>
          </w:p>
          <w:p w:rsidR="00CC74E0" w:rsidRPr="00463EC5" w:rsidRDefault="001F13D5" w:rsidP="00876705">
            <w:pPr>
              <w:pBdr>
                <w:left w:val="outset" w:sz="6" w:space="4" w:color="A6A6A6" w:themeColor="background1" w:themeShade="A6"/>
                <w:right w:val="outset" w:sz="6" w:space="4" w:color="A6A6A6" w:themeColor="background1" w:themeShade="A6"/>
              </w:pBdr>
              <w:rPr>
                <w:rFonts w:ascii="Arial" w:hAnsi="Arial" w:cs="Arial"/>
                <w:sz w:val="20"/>
              </w:rPr>
            </w:pPr>
            <w:r w:rsidRPr="00463EC5">
              <w:rPr>
                <w:rFonts w:ascii="Arial" w:hAnsi="Arial" w:cs="Arial"/>
                <w:sz w:val="20"/>
              </w:rPr>
              <w:t>N/a</w:t>
            </w:r>
          </w:p>
        </w:tc>
      </w:tr>
      <w:tr w:rsidR="00876705" w:rsidRPr="00D1216B" w:rsidTr="00876705">
        <w:trPr>
          <w:trHeight w:val="272"/>
        </w:trPr>
        <w:tc>
          <w:tcPr>
            <w:tcW w:w="9700" w:type="dxa"/>
            <w:tcBorders>
              <w:top w:val="nil"/>
              <w:left w:val="single" w:sz="8" w:space="0" w:color="C0C0C0"/>
              <w:bottom w:val="nil"/>
              <w:right w:val="single" w:sz="8" w:space="0" w:color="C0C0C0"/>
            </w:tcBorders>
            <w:shd w:val="clear" w:color="auto" w:fill="auto"/>
            <w:vAlign w:val="center"/>
          </w:tcPr>
          <w:p w:rsidR="00876705" w:rsidRDefault="00876705"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984B4F" w:rsidRPr="00D1216B" w:rsidTr="00876705">
        <w:trPr>
          <w:trHeight w:val="1761"/>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5B7192"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4.3 A</w:t>
            </w:r>
            <w:r w:rsidR="00984B4F">
              <w:rPr>
                <w:rFonts w:ascii="Calibri" w:eastAsia="Times New Roman" w:hAnsi="Calibri" w:cs="Calibri"/>
                <w:b/>
                <w:bCs/>
                <w:sz w:val="20"/>
                <w:szCs w:val="20"/>
                <w:lang w:eastAsia="en-GB"/>
              </w:rPr>
              <w:t xml:space="preserve">pplicable </w:t>
            </w:r>
            <w:r>
              <w:rPr>
                <w:rFonts w:ascii="Calibri" w:eastAsia="Times New Roman" w:hAnsi="Calibri" w:cs="Calibri"/>
                <w:b/>
                <w:bCs/>
                <w:sz w:val="20"/>
                <w:szCs w:val="20"/>
                <w:lang w:eastAsia="en-GB"/>
              </w:rPr>
              <w:t xml:space="preserve">local </w:t>
            </w:r>
            <w:r w:rsidR="00984B4F">
              <w:rPr>
                <w:rFonts w:ascii="Calibri" w:eastAsia="Times New Roman" w:hAnsi="Calibri" w:cs="Calibri"/>
                <w:b/>
                <w:bCs/>
                <w:sz w:val="20"/>
                <w:szCs w:val="20"/>
                <w:lang w:eastAsia="en-GB"/>
              </w:rPr>
              <w:t>standards</w:t>
            </w:r>
            <w:r>
              <w:rPr>
                <w:rFonts w:ascii="Calibri" w:eastAsia="Times New Roman" w:hAnsi="Calibri" w:cs="Calibri"/>
                <w:b/>
                <w:bCs/>
                <w:sz w:val="20"/>
                <w:szCs w:val="20"/>
                <w:lang w:eastAsia="en-GB"/>
              </w:rPr>
              <w:t xml:space="preserve"> and how they will be assessed.</w:t>
            </w:r>
          </w:p>
          <w:p w:rsidR="00CC74E0"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CC74E0" w:rsidRPr="00463EC5" w:rsidRDefault="00463EC5" w:rsidP="00876705">
            <w:pPr>
              <w:pBdr>
                <w:left w:val="outset" w:sz="6" w:space="4" w:color="A6A6A6" w:themeColor="background1" w:themeShade="A6"/>
                <w:right w:val="outset" w:sz="6" w:space="4" w:color="A6A6A6" w:themeColor="background1" w:themeShade="A6"/>
              </w:pBdr>
              <w:rPr>
                <w:rFonts w:ascii="Calibri" w:eastAsia="Times New Roman" w:hAnsi="Calibri" w:cs="Calibri"/>
                <w:bCs/>
                <w:sz w:val="20"/>
                <w:szCs w:val="20"/>
                <w:lang w:eastAsia="en-GB"/>
              </w:rPr>
            </w:pPr>
            <w:r w:rsidRPr="00463EC5">
              <w:rPr>
                <w:rFonts w:ascii="Calibri" w:eastAsia="Times New Roman" w:hAnsi="Calibri" w:cs="Calibri"/>
                <w:bCs/>
                <w:sz w:val="20"/>
                <w:szCs w:val="20"/>
                <w:lang w:eastAsia="en-GB"/>
              </w:rPr>
              <w:t>Each session will be run in an accessible location within each of the three towns comprising Torbay. This will be assessed with the service provider on a six monthly basis as well as through feedback from the service users in terms of whether the accommodation is meeting their needs.</w:t>
            </w:r>
          </w:p>
          <w:p w:rsidR="00CC74E0"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CC74E0"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CC74E0"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p w:rsidR="00CC74E0" w:rsidRPr="00C3321F" w:rsidRDefault="00CC74E0" w:rsidP="00876705">
            <w:pPr>
              <w:pBdr>
                <w:left w:val="outset" w:sz="6" w:space="4" w:color="A6A6A6" w:themeColor="background1" w:themeShade="A6"/>
                <w:right w:val="outset" w:sz="6" w:space="4" w:color="A6A6A6" w:themeColor="background1" w:themeShade="A6"/>
              </w:pBdr>
              <w:rPr>
                <w:rFonts w:ascii="Calibri" w:eastAsia="Times New Roman" w:hAnsi="Calibri" w:cs="Calibri"/>
                <w:b/>
                <w:bCs/>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1F497D" w:themeFill="text2"/>
            <w:vAlign w:val="center"/>
          </w:tcPr>
          <w:p w:rsidR="00984B4F" w:rsidRDefault="005B7192" w:rsidP="00C3321F">
            <w:pPr>
              <w:jc w:val="both"/>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5</w:t>
            </w:r>
            <w:r w:rsidR="00984B4F">
              <w:rPr>
                <w:rFonts w:ascii="Calibri" w:eastAsia="Times New Roman" w:hAnsi="Calibri" w:cs="Calibri"/>
                <w:color w:val="FFFFFF"/>
                <w:sz w:val="20"/>
                <w:szCs w:val="20"/>
                <w:lang w:eastAsia="en-GB"/>
              </w:rPr>
              <w:t xml:space="preserve">.  Applicable quality requirements and CQUIN goals </w:t>
            </w:r>
            <w:r w:rsidR="00B2049D">
              <w:rPr>
                <w:rFonts w:ascii="Calibri" w:eastAsia="Times New Roman" w:hAnsi="Calibri" w:cs="Calibri"/>
                <w:color w:val="FFFFFF"/>
                <w:sz w:val="20"/>
                <w:szCs w:val="20"/>
                <w:lang w:eastAsia="en-GB"/>
              </w:rPr>
              <w:t>(Optional use)</w:t>
            </w: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Pr="006B5ABD" w:rsidRDefault="005B7192" w:rsidP="005B7192">
            <w:pPr>
              <w:pStyle w:val="ListParagraph"/>
              <w:numPr>
                <w:ilvl w:val="1"/>
                <w:numId w:val="8"/>
              </w:numPr>
              <w:jc w:val="both"/>
              <w:rPr>
                <w:rFonts w:eastAsia="Times New Roman" w:cstheme="minorHAnsi"/>
                <w:b/>
                <w:sz w:val="20"/>
                <w:szCs w:val="20"/>
                <w:lang w:eastAsia="en-GB"/>
              </w:rPr>
            </w:pPr>
            <w:r w:rsidRPr="006B5ABD">
              <w:rPr>
                <w:rFonts w:eastAsia="Times New Roman" w:cstheme="minorHAnsi"/>
                <w:b/>
                <w:sz w:val="20"/>
                <w:szCs w:val="20"/>
                <w:lang w:eastAsia="en-GB"/>
              </w:rPr>
              <w:t>Applicable Quality R</w:t>
            </w:r>
            <w:r w:rsidR="00984B4F" w:rsidRPr="006B5ABD">
              <w:rPr>
                <w:rFonts w:eastAsia="Times New Roman" w:cstheme="minorHAnsi"/>
                <w:b/>
                <w:sz w:val="20"/>
                <w:szCs w:val="20"/>
                <w:lang w:eastAsia="en-GB"/>
              </w:rPr>
              <w:t xml:space="preserve">equirements </w:t>
            </w:r>
            <w:r w:rsidR="00C21108" w:rsidRPr="006B5ABD">
              <w:rPr>
                <w:rFonts w:eastAsia="Times New Roman" w:cstheme="minorHAnsi"/>
                <w:b/>
                <w:sz w:val="20"/>
                <w:szCs w:val="20"/>
                <w:lang w:eastAsia="en-GB"/>
              </w:rPr>
              <w:t xml:space="preserve"> (</w:t>
            </w:r>
            <w:r w:rsidR="00876705" w:rsidRPr="006B5ABD">
              <w:rPr>
                <w:rFonts w:eastAsia="Times New Roman" w:cstheme="minorHAnsi"/>
                <w:b/>
                <w:sz w:val="20"/>
                <w:szCs w:val="20"/>
                <w:lang w:eastAsia="en-GB"/>
              </w:rPr>
              <w:t>for inclusion</w:t>
            </w:r>
            <w:r w:rsidR="00C21108" w:rsidRPr="006B5ABD">
              <w:rPr>
                <w:rFonts w:eastAsia="Times New Roman" w:cstheme="minorHAnsi"/>
                <w:b/>
                <w:sz w:val="20"/>
                <w:szCs w:val="20"/>
                <w:lang w:eastAsia="en-GB"/>
              </w:rPr>
              <w:t xml:space="preserve"> S</w:t>
            </w:r>
            <w:r w:rsidR="00B2049D" w:rsidRPr="006B5ABD">
              <w:rPr>
                <w:rFonts w:eastAsia="Times New Roman" w:cstheme="minorHAnsi"/>
                <w:b/>
                <w:sz w:val="20"/>
                <w:szCs w:val="20"/>
                <w:lang w:eastAsia="en-GB"/>
              </w:rPr>
              <w:t>chedule 4</w:t>
            </w:r>
            <w:r w:rsidR="00876705" w:rsidRPr="006B5ABD">
              <w:rPr>
                <w:rFonts w:eastAsia="Times New Roman" w:cstheme="minorHAnsi"/>
                <w:b/>
                <w:sz w:val="20"/>
                <w:szCs w:val="20"/>
                <w:lang w:eastAsia="en-GB"/>
              </w:rPr>
              <w:t>A-C</w:t>
            </w:r>
            <w:r w:rsidRPr="006B5ABD">
              <w:rPr>
                <w:rFonts w:eastAsia="Times New Roman" w:cstheme="minorHAnsi"/>
                <w:b/>
                <w:sz w:val="20"/>
                <w:szCs w:val="20"/>
                <w:lang w:eastAsia="en-GB"/>
              </w:rPr>
              <w:t>)</w:t>
            </w:r>
          </w:p>
          <w:p w:rsidR="007215BF" w:rsidRPr="006B5ABD" w:rsidRDefault="007215BF" w:rsidP="007215BF">
            <w:pPr>
              <w:jc w:val="both"/>
              <w:rPr>
                <w:rFonts w:eastAsia="Times New Roman" w:cstheme="minorHAnsi"/>
                <w:b/>
                <w:sz w:val="20"/>
                <w:szCs w:val="20"/>
                <w:lang w:eastAsia="en-GB"/>
              </w:rPr>
            </w:pPr>
          </w:p>
          <w:p w:rsidR="00E5679C" w:rsidRPr="006B5ABD" w:rsidRDefault="00E5679C" w:rsidP="00E5679C">
            <w:pPr>
              <w:rPr>
                <w:rFonts w:eastAsia="Times New Roman" w:cstheme="minorHAnsi"/>
                <w:sz w:val="20"/>
                <w:lang w:eastAsia="en-GB"/>
              </w:rPr>
            </w:pPr>
            <w:r w:rsidRPr="006B5ABD">
              <w:rPr>
                <w:rFonts w:eastAsia="Times New Roman" w:cstheme="minorHAnsi"/>
                <w:sz w:val="20"/>
                <w:lang w:eastAsia="en-GB"/>
              </w:rPr>
              <w:t xml:space="preserve">The services will be monitored and evaluated through quantitative and qualitative methods. </w:t>
            </w:r>
          </w:p>
          <w:p w:rsidR="00E5679C" w:rsidRPr="006B5ABD" w:rsidRDefault="00E5679C" w:rsidP="00E5679C">
            <w:pPr>
              <w:rPr>
                <w:rFonts w:eastAsia="Times New Roman" w:cstheme="minorHAnsi"/>
                <w:sz w:val="20"/>
                <w:lang w:eastAsia="en-GB"/>
              </w:rPr>
            </w:pPr>
            <w:r w:rsidRPr="006B5ABD">
              <w:rPr>
                <w:rFonts w:eastAsia="Times New Roman" w:cstheme="minorHAnsi"/>
                <w:sz w:val="20"/>
                <w:lang w:eastAsia="en-GB"/>
              </w:rPr>
              <w:t>Quantitative data collection will include:</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The number of people living with dementia who attend each service element</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The number of carers who attend</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The number of times each person with dementia, their carer has access the service during the quarter</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Number of referral per quarter and the source of the referral</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Types of information offered</w:t>
            </w:r>
          </w:p>
          <w:p w:rsidR="00E5679C" w:rsidRPr="006B5ABD" w:rsidRDefault="00E5679C" w:rsidP="00E5679C">
            <w:pPr>
              <w:rPr>
                <w:rFonts w:cstheme="minorHAnsi"/>
                <w:sz w:val="20"/>
              </w:rPr>
            </w:pPr>
          </w:p>
          <w:p w:rsidR="00E5679C" w:rsidRPr="006B5ABD" w:rsidRDefault="00E5679C" w:rsidP="00E5679C">
            <w:pPr>
              <w:rPr>
                <w:rFonts w:cstheme="minorHAnsi"/>
                <w:sz w:val="20"/>
              </w:rPr>
            </w:pPr>
            <w:r w:rsidRPr="006B5ABD">
              <w:rPr>
                <w:rFonts w:cstheme="minorHAnsi"/>
                <w:sz w:val="20"/>
              </w:rPr>
              <w:t>Indicative activity</w:t>
            </w:r>
          </w:p>
          <w:p w:rsidR="00E5679C" w:rsidRPr="006B5ABD" w:rsidRDefault="00E5679C" w:rsidP="00E5679C">
            <w:pPr>
              <w:rPr>
                <w:rFonts w:cstheme="minorHAnsi"/>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119"/>
              <w:gridCol w:w="3544"/>
            </w:tblGrid>
            <w:tr w:rsidR="00E5679C" w:rsidRPr="006B5ABD" w:rsidTr="001C4264">
              <w:tc>
                <w:tcPr>
                  <w:tcW w:w="2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5679C" w:rsidRPr="006B5ABD" w:rsidRDefault="00E5679C" w:rsidP="00E5679C">
                  <w:pPr>
                    <w:spacing w:line="276" w:lineRule="auto"/>
                    <w:jc w:val="both"/>
                    <w:rPr>
                      <w:rFonts w:cstheme="minorHAnsi"/>
                      <w:b/>
                      <w:sz w:val="20"/>
                    </w:rPr>
                  </w:pPr>
                  <w:r w:rsidRPr="006B5ABD">
                    <w:rPr>
                      <w:rFonts w:cstheme="minorHAnsi"/>
                      <w:b/>
                      <w:sz w:val="20"/>
                    </w:rPr>
                    <w:t>Service</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5679C" w:rsidRPr="006B5ABD" w:rsidRDefault="00E5679C" w:rsidP="00E5679C">
                  <w:pPr>
                    <w:spacing w:line="276" w:lineRule="auto"/>
                    <w:jc w:val="center"/>
                    <w:rPr>
                      <w:rFonts w:cstheme="minorHAnsi"/>
                      <w:b/>
                      <w:sz w:val="20"/>
                    </w:rPr>
                  </w:pPr>
                  <w:r w:rsidRPr="006B5ABD">
                    <w:rPr>
                      <w:rFonts w:cstheme="minorHAnsi"/>
                      <w:b/>
                      <w:sz w:val="20"/>
                    </w:rPr>
                    <w:t>Volume</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5679C" w:rsidRPr="006B5ABD" w:rsidRDefault="00E5679C" w:rsidP="00E5679C">
                  <w:pPr>
                    <w:spacing w:line="276" w:lineRule="auto"/>
                    <w:jc w:val="both"/>
                    <w:rPr>
                      <w:rFonts w:cstheme="minorHAnsi"/>
                      <w:b/>
                      <w:sz w:val="20"/>
                    </w:rPr>
                  </w:pPr>
                  <w:r w:rsidRPr="006B5ABD">
                    <w:rPr>
                      <w:rFonts w:cstheme="minorHAnsi"/>
                      <w:b/>
                      <w:sz w:val="20"/>
                    </w:rPr>
                    <w:t>Availability</w:t>
                  </w:r>
                </w:p>
              </w:tc>
            </w:tr>
            <w:tr w:rsidR="00E5679C" w:rsidRPr="006B5ABD" w:rsidTr="001C4264">
              <w:tc>
                <w:tcPr>
                  <w:tcW w:w="2629" w:type="dxa"/>
                  <w:tcBorders>
                    <w:top w:val="single" w:sz="4" w:space="0" w:color="auto"/>
                    <w:left w:val="single" w:sz="4" w:space="0" w:color="auto"/>
                    <w:bottom w:val="single" w:sz="4" w:space="0" w:color="auto"/>
                    <w:right w:val="single" w:sz="4" w:space="0" w:color="auto"/>
                  </w:tcBorders>
                  <w:hideMark/>
                </w:tcPr>
                <w:p w:rsidR="00E5679C" w:rsidRPr="006B5ABD" w:rsidRDefault="00E5679C" w:rsidP="00E5679C">
                  <w:pPr>
                    <w:spacing w:line="276" w:lineRule="auto"/>
                    <w:rPr>
                      <w:rFonts w:cstheme="minorHAnsi"/>
                      <w:sz w:val="20"/>
                    </w:rPr>
                  </w:pPr>
                  <w:r w:rsidRPr="006B5ABD">
                    <w:rPr>
                      <w:rFonts w:cstheme="minorHAnsi"/>
                      <w:sz w:val="20"/>
                    </w:rPr>
                    <w:t>Memory cafés</w:t>
                  </w:r>
                </w:p>
              </w:tc>
              <w:tc>
                <w:tcPr>
                  <w:tcW w:w="3119" w:type="dxa"/>
                  <w:tcBorders>
                    <w:top w:val="single" w:sz="4" w:space="0" w:color="auto"/>
                    <w:left w:val="single" w:sz="4" w:space="0" w:color="auto"/>
                    <w:bottom w:val="single" w:sz="4" w:space="0" w:color="auto"/>
                    <w:right w:val="single" w:sz="4" w:space="0" w:color="auto"/>
                  </w:tcBorders>
                  <w:hideMark/>
                </w:tcPr>
                <w:p w:rsidR="00E5679C" w:rsidRPr="006B5ABD" w:rsidRDefault="00E5679C" w:rsidP="00E5679C">
                  <w:pPr>
                    <w:spacing w:line="276" w:lineRule="auto"/>
                    <w:jc w:val="both"/>
                    <w:rPr>
                      <w:rFonts w:cstheme="minorHAnsi"/>
                      <w:sz w:val="20"/>
                    </w:rPr>
                  </w:pPr>
                  <w:r w:rsidRPr="006B5ABD">
                    <w:rPr>
                      <w:rFonts w:cstheme="minorHAnsi"/>
                      <w:sz w:val="20"/>
                    </w:rPr>
                    <w:t>Average 15 per cafe</w:t>
                  </w:r>
                </w:p>
              </w:tc>
              <w:tc>
                <w:tcPr>
                  <w:tcW w:w="3544" w:type="dxa"/>
                  <w:tcBorders>
                    <w:top w:val="single" w:sz="4" w:space="0" w:color="auto"/>
                    <w:left w:val="single" w:sz="4" w:space="0" w:color="auto"/>
                    <w:bottom w:val="single" w:sz="4" w:space="0" w:color="auto"/>
                    <w:right w:val="single" w:sz="4" w:space="0" w:color="auto"/>
                  </w:tcBorders>
                  <w:hideMark/>
                </w:tcPr>
                <w:p w:rsidR="00E5679C" w:rsidRPr="006B5ABD" w:rsidRDefault="00E5679C" w:rsidP="00E5679C">
                  <w:pPr>
                    <w:spacing w:line="276" w:lineRule="auto"/>
                    <w:jc w:val="both"/>
                    <w:rPr>
                      <w:rFonts w:cstheme="minorHAnsi"/>
                      <w:sz w:val="20"/>
                    </w:rPr>
                  </w:pPr>
                  <w:r w:rsidRPr="006B5ABD">
                    <w:rPr>
                      <w:rFonts w:cstheme="minorHAnsi"/>
                      <w:sz w:val="20"/>
                    </w:rPr>
                    <w:t>3 per week</w:t>
                  </w:r>
                  <w:r w:rsidR="00153871">
                    <w:rPr>
                      <w:rFonts w:cstheme="minorHAnsi"/>
                      <w:sz w:val="20"/>
                    </w:rPr>
                    <w:t xml:space="preserve"> (1 in each town)</w:t>
                  </w:r>
                </w:p>
              </w:tc>
            </w:tr>
          </w:tbl>
          <w:p w:rsidR="00E5679C" w:rsidRPr="006B5ABD" w:rsidRDefault="00E5679C" w:rsidP="00E5679C">
            <w:pPr>
              <w:rPr>
                <w:rFonts w:eastAsia="Times New Roman" w:cstheme="minorHAnsi"/>
                <w:sz w:val="20"/>
                <w:lang w:eastAsia="en-GB"/>
              </w:rPr>
            </w:pPr>
          </w:p>
          <w:p w:rsidR="00E5679C" w:rsidRPr="006B5ABD" w:rsidRDefault="00E5679C" w:rsidP="00E5679C">
            <w:pPr>
              <w:rPr>
                <w:rFonts w:cstheme="minorHAnsi"/>
                <w:sz w:val="20"/>
              </w:rPr>
            </w:pPr>
            <w:r w:rsidRPr="006B5ABD">
              <w:rPr>
                <w:rFonts w:eastAsia="Times New Roman" w:cstheme="minorHAnsi"/>
                <w:sz w:val="20"/>
                <w:lang w:eastAsia="en-GB"/>
              </w:rPr>
              <w:t>Qualitative data collection will be</w:t>
            </w:r>
            <w:r w:rsidR="00153871">
              <w:rPr>
                <w:rFonts w:eastAsia="Times New Roman" w:cstheme="minorHAnsi"/>
                <w:sz w:val="20"/>
                <w:lang w:eastAsia="en-GB"/>
              </w:rPr>
              <w:t xml:space="preserve"> shared with</w:t>
            </w:r>
            <w:r w:rsidRPr="006B5ABD">
              <w:rPr>
                <w:rFonts w:eastAsia="Times New Roman" w:cstheme="minorHAnsi"/>
                <w:sz w:val="20"/>
                <w:lang w:eastAsia="en-GB"/>
              </w:rPr>
              <w:t xml:space="preserve"> the commissioner on an annual basis and will obtained by </w:t>
            </w:r>
            <w:r w:rsidR="00153871">
              <w:rPr>
                <w:rFonts w:eastAsia="Times New Roman" w:cstheme="minorHAnsi"/>
                <w:sz w:val="20"/>
                <w:lang w:eastAsia="en-GB"/>
              </w:rPr>
              <w:t xml:space="preserve">the provider by </w:t>
            </w:r>
            <w:r w:rsidRPr="006B5ABD">
              <w:rPr>
                <w:rFonts w:eastAsia="Times New Roman" w:cstheme="minorHAnsi"/>
                <w:sz w:val="20"/>
                <w:lang w:eastAsia="en-GB"/>
              </w:rPr>
              <w:t>carers questionnaire, semi-structured interviews with people living with dementia, complaints and information gained by dementia service mapping.</w:t>
            </w:r>
          </w:p>
          <w:p w:rsidR="007215BF" w:rsidRPr="006B5ABD" w:rsidRDefault="007215BF" w:rsidP="007215BF">
            <w:pPr>
              <w:jc w:val="both"/>
              <w:rPr>
                <w:rFonts w:eastAsia="Times New Roman" w:cstheme="minorHAns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Default="00984B4F" w:rsidP="001F01DD">
            <w:pPr>
              <w:jc w:val="both"/>
              <w:rPr>
                <w:rFonts w:ascii="Calibri" w:eastAsia="Times New Roman" w:hAnsi="Calibri" w:cs="Calibr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984B4F" w:rsidRPr="006B5ABD" w:rsidRDefault="00984B4F" w:rsidP="005B7192">
            <w:pPr>
              <w:pStyle w:val="ListParagraph"/>
              <w:numPr>
                <w:ilvl w:val="1"/>
                <w:numId w:val="8"/>
              </w:numPr>
              <w:jc w:val="both"/>
              <w:rPr>
                <w:rFonts w:eastAsia="Times New Roman" w:cstheme="minorHAnsi"/>
                <w:b/>
                <w:sz w:val="20"/>
                <w:szCs w:val="20"/>
                <w:lang w:eastAsia="en-GB"/>
              </w:rPr>
            </w:pPr>
            <w:r w:rsidRPr="006B5ABD">
              <w:rPr>
                <w:rFonts w:eastAsia="Times New Roman" w:cstheme="minorHAnsi"/>
                <w:b/>
                <w:sz w:val="20"/>
                <w:szCs w:val="20"/>
                <w:lang w:eastAsia="en-GB"/>
              </w:rPr>
              <w:t xml:space="preserve">Applicable CQUIN goals </w:t>
            </w:r>
            <w:r w:rsidR="00C21108" w:rsidRPr="006B5ABD">
              <w:rPr>
                <w:rFonts w:eastAsia="Times New Roman" w:cstheme="minorHAnsi"/>
                <w:b/>
                <w:sz w:val="20"/>
                <w:szCs w:val="20"/>
                <w:lang w:eastAsia="en-GB"/>
              </w:rPr>
              <w:t xml:space="preserve"> (see S</w:t>
            </w:r>
            <w:r w:rsidR="00B2049D" w:rsidRPr="006B5ABD">
              <w:rPr>
                <w:rFonts w:eastAsia="Times New Roman" w:cstheme="minorHAnsi"/>
                <w:b/>
                <w:sz w:val="20"/>
                <w:szCs w:val="20"/>
                <w:lang w:eastAsia="en-GB"/>
              </w:rPr>
              <w:t>chedule 4</w:t>
            </w:r>
            <w:r w:rsidR="00876705" w:rsidRPr="006B5ABD">
              <w:rPr>
                <w:rFonts w:eastAsia="Times New Roman" w:cstheme="minorHAnsi"/>
                <w:b/>
                <w:sz w:val="20"/>
                <w:szCs w:val="20"/>
                <w:lang w:eastAsia="en-GB"/>
              </w:rPr>
              <w:t>D</w:t>
            </w:r>
            <w:r w:rsidR="005B7192" w:rsidRPr="006B5ABD">
              <w:rPr>
                <w:rFonts w:eastAsia="Times New Roman" w:cstheme="minorHAnsi"/>
                <w:b/>
                <w:sz w:val="20"/>
                <w:szCs w:val="20"/>
                <w:lang w:eastAsia="en-GB"/>
              </w:rPr>
              <w:t>)</w:t>
            </w:r>
            <w:r w:rsidR="00876705" w:rsidRPr="006B5ABD">
              <w:rPr>
                <w:rFonts w:eastAsia="Times New Roman" w:cstheme="minorHAnsi"/>
                <w:b/>
                <w:sz w:val="20"/>
                <w:szCs w:val="20"/>
                <w:lang w:eastAsia="en-GB"/>
              </w:rPr>
              <w:t xml:space="preserve"> </w:t>
            </w:r>
            <w:r w:rsidR="00876705" w:rsidRPr="006B5ABD">
              <w:rPr>
                <w:rFonts w:eastAsia="Times New Roman" w:cstheme="minorHAnsi"/>
                <w:b/>
                <w:i/>
                <w:color w:val="A6A6A6" w:themeColor="background1" w:themeShade="A6"/>
                <w:sz w:val="20"/>
                <w:szCs w:val="20"/>
                <w:lang w:eastAsia="en-GB"/>
              </w:rPr>
              <w:t xml:space="preserve">Generally CQUIN schemes are determined at contract level rather than specification level </w:t>
            </w:r>
          </w:p>
          <w:p w:rsidR="005B7192" w:rsidRDefault="005B7192" w:rsidP="00153871">
            <w:pPr>
              <w:jc w:val="both"/>
              <w:rPr>
                <w:rFonts w:eastAsia="Times New Roman" w:cstheme="minorHAnsi"/>
                <w:b/>
                <w:sz w:val="20"/>
                <w:szCs w:val="20"/>
                <w:lang w:eastAsia="en-GB"/>
              </w:rPr>
            </w:pPr>
          </w:p>
          <w:p w:rsidR="00153871" w:rsidRPr="00153871" w:rsidRDefault="00153871" w:rsidP="00153871">
            <w:pPr>
              <w:jc w:val="both"/>
              <w:rPr>
                <w:rFonts w:eastAsia="Times New Roman" w:cstheme="minorHAnsi"/>
                <w:b/>
                <w:sz w:val="20"/>
                <w:szCs w:val="20"/>
                <w:lang w:eastAsia="en-GB"/>
              </w:rPr>
            </w:pPr>
            <w:r>
              <w:rPr>
                <w:rFonts w:eastAsia="Times New Roman" w:cstheme="minorHAnsi"/>
                <w:b/>
                <w:sz w:val="20"/>
                <w:szCs w:val="20"/>
                <w:lang w:eastAsia="en-GB"/>
              </w:rPr>
              <w:t>N/a</w:t>
            </w:r>
          </w:p>
          <w:p w:rsidR="00E5679C" w:rsidRPr="006B5ABD" w:rsidRDefault="00E5679C" w:rsidP="00E5679C">
            <w:pPr>
              <w:pStyle w:val="ListParagraph"/>
              <w:numPr>
                <w:ilvl w:val="1"/>
                <w:numId w:val="8"/>
              </w:numPr>
              <w:jc w:val="both"/>
              <w:rPr>
                <w:rFonts w:eastAsia="Times New Roman" w:cstheme="minorHAnsi"/>
                <w:b/>
                <w:sz w:val="20"/>
                <w:szCs w:val="20"/>
                <w:lang w:eastAsia="en-GB"/>
              </w:rPr>
            </w:pPr>
            <w:r w:rsidRPr="006B5ABD">
              <w:rPr>
                <w:rFonts w:eastAsia="Times New Roman" w:cstheme="minorHAnsi"/>
                <w:b/>
                <w:sz w:val="20"/>
                <w:szCs w:val="20"/>
                <w:lang w:eastAsia="en-GB"/>
              </w:rPr>
              <w:t>Reporting Requirements</w:t>
            </w:r>
          </w:p>
          <w:p w:rsidR="00E5679C" w:rsidRPr="006B5ABD" w:rsidRDefault="00E5679C" w:rsidP="00E5679C">
            <w:pPr>
              <w:pStyle w:val="ListParagraph"/>
              <w:rPr>
                <w:rFonts w:eastAsia="Times New Roman" w:cstheme="minorHAnsi"/>
                <w:b/>
                <w:sz w:val="20"/>
                <w:szCs w:val="20"/>
                <w:lang w:eastAsia="en-GB"/>
              </w:rPr>
            </w:pPr>
          </w:p>
          <w:p w:rsidR="00E5679C" w:rsidRPr="006B5ABD" w:rsidRDefault="00E5679C" w:rsidP="00E5679C">
            <w:pPr>
              <w:pStyle w:val="ListParagraph"/>
              <w:ind w:left="360"/>
              <w:jc w:val="both"/>
              <w:rPr>
                <w:rFonts w:eastAsia="Times New Roman" w:cstheme="minorHAnsi"/>
                <w:b/>
                <w:sz w:val="20"/>
                <w:szCs w:val="20"/>
                <w:lang w:eastAsia="en-GB"/>
              </w:rPr>
            </w:pPr>
          </w:p>
          <w:p w:rsidR="00E5679C" w:rsidRPr="006B5ABD" w:rsidRDefault="00E5679C" w:rsidP="00E5679C">
            <w:pPr>
              <w:rPr>
                <w:rFonts w:eastAsia="Times New Roman" w:cstheme="minorHAnsi"/>
                <w:sz w:val="20"/>
                <w:lang w:eastAsia="en-GB"/>
              </w:rPr>
            </w:pPr>
            <w:r w:rsidRPr="006B5ABD">
              <w:rPr>
                <w:rFonts w:eastAsia="Times New Roman" w:cstheme="minorHAnsi"/>
                <w:sz w:val="20"/>
                <w:lang w:eastAsia="en-GB"/>
              </w:rPr>
              <w:t>The contract and service will be subject to six monthly and annual review. In advance of annual review, the provider will be expected to provide an annual report covering:</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A quantification and description of the activities of the last year;</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Above profile by all protected characteristics;</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A summary of the individual issues raised by people with dementia and cares and outcomes;</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A summary of any collective issues;</w:t>
            </w:r>
          </w:p>
          <w:p w:rsidR="00E5679C"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Evidence of and reflection on service achievements;</w:t>
            </w:r>
          </w:p>
          <w:p w:rsidR="007215BF" w:rsidRPr="006B5ABD" w:rsidRDefault="00E5679C" w:rsidP="00E5679C">
            <w:pPr>
              <w:numPr>
                <w:ilvl w:val="0"/>
                <w:numId w:val="30"/>
              </w:numPr>
              <w:contextualSpacing/>
              <w:rPr>
                <w:rFonts w:eastAsia="Times New Roman" w:cstheme="minorHAnsi"/>
                <w:sz w:val="20"/>
                <w:lang w:eastAsia="en-GB"/>
              </w:rPr>
            </w:pPr>
            <w:r w:rsidRPr="006B5ABD">
              <w:rPr>
                <w:rFonts w:eastAsia="Times New Roman" w:cstheme="minorHAnsi"/>
                <w:sz w:val="20"/>
                <w:lang w:eastAsia="en-GB"/>
              </w:rPr>
              <w:t xml:space="preserve">Six monthly quality monitoring meetings with the commissioner will be based on reports submitted to South Devon and Torbay CCG provider. </w:t>
            </w:r>
          </w:p>
        </w:tc>
      </w:tr>
      <w:tr w:rsidR="00212884" w:rsidRPr="00D1216B" w:rsidTr="00876705">
        <w:trPr>
          <w:trHeight w:val="300"/>
        </w:trPr>
        <w:tc>
          <w:tcPr>
            <w:tcW w:w="9700" w:type="dxa"/>
            <w:tcBorders>
              <w:top w:val="nil"/>
              <w:left w:val="single" w:sz="8" w:space="0" w:color="C0C0C0"/>
              <w:bottom w:val="nil"/>
              <w:right w:val="single" w:sz="8" w:space="0" w:color="C0C0C0"/>
            </w:tcBorders>
            <w:shd w:val="clear" w:color="auto" w:fill="FFFFFF" w:themeFill="background1"/>
            <w:vAlign w:val="center"/>
          </w:tcPr>
          <w:p w:rsidR="00212884" w:rsidRPr="005B7192" w:rsidRDefault="00212884" w:rsidP="00212884">
            <w:pPr>
              <w:pStyle w:val="ListParagraph"/>
              <w:ind w:left="360"/>
              <w:jc w:val="both"/>
              <w:rPr>
                <w:rFonts w:ascii="Calibri" w:eastAsia="Times New Roman" w:hAnsi="Calibri" w:cs="Calibri"/>
                <w:b/>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212884" w:rsidRDefault="00212884" w:rsidP="00212884">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6. </w:t>
            </w:r>
            <w:r w:rsidR="0027429A" w:rsidRPr="00212884">
              <w:rPr>
                <w:rFonts w:ascii="Calibri" w:eastAsia="Times New Roman" w:hAnsi="Calibri" w:cs="Calibri"/>
                <w:color w:val="FFFFFF"/>
                <w:sz w:val="20"/>
                <w:szCs w:val="20"/>
                <w:lang w:eastAsia="en-GB"/>
              </w:rPr>
              <w:t xml:space="preserve">Location of </w:t>
            </w:r>
            <w:r w:rsidRPr="00212884">
              <w:rPr>
                <w:rFonts w:ascii="Calibri" w:eastAsia="Times New Roman" w:hAnsi="Calibri" w:cs="Calibri"/>
                <w:color w:val="FFFFFF"/>
                <w:sz w:val="20"/>
                <w:szCs w:val="20"/>
                <w:lang w:eastAsia="en-GB"/>
              </w:rPr>
              <w:t>Provider Premises</w:t>
            </w:r>
            <w:r w:rsidR="00B2049D">
              <w:rPr>
                <w:rFonts w:ascii="Calibri" w:eastAsia="Times New Roman" w:hAnsi="Calibri" w:cs="Calibri"/>
                <w:color w:val="FFFFFF"/>
                <w:sz w:val="20"/>
                <w:szCs w:val="20"/>
                <w:lang w:eastAsia="en-GB"/>
              </w:rPr>
              <w:t xml:space="preserve"> (Optional use)</w:t>
            </w:r>
          </w:p>
        </w:tc>
      </w:tr>
      <w:tr w:rsidR="00984B4F" w:rsidRPr="00D1216B" w:rsidTr="00876705">
        <w:trPr>
          <w:trHeight w:val="510"/>
        </w:trPr>
        <w:tc>
          <w:tcPr>
            <w:tcW w:w="9700" w:type="dxa"/>
            <w:tcBorders>
              <w:top w:val="nil"/>
              <w:left w:val="single" w:sz="8" w:space="0" w:color="C0C0C0"/>
              <w:bottom w:val="nil"/>
              <w:right w:val="single" w:sz="8" w:space="0" w:color="C0C0C0"/>
            </w:tcBorders>
            <w:shd w:val="clear" w:color="auto" w:fill="auto"/>
            <w:vAlign w:val="center"/>
            <w:hideMark/>
          </w:tcPr>
          <w:p w:rsidR="00984B4F" w:rsidRDefault="00876705" w:rsidP="0058023C">
            <w:pPr>
              <w:jc w:val="both"/>
              <w:rPr>
                <w:rFonts w:ascii="Calibri" w:eastAsia="Times New Roman" w:hAnsi="Calibri" w:cs="Calibri"/>
                <w:b/>
                <w:color w:val="000000"/>
                <w:sz w:val="20"/>
                <w:szCs w:val="20"/>
                <w:lang w:eastAsia="en-GB"/>
              </w:rPr>
            </w:pPr>
            <w:r w:rsidRPr="00876705">
              <w:rPr>
                <w:rFonts w:ascii="Calibri" w:eastAsia="Times New Roman" w:hAnsi="Calibri" w:cs="Calibri"/>
                <w:b/>
                <w:color w:val="000000"/>
                <w:sz w:val="20"/>
                <w:szCs w:val="20"/>
                <w:lang w:eastAsia="en-GB"/>
              </w:rPr>
              <w:t>The Provider’s Premises are located at:</w:t>
            </w:r>
          </w:p>
          <w:p w:rsidR="00876705" w:rsidRDefault="00876705" w:rsidP="0058023C">
            <w:pPr>
              <w:jc w:val="both"/>
              <w:rPr>
                <w:rFonts w:ascii="Calibri" w:eastAsia="Times New Roman" w:hAnsi="Calibri" w:cs="Calibri"/>
                <w:b/>
                <w:color w:val="000000"/>
                <w:sz w:val="20"/>
                <w:szCs w:val="20"/>
                <w:lang w:eastAsia="en-GB"/>
              </w:rPr>
            </w:pPr>
          </w:p>
          <w:p w:rsidR="00876705" w:rsidRPr="00876705" w:rsidRDefault="00E5679C" w:rsidP="0058023C">
            <w:pPr>
              <w:jc w:val="both"/>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TBC</w:t>
            </w:r>
          </w:p>
        </w:tc>
      </w:tr>
      <w:tr w:rsidR="00984B4F" w:rsidRPr="00D1216B" w:rsidTr="00876705">
        <w:trPr>
          <w:trHeight w:val="315"/>
        </w:trPr>
        <w:tc>
          <w:tcPr>
            <w:tcW w:w="9700" w:type="dxa"/>
            <w:tcBorders>
              <w:top w:val="nil"/>
              <w:left w:val="single" w:sz="8" w:space="0" w:color="C0C0C0"/>
              <w:bottom w:val="single" w:sz="8" w:space="0" w:color="999999"/>
              <w:right w:val="single" w:sz="8" w:space="0" w:color="C0C0C0"/>
            </w:tcBorders>
            <w:shd w:val="clear" w:color="auto" w:fill="auto"/>
            <w:vAlign w:val="center"/>
            <w:hideMark/>
          </w:tcPr>
          <w:p w:rsidR="00984B4F" w:rsidRPr="00D1216B" w:rsidRDefault="00984B4F" w:rsidP="00D1216B">
            <w:pPr>
              <w:jc w:val="both"/>
              <w:rPr>
                <w:rFonts w:ascii="Calibri" w:eastAsia="Times New Roman" w:hAnsi="Calibri" w:cs="Calibri"/>
                <w:b/>
                <w:bCs/>
                <w:color w:val="000000"/>
                <w:sz w:val="20"/>
                <w:szCs w:val="20"/>
                <w:lang w:eastAsia="en-GB"/>
              </w:rPr>
            </w:pPr>
          </w:p>
        </w:tc>
      </w:tr>
      <w:tr w:rsidR="00984B4F" w:rsidRPr="00D1216B" w:rsidTr="00876705">
        <w:trPr>
          <w:trHeight w:val="300"/>
        </w:trPr>
        <w:tc>
          <w:tcPr>
            <w:tcW w:w="9700" w:type="dxa"/>
            <w:tcBorders>
              <w:top w:val="nil"/>
              <w:left w:val="single" w:sz="8" w:space="0" w:color="C0C0C0"/>
              <w:bottom w:val="nil"/>
              <w:right w:val="single" w:sz="8" w:space="0" w:color="C0C0C0"/>
            </w:tcBorders>
            <w:shd w:val="clear" w:color="000000" w:fill="366092"/>
            <w:vAlign w:val="center"/>
            <w:hideMark/>
          </w:tcPr>
          <w:p w:rsidR="00984B4F" w:rsidRPr="00D1216B" w:rsidRDefault="00212884" w:rsidP="005B7192">
            <w:pPr>
              <w:rPr>
                <w:rFonts w:ascii="Calibri" w:eastAsia="Times New Roman" w:hAnsi="Calibri" w:cs="Calibri"/>
                <w:color w:val="FFFFFF"/>
                <w:sz w:val="20"/>
                <w:szCs w:val="20"/>
                <w:lang w:eastAsia="en-GB"/>
              </w:rPr>
            </w:pPr>
            <w:r>
              <w:rPr>
                <w:rFonts w:ascii="Calibri" w:eastAsia="Times New Roman" w:hAnsi="Calibri" w:cs="Calibri"/>
                <w:color w:val="FFFFFF"/>
                <w:sz w:val="20"/>
                <w:szCs w:val="20"/>
                <w:lang w:eastAsia="en-GB"/>
              </w:rPr>
              <w:t xml:space="preserve">7. </w:t>
            </w:r>
            <w:r w:rsidR="00984B4F" w:rsidRPr="00D1216B">
              <w:rPr>
                <w:rFonts w:ascii="Calibri" w:eastAsia="Times New Roman" w:hAnsi="Calibri" w:cs="Calibri"/>
                <w:color w:val="FFFFFF"/>
                <w:sz w:val="20"/>
                <w:szCs w:val="20"/>
                <w:lang w:eastAsia="en-GB"/>
              </w:rPr>
              <w:t xml:space="preserve"> Individual Servic</w:t>
            </w:r>
            <w:r w:rsidR="00984B4F">
              <w:rPr>
                <w:rFonts w:ascii="Calibri" w:eastAsia="Times New Roman" w:hAnsi="Calibri" w:cs="Calibri"/>
                <w:color w:val="FFFFFF"/>
                <w:sz w:val="20"/>
                <w:szCs w:val="20"/>
                <w:lang w:eastAsia="en-GB"/>
              </w:rPr>
              <w:t>e User Placement</w:t>
            </w:r>
            <w:r w:rsidR="00B2049D">
              <w:rPr>
                <w:rFonts w:ascii="Calibri" w:eastAsia="Times New Roman" w:hAnsi="Calibri" w:cs="Calibri"/>
                <w:color w:val="FFFFFF"/>
                <w:sz w:val="20"/>
                <w:szCs w:val="20"/>
                <w:lang w:eastAsia="en-GB"/>
              </w:rPr>
              <w:t xml:space="preserve"> (Optional use)</w:t>
            </w:r>
          </w:p>
        </w:tc>
      </w:tr>
      <w:tr w:rsidR="00984B4F" w:rsidRPr="00D1216B" w:rsidTr="001F01DD">
        <w:trPr>
          <w:trHeight w:val="171"/>
        </w:trPr>
        <w:tc>
          <w:tcPr>
            <w:tcW w:w="9700" w:type="dxa"/>
            <w:tcBorders>
              <w:top w:val="nil"/>
              <w:left w:val="single" w:sz="8" w:space="0" w:color="C0C0C0"/>
              <w:bottom w:val="nil"/>
              <w:right w:val="single" w:sz="8" w:space="0" w:color="C0C0C0"/>
            </w:tcBorders>
            <w:shd w:val="clear" w:color="auto" w:fill="auto"/>
            <w:vAlign w:val="center"/>
            <w:hideMark/>
          </w:tcPr>
          <w:p w:rsidR="00984B4F" w:rsidRPr="00D1216B" w:rsidRDefault="00984B4F" w:rsidP="00D1216B">
            <w:pPr>
              <w:jc w:val="both"/>
              <w:rPr>
                <w:rFonts w:ascii="Calibri" w:eastAsia="Times New Roman" w:hAnsi="Calibri" w:cs="Calibri"/>
                <w:color w:val="000000"/>
                <w:sz w:val="20"/>
                <w:szCs w:val="20"/>
                <w:lang w:eastAsia="en-GB"/>
              </w:rPr>
            </w:pPr>
          </w:p>
        </w:tc>
      </w:tr>
      <w:tr w:rsidR="00984B4F" w:rsidRPr="00D1216B" w:rsidTr="00212884">
        <w:trPr>
          <w:trHeight w:val="315"/>
        </w:trPr>
        <w:tc>
          <w:tcPr>
            <w:tcW w:w="9700" w:type="dxa"/>
            <w:tcBorders>
              <w:top w:val="nil"/>
              <w:left w:val="single" w:sz="8" w:space="0" w:color="C0C0C0"/>
              <w:bottom w:val="single" w:sz="8" w:space="0" w:color="C0C0C0"/>
              <w:right w:val="single" w:sz="8" w:space="0" w:color="C0C0C0"/>
            </w:tcBorders>
            <w:shd w:val="clear" w:color="auto" w:fill="auto"/>
            <w:vAlign w:val="center"/>
            <w:hideMark/>
          </w:tcPr>
          <w:p w:rsidR="00984B4F" w:rsidRDefault="00E5679C" w:rsidP="001F01DD">
            <w:pPr>
              <w:jc w:val="both"/>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N/a</w:t>
            </w:r>
          </w:p>
          <w:p w:rsidR="005B7192" w:rsidRPr="00D1216B" w:rsidRDefault="005B7192" w:rsidP="001F01DD">
            <w:pPr>
              <w:jc w:val="both"/>
              <w:rPr>
                <w:rFonts w:ascii="Calibri" w:eastAsia="Times New Roman" w:hAnsi="Calibri" w:cs="Calibri"/>
                <w:color w:val="000000"/>
                <w:sz w:val="20"/>
                <w:szCs w:val="20"/>
                <w:lang w:eastAsia="en-GB"/>
              </w:rPr>
            </w:pPr>
          </w:p>
        </w:tc>
      </w:tr>
    </w:tbl>
    <w:p w:rsidR="00167939" w:rsidRDefault="00167939"/>
    <w:p w:rsidR="00D1216B" w:rsidRDefault="00D1216B"/>
    <w:sectPr w:rsidR="00D1216B" w:rsidSect="001F01D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B9" w:rsidRDefault="00CC5DB9" w:rsidP="009819D8">
      <w:r>
        <w:separator/>
      </w:r>
    </w:p>
  </w:endnote>
  <w:endnote w:type="continuationSeparator" w:id="0">
    <w:p w:rsidR="00CC5DB9" w:rsidRDefault="00CC5DB9" w:rsidP="009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3E" w:rsidRDefault="00CA3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274685"/>
      <w:docPartObj>
        <w:docPartGallery w:val="Page Numbers (Bottom of Page)"/>
        <w:docPartUnique/>
      </w:docPartObj>
    </w:sdtPr>
    <w:sdtEndPr>
      <w:rPr>
        <w:noProof/>
      </w:rPr>
    </w:sdtEndPr>
    <w:sdtContent>
      <w:p w:rsidR="00CC5DB9" w:rsidRDefault="00CC5DB9">
        <w:pPr>
          <w:pStyle w:val="Footer"/>
          <w:jc w:val="center"/>
        </w:pPr>
        <w:r>
          <w:fldChar w:fldCharType="begin"/>
        </w:r>
        <w:r>
          <w:instrText xml:space="preserve"> PAGE   \* MERGEFORMAT </w:instrText>
        </w:r>
        <w:r>
          <w:fldChar w:fldCharType="separate"/>
        </w:r>
        <w:r w:rsidR="00CA303E">
          <w:rPr>
            <w:noProof/>
          </w:rPr>
          <w:t>1</w:t>
        </w:r>
        <w:r>
          <w:rPr>
            <w:noProof/>
          </w:rPr>
          <w:fldChar w:fldCharType="end"/>
        </w:r>
      </w:p>
    </w:sdtContent>
  </w:sdt>
  <w:p w:rsidR="00CC5DB9" w:rsidRDefault="00CC5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3E" w:rsidRDefault="00CA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B9" w:rsidRDefault="00CC5DB9" w:rsidP="009819D8">
      <w:r>
        <w:separator/>
      </w:r>
    </w:p>
  </w:footnote>
  <w:footnote w:type="continuationSeparator" w:id="0">
    <w:p w:rsidR="00CC5DB9" w:rsidRDefault="00CC5DB9" w:rsidP="0098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3E" w:rsidRDefault="00CA3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407740"/>
      <w:docPartObj>
        <w:docPartGallery w:val="Watermarks"/>
        <w:docPartUnique/>
      </w:docPartObj>
    </w:sdtPr>
    <w:sdtContent>
      <w:p w:rsidR="00CA303E" w:rsidRDefault="00CA303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3E" w:rsidRDefault="00CA3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85D"/>
    <w:multiLevelType w:val="hybridMultilevel"/>
    <w:tmpl w:val="0E42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F46A96"/>
    <w:multiLevelType w:val="hybridMultilevel"/>
    <w:tmpl w:val="88D02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15500"/>
    <w:multiLevelType w:val="hybridMultilevel"/>
    <w:tmpl w:val="9D60E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496400"/>
    <w:multiLevelType w:val="hybridMultilevel"/>
    <w:tmpl w:val="288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547E0"/>
    <w:multiLevelType w:val="hybridMultilevel"/>
    <w:tmpl w:val="3D20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1C3128"/>
    <w:multiLevelType w:val="hybridMultilevel"/>
    <w:tmpl w:val="062047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3412E32"/>
    <w:multiLevelType w:val="hybridMultilevel"/>
    <w:tmpl w:val="229AB814"/>
    <w:lvl w:ilvl="0" w:tplc="3EFA5116">
      <w:start w:val="4"/>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nsid w:val="341136A5"/>
    <w:multiLevelType w:val="hybridMultilevel"/>
    <w:tmpl w:val="702A55E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51530C3"/>
    <w:multiLevelType w:val="hybridMultilevel"/>
    <w:tmpl w:val="644E782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D3E43DE"/>
    <w:multiLevelType w:val="hybridMultilevel"/>
    <w:tmpl w:val="B1302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903DC9"/>
    <w:multiLevelType w:val="hybridMultilevel"/>
    <w:tmpl w:val="02D0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9B563A"/>
    <w:multiLevelType w:val="hybridMultilevel"/>
    <w:tmpl w:val="7830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261C16"/>
    <w:multiLevelType w:val="hybridMultilevel"/>
    <w:tmpl w:val="406856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489E2521"/>
    <w:multiLevelType w:val="hybridMultilevel"/>
    <w:tmpl w:val="4DAA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504AB9"/>
    <w:multiLevelType w:val="hybridMultilevel"/>
    <w:tmpl w:val="CDF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91CDB"/>
    <w:multiLevelType w:val="hybridMultilevel"/>
    <w:tmpl w:val="85C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413994"/>
    <w:multiLevelType w:val="hybridMultilevel"/>
    <w:tmpl w:val="4838D95A"/>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
    <w:nsid w:val="526A7B9F"/>
    <w:multiLevelType w:val="hybridMultilevel"/>
    <w:tmpl w:val="A908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942721"/>
    <w:multiLevelType w:val="multilevel"/>
    <w:tmpl w:val="C0F4E2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5975843"/>
    <w:multiLevelType w:val="hybridMultilevel"/>
    <w:tmpl w:val="B0924786"/>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0">
    <w:nsid w:val="56833941"/>
    <w:multiLevelType w:val="hybridMultilevel"/>
    <w:tmpl w:val="65C24C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CA2B8B"/>
    <w:multiLevelType w:val="hybridMultilevel"/>
    <w:tmpl w:val="7E3A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550285"/>
    <w:multiLevelType w:val="hybridMultilevel"/>
    <w:tmpl w:val="D15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DA2BFE"/>
    <w:multiLevelType w:val="hybridMultilevel"/>
    <w:tmpl w:val="FA006D00"/>
    <w:lvl w:ilvl="0" w:tplc="CCCEB1FC">
      <w:start w:val="2"/>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64D92991"/>
    <w:multiLevelType w:val="multilevel"/>
    <w:tmpl w:val="5F829650"/>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69F93370"/>
    <w:multiLevelType w:val="hybridMultilevel"/>
    <w:tmpl w:val="1EB0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47729B"/>
    <w:multiLevelType w:val="hybridMultilevel"/>
    <w:tmpl w:val="36CC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7C4C34"/>
    <w:multiLevelType w:val="hybridMultilevel"/>
    <w:tmpl w:val="5CC2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4F5810"/>
    <w:multiLevelType w:val="hybridMultilevel"/>
    <w:tmpl w:val="3AF4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A253C4"/>
    <w:multiLevelType w:val="hybridMultilevel"/>
    <w:tmpl w:val="858E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3878E6"/>
    <w:multiLevelType w:val="multilevel"/>
    <w:tmpl w:val="DE308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9"/>
  </w:num>
  <w:num w:numId="3">
    <w:abstractNumId w:val="19"/>
  </w:num>
  <w:num w:numId="4">
    <w:abstractNumId w:val="16"/>
  </w:num>
  <w:num w:numId="5">
    <w:abstractNumId w:val="6"/>
  </w:num>
  <w:num w:numId="6">
    <w:abstractNumId w:val="24"/>
  </w:num>
  <w:num w:numId="7">
    <w:abstractNumId w:val="18"/>
  </w:num>
  <w:num w:numId="8">
    <w:abstractNumId w:val="31"/>
  </w:num>
  <w:num w:numId="9">
    <w:abstractNumId w:val="12"/>
  </w:num>
  <w:num w:numId="10">
    <w:abstractNumId w:val="22"/>
  </w:num>
  <w:num w:numId="11">
    <w:abstractNumId w:val="21"/>
  </w:num>
  <w:num w:numId="12">
    <w:abstractNumId w:val="29"/>
  </w:num>
  <w:num w:numId="13">
    <w:abstractNumId w:val="13"/>
  </w:num>
  <w:num w:numId="14">
    <w:abstractNumId w:val="10"/>
  </w:num>
  <w:num w:numId="15">
    <w:abstractNumId w:val="26"/>
  </w:num>
  <w:num w:numId="16">
    <w:abstractNumId w:val="20"/>
  </w:num>
  <w:num w:numId="17">
    <w:abstractNumId w:val="23"/>
  </w:num>
  <w:num w:numId="18">
    <w:abstractNumId w:val="3"/>
  </w:num>
  <w:num w:numId="19">
    <w:abstractNumId w:val="5"/>
  </w:num>
  <w:num w:numId="20">
    <w:abstractNumId w:val="7"/>
  </w:num>
  <w:num w:numId="21">
    <w:abstractNumId w:val="8"/>
  </w:num>
  <w:num w:numId="22">
    <w:abstractNumId w:val="11"/>
  </w:num>
  <w:num w:numId="23">
    <w:abstractNumId w:val="0"/>
  </w:num>
  <w:num w:numId="24">
    <w:abstractNumId w:val="1"/>
  </w:num>
  <w:num w:numId="25">
    <w:abstractNumId w:val="28"/>
  </w:num>
  <w:num w:numId="26">
    <w:abstractNumId w:val="15"/>
  </w:num>
  <w:num w:numId="27">
    <w:abstractNumId w:val="17"/>
  </w:num>
  <w:num w:numId="28">
    <w:abstractNumId w:val="4"/>
  </w:num>
  <w:num w:numId="29">
    <w:abstractNumId w:val="14"/>
  </w:num>
  <w:num w:numId="30">
    <w:abstractNumId w:val="30"/>
  </w:num>
  <w:num w:numId="31">
    <w:abstractNumId w:val="2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6B"/>
    <w:rsid w:val="00025861"/>
    <w:rsid w:val="0004460D"/>
    <w:rsid w:val="000562D0"/>
    <w:rsid w:val="00091DE0"/>
    <w:rsid w:val="000B2C2D"/>
    <w:rsid w:val="00117669"/>
    <w:rsid w:val="00124A56"/>
    <w:rsid w:val="00153871"/>
    <w:rsid w:val="00167939"/>
    <w:rsid w:val="001D0F1E"/>
    <w:rsid w:val="001F01DD"/>
    <w:rsid w:val="001F13D5"/>
    <w:rsid w:val="00212884"/>
    <w:rsid w:val="00251D0A"/>
    <w:rsid w:val="0027429A"/>
    <w:rsid w:val="00276394"/>
    <w:rsid w:val="0028772B"/>
    <w:rsid w:val="002C3B81"/>
    <w:rsid w:val="00435DE1"/>
    <w:rsid w:val="00463EC5"/>
    <w:rsid w:val="00521C95"/>
    <w:rsid w:val="0053527B"/>
    <w:rsid w:val="00536EF0"/>
    <w:rsid w:val="00550F7D"/>
    <w:rsid w:val="0058023C"/>
    <w:rsid w:val="00585F8A"/>
    <w:rsid w:val="005B7192"/>
    <w:rsid w:val="00605FD7"/>
    <w:rsid w:val="00641A97"/>
    <w:rsid w:val="006426BB"/>
    <w:rsid w:val="006502B2"/>
    <w:rsid w:val="00660501"/>
    <w:rsid w:val="00692FDC"/>
    <w:rsid w:val="006B5ABD"/>
    <w:rsid w:val="006C1607"/>
    <w:rsid w:val="007215BF"/>
    <w:rsid w:val="00747D92"/>
    <w:rsid w:val="007C1780"/>
    <w:rsid w:val="007C700B"/>
    <w:rsid w:val="007F7818"/>
    <w:rsid w:val="008122DC"/>
    <w:rsid w:val="0081599B"/>
    <w:rsid w:val="008363F0"/>
    <w:rsid w:val="008632B6"/>
    <w:rsid w:val="00876705"/>
    <w:rsid w:val="008812BE"/>
    <w:rsid w:val="008B6C1C"/>
    <w:rsid w:val="008D0E96"/>
    <w:rsid w:val="008F2C62"/>
    <w:rsid w:val="009819D8"/>
    <w:rsid w:val="00984B4F"/>
    <w:rsid w:val="009A121A"/>
    <w:rsid w:val="009B3D5E"/>
    <w:rsid w:val="009D4C90"/>
    <w:rsid w:val="00A33D35"/>
    <w:rsid w:val="00A83406"/>
    <w:rsid w:val="00AC1BD3"/>
    <w:rsid w:val="00AC6387"/>
    <w:rsid w:val="00AC76A4"/>
    <w:rsid w:val="00B2049D"/>
    <w:rsid w:val="00B219C2"/>
    <w:rsid w:val="00B22F9E"/>
    <w:rsid w:val="00B83E3C"/>
    <w:rsid w:val="00BE7D84"/>
    <w:rsid w:val="00C21108"/>
    <w:rsid w:val="00C3321F"/>
    <w:rsid w:val="00C85513"/>
    <w:rsid w:val="00C90634"/>
    <w:rsid w:val="00CA303E"/>
    <w:rsid w:val="00CC5DB9"/>
    <w:rsid w:val="00CC74E0"/>
    <w:rsid w:val="00D1216B"/>
    <w:rsid w:val="00D40EA7"/>
    <w:rsid w:val="00D556EC"/>
    <w:rsid w:val="00D97A55"/>
    <w:rsid w:val="00E10250"/>
    <w:rsid w:val="00E16AE4"/>
    <w:rsid w:val="00E21FA9"/>
    <w:rsid w:val="00E27B70"/>
    <w:rsid w:val="00E5679C"/>
    <w:rsid w:val="00E602E4"/>
    <w:rsid w:val="00E62333"/>
    <w:rsid w:val="00EC2CF8"/>
    <w:rsid w:val="00F83C9D"/>
    <w:rsid w:val="00FD2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C700B"/>
    <w:pPr>
      <w:ind w:left="720"/>
      <w:contextualSpacing/>
    </w:pPr>
  </w:style>
  <w:style w:type="paragraph" w:customStyle="1" w:styleId="Default">
    <w:name w:val="Default"/>
    <w:rsid w:val="00984B4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819D8"/>
    <w:pPr>
      <w:tabs>
        <w:tab w:val="center" w:pos="4513"/>
        <w:tab w:val="right" w:pos="9026"/>
      </w:tabs>
    </w:pPr>
  </w:style>
  <w:style w:type="character" w:customStyle="1" w:styleId="HeaderChar">
    <w:name w:val="Header Char"/>
    <w:basedOn w:val="DefaultParagraphFont"/>
    <w:link w:val="Header"/>
    <w:uiPriority w:val="99"/>
    <w:rsid w:val="009819D8"/>
  </w:style>
  <w:style w:type="paragraph" w:styleId="Footer">
    <w:name w:val="footer"/>
    <w:basedOn w:val="Normal"/>
    <w:link w:val="FooterChar"/>
    <w:uiPriority w:val="99"/>
    <w:unhideWhenUsed/>
    <w:rsid w:val="009819D8"/>
    <w:pPr>
      <w:tabs>
        <w:tab w:val="center" w:pos="4513"/>
        <w:tab w:val="right" w:pos="9026"/>
      </w:tabs>
    </w:pPr>
  </w:style>
  <w:style w:type="character" w:customStyle="1" w:styleId="FooterChar">
    <w:name w:val="Footer Char"/>
    <w:basedOn w:val="DefaultParagraphFont"/>
    <w:link w:val="Footer"/>
    <w:uiPriority w:val="99"/>
    <w:rsid w:val="009819D8"/>
  </w:style>
  <w:style w:type="paragraph" w:styleId="BodyText">
    <w:name w:val="Body Text"/>
    <w:basedOn w:val="Normal"/>
    <w:link w:val="BodyTextChar"/>
    <w:uiPriority w:val="99"/>
    <w:unhideWhenUsed/>
    <w:rsid w:val="00550F7D"/>
    <w:pPr>
      <w:spacing w:after="120"/>
    </w:pPr>
  </w:style>
  <w:style w:type="character" w:customStyle="1" w:styleId="BodyTextChar">
    <w:name w:val="Body Text Char"/>
    <w:basedOn w:val="DefaultParagraphFont"/>
    <w:link w:val="BodyText"/>
    <w:uiPriority w:val="99"/>
    <w:rsid w:val="00550F7D"/>
  </w:style>
  <w:style w:type="character" w:styleId="CommentReference">
    <w:name w:val="annotation reference"/>
    <w:basedOn w:val="DefaultParagraphFont"/>
    <w:uiPriority w:val="99"/>
    <w:semiHidden/>
    <w:unhideWhenUsed/>
    <w:rsid w:val="00876705"/>
    <w:rPr>
      <w:sz w:val="16"/>
      <w:szCs w:val="16"/>
    </w:rPr>
  </w:style>
  <w:style w:type="paragraph" w:styleId="CommentText">
    <w:name w:val="annotation text"/>
    <w:basedOn w:val="Normal"/>
    <w:link w:val="CommentTextChar"/>
    <w:uiPriority w:val="99"/>
    <w:semiHidden/>
    <w:unhideWhenUsed/>
    <w:rsid w:val="00876705"/>
    <w:rPr>
      <w:sz w:val="20"/>
      <w:szCs w:val="20"/>
    </w:rPr>
  </w:style>
  <w:style w:type="character" w:customStyle="1" w:styleId="CommentTextChar">
    <w:name w:val="Comment Text Char"/>
    <w:basedOn w:val="DefaultParagraphFont"/>
    <w:link w:val="CommentText"/>
    <w:uiPriority w:val="99"/>
    <w:semiHidden/>
    <w:rsid w:val="00876705"/>
    <w:rPr>
      <w:sz w:val="20"/>
      <w:szCs w:val="20"/>
    </w:rPr>
  </w:style>
  <w:style w:type="paragraph" w:styleId="CommentSubject">
    <w:name w:val="annotation subject"/>
    <w:basedOn w:val="CommentText"/>
    <w:next w:val="CommentText"/>
    <w:link w:val="CommentSubjectChar"/>
    <w:uiPriority w:val="99"/>
    <w:semiHidden/>
    <w:unhideWhenUsed/>
    <w:rsid w:val="00876705"/>
    <w:rPr>
      <w:b/>
      <w:bCs/>
    </w:rPr>
  </w:style>
  <w:style w:type="character" w:customStyle="1" w:styleId="CommentSubjectChar">
    <w:name w:val="Comment Subject Char"/>
    <w:basedOn w:val="CommentTextChar"/>
    <w:link w:val="CommentSubject"/>
    <w:uiPriority w:val="99"/>
    <w:semiHidden/>
    <w:rsid w:val="00876705"/>
    <w:rPr>
      <w:b/>
      <w:bCs/>
      <w:sz w:val="20"/>
      <w:szCs w:val="20"/>
    </w:rPr>
  </w:style>
  <w:style w:type="paragraph" w:styleId="BalloonText">
    <w:name w:val="Balloon Text"/>
    <w:basedOn w:val="Normal"/>
    <w:link w:val="BalloonTextChar"/>
    <w:uiPriority w:val="99"/>
    <w:semiHidden/>
    <w:unhideWhenUsed/>
    <w:rsid w:val="00876705"/>
    <w:rPr>
      <w:rFonts w:ascii="Tahoma" w:hAnsi="Tahoma" w:cs="Tahoma"/>
      <w:sz w:val="16"/>
      <w:szCs w:val="16"/>
    </w:rPr>
  </w:style>
  <w:style w:type="character" w:customStyle="1" w:styleId="BalloonTextChar">
    <w:name w:val="Balloon Text Char"/>
    <w:basedOn w:val="DefaultParagraphFont"/>
    <w:link w:val="BalloonText"/>
    <w:uiPriority w:val="99"/>
    <w:semiHidden/>
    <w:rsid w:val="00876705"/>
    <w:rPr>
      <w:rFonts w:ascii="Tahoma" w:hAnsi="Tahoma" w:cs="Tahoma"/>
      <w:sz w:val="16"/>
      <w:szCs w:val="16"/>
    </w:rPr>
  </w:style>
  <w:style w:type="character" w:customStyle="1" w:styleId="ListParagraphChar">
    <w:name w:val="List Paragraph Char"/>
    <w:basedOn w:val="DefaultParagraphFont"/>
    <w:link w:val="ListParagraph"/>
    <w:uiPriority w:val="99"/>
    <w:locked/>
    <w:rsid w:val="00E56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C700B"/>
    <w:pPr>
      <w:ind w:left="720"/>
      <w:contextualSpacing/>
    </w:pPr>
  </w:style>
  <w:style w:type="paragraph" w:customStyle="1" w:styleId="Default">
    <w:name w:val="Default"/>
    <w:rsid w:val="00984B4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819D8"/>
    <w:pPr>
      <w:tabs>
        <w:tab w:val="center" w:pos="4513"/>
        <w:tab w:val="right" w:pos="9026"/>
      </w:tabs>
    </w:pPr>
  </w:style>
  <w:style w:type="character" w:customStyle="1" w:styleId="HeaderChar">
    <w:name w:val="Header Char"/>
    <w:basedOn w:val="DefaultParagraphFont"/>
    <w:link w:val="Header"/>
    <w:uiPriority w:val="99"/>
    <w:rsid w:val="009819D8"/>
  </w:style>
  <w:style w:type="paragraph" w:styleId="Footer">
    <w:name w:val="footer"/>
    <w:basedOn w:val="Normal"/>
    <w:link w:val="FooterChar"/>
    <w:uiPriority w:val="99"/>
    <w:unhideWhenUsed/>
    <w:rsid w:val="009819D8"/>
    <w:pPr>
      <w:tabs>
        <w:tab w:val="center" w:pos="4513"/>
        <w:tab w:val="right" w:pos="9026"/>
      </w:tabs>
    </w:pPr>
  </w:style>
  <w:style w:type="character" w:customStyle="1" w:styleId="FooterChar">
    <w:name w:val="Footer Char"/>
    <w:basedOn w:val="DefaultParagraphFont"/>
    <w:link w:val="Footer"/>
    <w:uiPriority w:val="99"/>
    <w:rsid w:val="009819D8"/>
  </w:style>
  <w:style w:type="paragraph" w:styleId="BodyText">
    <w:name w:val="Body Text"/>
    <w:basedOn w:val="Normal"/>
    <w:link w:val="BodyTextChar"/>
    <w:uiPriority w:val="99"/>
    <w:unhideWhenUsed/>
    <w:rsid w:val="00550F7D"/>
    <w:pPr>
      <w:spacing w:after="120"/>
    </w:pPr>
  </w:style>
  <w:style w:type="character" w:customStyle="1" w:styleId="BodyTextChar">
    <w:name w:val="Body Text Char"/>
    <w:basedOn w:val="DefaultParagraphFont"/>
    <w:link w:val="BodyText"/>
    <w:uiPriority w:val="99"/>
    <w:rsid w:val="00550F7D"/>
  </w:style>
  <w:style w:type="character" w:styleId="CommentReference">
    <w:name w:val="annotation reference"/>
    <w:basedOn w:val="DefaultParagraphFont"/>
    <w:uiPriority w:val="99"/>
    <w:semiHidden/>
    <w:unhideWhenUsed/>
    <w:rsid w:val="00876705"/>
    <w:rPr>
      <w:sz w:val="16"/>
      <w:szCs w:val="16"/>
    </w:rPr>
  </w:style>
  <w:style w:type="paragraph" w:styleId="CommentText">
    <w:name w:val="annotation text"/>
    <w:basedOn w:val="Normal"/>
    <w:link w:val="CommentTextChar"/>
    <w:uiPriority w:val="99"/>
    <w:semiHidden/>
    <w:unhideWhenUsed/>
    <w:rsid w:val="00876705"/>
    <w:rPr>
      <w:sz w:val="20"/>
      <w:szCs w:val="20"/>
    </w:rPr>
  </w:style>
  <w:style w:type="character" w:customStyle="1" w:styleId="CommentTextChar">
    <w:name w:val="Comment Text Char"/>
    <w:basedOn w:val="DefaultParagraphFont"/>
    <w:link w:val="CommentText"/>
    <w:uiPriority w:val="99"/>
    <w:semiHidden/>
    <w:rsid w:val="00876705"/>
    <w:rPr>
      <w:sz w:val="20"/>
      <w:szCs w:val="20"/>
    </w:rPr>
  </w:style>
  <w:style w:type="paragraph" w:styleId="CommentSubject">
    <w:name w:val="annotation subject"/>
    <w:basedOn w:val="CommentText"/>
    <w:next w:val="CommentText"/>
    <w:link w:val="CommentSubjectChar"/>
    <w:uiPriority w:val="99"/>
    <w:semiHidden/>
    <w:unhideWhenUsed/>
    <w:rsid w:val="00876705"/>
    <w:rPr>
      <w:b/>
      <w:bCs/>
    </w:rPr>
  </w:style>
  <w:style w:type="character" w:customStyle="1" w:styleId="CommentSubjectChar">
    <w:name w:val="Comment Subject Char"/>
    <w:basedOn w:val="CommentTextChar"/>
    <w:link w:val="CommentSubject"/>
    <w:uiPriority w:val="99"/>
    <w:semiHidden/>
    <w:rsid w:val="00876705"/>
    <w:rPr>
      <w:b/>
      <w:bCs/>
      <w:sz w:val="20"/>
      <w:szCs w:val="20"/>
    </w:rPr>
  </w:style>
  <w:style w:type="paragraph" w:styleId="BalloonText">
    <w:name w:val="Balloon Text"/>
    <w:basedOn w:val="Normal"/>
    <w:link w:val="BalloonTextChar"/>
    <w:uiPriority w:val="99"/>
    <w:semiHidden/>
    <w:unhideWhenUsed/>
    <w:rsid w:val="00876705"/>
    <w:rPr>
      <w:rFonts w:ascii="Tahoma" w:hAnsi="Tahoma" w:cs="Tahoma"/>
      <w:sz w:val="16"/>
      <w:szCs w:val="16"/>
    </w:rPr>
  </w:style>
  <w:style w:type="character" w:customStyle="1" w:styleId="BalloonTextChar">
    <w:name w:val="Balloon Text Char"/>
    <w:basedOn w:val="DefaultParagraphFont"/>
    <w:link w:val="BalloonText"/>
    <w:uiPriority w:val="99"/>
    <w:semiHidden/>
    <w:rsid w:val="00876705"/>
    <w:rPr>
      <w:rFonts w:ascii="Tahoma" w:hAnsi="Tahoma" w:cs="Tahoma"/>
      <w:sz w:val="16"/>
      <w:szCs w:val="16"/>
    </w:rPr>
  </w:style>
  <w:style w:type="character" w:customStyle="1" w:styleId="ListParagraphChar">
    <w:name w:val="List Paragraph Char"/>
    <w:basedOn w:val="DefaultParagraphFont"/>
    <w:link w:val="ListParagraph"/>
    <w:uiPriority w:val="99"/>
    <w:locked/>
    <w:rsid w:val="00E5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2788">
      <w:bodyDiv w:val="1"/>
      <w:marLeft w:val="0"/>
      <w:marRight w:val="0"/>
      <w:marTop w:val="0"/>
      <w:marBottom w:val="0"/>
      <w:divBdr>
        <w:top w:val="none" w:sz="0" w:space="0" w:color="auto"/>
        <w:left w:val="none" w:sz="0" w:space="0" w:color="auto"/>
        <w:bottom w:val="none" w:sz="0" w:space="0" w:color="auto"/>
        <w:right w:val="none" w:sz="0" w:space="0" w:color="auto"/>
      </w:divBdr>
    </w:div>
    <w:div w:id="733547753">
      <w:bodyDiv w:val="1"/>
      <w:marLeft w:val="0"/>
      <w:marRight w:val="0"/>
      <w:marTop w:val="0"/>
      <w:marBottom w:val="0"/>
      <w:divBdr>
        <w:top w:val="none" w:sz="0" w:space="0" w:color="auto"/>
        <w:left w:val="none" w:sz="0" w:space="0" w:color="auto"/>
        <w:bottom w:val="none" w:sz="0" w:space="0" w:color="auto"/>
        <w:right w:val="none" w:sz="0" w:space="0" w:color="auto"/>
      </w:divBdr>
    </w:div>
    <w:div w:id="1022826389">
      <w:bodyDiv w:val="1"/>
      <w:marLeft w:val="0"/>
      <w:marRight w:val="0"/>
      <w:marTop w:val="0"/>
      <w:marBottom w:val="0"/>
      <w:divBdr>
        <w:top w:val="none" w:sz="0" w:space="0" w:color="auto"/>
        <w:left w:val="none" w:sz="0" w:space="0" w:color="auto"/>
        <w:bottom w:val="none" w:sz="0" w:space="0" w:color="auto"/>
        <w:right w:val="none" w:sz="0" w:space="0" w:color="auto"/>
      </w:divBdr>
    </w:div>
    <w:div w:id="1064640549">
      <w:bodyDiv w:val="1"/>
      <w:marLeft w:val="0"/>
      <w:marRight w:val="0"/>
      <w:marTop w:val="0"/>
      <w:marBottom w:val="0"/>
      <w:divBdr>
        <w:top w:val="none" w:sz="0" w:space="0" w:color="auto"/>
        <w:left w:val="none" w:sz="0" w:space="0" w:color="auto"/>
        <w:bottom w:val="none" w:sz="0" w:space="0" w:color="auto"/>
        <w:right w:val="none" w:sz="0" w:space="0" w:color="auto"/>
      </w:divBdr>
    </w:div>
    <w:div w:id="1720402282">
      <w:bodyDiv w:val="1"/>
      <w:marLeft w:val="0"/>
      <w:marRight w:val="0"/>
      <w:marTop w:val="0"/>
      <w:marBottom w:val="0"/>
      <w:divBdr>
        <w:top w:val="none" w:sz="0" w:space="0" w:color="auto"/>
        <w:left w:val="none" w:sz="0" w:space="0" w:color="auto"/>
        <w:bottom w:val="none" w:sz="0" w:space="0" w:color="auto"/>
        <w:right w:val="none" w:sz="0" w:space="0" w:color="auto"/>
      </w:divBdr>
    </w:div>
    <w:div w:id="18238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 Devon Health Informatics Service</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Morton</dc:creator>
  <cp:lastModifiedBy>Passmore-Tarpey Joshua</cp:lastModifiedBy>
  <cp:revision>2</cp:revision>
  <cp:lastPrinted>2019-01-04T08:44:00Z</cp:lastPrinted>
  <dcterms:created xsi:type="dcterms:W3CDTF">2019-01-04T13:14:00Z</dcterms:created>
  <dcterms:modified xsi:type="dcterms:W3CDTF">2019-01-04T13:14:00Z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3a4ba960-95ff-4507-9bc4-0e73e0629131</vt:lpwstr>
  </property>
</Properties>
</file>