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8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6"/>
        <w:gridCol w:w="7032"/>
      </w:tblGrid>
      <w:tr w:rsidR="00426185" w:rsidRPr="00E5362E" w:rsidTr="00146740">
        <w:tc>
          <w:tcPr>
            <w:tcW w:w="3156" w:type="dxa"/>
          </w:tcPr>
          <w:p w:rsidR="00426185" w:rsidRPr="00E5362E" w:rsidRDefault="00131828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Role</w:t>
            </w:r>
            <w:r w:rsidR="00426185" w:rsidRPr="00E5362E">
              <w:rPr>
                <w:rFonts w:ascii="Arial" w:hAnsi="Arial" w:cs="Arial"/>
                <w:b/>
                <w:color w:val="000000" w:themeColor="text1"/>
              </w:rPr>
              <w:t xml:space="preserve"> Title:</w:t>
            </w:r>
          </w:p>
        </w:tc>
        <w:tc>
          <w:tcPr>
            <w:tcW w:w="7032" w:type="dxa"/>
          </w:tcPr>
          <w:p w:rsidR="007B1D3D" w:rsidRPr="00E5362E" w:rsidRDefault="005A5499" w:rsidP="00272F7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Nurse </w:t>
            </w:r>
            <w:r w:rsidR="001030AE">
              <w:rPr>
                <w:rFonts w:ascii="Arial" w:hAnsi="Arial" w:cs="Arial"/>
                <w:color w:val="000000" w:themeColor="text1"/>
              </w:rPr>
              <w:t xml:space="preserve">Team Leader </w:t>
            </w:r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426185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Service:</w:t>
            </w:r>
          </w:p>
        </w:tc>
        <w:tc>
          <w:tcPr>
            <w:tcW w:w="7032" w:type="dxa"/>
          </w:tcPr>
          <w:p w:rsidR="00426185" w:rsidRPr="00E5362E" w:rsidRDefault="001030AE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Brook Drive</w:t>
            </w:r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426185" w:rsidP="00426185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 xml:space="preserve">Reporting to: </w:t>
            </w:r>
          </w:p>
        </w:tc>
        <w:tc>
          <w:tcPr>
            <w:tcW w:w="7032" w:type="dxa"/>
          </w:tcPr>
          <w:p w:rsidR="00426185" w:rsidRPr="00E5362E" w:rsidRDefault="00A964B7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5362E">
              <w:rPr>
                <w:rFonts w:ascii="Arial" w:hAnsi="Arial" w:cs="Arial"/>
                <w:color w:val="000000" w:themeColor="text1"/>
              </w:rPr>
              <w:t>Service</w:t>
            </w:r>
            <w:r w:rsidR="00697BF6" w:rsidRPr="00E5362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E30E2" w:rsidRPr="00E5362E">
              <w:rPr>
                <w:rFonts w:ascii="Arial" w:hAnsi="Arial" w:cs="Arial"/>
                <w:color w:val="000000" w:themeColor="text1"/>
              </w:rPr>
              <w:t>Manager</w:t>
            </w:r>
          </w:p>
        </w:tc>
      </w:tr>
      <w:tr w:rsidR="00426185" w:rsidRPr="00E5362E" w:rsidTr="00146740">
        <w:tc>
          <w:tcPr>
            <w:tcW w:w="3156" w:type="dxa"/>
          </w:tcPr>
          <w:p w:rsidR="00426185" w:rsidRPr="00E5362E" w:rsidRDefault="00131828" w:rsidP="008F4B9D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</w:rPr>
              <w:t>N</w:t>
            </w:r>
            <w:r w:rsidR="008F4B9D" w:rsidRPr="00E5362E">
              <w:rPr>
                <w:rFonts w:ascii="Arial" w:hAnsi="Arial" w:cs="Arial"/>
                <w:b/>
                <w:color w:val="000000" w:themeColor="text1"/>
              </w:rPr>
              <w:t xml:space="preserve">umber </w:t>
            </w:r>
            <w:r w:rsidRPr="00E5362E">
              <w:rPr>
                <w:rFonts w:ascii="Arial" w:hAnsi="Arial" w:cs="Arial"/>
                <w:b/>
                <w:color w:val="000000" w:themeColor="text1"/>
              </w:rPr>
              <w:t>of Role H</w:t>
            </w:r>
            <w:r w:rsidR="008D25AA" w:rsidRPr="00E5362E">
              <w:rPr>
                <w:rFonts w:ascii="Arial" w:hAnsi="Arial" w:cs="Arial"/>
                <w:b/>
                <w:color w:val="000000" w:themeColor="text1"/>
              </w:rPr>
              <w:t>olders</w:t>
            </w:r>
          </w:p>
        </w:tc>
        <w:tc>
          <w:tcPr>
            <w:tcW w:w="7032" w:type="dxa"/>
          </w:tcPr>
          <w:p w:rsidR="00426185" w:rsidRPr="00E5362E" w:rsidRDefault="00072E51" w:rsidP="0042618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5362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:rsidR="00426185" w:rsidRPr="00E5362E" w:rsidRDefault="00426185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43282" w:rsidRPr="00E5362E" w:rsidTr="00146740">
        <w:tc>
          <w:tcPr>
            <w:tcW w:w="10207" w:type="dxa"/>
            <w:tcBorders>
              <w:bottom w:val="nil"/>
            </w:tcBorders>
          </w:tcPr>
          <w:p w:rsidR="00F43282" w:rsidRPr="00146740" w:rsidRDefault="00F43282" w:rsidP="00402368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146740">
              <w:rPr>
                <w:rFonts w:ascii="Arial" w:hAnsi="Arial" w:cs="Arial"/>
                <w:b/>
                <w:color w:val="000000" w:themeColor="text1"/>
              </w:rPr>
              <w:t xml:space="preserve">Overview </w:t>
            </w:r>
          </w:p>
        </w:tc>
      </w:tr>
      <w:tr w:rsidR="00F43282" w:rsidRPr="00E5362E" w:rsidTr="00146740">
        <w:tc>
          <w:tcPr>
            <w:tcW w:w="10207" w:type="dxa"/>
            <w:tcBorders>
              <w:top w:val="nil"/>
              <w:bottom w:val="single" w:sz="12" w:space="0" w:color="auto"/>
            </w:tcBorders>
          </w:tcPr>
          <w:p w:rsidR="00BF0EED" w:rsidRPr="00146740" w:rsidRDefault="00BF0EED" w:rsidP="00BF0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6740">
              <w:rPr>
                <w:rFonts w:ascii="Arial" w:hAnsi="Arial" w:cs="Arial"/>
              </w:rPr>
              <w:t xml:space="preserve">Equinox Brook Drive </w:t>
            </w:r>
            <w:r w:rsidR="00716E28" w:rsidRPr="00146740">
              <w:rPr>
                <w:rFonts w:ascii="Arial" w:hAnsi="Arial" w:cs="Arial"/>
              </w:rPr>
              <w:t>is looking for a highly capable and</w:t>
            </w:r>
            <w:r w:rsidR="00363ABC">
              <w:rPr>
                <w:rFonts w:ascii="Arial" w:hAnsi="Arial" w:cs="Arial"/>
              </w:rPr>
              <w:t xml:space="preserve"> motivated Nurses</w:t>
            </w:r>
            <w:r w:rsidRPr="00146740">
              <w:rPr>
                <w:rFonts w:ascii="Arial" w:hAnsi="Arial" w:cs="Arial"/>
              </w:rPr>
              <w:t xml:space="preserve"> who will be able </w:t>
            </w:r>
            <w:r w:rsidR="00363ABC">
              <w:rPr>
                <w:rFonts w:ascii="Arial" w:hAnsi="Arial" w:cs="Arial"/>
              </w:rPr>
              <w:t xml:space="preserve">to help </w:t>
            </w:r>
            <w:r w:rsidR="00716E28" w:rsidRPr="00146740">
              <w:rPr>
                <w:rFonts w:ascii="Arial" w:hAnsi="Arial" w:cs="Arial"/>
              </w:rPr>
              <w:t xml:space="preserve">carry </w:t>
            </w:r>
            <w:r w:rsidR="00146740">
              <w:rPr>
                <w:rFonts w:ascii="Arial" w:hAnsi="Arial" w:cs="Arial"/>
              </w:rPr>
              <w:t>out the day to day running of</w:t>
            </w:r>
            <w:r w:rsidR="00716E28" w:rsidRPr="00146740">
              <w:rPr>
                <w:rFonts w:ascii="Arial" w:hAnsi="Arial" w:cs="Arial"/>
              </w:rPr>
              <w:t xml:space="preserve"> a busy</w:t>
            </w:r>
            <w:r w:rsidRPr="00146740">
              <w:rPr>
                <w:rFonts w:ascii="Arial" w:hAnsi="Arial" w:cs="Arial"/>
              </w:rPr>
              <w:t xml:space="preserve"> 27 bed residenti</w:t>
            </w:r>
            <w:r w:rsidR="00716E28" w:rsidRPr="00146740">
              <w:rPr>
                <w:rFonts w:ascii="Arial" w:hAnsi="Arial" w:cs="Arial"/>
              </w:rPr>
              <w:t>al drug and alcohol detox unit</w:t>
            </w:r>
            <w:r w:rsidRPr="00146740">
              <w:rPr>
                <w:rFonts w:ascii="Arial" w:hAnsi="Arial" w:cs="Arial"/>
              </w:rPr>
              <w:t>.</w:t>
            </w:r>
            <w:r w:rsidR="00357152" w:rsidRPr="00146740">
              <w:rPr>
                <w:rFonts w:ascii="Arial" w:hAnsi="Arial" w:cs="Arial"/>
              </w:rPr>
              <w:t xml:space="preserve"> </w:t>
            </w:r>
            <w:r w:rsidRPr="00146740">
              <w:rPr>
                <w:rFonts w:ascii="Arial" w:hAnsi="Arial" w:cs="Arial"/>
              </w:rPr>
              <w:t>If you are dynamic and driven with an attention to detai</w:t>
            </w:r>
            <w:r w:rsidR="00716E28" w:rsidRPr="00146740">
              <w:rPr>
                <w:rFonts w:ascii="Arial" w:hAnsi="Arial" w:cs="Arial"/>
              </w:rPr>
              <w:t>l, ability to problem solve</w:t>
            </w:r>
            <w:r w:rsidRPr="00146740">
              <w:rPr>
                <w:rFonts w:ascii="Arial" w:hAnsi="Arial" w:cs="Arial"/>
              </w:rPr>
              <w:t xml:space="preserve"> and can think strategically then this could be the perfect role for you.</w:t>
            </w:r>
          </w:p>
          <w:p w:rsidR="00716E28" w:rsidRPr="00146740" w:rsidRDefault="00716E28" w:rsidP="00BF0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46740" w:rsidRDefault="00BF0EED" w:rsidP="001467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6740">
              <w:rPr>
                <w:rFonts w:ascii="Arial" w:hAnsi="Arial" w:cs="Arial"/>
              </w:rPr>
              <w:t>Equinox offers hope without exclusion to marginalised people that have a range of needs, including mental health problems, alcohol &amp; drug dependence, and homelessness</w:t>
            </w:r>
            <w:r w:rsidR="00146740" w:rsidRPr="00146740">
              <w:rPr>
                <w:rFonts w:ascii="Arial" w:hAnsi="Arial" w:cs="Arial"/>
              </w:rPr>
              <w:t xml:space="preserve">. </w:t>
            </w:r>
          </w:p>
          <w:p w:rsidR="000B2844" w:rsidRPr="008A7D73" w:rsidRDefault="000B2844" w:rsidP="001467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1ABA" w:rsidRPr="00E5362E" w:rsidTr="005A5499">
        <w:tc>
          <w:tcPr>
            <w:tcW w:w="10207" w:type="dxa"/>
            <w:tcBorders>
              <w:bottom w:val="nil"/>
            </w:tcBorders>
          </w:tcPr>
          <w:p w:rsidR="00731ABA" w:rsidRDefault="00731ABA" w:rsidP="005A5499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Shift Pattern</w:t>
            </w:r>
          </w:p>
          <w:p w:rsidR="00731ABA" w:rsidRPr="00146740" w:rsidRDefault="00731ABA" w:rsidP="00363ABC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Shifts genera</w:t>
            </w:r>
            <w:r w:rsidR="00363ABC">
              <w:rPr>
                <w:rFonts w:ascii="Arial" w:hAnsi="Arial" w:cs="Arial"/>
              </w:rPr>
              <w:t>lly operate between 8.00am and 9</w:t>
            </w:r>
            <w:r>
              <w:rPr>
                <w:rFonts w:ascii="Arial" w:hAnsi="Arial" w:cs="Arial"/>
              </w:rPr>
              <w:t xml:space="preserve">pm, </w:t>
            </w:r>
            <w:r w:rsidR="00363ABC">
              <w:rPr>
                <w:rFonts w:ascii="Arial" w:hAnsi="Arial" w:cs="Arial"/>
              </w:rPr>
              <w:t xml:space="preserve">/ 20:00 – 08:30 over a 37.5 hour week.  Night shifts are kept to a minimum </w:t>
            </w:r>
          </w:p>
        </w:tc>
      </w:tr>
      <w:tr w:rsidR="00731ABA" w:rsidRPr="00E5362E" w:rsidTr="00731ABA">
        <w:trPr>
          <w:trHeight w:val="80"/>
        </w:trPr>
        <w:tc>
          <w:tcPr>
            <w:tcW w:w="10207" w:type="dxa"/>
            <w:tcBorders>
              <w:top w:val="nil"/>
              <w:bottom w:val="single" w:sz="12" w:space="0" w:color="auto"/>
            </w:tcBorders>
          </w:tcPr>
          <w:p w:rsidR="00731ABA" w:rsidRPr="008A7D73" w:rsidRDefault="00731ABA" w:rsidP="005A549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B79CC" w:rsidRPr="00E5362E" w:rsidRDefault="00CB79CC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9233"/>
      </w:tblGrid>
      <w:tr w:rsidR="00860186" w:rsidRPr="00E5362E" w:rsidTr="00731ABA">
        <w:tc>
          <w:tcPr>
            <w:tcW w:w="10207" w:type="dxa"/>
            <w:gridSpan w:val="2"/>
            <w:shd w:val="clear" w:color="auto" w:fill="D9D9D9" w:themeFill="background1" w:themeFillShade="D9"/>
          </w:tcPr>
          <w:p w:rsidR="00860186" w:rsidRPr="00E5362E" w:rsidRDefault="00860186" w:rsidP="00E0123D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536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Main Responsibilities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Support the i</w:t>
            </w:r>
            <w:r w:rsidR="005A5499">
              <w:rPr>
                <w:rFonts w:ascii="Arial" w:hAnsi="Arial" w:cs="Arial"/>
                <w:color w:val="000000" w:themeColor="text1"/>
              </w:rPr>
              <w:t>mplementation of the clinical</w:t>
            </w:r>
            <w:r w:rsidRPr="00F8513F">
              <w:rPr>
                <w:rFonts w:ascii="Arial" w:hAnsi="Arial" w:cs="Arial"/>
                <w:color w:val="000000" w:themeColor="text1"/>
              </w:rPr>
              <w:t xml:space="preserve"> programme for the Brook Drive Service, ensuring that contract requirements and all quality and regulatory standards are met.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Form and maintain effective local links with partner agencies (e.g. care managers), service users, carers and the local community.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Provide effective support and supervision to the staff team to ensure that the performance standards, policies and procedures are fully implemented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</w:rPr>
              <w:t>Maintain up to date knowledge of best practice in relation to the provision of recovery focused interventions</w:t>
            </w:r>
            <w:r w:rsidR="001828B8">
              <w:rPr>
                <w:rFonts w:ascii="Arial" w:hAnsi="Arial" w:cs="Arial"/>
              </w:rPr>
              <w:t>, NICE Guidelines and NMC</w:t>
            </w:r>
            <w:r w:rsidRPr="00F8513F">
              <w:rPr>
                <w:rFonts w:ascii="Arial" w:hAnsi="Arial" w:cs="Arial"/>
              </w:rPr>
              <w:t xml:space="preserve"> 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9233" w:type="dxa"/>
          </w:tcPr>
          <w:p w:rsidR="002C58AC" w:rsidRPr="00F8513F" w:rsidRDefault="002C58AC" w:rsidP="008A7D7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8513F">
              <w:rPr>
                <w:rFonts w:ascii="Arial" w:hAnsi="Arial" w:cs="Arial"/>
                <w:color w:val="000000" w:themeColor="text1"/>
              </w:rPr>
              <w:t>Contribute</w:t>
            </w:r>
            <w:r w:rsidR="001828B8">
              <w:rPr>
                <w:rFonts w:ascii="Arial" w:hAnsi="Arial" w:cs="Arial"/>
                <w:color w:val="000000" w:themeColor="text1"/>
              </w:rPr>
              <w:t xml:space="preserve"> where necessary</w:t>
            </w:r>
            <w:r w:rsidRPr="00F8513F">
              <w:rPr>
                <w:rFonts w:ascii="Arial" w:hAnsi="Arial" w:cs="Arial"/>
                <w:color w:val="000000" w:themeColor="text1"/>
              </w:rPr>
              <w:t xml:space="preserve"> to the strategic and business plans of Equinox. 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2C58AC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9233" w:type="dxa"/>
          </w:tcPr>
          <w:p w:rsidR="002C58AC" w:rsidRPr="00F8513F" w:rsidRDefault="001828B8" w:rsidP="001828B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Provide Clinical Risk</w:t>
            </w:r>
            <w:r w:rsidR="002C58AC" w:rsidRPr="00F8513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Management </w:t>
            </w:r>
            <w:r w:rsidR="002C58AC" w:rsidRPr="00F8513F">
              <w:rPr>
                <w:rFonts w:ascii="Arial" w:hAnsi="Arial" w:cs="Arial"/>
                <w:color w:val="000000" w:themeColor="text1"/>
              </w:rPr>
              <w:t>and support planning for service users and relevant interven</w:t>
            </w:r>
            <w:r>
              <w:rPr>
                <w:rFonts w:ascii="Arial" w:hAnsi="Arial" w:cs="Arial"/>
                <w:color w:val="000000" w:themeColor="text1"/>
              </w:rPr>
              <w:t>tions.</w:t>
            </w:r>
          </w:p>
        </w:tc>
      </w:tr>
      <w:tr w:rsidR="002C58AC" w:rsidRPr="00E5362E" w:rsidTr="00731ABA">
        <w:tc>
          <w:tcPr>
            <w:tcW w:w="974" w:type="dxa"/>
          </w:tcPr>
          <w:p w:rsidR="002C58AC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9233" w:type="dxa"/>
          </w:tcPr>
          <w:p w:rsidR="002C58AC" w:rsidRPr="00F8513F" w:rsidRDefault="001828B8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recruitment of nursing staff</w:t>
            </w:r>
            <w:r w:rsidR="00F8513F" w:rsidRPr="00F8513F">
              <w:rPr>
                <w:rFonts w:ascii="Arial" w:hAnsi="Arial" w:cs="Arial"/>
              </w:rPr>
              <w:t xml:space="preserve"> 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8.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>To maintain an environment whereby service users are given choice and</w:t>
            </w:r>
            <w:r w:rsidR="008A7D73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involved as much as possible in</w:t>
            </w:r>
            <w:r w:rsidR="00FA321E">
              <w:rPr>
                <w:rFonts w:ascii="Arial" w:hAnsi="Arial" w:cs="Arial"/>
              </w:rPr>
              <w:t xml:space="preserve"> their treatment and service provision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>To manage and develop robust monitoring systems for client outcomes in</w:t>
            </w:r>
            <w:r w:rsidR="008A7D73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order to demonstrate the effectiveness of the service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 xml:space="preserve">To implement and keep updated all relevant legislation, </w:t>
            </w:r>
            <w:proofErr w:type="spellStart"/>
            <w:r w:rsidRPr="00F8513F">
              <w:rPr>
                <w:rFonts w:ascii="Arial" w:hAnsi="Arial" w:cs="Arial"/>
              </w:rPr>
              <w:t>inc.</w:t>
            </w:r>
            <w:proofErr w:type="spellEnd"/>
            <w:r w:rsidRPr="00F8513F">
              <w:rPr>
                <w:rFonts w:ascii="Arial" w:hAnsi="Arial" w:cs="Arial"/>
              </w:rPr>
              <w:t xml:space="preserve"> Employment,</w:t>
            </w:r>
            <w:r w:rsidR="008A7D73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Health &amp; Safety, Equal Opportunities, Disability Discrimination etc.</w:t>
            </w:r>
          </w:p>
        </w:tc>
      </w:tr>
      <w:tr w:rsidR="00F8513F" w:rsidRPr="00E5362E" w:rsidTr="00731ABA">
        <w:tc>
          <w:tcPr>
            <w:tcW w:w="974" w:type="dxa"/>
          </w:tcPr>
          <w:p w:rsidR="00F8513F" w:rsidRPr="00F8513F" w:rsidRDefault="00F8513F" w:rsidP="002C4B9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8513F">
              <w:rPr>
                <w:rFonts w:ascii="Arial" w:hAnsi="Arial" w:cs="Arial"/>
                <w:b/>
                <w:color w:val="000000" w:themeColor="text1"/>
              </w:rPr>
              <w:lastRenderedPageBreak/>
              <w:t>11.</w:t>
            </w:r>
          </w:p>
        </w:tc>
        <w:tc>
          <w:tcPr>
            <w:tcW w:w="9233" w:type="dxa"/>
          </w:tcPr>
          <w:p w:rsidR="00F8513F" w:rsidRPr="00F8513F" w:rsidRDefault="00F8513F" w:rsidP="008A7D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 xml:space="preserve">To actively </w:t>
            </w:r>
            <w:r w:rsidR="000B2844">
              <w:rPr>
                <w:rFonts w:ascii="Arial" w:hAnsi="Arial" w:cs="Arial"/>
              </w:rPr>
              <w:t xml:space="preserve">promote a positive image of </w:t>
            </w:r>
            <w:r w:rsidR="00684634">
              <w:rPr>
                <w:rFonts w:ascii="Arial" w:hAnsi="Arial" w:cs="Arial"/>
              </w:rPr>
              <w:t>the Social Interest Group</w:t>
            </w:r>
            <w:r w:rsidR="00937723">
              <w:rPr>
                <w:rFonts w:ascii="Arial" w:hAnsi="Arial" w:cs="Arial"/>
              </w:rPr>
              <w:t xml:space="preserve"> with the general public,</w:t>
            </w:r>
            <w:r w:rsidR="00CD5496"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voluntary and statutory organisations</w:t>
            </w:r>
          </w:p>
        </w:tc>
      </w:tr>
    </w:tbl>
    <w:tbl>
      <w:tblPr>
        <w:tblStyle w:val="TableGrid"/>
        <w:tblpPr w:leftFromText="180" w:rightFromText="180" w:vertAnchor="text" w:horzAnchor="margin" w:tblpX="-299" w:tblpY="443"/>
        <w:tblW w:w="10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61"/>
        <w:gridCol w:w="869"/>
        <w:gridCol w:w="655"/>
      </w:tblGrid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31ABA" w:rsidRPr="008A7D73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A7D73">
              <w:rPr>
                <w:rFonts w:ascii="Arial" w:hAnsi="Arial" w:cs="Arial"/>
                <w:b/>
                <w:color w:val="000000" w:themeColor="text1"/>
              </w:rPr>
              <w:t>Knowledge and Skills</w:t>
            </w:r>
          </w:p>
        </w:tc>
        <w:tc>
          <w:tcPr>
            <w:tcW w:w="152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731ABA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D=desirable </w:t>
            </w:r>
          </w:p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E=Essential </w:t>
            </w: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rPr>
                <w:rFonts w:ascii="Arial" w:hAnsi="Arial" w:cs="Arial"/>
                <w:color w:val="000000" w:themeColor="text1"/>
              </w:rPr>
            </w:pP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8A7D73" w:rsidRDefault="00731ABA" w:rsidP="001913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</w:p>
        </w:tc>
      </w:tr>
      <w:tr w:rsidR="00731ABA" w:rsidRPr="00E5362E" w:rsidTr="00191333">
        <w:trPr>
          <w:trHeight w:val="1267"/>
        </w:trPr>
        <w:tc>
          <w:tcPr>
            <w:tcW w:w="8629" w:type="dxa"/>
            <w:gridSpan w:val="2"/>
            <w:tcBorders>
              <w:top w:val="single" w:sz="12" w:space="0" w:color="auto"/>
            </w:tcBorders>
          </w:tcPr>
          <w:p w:rsidR="00731ABA" w:rsidRPr="008A7D73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A7D73">
              <w:rPr>
                <w:rFonts w:ascii="Arial" w:hAnsi="Arial" w:cs="Arial"/>
              </w:rPr>
              <w:t>Tier 4 treatment service provision</w:t>
            </w:r>
            <w:r w:rsidRPr="008A7D7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31ABA" w:rsidRPr="00E5362E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5362E">
              <w:rPr>
                <w:rFonts w:ascii="Arial" w:hAnsi="Arial" w:cs="Arial"/>
                <w:color w:val="000000" w:themeColor="text1"/>
              </w:rPr>
              <w:t xml:space="preserve">Experience of Recovery focused service provision for people with </w:t>
            </w:r>
            <w:r>
              <w:rPr>
                <w:rFonts w:ascii="Arial" w:hAnsi="Arial" w:cs="Arial"/>
                <w:color w:val="000000" w:themeColor="text1"/>
              </w:rPr>
              <w:t xml:space="preserve">substance misuse and </w:t>
            </w:r>
            <w:r w:rsidRPr="00E5362E">
              <w:rPr>
                <w:rFonts w:ascii="Arial" w:hAnsi="Arial" w:cs="Arial"/>
                <w:color w:val="000000" w:themeColor="text1"/>
              </w:rPr>
              <w:t>mental health needs</w:t>
            </w:r>
          </w:p>
          <w:p w:rsidR="00731ABA" w:rsidRPr="00CC3816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CC3816">
              <w:rPr>
                <w:rFonts w:ascii="Arial" w:hAnsi="Arial" w:cs="Arial"/>
                <w:color w:val="000000" w:themeColor="text1"/>
              </w:rPr>
              <w:t xml:space="preserve">Experience of effective support planning and risk assessments </w:t>
            </w:r>
          </w:p>
          <w:p w:rsidR="00731ABA" w:rsidRPr="009161BA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9161BA">
              <w:rPr>
                <w:rFonts w:ascii="Arial" w:hAnsi="Arial" w:cs="Arial"/>
              </w:rPr>
              <w:t xml:space="preserve">Experience of </w:t>
            </w:r>
            <w:r w:rsidR="00595200">
              <w:rPr>
                <w:rFonts w:ascii="Arial" w:hAnsi="Arial" w:cs="Arial"/>
              </w:rPr>
              <w:t xml:space="preserve">clinical </w:t>
            </w:r>
            <w:bookmarkStart w:id="0" w:name="_GoBack"/>
            <w:bookmarkEnd w:id="0"/>
            <w:r w:rsidRPr="009161BA">
              <w:rPr>
                <w:rFonts w:ascii="Arial" w:hAnsi="Arial" w:cs="Arial"/>
              </w:rPr>
              <w:t>operational management</w:t>
            </w:r>
          </w:p>
          <w:p w:rsidR="00731ABA" w:rsidRPr="009161BA" w:rsidRDefault="00731ABA" w:rsidP="00191333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9161BA">
              <w:rPr>
                <w:rFonts w:ascii="Arial" w:hAnsi="Arial" w:cs="Arial"/>
              </w:rPr>
              <w:t>Management, development and supervision of a paid and voluntary workforce</w:t>
            </w:r>
          </w:p>
        </w:tc>
        <w:tc>
          <w:tcPr>
            <w:tcW w:w="1524" w:type="dxa"/>
            <w:gridSpan w:val="2"/>
            <w:vMerge/>
          </w:tcPr>
          <w:p w:rsidR="00731ABA" w:rsidRPr="00E5362E" w:rsidRDefault="00731ABA" w:rsidP="0019133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Knowledge/Qualifications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12144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144A">
              <w:rPr>
                <w:rFonts w:ascii="Arial" w:hAnsi="Arial" w:cs="Arial"/>
                <w:color w:val="000000" w:themeColor="text1"/>
              </w:rPr>
              <w:t>E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D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D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2144A">
              <w:rPr>
                <w:rFonts w:ascii="Arial" w:hAnsi="Arial" w:cs="Arial"/>
              </w:rPr>
              <w:t>E</w:t>
            </w:r>
          </w:p>
          <w:p w:rsidR="00731ABA" w:rsidRPr="00BA203E" w:rsidRDefault="00731ABA" w:rsidP="00191333">
            <w:pPr>
              <w:pStyle w:val="ListParagraph"/>
              <w:numPr>
                <w:ilvl w:val="0"/>
                <w:numId w:val="19"/>
              </w:numPr>
            </w:pPr>
            <w:r w:rsidRPr="0012144A">
              <w:rPr>
                <w:rFonts w:ascii="Arial" w:hAnsi="Arial" w:cs="Arial"/>
              </w:rPr>
              <w:t>E</w:t>
            </w:r>
          </w:p>
          <w:p w:rsidR="00731ABA" w:rsidRPr="0012144A" w:rsidRDefault="00731ABA" w:rsidP="0019133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</w:rPr>
              <w:t>E</w:t>
            </w:r>
          </w:p>
        </w:tc>
      </w:tr>
      <w:tr w:rsidR="00731ABA" w:rsidRPr="00E5362E" w:rsidTr="00191333">
        <w:tc>
          <w:tcPr>
            <w:tcW w:w="8629" w:type="dxa"/>
            <w:gridSpan w:val="2"/>
          </w:tcPr>
          <w:p w:rsidR="001828B8" w:rsidRPr="00D04606" w:rsidRDefault="001828B8" w:rsidP="001828B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First level RN qualification</w:t>
            </w:r>
          </w:p>
          <w:p w:rsidR="001828B8" w:rsidRPr="00D04606" w:rsidRDefault="001828B8" w:rsidP="001828B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Up to date certification in anaphylaxis, inoculations, First Aid &amp; CPR</w:t>
            </w:r>
          </w:p>
          <w:p w:rsidR="001828B8" w:rsidRPr="00D04606" w:rsidRDefault="001828B8" w:rsidP="001828B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Knowledge of CQC outcomes framework</w:t>
            </w:r>
          </w:p>
          <w:p w:rsidR="001828B8" w:rsidRPr="00D04606" w:rsidRDefault="001828B8" w:rsidP="001828B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 xml:space="preserve">Knowledge of relevant NICE and </w:t>
            </w:r>
            <w:proofErr w:type="spellStart"/>
            <w:r w:rsidRPr="00D04606">
              <w:rPr>
                <w:rFonts w:ascii="Arial" w:hAnsi="Arial" w:cs="Arial"/>
              </w:rPr>
              <w:t>DoH</w:t>
            </w:r>
            <w:proofErr w:type="spellEnd"/>
            <w:r w:rsidRPr="00D04606">
              <w:rPr>
                <w:rFonts w:ascii="Arial" w:hAnsi="Arial" w:cs="Arial"/>
              </w:rPr>
              <w:t xml:space="preserve"> guidance and protocols</w:t>
            </w:r>
          </w:p>
          <w:p w:rsidR="001828B8" w:rsidRPr="00D04606" w:rsidRDefault="001828B8" w:rsidP="001828B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Evidence of continuous professional development</w:t>
            </w:r>
          </w:p>
          <w:p w:rsidR="00731ABA" w:rsidRPr="008A7D73" w:rsidRDefault="001828B8" w:rsidP="001828B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04606">
              <w:rPr>
                <w:rFonts w:ascii="Arial" w:hAnsi="Arial" w:cs="Arial"/>
              </w:rPr>
              <w:t>Knowledge of regulatory frameworks for social care and treatment</w:t>
            </w:r>
          </w:p>
        </w:tc>
        <w:tc>
          <w:tcPr>
            <w:tcW w:w="1524" w:type="dxa"/>
            <w:gridSpan w:val="2"/>
            <w:vMerge/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Policies/Procedures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Default="00731ABA" w:rsidP="001913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CD5496"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D5496">
              <w:rPr>
                <w:rFonts w:ascii="Arial" w:hAnsi="Arial" w:cs="Arial"/>
              </w:rPr>
              <w:t>D</w:t>
            </w: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D5496">
              <w:rPr>
                <w:rFonts w:ascii="Arial" w:hAnsi="Arial" w:cs="Arial"/>
              </w:rPr>
              <w:t>D</w:t>
            </w:r>
          </w:p>
          <w:p w:rsidR="00731ABA" w:rsidRPr="00CD5496" w:rsidRDefault="00731ABA" w:rsidP="0019133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</w:rPr>
            </w:pPr>
            <w:r w:rsidRPr="00CD5496">
              <w:rPr>
                <w:rFonts w:ascii="Arial" w:hAnsi="Arial" w:cs="Arial"/>
                <w:color w:val="000000" w:themeColor="text1"/>
              </w:rPr>
              <w:t>D</w:t>
            </w:r>
          </w:p>
          <w:p w:rsidR="00731ABA" w:rsidRPr="00E4620D" w:rsidRDefault="00731ABA" w:rsidP="00191333">
            <w:pPr>
              <w:pStyle w:val="ListParagraph"/>
              <w:numPr>
                <w:ilvl w:val="0"/>
                <w:numId w:val="22"/>
              </w:numPr>
            </w:pPr>
            <w:r w:rsidRPr="00CD5496">
              <w:rPr>
                <w:rFonts w:ascii="Arial" w:hAnsi="Arial" w:cs="Arial"/>
              </w:rPr>
              <w:t>D</w:t>
            </w:r>
          </w:p>
        </w:tc>
      </w:tr>
      <w:tr w:rsidR="00731ABA" w:rsidRPr="00E5362E" w:rsidTr="00191333">
        <w:tc>
          <w:tcPr>
            <w:tcW w:w="8629" w:type="dxa"/>
            <w:gridSpan w:val="2"/>
          </w:tcPr>
          <w:p w:rsidR="00731ABA" w:rsidRPr="00E4620D" w:rsidRDefault="00731ABA" w:rsidP="00191333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4620D">
              <w:rPr>
                <w:rFonts w:ascii="Arial" w:hAnsi="Arial" w:cs="Arial"/>
              </w:rPr>
              <w:t xml:space="preserve">Contribute to development and review of service </w:t>
            </w:r>
            <w:r w:rsidR="00363ABC">
              <w:rPr>
                <w:rFonts w:ascii="Arial" w:hAnsi="Arial" w:cs="Arial"/>
              </w:rPr>
              <w:t>specific procedures</w:t>
            </w:r>
            <w:r w:rsidRPr="00E4620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31ABA" w:rsidRPr="00E4620D" w:rsidRDefault="00731ABA" w:rsidP="00191333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4620D">
              <w:rPr>
                <w:rFonts w:ascii="Arial" w:hAnsi="Arial" w:cs="Arial"/>
                <w:color w:val="000000" w:themeColor="text1"/>
              </w:rPr>
              <w:t>Awareness a</w:t>
            </w:r>
            <w:r w:rsidR="001828B8">
              <w:rPr>
                <w:rFonts w:ascii="Arial" w:hAnsi="Arial" w:cs="Arial"/>
                <w:color w:val="000000" w:themeColor="text1"/>
              </w:rPr>
              <w:t>nd implementation of Clinical</w:t>
            </w:r>
            <w:r w:rsidRPr="00E4620D">
              <w:rPr>
                <w:rFonts w:ascii="Arial" w:hAnsi="Arial" w:cs="Arial"/>
                <w:color w:val="000000" w:themeColor="text1"/>
              </w:rPr>
              <w:t xml:space="preserve"> Procedures</w:t>
            </w:r>
          </w:p>
        </w:tc>
        <w:tc>
          <w:tcPr>
            <w:tcW w:w="1524" w:type="dxa"/>
            <w:gridSpan w:val="2"/>
            <w:vMerge/>
            <w:tcBorders>
              <w:bottom w:val="single" w:sz="12" w:space="0" w:color="auto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Systems/Applications</w:t>
            </w:r>
          </w:p>
        </w:tc>
        <w:tc>
          <w:tcPr>
            <w:tcW w:w="1524" w:type="dxa"/>
            <w:gridSpan w:val="2"/>
            <w:vMerge w:val="restart"/>
          </w:tcPr>
          <w:p w:rsidR="00731ABA" w:rsidRDefault="00731ABA" w:rsidP="00191333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731ABA" w:rsidRPr="001461A3" w:rsidRDefault="00731ABA" w:rsidP="001913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bottom w:val="single" w:sz="12" w:space="0" w:color="auto"/>
            </w:tcBorders>
          </w:tcPr>
          <w:p w:rsidR="00731ABA" w:rsidRPr="00691F70" w:rsidRDefault="00363ABC" w:rsidP="00191333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 (patient system)</w:t>
            </w:r>
          </w:p>
          <w:p w:rsidR="00731ABA" w:rsidRPr="00691F70" w:rsidRDefault="00731ABA" w:rsidP="00191333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91F70">
              <w:rPr>
                <w:rFonts w:ascii="Arial" w:hAnsi="Arial" w:cs="Arial"/>
                <w:color w:val="000000" w:themeColor="text1"/>
              </w:rPr>
              <w:t>Cascade</w:t>
            </w:r>
          </w:p>
          <w:p w:rsidR="00731ABA" w:rsidRPr="00691F70" w:rsidRDefault="00731ABA" w:rsidP="00191333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91F70">
              <w:rPr>
                <w:rFonts w:ascii="Arial" w:hAnsi="Arial" w:cs="Arial"/>
                <w:color w:val="000000" w:themeColor="text1"/>
              </w:rPr>
              <w:t>Microsoft</w:t>
            </w:r>
            <w:r>
              <w:rPr>
                <w:rFonts w:ascii="Arial" w:hAnsi="Arial" w:cs="Arial"/>
                <w:color w:val="000000" w:themeColor="text1"/>
              </w:rPr>
              <w:t xml:space="preserve"> Packages</w:t>
            </w:r>
          </w:p>
        </w:tc>
        <w:tc>
          <w:tcPr>
            <w:tcW w:w="1524" w:type="dxa"/>
            <w:gridSpan w:val="2"/>
            <w:vMerge/>
            <w:tcBorders>
              <w:bottom w:val="single" w:sz="12" w:space="0" w:color="auto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86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1ABA" w:rsidRDefault="00731ABA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  <w:p w:rsidR="00937723" w:rsidRDefault="00937723" w:rsidP="0019133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1ABA" w:rsidRPr="00E5362E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ABA" w:rsidRPr="00E5362E" w:rsidTr="00191333">
        <w:tc>
          <w:tcPr>
            <w:tcW w:w="1015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31ABA" w:rsidRPr="00E0123D" w:rsidRDefault="00731ABA" w:rsidP="0019133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12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Person Specification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>An excellent understanding of the complex</w:t>
            </w:r>
            <w:r w:rsidR="001828B8">
              <w:rPr>
                <w:rFonts w:ascii="Arial" w:hAnsi="Arial" w:cs="Arial"/>
              </w:rPr>
              <w:t xml:space="preserve"> / medical</w:t>
            </w:r>
            <w:r w:rsidRPr="00A91386">
              <w:rPr>
                <w:rFonts w:ascii="Arial" w:hAnsi="Arial" w:cs="Arial"/>
              </w:rPr>
              <w:t xml:space="preserve"> needs and problems that confront those with a history of problematic substance misuse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>Previous experience of sup</w:t>
            </w:r>
            <w:r w:rsidR="001828B8">
              <w:rPr>
                <w:rFonts w:ascii="Arial" w:hAnsi="Arial" w:cs="Arial"/>
              </w:rPr>
              <w:t>ervising staff</w:t>
            </w:r>
            <w:r w:rsidRPr="00A913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>The knowledge, skills and ability to access the complex needs of dr</w:t>
            </w:r>
            <w:r w:rsidR="00F80DC1">
              <w:rPr>
                <w:rFonts w:ascii="Arial" w:hAnsi="Arial" w:cs="Arial"/>
              </w:rPr>
              <w:t>ug users and formulate risk management</w:t>
            </w:r>
            <w:r w:rsidRPr="00A91386">
              <w:rPr>
                <w:rFonts w:ascii="Arial" w:hAnsi="Arial" w:cs="Arial"/>
              </w:rPr>
              <w:t xml:space="preserve"> plans to identify how these needs can be met.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 xml:space="preserve">Knowledge, understanding and a commitment to the implementation of anti-discrimination practice. 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>The skills and knowledge to effectively train, support and challenge a team of workers to improve practice and service delivery. 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F80DC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A91386">
              <w:rPr>
                <w:rFonts w:ascii="Arial" w:hAnsi="Arial" w:cs="Arial"/>
              </w:rPr>
              <w:t>An up t</w:t>
            </w:r>
            <w:r w:rsidR="00F80DC1">
              <w:rPr>
                <w:rFonts w:ascii="Arial" w:hAnsi="Arial" w:cs="Arial"/>
              </w:rPr>
              <w:t>o date and thorough knowledge of NMC, NICE and QCC regulations specifically around the management of medication.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A91386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17277F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</w:rPr>
              <w:t xml:space="preserve">Good organisational skills and the ability support the Manager in organising and planning high quality service delivery to a CQC registered standard.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17277F" w:rsidRDefault="00731ABA" w:rsidP="0019133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  <w:tr w:rsidR="00731ABA" w:rsidRPr="00E5362E" w:rsidTr="00191333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A91386" w:rsidRDefault="00731ABA" w:rsidP="00191333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31ABA" w:rsidRPr="0017277F" w:rsidRDefault="00731ABA" w:rsidP="0019133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7277F">
              <w:rPr>
                <w:rFonts w:ascii="Arial" w:hAnsi="Arial" w:cs="Arial"/>
                <w:sz w:val="22"/>
                <w:szCs w:val="22"/>
              </w:rPr>
              <w:t xml:space="preserve">Excellent team working and interpersonal skills, maintaining a highly cooperative approach to supporting colleagues in delivering service objectives. 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</w:tcPr>
          <w:p w:rsidR="00731ABA" w:rsidRPr="0017277F" w:rsidRDefault="00731ABA" w:rsidP="0019133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</w:rPr>
              <w:t>A/I</w:t>
            </w:r>
          </w:p>
        </w:tc>
      </w:tr>
    </w:tbl>
    <w:p w:rsidR="00E0123D" w:rsidRDefault="00E0123D">
      <w:r>
        <w:br w:type="page"/>
      </w:r>
    </w:p>
    <w:p w:rsidR="008D54B7" w:rsidRPr="00E5362E" w:rsidRDefault="008D54B7" w:rsidP="00426185">
      <w:pPr>
        <w:spacing w:after="0"/>
        <w:rPr>
          <w:rFonts w:ascii="Arial" w:hAnsi="Arial" w:cs="Arial"/>
          <w:color w:val="000000" w:themeColor="text1"/>
        </w:rPr>
      </w:pPr>
    </w:p>
    <w:p w:rsidR="00E734A2" w:rsidRPr="00E5362E" w:rsidRDefault="00E734A2" w:rsidP="00426185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45"/>
        <w:gridCol w:w="4443"/>
        <w:gridCol w:w="993"/>
        <w:gridCol w:w="992"/>
        <w:gridCol w:w="992"/>
      </w:tblGrid>
      <w:tr w:rsidR="00153844" w:rsidRPr="00E5362E" w:rsidTr="005A5499">
        <w:tc>
          <w:tcPr>
            <w:tcW w:w="7088" w:type="dxa"/>
            <w:gridSpan w:val="2"/>
            <w:shd w:val="clear" w:color="auto" w:fill="auto"/>
          </w:tcPr>
          <w:p w:rsidR="00153844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:rsidR="00153844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Authors </w:t>
            </w:r>
          </w:p>
        </w:tc>
      </w:tr>
      <w:tr w:rsidR="0017277F" w:rsidRPr="00E5362E" w:rsidTr="0017277F">
        <w:tc>
          <w:tcPr>
            <w:tcW w:w="2645" w:type="dxa"/>
          </w:tcPr>
          <w:p w:rsid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Version number </w:t>
            </w:r>
          </w:p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43" w:type="dxa"/>
          </w:tcPr>
          <w:p w:rsid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 xml:space="preserve">Date </w:t>
            </w:r>
          </w:p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277F">
              <w:rPr>
                <w:rFonts w:ascii="Arial" w:hAnsi="Arial" w:cs="Arial"/>
                <w:color w:val="000000" w:themeColor="text1"/>
              </w:rPr>
              <w:t>22</w:t>
            </w:r>
            <w:r w:rsidRPr="0017277F">
              <w:rPr>
                <w:rFonts w:ascii="Arial" w:hAnsi="Arial" w:cs="Arial"/>
                <w:color w:val="000000" w:themeColor="text1"/>
                <w:vertAlign w:val="superscript"/>
              </w:rPr>
              <w:t>nd</w:t>
            </w:r>
            <w:r w:rsidRPr="0017277F">
              <w:rPr>
                <w:rFonts w:ascii="Arial" w:hAnsi="Arial" w:cs="Arial"/>
                <w:color w:val="000000" w:themeColor="text1"/>
              </w:rPr>
              <w:t xml:space="preserve"> August </w:t>
            </w:r>
          </w:p>
        </w:tc>
        <w:tc>
          <w:tcPr>
            <w:tcW w:w="993" w:type="dxa"/>
          </w:tcPr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Initials </w:t>
            </w:r>
            <w:r w:rsidRPr="0017277F">
              <w:rPr>
                <w:rFonts w:ascii="Arial" w:hAnsi="Arial" w:cs="Arial"/>
                <w:color w:val="000000" w:themeColor="text1"/>
              </w:rPr>
              <w:t>TM</w:t>
            </w:r>
          </w:p>
        </w:tc>
        <w:tc>
          <w:tcPr>
            <w:tcW w:w="992" w:type="dxa"/>
          </w:tcPr>
          <w:p w:rsidR="0017277F" w:rsidRPr="0017277F" w:rsidRDefault="0017277F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Initials </w:t>
            </w:r>
            <w:r w:rsidRPr="0017277F">
              <w:rPr>
                <w:rFonts w:ascii="Arial" w:hAnsi="Arial" w:cs="Arial"/>
                <w:color w:val="000000" w:themeColor="text1"/>
              </w:rPr>
              <w:t>MT</w:t>
            </w:r>
          </w:p>
        </w:tc>
        <w:tc>
          <w:tcPr>
            <w:tcW w:w="992" w:type="dxa"/>
          </w:tcPr>
          <w:p w:rsidR="0017277F" w:rsidRPr="0017277F" w:rsidRDefault="00153844" w:rsidP="00231E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Year 2016</w:t>
            </w:r>
          </w:p>
        </w:tc>
      </w:tr>
    </w:tbl>
    <w:p w:rsidR="00153844" w:rsidRDefault="00153844" w:rsidP="00426185">
      <w:pPr>
        <w:spacing w:after="0"/>
        <w:rPr>
          <w:rFonts w:ascii="Arial" w:hAnsi="Arial" w:cs="Arial"/>
          <w:color w:val="000000" w:themeColor="text1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Pr="00153844" w:rsidRDefault="00153844" w:rsidP="00153844">
      <w:pPr>
        <w:rPr>
          <w:rFonts w:ascii="Arial" w:hAnsi="Arial" w:cs="Arial"/>
        </w:rPr>
      </w:pPr>
    </w:p>
    <w:p w:rsidR="00153844" w:rsidRDefault="00153844" w:rsidP="00153844">
      <w:pPr>
        <w:rPr>
          <w:rFonts w:ascii="Arial" w:hAnsi="Arial" w:cs="Arial"/>
        </w:rPr>
      </w:pPr>
    </w:p>
    <w:p w:rsidR="004211A8" w:rsidRPr="00153844" w:rsidRDefault="004211A8" w:rsidP="00153844">
      <w:pPr>
        <w:jc w:val="right"/>
        <w:rPr>
          <w:rFonts w:ascii="Arial" w:hAnsi="Arial" w:cs="Arial"/>
        </w:rPr>
      </w:pPr>
    </w:p>
    <w:sectPr w:rsidR="004211A8" w:rsidRPr="00153844" w:rsidSect="00731ABA">
      <w:headerReference w:type="default" r:id="rId8"/>
      <w:footerReference w:type="default" r:id="rId9"/>
      <w:pgSz w:w="11906" w:h="16838"/>
      <w:pgMar w:top="993" w:right="1134" w:bottom="426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BC" w:rsidRDefault="00363ABC" w:rsidP="00426185">
      <w:pPr>
        <w:spacing w:after="0" w:line="240" w:lineRule="auto"/>
      </w:pPr>
      <w:r>
        <w:separator/>
      </w:r>
    </w:p>
  </w:endnote>
  <w:endnote w:type="continuationSeparator" w:id="0">
    <w:p w:rsidR="00363ABC" w:rsidRDefault="00363ABC" w:rsidP="0042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BC" w:rsidRPr="0016334F" w:rsidRDefault="00363ABC" w:rsidP="00731ABA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BC" w:rsidRDefault="00363ABC" w:rsidP="00426185">
      <w:pPr>
        <w:spacing w:after="0" w:line="240" w:lineRule="auto"/>
      </w:pPr>
      <w:r>
        <w:separator/>
      </w:r>
    </w:p>
  </w:footnote>
  <w:footnote w:type="continuationSeparator" w:id="0">
    <w:p w:rsidR="00363ABC" w:rsidRDefault="00363ABC" w:rsidP="0042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BC" w:rsidRDefault="00363ABC" w:rsidP="00426185">
    <w:pPr>
      <w:pStyle w:val="Header"/>
      <w:jc w:val="center"/>
      <w:rPr>
        <w:rFonts w:ascii="Arial" w:hAnsi="Arial" w:cs="Arial"/>
        <w:b/>
        <w:sz w:val="28"/>
        <w:szCs w:val="28"/>
      </w:rPr>
    </w:pPr>
    <w:r w:rsidRPr="00131828">
      <w:rPr>
        <w:rFonts w:ascii="Arial" w:hAnsi="Arial" w:cs="Arial"/>
        <w:b/>
        <w:sz w:val="28"/>
        <w:szCs w:val="28"/>
      </w:rPr>
      <w:t>Equinox –</w:t>
    </w:r>
    <w:r>
      <w:rPr>
        <w:rFonts w:ascii="Arial" w:hAnsi="Arial" w:cs="Arial"/>
        <w:b/>
        <w:sz w:val="28"/>
        <w:szCs w:val="28"/>
      </w:rPr>
      <w:t xml:space="preserve"> </w:t>
    </w:r>
    <w:r w:rsidRPr="00131828">
      <w:rPr>
        <w:rFonts w:ascii="Arial" w:hAnsi="Arial" w:cs="Arial"/>
        <w:b/>
        <w:sz w:val="28"/>
        <w:szCs w:val="28"/>
      </w:rPr>
      <w:t xml:space="preserve">Role Description </w:t>
    </w:r>
    <w:r>
      <w:rPr>
        <w:rFonts w:ascii="Arial" w:hAnsi="Arial" w:cs="Arial"/>
        <w:b/>
        <w:sz w:val="28"/>
        <w:szCs w:val="28"/>
      </w:rPr>
      <w:t xml:space="preserve">/ Personal Specification </w:t>
    </w:r>
  </w:p>
  <w:p w:rsidR="00363ABC" w:rsidRPr="00131828" w:rsidRDefault="00363ABC" w:rsidP="00426185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B20"/>
    <w:multiLevelType w:val="hybridMultilevel"/>
    <w:tmpl w:val="BFD29646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6DCA"/>
    <w:multiLevelType w:val="hybridMultilevel"/>
    <w:tmpl w:val="3AA8885A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9F2"/>
    <w:multiLevelType w:val="hybridMultilevel"/>
    <w:tmpl w:val="0156B5FC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0C2"/>
    <w:multiLevelType w:val="hybridMultilevel"/>
    <w:tmpl w:val="7CB0D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18F5"/>
    <w:multiLevelType w:val="hybridMultilevel"/>
    <w:tmpl w:val="67024760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38A1"/>
    <w:multiLevelType w:val="hybridMultilevel"/>
    <w:tmpl w:val="33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0812"/>
    <w:multiLevelType w:val="hybridMultilevel"/>
    <w:tmpl w:val="3D30E8FA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01DB9"/>
    <w:multiLevelType w:val="hybridMultilevel"/>
    <w:tmpl w:val="08842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04439"/>
    <w:multiLevelType w:val="hybridMultilevel"/>
    <w:tmpl w:val="0D04A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C66D0"/>
    <w:multiLevelType w:val="hybridMultilevel"/>
    <w:tmpl w:val="F70A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E389F"/>
    <w:multiLevelType w:val="hybridMultilevel"/>
    <w:tmpl w:val="1DB61740"/>
    <w:lvl w:ilvl="0" w:tplc="15E66F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76DD1"/>
    <w:multiLevelType w:val="hybridMultilevel"/>
    <w:tmpl w:val="B2C6E0FC"/>
    <w:lvl w:ilvl="0" w:tplc="D42296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9B3D89"/>
    <w:multiLevelType w:val="hybridMultilevel"/>
    <w:tmpl w:val="FAFAD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236C9"/>
    <w:multiLevelType w:val="hybridMultilevel"/>
    <w:tmpl w:val="68D8B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C5460"/>
    <w:multiLevelType w:val="hybridMultilevel"/>
    <w:tmpl w:val="AD204268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4695A"/>
    <w:multiLevelType w:val="hybridMultilevel"/>
    <w:tmpl w:val="C4BA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277BA"/>
    <w:multiLevelType w:val="hybridMultilevel"/>
    <w:tmpl w:val="963E583E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E5F45"/>
    <w:multiLevelType w:val="hybridMultilevel"/>
    <w:tmpl w:val="62666A48"/>
    <w:lvl w:ilvl="0" w:tplc="15E66FB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0C368E"/>
    <w:multiLevelType w:val="hybridMultilevel"/>
    <w:tmpl w:val="506CA312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0038A"/>
    <w:multiLevelType w:val="hybridMultilevel"/>
    <w:tmpl w:val="F5D209B6"/>
    <w:lvl w:ilvl="0" w:tplc="1C30DF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6F519F"/>
    <w:multiLevelType w:val="hybridMultilevel"/>
    <w:tmpl w:val="21F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D77CA"/>
    <w:multiLevelType w:val="hybridMultilevel"/>
    <w:tmpl w:val="C9E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63FF"/>
    <w:multiLevelType w:val="hybridMultilevel"/>
    <w:tmpl w:val="01FC634A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C4DA5"/>
    <w:multiLevelType w:val="hybridMultilevel"/>
    <w:tmpl w:val="705E66CC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89"/>
    <w:multiLevelType w:val="hybridMultilevel"/>
    <w:tmpl w:val="6B086C52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10E43"/>
    <w:multiLevelType w:val="hybridMultilevel"/>
    <w:tmpl w:val="962ED210"/>
    <w:lvl w:ilvl="0" w:tplc="15E66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03653"/>
    <w:multiLevelType w:val="hybridMultilevel"/>
    <w:tmpl w:val="AD204268"/>
    <w:lvl w:ilvl="0" w:tplc="1C30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8"/>
  </w:num>
  <w:num w:numId="5">
    <w:abstractNumId w:val="12"/>
  </w:num>
  <w:num w:numId="6">
    <w:abstractNumId w:val="10"/>
  </w:num>
  <w:num w:numId="7">
    <w:abstractNumId w:val="13"/>
  </w:num>
  <w:num w:numId="8">
    <w:abstractNumId w:val="20"/>
  </w:num>
  <w:num w:numId="9">
    <w:abstractNumId w:val="9"/>
  </w:num>
  <w:num w:numId="10">
    <w:abstractNumId w:val="15"/>
  </w:num>
  <w:num w:numId="11">
    <w:abstractNumId w:val="26"/>
  </w:num>
  <w:num w:numId="12">
    <w:abstractNumId w:val="3"/>
  </w:num>
  <w:num w:numId="13">
    <w:abstractNumId w:val="19"/>
  </w:num>
  <w:num w:numId="14">
    <w:abstractNumId w:val="24"/>
  </w:num>
  <w:num w:numId="15">
    <w:abstractNumId w:val="16"/>
  </w:num>
  <w:num w:numId="16">
    <w:abstractNumId w:val="0"/>
  </w:num>
  <w:num w:numId="17">
    <w:abstractNumId w:val="22"/>
  </w:num>
  <w:num w:numId="18">
    <w:abstractNumId w:val="6"/>
  </w:num>
  <w:num w:numId="19">
    <w:abstractNumId w:val="23"/>
  </w:num>
  <w:num w:numId="20">
    <w:abstractNumId w:val="17"/>
  </w:num>
  <w:num w:numId="21">
    <w:abstractNumId w:val="18"/>
  </w:num>
  <w:num w:numId="22">
    <w:abstractNumId w:val="4"/>
  </w:num>
  <w:num w:numId="23">
    <w:abstractNumId w:val="2"/>
  </w:num>
  <w:num w:numId="24">
    <w:abstractNumId w:val="1"/>
  </w:num>
  <w:num w:numId="25">
    <w:abstractNumId w:val="25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85"/>
    <w:rsid w:val="000078B5"/>
    <w:rsid w:val="000630C7"/>
    <w:rsid w:val="00067925"/>
    <w:rsid w:val="00072E51"/>
    <w:rsid w:val="00097FB7"/>
    <w:rsid w:val="000A2C96"/>
    <w:rsid w:val="000A3539"/>
    <w:rsid w:val="000A4616"/>
    <w:rsid w:val="000A73A2"/>
    <w:rsid w:val="000B2844"/>
    <w:rsid w:val="000C7AA7"/>
    <w:rsid w:val="000E20BF"/>
    <w:rsid w:val="000E30E2"/>
    <w:rsid w:val="000F1DB1"/>
    <w:rsid w:val="000F3A61"/>
    <w:rsid w:val="000F68E0"/>
    <w:rsid w:val="001030AE"/>
    <w:rsid w:val="0012144A"/>
    <w:rsid w:val="00131828"/>
    <w:rsid w:val="001461A3"/>
    <w:rsid w:val="00146740"/>
    <w:rsid w:val="00153844"/>
    <w:rsid w:val="0016334F"/>
    <w:rsid w:val="0017277F"/>
    <w:rsid w:val="001775E9"/>
    <w:rsid w:val="00181858"/>
    <w:rsid w:val="001828B8"/>
    <w:rsid w:val="00190D7C"/>
    <w:rsid w:val="00191333"/>
    <w:rsid w:val="001B152C"/>
    <w:rsid w:val="001B48D3"/>
    <w:rsid w:val="001B786E"/>
    <w:rsid w:val="001F7255"/>
    <w:rsid w:val="002063A9"/>
    <w:rsid w:val="002235DC"/>
    <w:rsid w:val="00223E78"/>
    <w:rsid w:val="0022484E"/>
    <w:rsid w:val="00230780"/>
    <w:rsid w:val="00231EC3"/>
    <w:rsid w:val="002325EA"/>
    <w:rsid w:val="00236BD5"/>
    <w:rsid w:val="00256AB8"/>
    <w:rsid w:val="0025713E"/>
    <w:rsid w:val="00272F76"/>
    <w:rsid w:val="0029012A"/>
    <w:rsid w:val="002B1CA8"/>
    <w:rsid w:val="002C4B9E"/>
    <w:rsid w:val="002C4DF3"/>
    <w:rsid w:val="002C58AC"/>
    <w:rsid w:val="002E1D90"/>
    <w:rsid w:val="002F3354"/>
    <w:rsid w:val="00320C24"/>
    <w:rsid w:val="003270D8"/>
    <w:rsid w:val="00342FAC"/>
    <w:rsid w:val="003527AA"/>
    <w:rsid w:val="00354969"/>
    <w:rsid w:val="00357152"/>
    <w:rsid w:val="00363ABC"/>
    <w:rsid w:val="00372B01"/>
    <w:rsid w:val="003775E6"/>
    <w:rsid w:val="00382E7C"/>
    <w:rsid w:val="00385195"/>
    <w:rsid w:val="003A0836"/>
    <w:rsid w:val="003A194C"/>
    <w:rsid w:val="003C1EB2"/>
    <w:rsid w:val="003D0EFE"/>
    <w:rsid w:val="003D173A"/>
    <w:rsid w:val="003D76B1"/>
    <w:rsid w:val="00400963"/>
    <w:rsid w:val="00402368"/>
    <w:rsid w:val="004211A8"/>
    <w:rsid w:val="0042355C"/>
    <w:rsid w:val="00426185"/>
    <w:rsid w:val="00444C7D"/>
    <w:rsid w:val="00463DE8"/>
    <w:rsid w:val="004739DE"/>
    <w:rsid w:val="00497808"/>
    <w:rsid w:val="004C3E71"/>
    <w:rsid w:val="004D23A9"/>
    <w:rsid w:val="004D7DC4"/>
    <w:rsid w:val="004E078C"/>
    <w:rsid w:val="004E5434"/>
    <w:rsid w:val="004F16F0"/>
    <w:rsid w:val="0052557A"/>
    <w:rsid w:val="00557E5C"/>
    <w:rsid w:val="0056006A"/>
    <w:rsid w:val="00580606"/>
    <w:rsid w:val="005837D5"/>
    <w:rsid w:val="00595200"/>
    <w:rsid w:val="005A5499"/>
    <w:rsid w:val="005C34EC"/>
    <w:rsid w:val="005D13F2"/>
    <w:rsid w:val="005D65E6"/>
    <w:rsid w:val="00613104"/>
    <w:rsid w:val="00622DA5"/>
    <w:rsid w:val="006617AC"/>
    <w:rsid w:val="00671028"/>
    <w:rsid w:val="00684634"/>
    <w:rsid w:val="006847EC"/>
    <w:rsid w:val="00691F70"/>
    <w:rsid w:val="00692CBF"/>
    <w:rsid w:val="00697BF6"/>
    <w:rsid w:val="006A2A1C"/>
    <w:rsid w:val="006B190B"/>
    <w:rsid w:val="006B2A9F"/>
    <w:rsid w:val="006E43B9"/>
    <w:rsid w:val="006F5B6C"/>
    <w:rsid w:val="007044F5"/>
    <w:rsid w:val="00716E28"/>
    <w:rsid w:val="00717D86"/>
    <w:rsid w:val="00731ABA"/>
    <w:rsid w:val="0075697A"/>
    <w:rsid w:val="007722DE"/>
    <w:rsid w:val="00775AA3"/>
    <w:rsid w:val="00780D76"/>
    <w:rsid w:val="007B1D3D"/>
    <w:rsid w:val="007B492C"/>
    <w:rsid w:val="007C1788"/>
    <w:rsid w:val="007C5935"/>
    <w:rsid w:val="007D186B"/>
    <w:rsid w:val="007F3106"/>
    <w:rsid w:val="008001E2"/>
    <w:rsid w:val="00800B71"/>
    <w:rsid w:val="00816AB3"/>
    <w:rsid w:val="00820914"/>
    <w:rsid w:val="00831E4A"/>
    <w:rsid w:val="00844D53"/>
    <w:rsid w:val="00847538"/>
    <w:rsid w:val="008529FC"/>
    <w:rsid w:val="00860186"/>
    <w:rsid w:val="00860447"/>
    <w:rsid w:val="00871A8C"/>
    <w:rsid w:val="00882ACE"/>
    <w:rsid w:val="00885B56"/>
    <w:rsid w:val="008A7D73"/>
    <w:rsid w:val="008B04B2"/>
    <w:rsid w:val="008D25AA"/>
    <w:rsid w:val="008D54B7"/>
    <w:rsid w:val="008E3258"/>
    <w:rsid w:val="008F4B9D"/>
    <w:rsid w:val="00914A4E"/>
    <w:rsid w:val="009161BA"/>
    <w:rsid w:val="0092731B"/>
    <w:rsid w:val="009274BE"/>
    <w:rsid w:val="00937723"/>
    <w:rsid w:val="00944EEA"/>
    <w:rsid w:val="0095029C"/>
    <w:rsid w:val="00967F92"/>
    <w:rsid w:val="009816C2"/>
    <w:rsid w:val="00987F2E"/>
    <w:rsid w:val="009949D7"/>
    <w:rsid w:val="009C5397"/>
    <w:rsid w:val="009C5F54"/>
    <w:rsid w:val="009D7250"/>
    <w:rsid w:val="009F22F9"/>
    <w:rsid w:val="00A074D4"/>
    <w:rsid w:val="00A119EA"/>
    <w:rsid w:val="00A41A82"/>
    <w:rsid w:val="00A4591E"/>
    <w:rsid w:val="00A56736"/>
    <w:rsid w:val="00A7176B"/>
    <w:rsid w:val="00A73366"/>
    <w:rsid w:val="00A80053"/>
    <w:rsid w:val="00A81D26"/>
    <w:rsid w:val="00A91386"/>
    <w:rsid w:val="00A964B7"/>
    <w:rsid w:val="00B21248"/>
    <w:rsid w:val="00B23CAC"/>
    <w:rsid w:val="00B34EA4"/>
    <w:rsid w:val="00B3567F"/>
    <w:rsid w:val="00B40A25"/>
    <w:rsid w:val="00B42940"/>
    <w:rsid w:val="00B43E05"/>
    <w:rsid w:val="00B571FF"/>
    <w:rsid w:val="00B87496"/>
    <w:rsid w:val="00BA203E"/>
    <w:rsid w:val="00BB4952"/>
    <w:rsid w:val="00BF0EED"/>
    <w:rsid w:val="00BF334A"/>
    <w:rsid w:val="00C11229"/>
    <w:rsid w:val="00C15B30"/>
    <w:rsid w:val="00C34A7F"/>
    <w:rsid w:val="00C40FDD"/>
    <w:rsid w:val="00C84031"/>
    <w:rsid w:val="00C854D2"/>
    <w:rsid w:val="00CA592F"/>
    <w:rsid w:val="00CB79CC"/>
    <w:rsid w:val="00CC3816"/>
    <w:rsid w:val="00CC4059"/>
    <w:rsid w:val="00CC5257"/>
    <w:rsid w:val="00CD3A67"/>
    <w:rsid w:val="00CD5496"/>
    <w:rsid w:val="00CE6F18"/>
    <w:rsid w:val="00D637C9"/>
    <w:rsid w:val="00D80550"/>
    <w:rsid w:val="00D85E7E"/>
    <w:rsid w:val="00D94D98"/>
    <w:rsid w:val="00DB215D"/>
    <w:rsid w:val="00DC3B88"/>
    <w:rsid w:val="00DD0173"/>
    <w:rsid w:val="00DF3C9A"/>
    <w:rsid w:val="00E0123D"/>
    <w:rsid w:val="00E05233"/>
    <w:rsid w:val="00E2133B"/>
    <w:rsid w:val="00E4620D"/>
    <w:rsid w:val="00E50B17"/>
    <w:rsid w:val="00E516D0"/>
    <w:rsid w:val="00E5362E"/>
    <w:rsid w:val="00E60916"/>
    <w:rsid w:val="00E734A2"/>
    <w:rsid w:val="00EB6AF1"/>
    <w:rsid w:val="00EC385D"/>
    <w:rsid w:val="00EE317E"/>
    <w:rsid w:val="00EF5A7B"/>
    <w:rsid w:val="00F207E7"/>
    <w:rsid w:val="00F2300A"/>
    <w:rsid w:val="00F43282"/>
    <w:rsid w:val="00F45A9D"/>
    <w:rsid w:val="00F5005B"/>
    <w:rsid w:val="00F51698"/>
    <w:rsid w:val="00F80DC1"/>
    <w:rsid w:val="00F8513F"/>
    <w:rsid w:val="00FA321E"/>
    <w:rsid w:val="00FD281C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FBA06-C98F-4220-9A98-0885E63C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85"/>
  </w:style>
  <w:style w:type="paragraph" w:styleId="Footer">
    <w:name w:val="footer"/>
    <w:basedOn w:val="Normal"/>
    <w:link w:val="FooterChar"/>
    <w:uiPriority w:val="99"/>
    <w:unhideWhenUsed/>
    <w:rsid w:val="004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85"/>
  </w:style>
  <w:style w:type="table" w:styleId="TableGrid">
    <w:name w:val="Table Grid"/>
    <w:basedOn w:val="TableNormal"/>
    <w:uiPriority w:val="59"/>
    <w:rsid w:val="0042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B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28B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2BF8-8D47-44A7-A9E6-A4B8EB39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1B781A24.dotm</Template>
  <TotalTime>29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Equinox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peter.whitelock</dc:creator>
  <cp:lastModifiedBy>Michael Twamley</cp:lastModifiedBy>
  <cp:revision>8</cp:revision>
  <cp:lastPrinted>2016-08-22T14:30:00Z</cp:lastPrinted>
  <dcterms:created xsi:type="dcterms:W3CDTF">2016-11-23T14:38:00Z</dcterms:created>
  <dcterms:modified xsi:type="dcterms:W3CDTF">2018-07-04T13:34:00Z</dcterms:modified>
</cp:coreProperties>
</file>