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5359E9">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5359E9">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5359E9">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77A3B2F4"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5359E9">
        <w:rPr>
          <w:rFonts w:asciiTheme="majorHAnsi" w:eastAsiaTheme="majorEastAsia" w:hAnsiTheme="majorHAnsi" w:cstheme="majorBidi"/>
          <w:b/>
          <w:bCs/>
          <w:color w:val="272727" w:themeColor="text1" w:themeTint="D8"/>
        </w:rPr>
        <w:t xml:space="preserve">   </w:t>
      </w:r>
      <w:proofErr w:type="gramStart"/>
      <w:r w:rsidR="005359E9">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proofErr w:type="gramEnd"/>
      <w:r w:rsidRPr="00DE4F98">
        <w:rPr>
          <w:rFonts w:asciiTheme="majorHAnsi" w:eastAsiaTheme="majorEastAsia" w:hAnsiTheme="majorHAnsi" w:cstheme="majorBidi"/>
          <w:b/>
          <w:bCs/>
          <w:color w:val="272727" w:themeColor="text1" w:themeTint="D8"/>
        </w:rPr>
        <w:t xml:space="preserve">  </w:t>
      </w:r>
      <w:r w:rsidR="005359E9">
        <w:rPr>
          <w:rFonts w:asciiTheme="majorHAnsi" w:eastAsiaTheme="majorEastAsia" w:hAnsiTheme="majorHAnsi" w:cstheme="majorBidi"/>
          <w:b/>
          <w:bCs/>
          <w:color w:val="272727" w:themeColor="text1" w:themeTint="D8"/>
        </w:rPr>
        <w:t>Chillers and AC</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5CC35DE6"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69C85AB3"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30/06/2024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71200F63"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w:t>
      </w:r>
      <w:proofErr w:type="gramStart"/>
      <w:r w:rsidRPr="00DE4F98">
        <w:rPr>
          <w:rFonts w:asciiTheme="majorHAnsi" w:eastAsiaTheme="majorEastAsia" w:hAnsiTheme="majorHAnsi" w:cstheme="majorBidi"/>
          <w:b/>
          <w:bCs/>
          <w:color w:val="272727" w:themeColor="text1" w:themeTint="D8"/>
        </w:rPr>
        <w:t xml:space="preserve">  :</w:t>
      </w:r>
      <w:proofErr w:type="gramEnd"/>
      <w:r w:rsidRPr="00DE4F98">
        <w:rPr>
          <w:rFonts w:asciiTheme="majorHAnsi" w:eastAsiaTheme="majorEastAsia" w:hAnsiTheme="majorHAnsi" w:cstheme="majorBidi"/>
          <w:b/>
          <w:bCs/>
          <w:color w:val="272727" w:themeColor="text1" w:themeTint="D8"/>
        </w:rPr>
        <w:t xml:space="preserve">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326235BA" w:rsidR="0097168A" w:rsidRPr="00DE4F98" w:rsidRDefault="0097168A" w:rsidP="0097168A">
      <w:r w:rsidRPr="00DE4F98">
        <w:t xml:space="preserve">The operating times on HMCTS are 07:00 to 19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2BA" w14:textId="77777777" w:rsidR="00ED10C7" w:rsidRDefault="00ED10C7" w:rsidP="00F51D4C">
      <w:r>
        <w:separator/>
      </w:r>
    </w:p>
  </w:endnote>
  <w:endnote w:type="continuationSeparator" w:id="0">
    <w:p w14:paraId="3406717E" w14:textId="77777777" w:rsidR="00ED10C7" w:rsidRDefault="00ED10C7" w:rsidP="00F51D4C">
      <w:r>
        <w:continuationSeparator/>
      </w:r>
    </w:p>
  </w:endnote>
  <w:endnote w:type="continuationNotice" w:id="1">
    <w:p w14:paraId="122020C8" w14:textId="77777777" w:rsidR="0047661C" w:rsidRDefault="00476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Roboto Black">
    <w:altName w:val="Arial"/>
    <w:panose1 w:val="02000000000000000000"/>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6D9" w14:textId="77777777" w:rsidR="00ED10C7" w:rsidRDefault="00ED10C7" w:rsidP="00F51D4C">
      <w:r>
        <w:separator/>
      </w:r>
    </w:p>
  </w:footnote>
  <w:footnote w:type="continuationSeparator" w:id="0">
    <w:p w14:paraId="04AC0CA4" w14:textId="77777777" w:rsidR="00ED10C7" w:rsidRDefault="00ED10C7" w:rsidP="00F51D4C">
      <w:r>
        <w:continuationSeparator/>
      </w:r>
    </w:p>
  </w:footnote>
  <w:footnote w:type="continuationNotice" w:id="1">
    <w:p w14:paraId="21DBFB5E" w14:textId="77777777" w:rsidR="0047661C" w:rsidRDefault="00476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59E9"/>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2.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3.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3</TotalTime>
  <Pages>23</Pages>
  <Words>6504</Words>
  <Characters>37079</Characters>
  <Application>Microsoft Office Word</Application>
  <DocSecurity>6</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43497</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BARTON Alfred (EQUANS UK)</cp:lastModifiedBy>
  <cp:revision>2</cp:revision>
  <dcterms:created xsi:type="dcterms:W3CDTF">2023-12-05T10:11:00Z</dcterms:created>
  <dcterms:modified xsi:type="dcterms:W3CDTF">2023-12-05T10:11:00Z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