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2D52" w:rsidRDefault="70289D36" w:rsidP="00086132">
      <w:pPr>
        <w:rPr>
          <w:rFonts w:ascii="Arial" w:eastAsia="Arial" w:hAnsi="Arial" w:cs="Arial"/>
          <w:b/>
          <w:sz w:val="36"/>
          <w:szCs w:val="36"/>
        </w:rPr>
      </w:pPr>
      <w:bookmarkStart w:id="0" w:name="_heading=h.gjdgxs"/>
      <w:bookmarkEnd w:id="0"/>
      <w:r w:rsidRPr="6A2E457B">
        <w:rPr>
          <w:rFonts w:ascii="Arial" w:eastAsia="Arial" w:hAnsi="Arial" w:cs="Arial"/>
          <w:b/>
          <w:bCs/>
          <w:sz w:val="36"/>
          <w:szCs w:val="36"/>
        </w:rPr>
        <w:t>Schedule 2 (Specification)</w:t>
      </w:r>
    </w:p>
    <w:tbl>
      <w:tblPr>
        <w:tblW w:w="9015" w:type="dxa"/>
        <w:tblLayout w:type="fixed"/>
        <w:tblLook w:val="04A0" w:firstRow="1" w:lastRow="0" w:firstColumn="1" w:lastColumn="0" w:noHBand="0" w:noVBand="1"/>
      </w:tblPr>
      <w:tblGrid>
        <w:gridCol w:w="9015"/>
      </w:tblGrid>
      <w:tr w:rsidR="6A2E457B" w14:paraId="12034593" w14:textId="77777777" w:rsidTr="007F00E5">
        <w:trPr>
          <w:trHeight w:val="1083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75600410" w14:textId="0F56AAC0" w:rsidR="6A2E457B" w:rsidRDefault="6A2E457B" w:rsidP="6A2E457B">
            <w:pPr>
              <w:spacing w:after="0" w:line="257" w:lineRule="auto"/>
            </w:pPr>
            <w:r w:rsidRPr="6A2E457B">
              <w:rPr>
                <w:rFonts w:ascii="Tahoma" w:eastAsia="Tahoma" w:hAnsi="Tahoma" w:cs="Tahoma"/>
                <w:u w:val="single"/>
              </w:rPr>
              <w:t>Brief</w:t>
            </w:r>
          </w:p>
          <w:p w14:paraId="64BB1D8D" w14:textId="76B95F16" w:rsidR="6A2E457B" w:rsidRDefault="6A2E457B" w:rsidP="6A2E457B">
            <w:pPr>
              <w:spacing w:after="0" w:line="257" w:lineRule="auto"/>
            </w:pPr>
            <w:r w:rsidRPr="6A2E457B">
              <w:rPr>
                <w:rFonts w:ascii="Tahoma" w:eastAsia="Tahoma" w:hAnsi="Tahoma" w:cs="Tahoma"/>
              </w:rPr>
              <w:t xml:space="preserve"> </w:t>
            </w:r>
          </w:p>
          <w:p w14:paraId="1C3A6EEE" w14:textId="22A1DDA7" w:rsidR="6A2E457B" w:rsidRDefault="6A2E457B" w:rsidP="6A2E457B">
            <w:pPr>
              <w:spacing w:after="0" w:line="257" w:lineRule="auto"/>
            </w:pPr>
            <w:r w:rsidRPr="6A2E457B">
              <w:rPr>
                <w:rFonts w:ascii="Tahoma" w:eastAsia="Tahoma" w:hAnsi="Tahoma" w:cs="Tahoma"/>
              </w:rPr>
              <w:t>The Tax Policy Foundation Programme (TPFP) is a six-day programme jointly attended 70% by HMRC and 30% HM Treasury policy professionals. TPFP is an essential part of the core learning programme for policy professionals in HMRC and is considered mandatory learning. TPFP offers students an introduction to the structure of the UK tax system (including discussion of each of the major revenue streams), the economics of tax and tax compliance, the tax policy-making process and the politics and sociology of tax.</w:t>
            </w:r>
          </w:p>
          <w:p w14:paraId="1AB8448C" w14:textId="53D06346" w:rsidR="6A2E457B" w:rsidRDefault="6A2E457B" w:rsidP="6A2E457B">
            <w:pPr>
              <w:spacing w:after="0" w:line="257" w:lineRule="auto"/>
            </w:pPr>
            <w:r w:rsidRPr="6A2E457B">
              <w:rPr>
                <w:rFonts w:ascii="Tahoma" w:eastAsia="Tahoma" w:hAnsi="Tahoma" w:cs="Tahoma"/>
              </w:rPr>
              <w:t xml:space="preserve"> </w:t>
            </w:r>
          </w:p>
          <w:p w14:paraId="46390130" w14:textId="54DFF237" w:rsidR="6A2E457B" w:rsidRDefault="00A942A9" w:rsidP="6A2E457B">
            <w:pPr>
              <w:spacing w:after="0" w:line="257" w:lineRule="auto"/>
            </w:pPr>
            <w:r>
              <w:t xml:space="preserve">REDACTED </w:t>
            </w:r>
          </w:p>
          <w:p w14:paraId="1BFDB89C" w14:textId="77777777" w:rsidR="00A942A9" w:rsidRDefault="00A942A9" w:rsidP="6A2E457B">
            <w:pPr>
              <w:spacing w:after="0" w:line="257" w:lineRule="auto"/>
            </w:pPr>
          </w:p>
          <w:p w14:paraId="04C38378" w14:textId="65921B35" w:rsidR="6A2E457B" w:rsidRDefault="6A2E457B" w:rsidP="6A2E457B">
            <w:pPr>
              <w:spacing w:after="0" w:line="257" w:lineRule="auto"/>
            </w:pPr>
            <w:r w:rsidRPr="6A2E457B">
              <w:rPr>
                <w:rFonts w:ascii="Tahoma" w:eastAsia="Tahoma" w:hAnsi="Tahoma" w:cs="Tahoma"/>
              </w:rPr>
              <w:t xml:space="preserve"> </w:t>
            </w:r>
            <w:r>
              <w:br/>
            </w:r>
            <w:r w:rsidRPr="6A2E457B">
              <w:rPr>
                <w:rFonts w:ascii="Tahoma" w:eastAsia="Tahoma" w:hAnsi="Tahoma" w:cs="Tahoma"/>
              </w:rPr>
              <w:t xml:space="preserve">Periodic reviews of course content will be organised between HMRC and the Supplier on an </w:t>
            </w:r>
            <w:proofErr w:type="spellStart"/>
            <w:r w:rsidRPr="6A2E457B">
              <w:rPr>
                <w:rFonts w:ascii="Tahoma" w:eastAsia="Tahoma" w:hAnsi="Tahoma" w:cs="Tahoma"/>
              </w:rPr>
              <w:t>adhoc</w:t>
            </w:r>
            <w:proofErr w:type="spellEnd"/>
            <w:r w:rsidRPr="6A2E457B">
              <w:rPr>
                <w:rFonts w:ascii="Tahoma" w:eastAsia="Tahoma" w:hAnsi="Tahoma" w:cs="Tahoma"/>
              </w:rPr>
              <w:t xml:space="preserve"> basis should any specific alterations or additions to course content be required. HMRC expects the Supplier to implement any alterations within 3 months of the request being made.</w:t>
            </w:r>
          </w:p>
          <w:p w14:paraId="0D92C3EC" w14:textId="579C59DB" w:rsidR="6A2E457B" w:rsidRDefault="6A2E457B" w:rsidP="6A2E457B">
            <w:pPr>
              <w:spacing w:after="0" w:line="257" w:lineRule="auto"/>
            </w:pPr>
            <w:r w:rsidRPr="6A2E457B">
              <w:rPr>
                <w:rFonts w:ascii="Tahoma" w:eastAsia="Tahoma" w:hAnsi="Tahoma" w:cs="Tahoma"/>
                <w:i/>
                <w:iCs/>
                <w:sz w:val="20"/>
                <w:szCs w:val="20"/>
              </w:rPr>
              <w:t xml:space="preserve"> </w:t>
            </w:r>
            <w:r w:rsidRPr="6A2E457B">
              <w:rPr>
                <w:rFonts w:ascii="Tahoma" w:eastAsia="Tahoma" w:hAnsi="Tahoma" w:cs="Tahoma"/>
              </w:rPr>
              <w:t xml:space="preserve"> </w:t>
            </w:r>
          </w:p>
          <w:p w14:paraId="6D360948" w14:textId="7A4B193C" w:rsidR="6A2E457B" w:rsidRDefault="6A2E457B" w:rsidP="6A2E457B">
            <w:pPr>
              <w:spacing w:after="0" w:line="257" w:lineRule="auto"/>
            </w:pPr>
            <w:r w:rsidRPr="6A2E457B">
              <w:rPr>
                <w:rFonts w:ascii="Tahoma" w:eastAsia="Tahoma" w:hAnsi="Tahoma" w:cs="Tahoma"/>
                <w:u w:val="single"/>
              </w:rPr>
              <w:t>Deliverables</w:t>
            </w:r>
          </w:p>
          <w:p w14:paraId="713812A8" w14:textId="1F3B9FC9" w:rsidR="6A2E457B" w:rsidRDefault="6A2E457B" w:rsidP="6A2E457B">
            <w:pPr>
              <w:spacing w:after="0" w:line="257" w:lineRule="auto"/>
            </w:pPr>
            <w:r w:rsidRPr="6A2E457B">
              <w:rPr>
                <w:rFonts w:ascii="Tahoma" w:eastAsia="Tahoma" w:hAnsi="Tahoma" w:cs="Tahoma"/>
              </w:rPr>
              <w:t>The Supplier shall deliver the Tax Policy Foundation Programme over 6 working days.</w:t>
            </w:r>
          </w:p>
          <w:p w14:paraId="53B49054" w14:textId="2EB6A997" w:rsidR="6A2E457B" w:rsidRDefault="6A2E457B" w:rsidP="6A2E457B">
            <w:pPr>
              <w:spacing w:after="0" w:line="257" w:lineRule="auto"/>
            </w:pPr>
            <w:r w:rsidRPr="6A2E457B">
              <w:rPr>
                <w:rFonts w:ascii="Tahoma" w:eastAsia="Tahoma" w:hAnsi="Tahoma" w:cs="Tahoma"/>
              </w:rPr>
              <w:t>The Supplier shall deliver the programme up to 10 times a year subject to available budget. Each course will contain a maximum of 24 participants from HMRC and HMT.</w:t>
            </w:r>
          </w:p>
          <w:p w14:paraId="49F029A7" w14:textId="1BACD109" w:rsidR="6A2E457B" w:rsidRDefault="6A2E457B" w:rsidP="6A2E457B">
            <w:pPr>
              <w:spacing w:after="0" w:line="257" w:lineRule="auto"/>
            </w:pPr>
            <w:r w:rsidRPr="6A2E457B">
              <w:rPr>
                <w:rFonts w:ascii="Tahoma" w:eastAsia="Tahoma" w:hAnsi="Tahoma" w:cs="Tahoma"/>
              </w:rPr>
              <w:t xml:space="preserve"> </w:t>
            </w:r>
          </w:p>
          <w:p w14:paraId="2694104F" w14:textId="55F2C2D3" w:rsidR="6A2E457B" w:rsidRDefault="6A2E457B" w:rsidP="6A2E457B">
            <w:pPr>
              <w:spacing w:after="0" w:line="257" w:lineRule="auto"/>
            </w:pPr>
            <w:r w:rsidRPr="6A2E457B">
              <w:rPr>
                <w:rFonts w:ascii="Tahoma" w:eastAsia="Tahoma" w:hAnsi="Tahoma" w:cs="Tahoma"/>
              </w:rPr>
              <w:t xml:space="preserve">The Supplier shall deliver courses virtually or in one of HMRC or HMT’s regional centres. </w:t>
            </w:r>
          </w:p>
          <w:p w14:paraId="6A2476C3" w14:textId="7DC60439" w:rsidR="6A2E457B" w:rsidRDefault="6A2E457B" w:rsidP="6A2E457B">
            <w:pPr>
              <w:spacing w:after="0" w:line="257" w:lineRule="auto"/>
            </w:pPr>
            <w:r w:rsidRPr="6A2E457B">
              <w:rPr>
                <w:rFonts w:ascii="Tahoma" w:eastAsia="Tahoma" w:hAnsi="Tahoma" w:cs="Tahoma"/>
              </w:rPr>
              <w:t>The Supplier is required to invoice on a course-by-course basis.</w:t>
            </w:r>
          </w:p>
          <w:p w14:paraId="0861331E" w14:textId="04DFB685" w:rsidR="6A2E457B" w:rsidRDefault="6A2E457B" w:rsidP="6A2E457B">
            <w:pPr>
              <w:spacing w:after="0" w:line="257" w:lineRule="auto"/>
            </w:pPr>
            <w:r w:rsidRPr="6A2E457B">
              <w:rPr>
                <w:rFonts w:ascii="Tahoma" w:eastAsia="Tahoma" w:hAnsi="Tahoma" w:cs="Tahoma"/>
              </w:rPr>
              <w:t xml:space="preserve"> </w:t>
            </w:r>
          </w:p>
          <w:p w14:paraId="364B3568" w14:textId="1FF72036" w:rsidR="6A2E457B" w:rsidRDefault="6A2E457B" w:rsidP="6A2E457B">
            <w:pPr>
              <w:spacing w:after="0" w:line="257" w:lineRule="auto"/>
            </w:pPr>
            <w:r w:rsidRPr="6A2E457B">
              <w:rPr>
                <w:rFonts w:ascii="Tahoma" w:eastAsia="Tahoma" w:hAnsi="Tahoma" w:cs="Tahoma"/>
              </w:rPr>
              <w:t>The Supplier shall provide two further subcontracted trainers to deliver the course.</w:t>
            </w:r>
          </w:p>
          <w:p w14:paraId="7BA3BA1F" w14:textId="1DD2ED8A" w:rsidR="6A2E457B" w:rsidRDefault="6A2E457B" w:rsidP="6A2E457B">
            <w:pPr>
              <w:spacing w:after="0" w:line="257" w:lineRule="auto"/>
            </w:pPr>
            <w:r w:rsidRPr="6A2E457B">
              <w:rPr>
                <w:rFonts w:ascii="Tahoma" w:eastAsia="Tahoma" w:hAnsi="Tahoma" w:cs="Tahoma"/>
              </w:rPr>
              <w:t xml:space="preserve"> </w:t>
            </w:r>
          </w:p>
          <w:p w14:paraId="3D2F02D9" w14:textId="3C30E1F1" w:rsidR="6A2E457B" w:rsidRDefault="6A2E457B" w:rsidP="6A2E457B">
            <w:pPr>
              <w:spacing w:after="0" w:line="257" w:lineRule="auto"/>
            </w:pPr>
            <w:r w:rsidRPr="6A2E457B">
              <w:rPr>
                <w:rFonts w:ascii="Tahoma" w:eastAsia="Tahoma" w:hAnsi="Tahoma" w:cs="Tahoma"/>
              </w:rPr>
              <w:t xml:space="preserve">The Supplier shall ensure logistics for the course (including dates, attendees, location, and other arrangements) are agreed at least two months prior to the start date of the new iteration of the course in line with trainer availability and negotiated as soon as teaching schedules become available.  </w:t>
            </w:r>
          </w:p>
          <w:p w14:paraId="36689374" w14:textId="54C39AE6" w:rsidR="6A2E457B" w:rsidRDefault="6A2E457B" w:rsidP="6A2E457B">
            <w:pPr>
              <w:spacing w:after="0" w:line="257" w:lineRule="auto"/>
            </w:pPr>
            <w:r w:rsidRPr="6A2E457B">
              <w:rPr>
                <w:rFonts w:ascii="Tahoma" w:eastAsia="Tahoma" w:hAnsi="Tahoma" w:cs="Tahoma"/>
              </w:rPr>
              <w:t xml:space="preserve"> </w:t>
            </w:r>
          </w:p>
          <w:p w14:paraId="1F7042A6" w14:textId="0244B032" w:rsidR="6A2E457B" w:rsidRDefault="6A2E457B" w:rsidP="6A2E457B">
            <w:pPr>
              <w:spacing w:after="0" w:line="257" w:lineRule="auto"/>
            </w:pPr>
            <w:r w:rsidRPr="6A2E457B">
              <w:rPr>
                <w:rFonts w:ascii="Tahoma" w:eastAsia="Tahoma" w:hAnsi="Tahoma" w:cs="Tahoma"/>
              </w:rPr>
              <w:t xml:space="preserve">For each iteration of the course, the Suppliers core team will review the course materials and update them in light of developments in UK politics/policy or academic research. </w:t>
            </w:r>
          </w:p>
          <w:p w14:paraId="332E1D85" w14:textId="02241232" w:rsidR="6A2E457B" w:rsidRDefault="6A2E457B" w:rsidP="6A2E457B">
            <w:pPr>
              <w:spacing w:after="0" w:line="257" w:lineRule="auto"/>
            </w:pPr>
            <w:r w:rsidRPr="6A2E457B">
              <w:rPr>
                <w:rFonts w:ascii="Tahoma" w:eastAsia="Tahoma" w:hAnsi="Tahoma" w:cs="Tahoma"/>
              </w:rPr>
              <w:t>The Supplier shall submit the updated materials to HMT/HMRC for review and approval at least six weeks prior to the first session of the new iteration, HMRC may identify additional points to be updated (preferably at least one month prior to the first session, to allow any changes to be processed).</w:t>
            </w:r>
          </w:p>
          <w:p w14:paraId="79FB5711" w14:textId="4626C78A" w:rsidR="6A2E457B" w:rsidRDefault="6A2E457B" w:rsidP="6A2E457B">
            <w:pPr>
              <w:spacing w:after="0" w:line="257" w:lineRule="auto"/>
            </w:pPr>
            <w:r w:rsidRPr="6A2E457B">
              <w:rPr>
                <w:rFonts w:ascii="Tahoma" w:eastAsia="Tahoma" w:hAnsi="Tahoma" w:cs="Tahoma"/>
              </w:rPr>
              <w:t xml:space="preserve"> </w:t>
            </w:r>
          </w:p>
          <w:p w14:paraId="3BBBAA1B" w14:textId="10085030" w:rsidR="6A2E457B" w:rsidRDefault="6A2E457B" w:rsidP="6A2E457B">
            <w:pPr>
              <w:spacing w:after="0" w:line="257" w:lineRule="auto"/>
            </w:pPr>
            <w:r w:rsidRPr="6A2E457B">
              <w:rPr>
                <w:rFonts w:ascii="Tahoma" w:eastAsia="Tahoma" w:hAnsi="Tahoma" w:cs="Tahoma"/>
              </w:rPr>
              <w:t xml:space="preserve">Feedback from students will be gathered during the final session of every iteration of the course, with HMT/HMRC and </w:t>
            </w:r>
            <w:proofErr w:type="spellStart"/>
            <w:r w:rsidRPr="6A2E457B">
              <w:rPr>
                <w:rFonts w:ascii="Tahoma" w:eastAsia="Tahoma" w:hAnsi="Tahoma" w:cs="Tahoma"/>
              </w:rPr>
              <w:t>Keele</w:t>
            </w:r>
            <w:proofErr w:type="spellEnd"/>
            <w:r w:rsidRPr="6A2E457B">
              <w:rPr>
                <w:rFonts w:ascii="Tahoma" w:eastAsia="Tahoma" w:hAnsi="Tahoma" w:cs="Tahoma"/>
              </w:rPr>
              <w:t xml:space="preserve"> both reviewing this feedback and agreeing any necessary actions to be taken as a result.</w:t>
            </w:r>
          </w:p>
          <w:p w14:paraId="616574DD" w14:textId="5B1D8F59" w:rsidR="6A2E457B" w:rsidRDefault="6A2E457B" w:rsidP="6A2E457B">
            <w:pPr>
              <w:spacing w:after="0" w:line="257" w:lineRule="auto"/>
            </w:pPr>
            <w:r w:rsidRPr="6A2E457B">
              <w:rPr>
                <w:rFonts w:ascii="Tahoma" w:eastAsia="Tahoma" w:hAnsi="Tahoma" w:cs="Tahoma"/>
              </w:rPr>
              <w:t xml:space="preserve"> </w:t>
            </w:r>
          </w:p>
          <w:p w14:paraId="679C46A4" w14:textId="58E94AA0" w:rsidR="6A2E457B" w:rsidRDefault="6A2E457B" w:rsidP="6A2E457B">
            <w:pPr>
              <w:spacing w:after="0" w:line="257" w:lineRule="auto"/>
            </w:pPr>
            <w:r w:rsidRPr="6A2E457B">
              <w:rPr>
                <w:rFonts w:ascii="Tahoma" w:eastAsia="Tahoma" w:hAnsi="Tahoma" w:cs="Tahoma"/>
              </w:rPr>
              <w:t>The trainers shall share the course slides following each session for the participants to review.</w:t>
            </w:r>
          </w:p>
          <w:p w14:paraId="5C80C0CE" w14:textId="242CA3AF" w:rsidR="6A2E457B" w:rsidRDefault="6A2E457B" w:rsidP="6A2E457B">
            <w:pPr>
              <w:spacing w:after="0" w:line="257" w:lineRule="auto"/>
            </w:pPr>
            <w:r w:rsidRPr="6A2E457B">
              <w:rPr>
                <w:rFonts w:ascii="Tahoma" w:eastAsia="Tahoma" w:hAnsi="Tahoma" w:cs="Tahoma"/>
              </w:rPr>
              <w:lastRenderedPageBreak/>
              <w:t xml:space="preserve"> </w:t>
            </w:r>
            <w:r w:rsidRPr="6A2E457B">
              <w:rPr>
                <w:rFonts w:ascii="Tahoma" w:eastAsia="Tahoma" w:hAnsi="Tahoma" w:cs="Tahoma"/>
                <w:i/>
                <w:iCs/>
                <w:sz w:val="20"/>
                <w:szCs w:val="20"/>
              </w:rPr>
              <w:t xml:space="preserve"> </w:t>
            </w:r>
            <w:r w:rsidRPr="6A2E457B">
              <w:rPr>
                <w:rFonts w:ascii="Tahoma" w:eastAsia="Tahoma" w:hAnsi="Tahoma" w:cs="Tahoma"/>
              </w:rPr>
              <w:t xml:space="preserve"> </w:t>
            </w:r>
          </w:p>
          <w:p w14:paraId="42EE4B1A" w14:textId="50A9D99A" w:rsidR="6A2E457B" w:rsidRDefault="6A2E457B" w:rsidP="6A2E457B">
            <w:pPr>
              <w:spacing w:after="0" w:line="257" w:lineRule="auto"/>
            </w:pPr>
            <w:r w:rsidRPr="6A2E457B">
              <w:rPr>
                <w:rFonts w:ascii="Tahoma" w:eastAsia="Tahoma" w:hAnsi="Tahoma" w:cs="Tahoma"/>
                <w:u w:val="single"/>
              </w:rPr>
              <w:t>Performance management</w:t>
            </w:r>
          </w:p>
          <w:p w14:paraId="54F7CCD5" w14:textId="7CFF07D8" w:rsidR="6A2E457B" w:rsidRDefault="6A2E457B" w:rsidP="6A2E457B">
            <w:pPr>
              <w:spacing w:after="0" w:line="257" w:lineRule="auto"/>
            </w:pPr>
            <w:r w:rsidRPr="6A2E457B">
              <w:rPr>
                <w:rFonts w:ascii="Tahoma" w:eastAsia="Tahoma" w:hAnsi="Tahoma" w:cs="Tahoma"/>
                <w:i/>
                <w:iCs/>
                <w:sz w:val="20"/>
                <w:szCs w:val="20"/>
              </w:rPr>
              <w:t xml:space="preserve">  </w:t>
            </w:r>
          </w:p>
          <w:p w14:paraId="3285BC85" w14:textId="0D14FDF8" w:rsidR="6A2E457B" w:rsidRDefault="6A2E457B" w:rsidP="6A2E457B">
            <w:pPr>
              <w:spacing w:after="0" w:line="257" w:lineRule="auto"/>
            </w:pPr>
            <w:r w:rsidRPr="6A2E457B">
              <w:rPr>
                <w:rFonts w:ascii="Tahoma" w:eastAsia="Tahoma" w:hAnsi="Tahoma" w:cs="Tahoma"/>
              </w:rPr>
              <w:t xml:space="preserve">HMRC will issue evaluations to all participants following each course. These will then be reviewed by HMRC, and also shared with the course trainers. </w:t>
            </w:r>
          </w:p>
          <w:p w14:paraId="527EC16A" w14:textId="2D66B0AD" w:rsidR="6A2E457B" w:rsidRDefault="6A2E457B" w:rsidP="6A2E457B">
            <w:pPr>
              <w:spacing w:after="0" w:line="257" w:lineRule="auto"/>
            </w:pPr>
            <w:r w:rsidRPr="6A2E457B">
              <w:rPr>
                <w:rFonts w:ascii="Tahoma" w:eastAsia="Tahoma" w:hAnsi="Tahoma" w:cs="Tahoma"/>
              </w:rPr>
              <w:t xml:space="preserve"> </w:t>
            </w:r>
          </w:p>
          <w:p w14:paraId="3A21D254" w14:textId="38910BE7" w:rsidR="6A2E457B" w:rsidRDefault="6A2E457B" w:rsidP="6A2E457B">
            <w:pPr>
              <w:spacing w:after="0" w:line="257" w:lineRule="auto"/>
              <w:rPr>
                <w:rFonts w:ascii="Tahoma" w:eastAsia="Tahoma" w:hAnsi="Tahoma" w:cs="Tahoma"/>
                <w:i/>
                <w:iCs/>
                <w:sz w:val="20"/>
                <w:szCs w:val="20"/>
              </w:rPr>
            </w:pPr>
          </w:p>
        </w:tc>
      </w:tr>
    </w:tbl>
    <w:p w14:paraId="00000010" w14:textId="3E4965EE" w:rsidR="00862D52" w:rsidRDefault="00862D52" w:rsidP="6A2E457B">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654EDB89" w14:textId="676798E0" w:rsidR="00433FA5" w:rsidRDefault="00433FA5"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0C60A6F7" w14:textId="77777777" w:rsidR="00433FA5" w:rsidRPr="00433FA5" w:rsidRDefault="00433FA5"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p w14:paraId="00000011" w14:textId="3AFFB504" w:rsidR="00862D52" w:rsidRPr="00433FA5" w:rsidRDefault="00862D52" w:rsidP="00433FA5">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p>
    <w:sectPr w:rsidR="00862D52" w:rsidRPr="00433FA5">
      <w:headerReference w:type="default" r:id="rId13"/>
      <w:footerReference w:type="even" r:id="rId14"/>
      <w:footerReference w:type="defaul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A6C4" w14:textId="77777777" w:rsidR="008D279D" w:rsidRDefault="008D279D">
      <w:pPr>
        <w:spacing w:after="0" w:line="240" w:lineRule="auto"/>
      </w:pPr>
      <w:r>
        <w:separator/>
      </w:r>
    </w:p>
  </w:endnote>
  <w:endnote w:type="continuationSeparator" w:id="0">
    <w:p w14:paraId="67D813CB" w14:textId="77777777" w:rsidR="008D279D" w:rsidRDefault="008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CE57" w14:textId="42762200" w:rsidR="007D12A7" w:rsidRDefault="007D12A7">
    <w:pPr>
      <w:pStyle w:val="Footer"/>
    </w:pPr>
    <w:r>
      <w:rPr>
        <w:noProof/>
      </w:rPr>
      <mc:AlternateContent>
        <mc:Choice Requires="wps">
          <w:drawing>
            <wp:anchor distT="0" distB="0" distL="0" distR="0" simplePos="0" relativeHeight="251659264" behindDoc="0" locked="0" layoutInCell="1" allowOverlap="1" wp14:anchorId="49033497" wp14:editId="7685741C">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ED58D4" w14:textId="56758BEA" w:rsidR="007D12A7" w:rsidRPr="007D12A7" w:rsidRDefault="007D12A7" w:rsidP="007D12A7">
                          <w:pPr>
                            <w:spacing w:after="0"/>
                            <w:rPr>
                              <w:noProof/>
                              <w:color w:val="000000"/>
                              <w:sz w:val="20"/>
                              <w:szCs w:val="20"/>
                            </w:rPr>
                          </w:pPr>
                          <w:r w:rsidRPr="007D12A7">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3349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ED58D4" w14:textId="56758BEA" w:rsidR="007D12A7" w:rsidRPr="007D12A7" w:rsidRDefault="007D12A7" w:rsidP="007D12A7">
                    <w:pPr>
                      <w:spacing w:after="0"/>
                      <w:rPr>
                        <w:noProof/>
                        <w:color w:val="000000"/>
                        <w:sz w:val="20"/>
                        <w:szCs w:val="20"/>
                      </w:rPr>
                    </w:pPr>
                    <w:r w:rsidRPr="007D12A7">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F77C" w14:textId="6636060C" w:rsidR="00BB7E7D" w:rsidRDefault="00FA4900">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114300" distR="114300" simplePos="0" relativeHeight="251661312" behindDoc="0" locked="0" layoutInCell="0" allowOverlap="1" wp14:anchorId="4192F072" wp14:editId="6C9F763E">
              <wp:simplePos x="0" y="0"/>
              <wp:positionH relativeFrom="page">
                <wp:posOffset>0</wp:posOffset>
              </wp:positionH>
              <wp:positionV relativeFrom="page">
                <wp:posOffset>10227945</wp:posOffset>
              </wp:positionV>
              <wp:extent cx="7560310" cy="273050"/>
              <wp:effectExtent l="0" t="0" r="0" b="12700"/>
              <wp:wrapNone/>
              <wp:docPr id="4" name="MSIPCMccfd42539416266e83afa2f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E5509" w14:textId="1B67955B" w:rsidR="00FA4900" w:rsidRPr="00FA4900" w:rsidRDefault="00FA4900" w:rsidP="00FA4900">
                          <w:pPr>
                            <w:spacing w:after="0"/>
                            <w:jc w:val="center"/>
                            <w:rPr>
                              <w:color w:val="000000"/>
                              <w:sz w:val="20"/>
                            </w:rPr>
                          </w:pPr>
                          <w:r w:rsidRPr="00FA4900">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92F072" id="_x0000_t202" coordsize="21600,21600" o:spt="202" path="m,l,21600r21600,l21600,xe">
              <v:stroke joinstyle="miter"/>
              <v:path gradientshapeok="t" o:connecttype="rect"/>
            </v:shapetype>
            <v:shape id="MSIPCMccfd42539416266e83afa2f7"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793E5509" w14:textId="1B67955B" w:rsidR="00FA4900" w:rsidRPr="00FA4900" w:rsidRDefault="00FA4900" w:rsidP="00FA4900">
                    <w:pPr>
                      <w:spacing w:after="0"/>
                      <w:jc w:val="center"/>
                      <w:rPr>
                        <w:color w:val="000000"/>
                        <w:sz w:val="20"/>
                      </w:rPr>
                    </w:pPr>
                    <w:r w:rsidRPr="00FA4900">
                      <w:rPr>
                        <w:color w:val="000000"/>
                        <w:sz w:val="20"/>
                      </w:rPr>
                      <w:t>OFFICIAL</w:t>
                    </w:r>
                  </w:p>
                </w:txbxContent>
              </v:textbox>
              <w10:wrap anchorx="page" anchory="page"/>
            </v:shape>
          </w:pict>
        </mc:Fallback>
      </mc:AlternateContent>
    </w:r>
    <w:r w:rsidR="007D12A7">
      <w:rPr>
        <w:rFonts w:ascii="Arial" w:eastAsia="Arial" w:hAnsi="Arial" w:cs="Arial"/>
        <w:noProof/>
        <w:color w:val="BFBFBF"/>
        <w:sz w:val="20"/>
        <w:szCs w:val="20"/>
      </w:rPr>
      <mc:AlternateContent>
        <mc:Choice Requires="wps">
          <w:drawing>
            <wp:anchor distT="0" distB="0" distL="0" distR="0" simplePos="0" relativeHeight="251660288" behindDoc="0" locked="0" layoutInCell="1" allowOverlap="1" wp14:anchorId="0F2EA091" wp14:editId="69E46B55">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FAB2B" w14:textId="667677F2" w:rsidR="007D12A7" w:rsidRPr="007D12A7" w:rsidRDefault="007D12A7" w:rsidP="007D12A7">
                          <w:pPr>
                            <w:spacing w:after="0"/>
                            <w:rPr>
                              <w:noProof/>
                              <w:color w:val="000000"/>
                              <w:sz w:val="20"/>
                              <w:szCs w:val="20"/>
                            </w:rPr>
                          </w:pPr>
                          <w:r w:rsidRPr="007D12A7">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F2EA091" id="Text Box 3"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9FAB2B" w14:textId="667677F2" w:rsidR="007D12A7" w:rsidRPr="007D12A7" w:rsidRDefault="007D12A7" w:rsidP="007D12A7">
                    <w:pPr>
                      <w:spacing w:after="0"/>
                      <w:rPr>
                        <w:noProof/>
                        <w:color w:val="000000"/>
                        <w:sz w:val="20"/>
                        <w:szCs w:val="20"/>
                      </w:rPr>
                    </w:pPr>
                    <w:r w:rsidRPr="007D12A7">
                      <w:rPr>
                        <w:noProof/>
                        <w:color w:val="000000"/>
                        <w:sz w:val="20"/>
                        <w:szCs w:val="20"/>
                      </w:rPr>
                      <w:t>OFFICIAL</w:t>
                    </w:r>
                  </w:p>
                </w:txbxContent>
              </v:textbox>
              <w10:wrap anchorx="page" anchory="page"/>
            </v:shape>
          </w:pict>
        </mc:Fallback>
      </mc:AlternateContent>
    </w:r>
  </w:p>
  <w:p w14:paraId="00000014" w14:textId="6209A248" w:rsidR="00862D52" w:rsidRDefault="008A6A1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sidR="0074394F">
      <w:rPr>
        <w:rFonts w:ascii="Arial" w:eastAsia="Arial" w:hAnsi="Arial" w:cs="Arial"/>
        <w:color w:val="BFBFBF"/>
        <w:sz w:val="20"/>
        <w:szCs w:val="20"/>
      </w:rPr>
      <w:t xml:space="preserve"> – Version 1.1</w:t>
    </w:r>
    <w:r>
      <w:rPr>
        <w:rFonts w:ascii="Arial" w:eastAsia="Arial" w:hAnsi="Arial" w:cs="Arial"/>
        <w:color w:val="BFBFBF"/>
        <w:sz w:val="20"/>
        <w:szCs w:val="20"/>
      </w:rPr>
      <w:tab/>
      <w:t xml:space="preserve">                                           </w:t>
    </w:r>
  </w:p>
  <w:p w14:paraId="00000015" w14:textId="67C8EFCF"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74394F">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016" w14:textId="3EBF4C63" w:rsidR="00862D52" w:rsidRDefault="008A6A16">
    <w:pPr>
      <w:spacing w:after="0" w:line="240" w:lineRule="auto"/>
      <w:jc w:val="both"/>
    </w:pPr>
    <w:r>
      <w:tab/>
    </w:r>
    <w:r>
      <w:tab/>
    </w:r>
    <w:bookmarkStart w:id="1" w:name="bookmark=id.3znysh7"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ABA4" w14:textId="79FE3328" w:rsidR="007D12A7" w:rsidRDefault="007D12A7">
    <w:pPr>
      <w:pStyle w:val="Footer"/>
    </w:pPr>
    <w:r>
      <w:rPr>
        <w:noProof/>
      </w:rPr>
      <mc:AlternateContent>
        <mc:Choice Requires="wps">
          <w:drawing>
            <wp:anchor distT="0" distB="0" distL="0" distR="0" simplePos="0" relativeHeight="251658240" behindDoc="0" locked="0" layoutInCell="1" allowOverlap="1" wp14:anchorId="27FD7148" wp14:editId="0B432956">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B04B4" w14:textId="71B015D9" w:rsidR="007D12A7" w:rsidRPr="007D12A7" w:rsidRDefault="007D12A7" w:rsidP="007D12A7">
                          <w:pPr>
                            <w:spacing w:after="0"/>
                            <w:rPr>
                              <w:noProof/>
                              <w:color w:val="000000"/>
                              <w:sz w:val="20"/>
                              <w:szCs w:val="20"/>
                            </w:rPr>
                          </w:pPr>
                          <w:r w:rsidRPr="007D12A7">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D7148"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0BB04B4" w14:textId="71B015D9" w:rsidR="007D12A7" w:rsidRPr="007D12A7" w:rsidRDefault="007D12A7" w:rsidP="007D12A7">
                    <w:pPr>
                      <w:spacing w:after="0"/>
                      <w:rPr>
                        <w:noProof/>
                        <w:color w:val="000000"/>
                        <w:sz w:val="20"/>
                        <w:szCs w:val="20"/>
                      </w:rPr>
                    </w:pPr>
                    <w:r w:rsidRPr="007D12A7">
                      <w:rPr>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3CE4" w14:textId="77777777" w:rsidR="008D279D" w:rsidRDefault="008D279D">
      <w:pPr>
        <w:spacing w:after="0" w:line="240" w:lineRule="auto"/>
      </w:pPr>
      <w:r>
        <w:separator/>
      </w:r>
    </w:p>
  </w:footnote>
  <w:footnote w:type="continuationSeparator" w:id="0">
    <w:p w14:paraId="70DF9F77" w14:textId="77777777" w:rsidR="008D279D" w:rsidRDefault="008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9784" w14:textId="4990802F" w:rsidR="001562CD" w:rsidRPr="00D62F6D" w:rsidRDefault="0074394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D62F6D">
      <w:rPr>
        <w:rFonts w:ascii="Arial" w:eastAsia="Arial" w:hAnsi="Arial" w:cs="Arial"/>
        <w:color w:val="000000"/>
        <w:sz w:val="20"/>
        <w:szCs w:val="20"/>
      </w:rPr>
      <w:t>[</w:t>
    </w:r>
    <w:r w:rsidR="001562CD" w:rsidRPr="00D62F6D">
      <w:rPr>
        <w:rFonts w:ascii="Arial" w:eastAsia="Arial" w:hAnsi="Arial" w:cs="Arial"/>
        <w:color w:val="000000"/>
        <w:sz w:val="20"/>
        <w:szCs w:val="20"/>
      </w:rPr>
      <w:t>Subject to Contract</w:t>
    </w:r>
    <w:r w:rsidRPr="00D62F6D">
      <w:rPr>
        <w:rFonts w:ascii="Arial" w:eastAsia="Arial" w:hAnsi="Arial" w:cs="Arial"/>
        <w:color w:val="000000"/>
        <w:sz w:val="20"/>
        <w:szCs w:val="20"/>
      </w:rPr>
      <w:t>]</w:t>
    </w:r>
  </w:p>
  <w:p w14:paraId="00000012" w14:textId="742F7446"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 (Specification)</w:t>
    </w:r>
  </w:p>
  <w:p w14:paraId="00000013" w14:textId="134AE03E" w:rsidR="00862D52" w:rsidRDefault="008A6A1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w:t>
    </w:r>
    <w:r w:rsidR="00227F91">
      <w:rPr>
        <w:rFonts w:ascii="Arial" w:eastAsia="Arial" w:hAnsi="Arial" w:cs="Arial"/>
        <w:color w:val="000000"/>
        <w:sz w:val="20"/>
        <w:szCs w:val="20"/>
      </w:rPr>
      <w:t>2</w:t>
    </w:r>
    <w:r w:rsidR="004340A6">
      <w:rPr>
        <w:rFonts w:ascii="Arial" w:eastAsia="Arial" w:hAnsi="Arial" w:cs="Arial"/>
        <w:color w:val="000000"/>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73F"/>
    <w:multiLevelType w:val="multilevel"/>
    <w:tmpl w:val="6CFEBC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7C5291"/>
    <w:multiLevelType w:val="multilevel"/>
    <w:tmpl w:val="AF12ED4C"/>
    <w:lvl w:ilvl="0">
      <w:start w:val="1"/>
      <w:numFmt w:val="bullet"/>
      <w:pStyle w:val="GPSL1CLAUSEHEADING"/>
      <w:lvlText w:val="●"/>
      <w:lvlJc w:val="left"/>
      <w:pPr>
        <w:ind w:left="720" w:hanging="360"/>
      </w:pPr>
      <w:rPr>
        <w:rFonts w:ascii="Noto Sans Symbols" w:eastAsia="Noto Sans Symbols" w:hAnsi="Noto Sans Symbols" w:cs="Noto Sans Symbols"/>
        <w:sz w:val="20"/>
        <w:szCs w:val="20"/>
      </w:rPr>
    </w:lvl>
    <w:lvl w:ilvl="1">
      <w:start w:val="1"/>
      <w:numFmt w:val="bullet"/>
      <w:pStyle w:val="GPSL2numberedclause"/>
      <w:lvlText w:val="o"/>
      <w:lvlJc w:val="left"/>
      <w:pPr>
        <w:ind w:left="1440" w:hanging="360"/>
      </w:pPr>
      <w:rPr>
        <w:rFonts w:ascii="Courier New" w:eastAsia="Courier New" w:hAnsi="Courier New" w:cs="Courier New"/>
        <w:sz w:val="20"/>
        <w:szCs w:val="20"/>
      </w:rPr>
    </w:lvl>
    <w:lvl w:ilvl="2">
      <w:start w:val="1"/>
      <w:numFmt w:val="bullet"/>
      <w:pStyle w:val="GPSL3numberedclause"/>
      <w:lvlText w:val="▪"/>
      <w:lvlJc w:val="left"/>
      <w:pPr>
        <w:ind w:left="2160" w:hanging="360"/>
      </w:pPr>
      <w:rPr>
        <w:rFonts w:ascii="Noto Sans Symbols" w:eastAsia="Noto Sans Symbols" w:hAnsi="Noto Sans Symbols" w:cs="Noto Sans Symbols"/>
        <w:sz w:val="20"/>
        <w:szCs w:val="20"/>
      </w:rPr>
    </w:lvl>
    <w:lvl w:ilvl="3">
      <w:start w:val="1"/>
      <w:numFmt w:val="bullet"/>
      <w:pStyle w:val="GPSL4numberedclause"/>
      <w:lvlText w:val="▪"/>
      <w:lvlJc w:val="left"/>
      <w:pPr>
        <w:ind w:left="2880" w:hanging="360"/>
      </w:pPr>
      <w:rPr>
        <w:rFonts w:ascii="Noto Sans Symbols" w:eastAsia="Noto Sans Symbols" w:hAnsi="Noto Sans Symbols" w:cs="Noto Sans Symbols"/>
        <w:sz w:val="20"/>
        <w:szCs w:val="20"/>
      </w:rPr>
    </w:lvl>
    <w:lvl w:ilvl="4">
      <w:start w:val="1"/>
      <w:numFmt w:val="bullet"/>
      <w:pStyle w:val="GPSL5numberedclause"/>
      <w:lvlText w:val="▪"/>
      <w:lvlJc w:val="left"/>
      <w:pPr>
        <w:ind w:left="3600" w:hanging="360"/>
      </w:pPr>
      <w:rPr>
        <w:rFonts w:ascii="Noto Sans Symbols" w:eastAsia="Noto Sans Symbols" w:hAnsi="Noto Sans Symbols" w:cs="Noto Sans Symbols"/>
        <w:sz w:val="20"/>
        <w:szCs w:val="20"/>
      </w:rPr>
    </w:lvl>
    <w:lvl w:ilvl="5">
      <w:start w:val="1"/>
      <w:numFmt w:val="bullet"/>
      <w:pStyle w:val="GPSL6numbered"/>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72442308">
    <w:abstractNumId w:val="1"/>
  </w:num>
  <w:num w:numId="2" w16cid:durableId="21203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52"/>
    <w:rsid w:val="00072BB3"/>
    <w:rsid w:val="00086132"/>
    <w:rsid w:val="001562CD"/>
    <w:rsid w:val="001F21B0"/>
    <w:rsid w:val="00227F91"/>
    <w:rsid w:val="002C147B"/>
    <w:rsid w:val="00395320"/>
    <w:rsid w:val="00433FA5"/>
    <w:rsid w:val="004340A6"/>
    <w:rsid w:val="00647AB5"/>
    <w:rsid w:val="00694059"/>
    <w:rsid w:val="0074394F"/>
    <w:rsid w:val="007D12A7"/>
    <w:rsid w:val="007E4856"/>
    <w:rsid w:val="007F00E5"/>
    <w:rsid w:val="00862D52"/>
    <w:rsid w:val="008A6A16"/>
    <w:rsid w:val="008D279D"/>
    <w:rsid w:val="00A452F3"/>
    <w:rsid w:val="00A942A9"/>
    <w:rsid w:val="00BB7E7D"/>
    <w:rsid w:val="00D02630"/>
    <w:rsid w:val="00D62F6D"/>
    <w:rsid w:val="00DA6ECE"/>
    <w:rsid w:val="00DA7390"/>
    <w:rsid w:val="00FA4900"/>
    <w:rsid w:val="00FB23C4"/>
    <w:rsid w:val="00FB6C63"/>
    <w:rsid w:val="34532FBE"/>
    <w:rsid w:val="6A2E457B"/>
    <w:rsid w:val="70289D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B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126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numPr>
        <w:ilvl w:val="4"/>
        <w:numId w:val="2"/>
      </w:numPr>
      <w:tabs>
        <w:tab w:val="left" w:pos="-5585"/>
      </w:tabs>
      <w:overflowPunct w:val="0"/>
      <w:autoSpaceDE w:val="0"/>
      <w:autoSpaceDN w:val="0"/>
      <w:spacing w:after="120" w:line="240" w:lineRule="auto"/>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qFormat/>
    <w:pPr>
      <w:tabs>
        <w:tab w:val="clear" w:pos="0"/>
        <w:tab w:val="left" w:pos="567"/>
      </w:tabs>
      <w:spacing w:before="120"/>
      <w:ind w:left="567" w:hanging="567"/>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character" w:customStyle="1" w:styleId="Heading8Char">
    <w:name w:val="Heading 8 Char"/>
    <w:basedOn w:val="DefaultParagraphFont"/>
    <w:link w:val="Heading8"/>
    <w:rPr>
      <w:rFonts w:ascii="Arial" w:eastAsia="Times New Roman" w:hAnsi="Arial" w:cs="Times New Roman"/>
    </w:rPr>
  </w:style>
  <w:style w:type="numbering" w:customStyle="1" w:styleId="WWOutlineListStyle8">
    <w:name w:val="WW_OutlineListStyle_8"/>
    <w:basedOn w:val="NoList"/>
  </w:style>
  <w:style w:type="paragraph" w:styleId="ListParagraph">
    <w:name w:val="List Paragraph"/>
    <w:basedOn w:val="Normal"/>
    <w:pPr>
      <w:suppressAutoHyphens/>
      <w:autoSpaceDN w:val="0"/>
      <w:ind w:left="720"/>
      <w:textAlignment w:val="baseline"/>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autoSpaceDN w:val="0"/>
      <w:spacing w:line="240" w:lineRule="auto"/>
      <w:textAlignment w:val="baseline"/>
    </w:pPr>
    <w:rPr>
      <w:rFonts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2Guidance">
    <w:name w:val="GPS L2 Guidance"/>
    <w:basedOn w:val="Normal"/>
    <w:link w:val="GPSL2GuidanceChar"/>
    <w:qFormat/>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SchPart">
    <w:name w:val="GPS Sch Part"/>
    <w:basedOn w:val="Normal"/>
    <w:link w:val="GPSSchPartChar"/>
    <w:qFormat/>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character" w:customStyle="1" w:styleId="GPSL5numberedclauseChar">
    <w:name w:val="GPS L5 numbered clause Char"/>
    <w:link w:val="GPSL5numberedclause"/>
    <w:locked/>
    <w:rPr>
      <w:rFonts w:ascii="Calibri" w:eastAsia="Times New Roman" w:hAnsi="Calibri" w:cs="Arial"/>
      <w:szCs w:val="20"/>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styleId="CommentSubject">
    <w:name w:val="annotation subject"/>
    <w:basedOn w:val="CommentText"/>
    <w:next w:val="CommentText"/>
    <w:link w:val="CommentSubjectChar"/>
    <w:uiPriority w:val="99"/>
    <w:semiHidden/>
    <w:unhideWhenUsed/>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26A6"/>
    <w:rPr>
      <w:rFonts w:asciiTheme="majorHAnsi" w:eastAsiaTheme="majorEastAsia" w:hAnsiTheme="majorHAnsi" w:cstheme="majorBidi"/>
      <w:color w:val="365F91" w:themeColor="accent1" w:themeShade="BF"/>
      <w:sz w:val="26"/>
      <w:szCs w:val="26"/>
    </w:rPr>
  </w:style>
  <w:style w:type="table" w:customStyle="1" w:styleId="4">
    <w:name w:val="4"/>
    <w:basedOn w:val="TableNormal"/>
    <w:rsid w:val="006126A6"/>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62F6D"/>
    <w:rPr>
      <w:color w:val="0000FF" w:themeColor="hyperlink"/>
      <w:u w:val="single"/>
    </w:rPr>
  </w:style>
  <w:style w:type="character" w:styleId="UnresolvedMention">
    <w:name w:val="Unresolved Mention"/>
    <w:basedOn w:val="DefaultParagraphFont"/>
    <w:uiPriority w:val="99"/>
    <w:semiHidden/>
    <w:unhideWhenUsed/>
    <w:rsid w:val="00D6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kaJ7UrwJJQAJTqAUW9jv0/Eg+Pw==">AMUW2mXY1vftPF+dII45uIe3zXSRKpU7Fsv1ZZZN2HwyKxA6rMzWekmwVUINrzfhBnFuq9NXCI+hjP/6bzREBjlWHWY5O6zIMaFgGsJcSDjntnlI+zniMTTMJy4UKK1V1RDHEufkkCniwMS/Jdk1Hq95JHcKAse65FYmzkEwcj9+81E15+V3IIE=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 U K M A T T E R S ! 1 0 3 4 7 5 4 5 8 . 1 < / d o c u m e n t i d >  
     < s e n d e r i d > B R O O K P E T < / s e n d e r i d >  
     < s e n d e r e m a i l > P E T E R . B R O O K @ D L A P I P E R . C O M < / s e n d e r e m a i l >  
     < l a s t m o d i f i e d > 2 0 2 0 - 0 6 - 3 0 T 1 7 : 2 8 : 0 0 . 0 0 0 0 0 0 0 + 0 1 : 0 0 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9AC7-EBB9-440D-A26C-1DAD24C07022}">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6DD934C-4A8A-4719-9F32-C65BBE1F4DC5}">
  <ds:schemaRefs>
    <ds:schemaRef ds:uri="http://schemas.microsoft.com/sharepoint/v3/contenttype/forms"/>
  </ds:schemaRefs>
</ds:datastoreItem>
</file>

<file path=customXml/itemProps4.xml><?xml version="1.0" encoding="utf-8"?>
<ds:datastoreItem xmlns:ds="http://schemas.openxmlformats.org/officeDocument/2006/customXml" ds:itemID="{D2505299-BC8F-4D9E-9FEF-4D5886A9061B}">
  <ds:schemaRefs>
    <ds:schemaRef ds:uri="http://www.imanage.com/work/xmlschema"/>
  </ds:schemaRefs>
</ds:datastoreItem>
</file>

<file path=customXml/itemProps5.xml><?xml version="1.0" encoding="utf-8"?>
<ds:datastoreItem xmlns:ds="http://schemas.openxmlformats.org/officeDocument/2006/customXml" ds:itemID="{6115DAB8-EE5B-4201-9155-B6FF26738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EC89D7-51B3-4C79-8A49-278CBB64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2024-01-15T10:16:00Z</dcterms:created>
  <dcterms:modified xsi:type="dcterms:W3CDTF">2024-01-15T10:16:00Z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2023-12-06T17:43:01Z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efbd24c4-e546-4e6b-a2a8-b50c4eaaaddb</vt:lpwstr>
  </property>
  <property fmtid="{D5CDD505-2E9C-101B-9397-08002B2CF9AE}" pid="12" name="MSIP_Label_f9af038e-07b4-4369-a678-c835687cb272_ContentBits">
    <vt:lpwstr>2</vt:lpwstr>
  </property>
  <property fmtid="{D5CDD505-2E9C-101B-9397-08002B2CF9AE}" pid="13" name="MediaServiceImageTags">
    <vt:lpwstr/>
  </property>
</Properties>
</file>