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B68C" w14:textId="77777777" w:rsidR="00C33A76" w:rsidRPr="00EB5B38" w:rsidRDefault="00C33A76" w:rsidP="00C33A76">
      <w:pPr>
        <w:shd w:val="clear" w:color="auto" w:fill="FFFFFF"/>
        <w:spacing w:before="100" w:beforeAutospacing="1" w:after="240" w:line="240" w:lineRule="auto"/>
        <w:rPr>
          <w:rFonts w:eastAsia="Times New Roman"/>
          <w:b/>
          <w:bCs/>
          <w:color w:val="0B0C0C"/>
          <w:szCs w:val="24"/>
          <w:lang w:eastAsia="en-GB"/>
        </w:rPr>
      </w:pPr>
      <w:r>
        <w:rPr>
          <w:b/>
          <w:szCs w:val="24"/>
          <w:lang w:eastAsia="en-GB"/>
        </w:rPr>
        <w:t xml:space="preserve">Piloting devolved decision making for child victims of modern slavery </w:t>
      </w:r>
    </w:p>
    <w:p w14:paraId="35C2FF87" w14:textId="09F21032" w:rsidR="00C33A76" w:rsidRPr="00C33A76" w:rsidRDefault="00C33A76" w:rsidP="00C33A76">
      <w:pPr>
        <w:rPr>
          <w:rFonts w:eastAsia="Times New Roman"/>
          <w:b/>
          <w:bCs/>
          <w:color w:val="0B0C0C"/>
          <w:lang w:eastAsia="en-GB"/>
        </w:rPr>
      </w:pPr>
      <w:r w:rsidRPr="00C33A76">
        <w:rPr>
          <w:rFonts w:eastAsia="Times New Roman"/>
          <w:b/>
          <w:bCs/>
          <w:color w:val="0B0C0C"/>
          <w:lang w:eastAsia="en-GB"/>
        </w:rPr>
        <w:t>Additional Information</w:t>
      </w:r>
      <w:r w:rsidRPr="00C33A76">
        <w:rPr>
          <w:rFonts w:eastAsia="Times New Roman"/>
          <w:b/>
          <w:bCs/>
          <w:color w:val="0B0C0C"/>
          <w:lang w:eastAsia="en-GB"/>
        </w:rPr>
        <w:t xml:space="preserve"> </w:t>
      </w:r>
    </w:p>
    <w:p w14:paraId="14D1BCC1" w14:textId="77777777" w:rsidR="00C33A76" w:rsidRDefault="00C33A76" w:rsidP="00C33A76">
      <w:pPr>
        <w:rPr>
          <w:rFonts w:eastAsia="Times New Roman"/>
          <w:color w:val="0B0C0C"/>
          <w:szCs w:val="24"/>
          <w:lang w:eastAsia="en-GB"/>
        </w:rPr>
      </w:pPr>
      <w:r>
        <w:rPr>
          <w:rFonts w:eastAsia="Times New Roman"/>
          <w:color w:val="0B0C0C"/>
          <w:szCs w:val="24"/>
          <w:lang w:eastAsia="en-GB"/>
        </w:rPr>
        <w:t>Applicants may only submit one bid, as an individual bid or as part of a joint bid.</w:t>
      </w:r>
      <w:r w:rsidRPr="006B2799">
        <w:rPr>
          <w:rFonts w:eastAsia="Times New Roman"/>
          <w:color w:val="0B0C0C"/>
          <w:szCs w:val="24"/>
          <w:lang w:eastAsia="en-GB"/>
        </w:rPr>
        <w:t xml:space="preserve"> </w:t>
      </w:r>
      <w:r>
        <w:rPr>
          <w:rFonts w:eastAsia="Times New Roman"/>
          <w:color w:val="0B0C0C"/>
          <w:szCs w:val="24"/>
          <w:lang w:eastAsia="en-GB"/>
        </w:rPr>
        <w:t xml:space="preserve">Where a joint bid is submitted it is the responsibility of the lead local authority or lead Health and Social Care Trust in Northern Ireland to ensure its partner </w:t>
      </w:r>
      <w:r w:rsidRPr="00DD079C">
        <w:rPr>
          <w:rFonts w:eastAsia="Times New Roman"/>
          <w:color w:val="0B0C0C"/>
          <w:szCs w:val="24"/>
          <w:lang w:eastAsia="en-GB"/>
        </w:rPr>
        <w:t>local authorities</w:t>
      </w:r>
      <w:r>
        <w:rPr>
          <w:rFonts w:eastAsia="Times New Roman"/>
          <w:color w:val="0B0C0C"/>
          <w:szCs w:val="24"/>
          <w:lang w:eastAsia="en-GB"/>
        </w:rPr>
        <w:t xml:space="preserve"> or Health and Social Care Trust have not submitted an individual bid. </w:t>
      </w:r>
      <w:r w:rsidRPr="006B2799">
        <w:rPr>
          <w:rFonts w:eastAsia="Times New Roman"/>
          <w:color w:val="0B0C0C"/>
          <w:szCs w:val="24"/>
          <w:lang w:eastAsia="en-GB"/>
        </w:rPr>
        <w:t xml:space="preserve">If more than one bid </w:t>
      </w:r>
      <w:r>
        <w:rPr>
          <w:rFonts w:eastAsia="Times New Roman"/>
          <w:color w:val="0B0C0C"/>
          <w:szCs w:val="24"/>
          <w:lang w:eastAsia="en-GB"/>
        </w:rPr>
        <w:t xml:space="preserve">is </w:t>
      </w:r>
      <w:r w:rsidRPr="006B2799">
        <w:rPr>
          <w:rFonts w:eastAsia="Times New Roman"/>
          <w:color w:val="0B0C0C"/>
          <w:szCs w:val="24"/>
          <w:lang w:eastAsia="en-GB"/>
        </w:rPr>
        <w:t xml:space="preserve">submitted by </w:t>
      </w:r>
      <w:r>
        <w:rPr>
          <w:rFonts w:eastAsia="Times New Roman"/>
          <w:color w:val="0B0C0C"/>
          <w:szCs w:val="24"/>
          <w:lang w:eastAsia="en-GB"/>
        </w:rPr>
        <w:t>an applicant</w:t>
      </w:r>
      <w:r w:rsidRPr="006B2799">
        <w:rPr>
          <w:rFonts w:eastAsia="Times New Roman"/>
          <w:color w:val="0B0C0C"/>
          <w:szCs w:val="24"/>
          <w:lang w:eastAsia="en-GB"/>
        </w:rPr>
        <w:t xml:space="preserve">, the Home Office reserves the right to exclude </w:t>
      </w:r>
      <w:r>
        <w:rPr>
          <w:rFonts w:eastAsia="Times New Roman"/>
          <w:color w:val="0B0C0C"/>
          <w:szCs w:val="24"/>
          <w:lang w:eastAsia="en-GB"/>
        </w:rPr>
        <w:t xml:space="preserve">one or </w:t>
      </w:r>
      <w:r w:rsidRPr="006B2799">
        <w:rPr>
          <w:rFonts w:eastAsia="Times New Roman"/>
          <w:color w:val="0B0C0C"/>
          <w:szCs w:val="24"/>
          <w:lang w:eastAsia="en-GB"/>
        </w:rPr>
        <w:t xml:space="preserve">both bids. </w:t>
      </w:r>
    </w:p>
    <w:p w14:paraId="4D43025E" w14:textId="77777777" w:rsidR="00C33A76" w:rsidRPr="00DD079C" w:rsidRDefault="00C33A76" w:rsidP="00C33A76">
      <w:pPr>
        <w:rPr>
          <w:rFonts w:eastAsia="Times New Roman"/>
          <w:b/>
          <w:bCs/>
          <w:color w:val="0B0C0C"/>
          <w:szCs w:val="24"/>
          <w:lang w:eastAsia="en-GB"/>
        </w:rPr>
      </w:pPr>
      <w:proofErr w:type="gramStart"/>
      <w:r w:rsidRPr="00DD079C">
        <w:rPr>
          <w:rFonts w:eastAsia="Times New Roman"/>
          <w:b/>
          <w:bCs/>
          <w:color w:val="0B0C0C"/>
          <w:szCs w:val="24"/>
          <w:lang w:eastAsia="en-GB"/>
        </w:rPr>
        <w:t>For the purpose of</w:t>
      </w:r>
      <w:proofErr w:type="gramEnd"/>
      <w:r w:rsidRPr="00DD079C">
        <w:rPr>
          <w:rFonts w:eastAsia="Times New Roman"/>
          <w:b/>
          <w:bCs/>
          <w:color w:val="0B0C0C"/>
          <w:szCs w:val="24"/>
          <w:lang w:eastAsia="en-GB"/>
        </w:rPr>
        <w:t xml:space="preserve"> this document, all future reference to local authorities assumes the inclusion of Northern Ireland’s comparable body, The Health and Social Care Trusts. </w:t>
      </w:r>
    </w:p>
    <w:p w14:paraId="1EBEAA37" w14:textId="77777777" w:rsidR="00C33A76" w:rsidRPr="00797F18" w:rsidRDefault="00C33A76" w:rsidP="00C33A76">
      <w:pPr>
        <w:rPr>
          <w:b/>
          <w:u w:val="single"/>
        </w:rPr>
      </w:pPr>
      <w:r w:rsidRPr="00797F18">
        <w:rPr>
          <w:b/>
          <w:u w:val="single"/>
        </w:rPr>
        <w:t xml:space="preserve">Purpose of </w:t>
      </w:r>
      <w:r>
        <w:rPr>
          <w:b/>
          <w:u w:val="single"/>
        </w:rPr>
        <w:t>Pilots for Devolved Decision-Making Pilots</w:t>
      </w:r>
    </w:p>
    <w:p w14:paraId="1394C032" w14:textId="77777777" w:rsidR="00C33A76" w:rsidRPr="009B4F20" w:rsidRDefault="00C33A76" w:rsidP="00C33A76">
      <w:r w:rsidRPr="009B4F20">
        <w:t xml:space="preserve">The purpose of the </w:t>
      </w:r>
      <w:r>
        <w:t xml:space="preserve">pilot </w:t>
      </w:r>
      <w:r w:rsidRPr="009B4F20">
        <w:t xml:space="preserve">is to test different approaches to </w:t>
      </w:r>
      <w:r>
        <w:t xml:space="preserve">identifying children as victims of modern slavery, through </w:t>
      </w:r>
      <w:r w:rsidRPr="009B4F20">
        <w:t>local multi-agency decision making</w:t>
      </w:r>
      <w:r>
        <w:t xml:space="preserve"> in various sites across the UK</w:t>
      </w:r>
      <w:r w:rsidRPr="009B4F20">
        <w:t xml:space="preserve">. </w:t>
      </w:r>
      <w:r w:rsidRPr="00C53D89">
        <w:t xml:space="preserve">The funding </w:t>
      </w:r>
      <w:r>
        <w:t xml:space="preserve">will be awarded </w:t>
      </w:r>
      <w:r w:rsidRPr="00C53D89">
        <w:t xml:space="preserve">to empower </w:t>
      </w:r>
      <w:r w:rsidRPr="00DD079C">
        <w:t>local authorities</w:t>
      </w:r>
      <w:r>
        <w:t xml:space="preserve"> </w:t>
      </w:r>
      <w:r w:rsidRPr="00C53D89">
        <w:t xml:space="preserve">to integrate </w:t>
      </w:r>
      <w:r>
        <w:t>decisions about whether children are victims of modern slavery wi</w:t>
      </w:r>
      <w:r w:rsidRPr="00C53D89">
        <w:t>th</w:t>
      </w:r>
      <w:r>
        <w:t>in</w:t>
      </w:r>
      <w:r w:rsidRPr="00C53D89">
        <w:t xml:space="preserve"> their existing safeguarding structures.</w:t>
      </w:r>
      <w:r w:rsidRPr="009B4F20" w:rsidDel="00260AA5">
        <w:t xml:space="preserve"> </w:t>
      </w:r>
    </w:p>
    <w:p w14:paraId="4C9E0B31" w14:textId="77777777" w:rsidR="00C33A76" w:rsidRPr="0028476D" w:rsidRDefault="00C33A76" w:rsidP="00C33A76">
      <w:pPr>
        <w:pStyle w:val="Default"/>
        <w:rPr>
          <w:b/>
        </w:rPr>
      </w:pPr>
      <w:r>
        <w:rPr>
          <w:b/>
        </w:rPr>
        <w:t>Some of key requirements to be followed by the pilot sites are set out below. Full requirements are detailed in the Statement of Outcomes:</w:t>
      </w:r>
    </w:p>
    <w:p w14:paraId="66202626" w14:textId="77777777" w:rsidR="00C33A76" w:rsidRPr="0028476D" w:rsidRDefault="00C33A76" w:rsidP="00C33A76">
      <w:pPr>
        <w:pStyle w:val="Default"/>
      </w:pPr>
    </w:p>
    <w:p w14:paraId="7A64675A" w14:textId="77777777" w:rsidR="00C33A76" w:rsidRPr="00AF4BDF" w:rsidRDefault="00C33A76" w:rsidP="00C33A76">
      <w:pPr>
        <w:pStyle w:val="Default"/>
        <w:numPr>
          <w:ilvl w:val="0"/>
          <w:numId w:val="1"/>
        </w:numPr>
        <w:rPr>
          <w:rFonts w:eastAsia="Arial"/>
          <w:color w:val="000000" w:themeColor="text1"/>
        </w:rPr>
      </w:pPr>
      <w:r>
        <w:t>B</w:t>
      </w:r>
      <w:r w:rsidRPr="00AF4BDF">
        <w:t xml:space="preserve">oth the Reasonable Grounds and Conclusive Grounds decisions </w:t>
      </w:r>
      <w:r w:rsidRPr="00AF4BDF">
        <w:rPr>
          <w:b/>
          <w:bCs/>
          <w:u w:val="single"/>
        </w:rPr>
        <w:t>must</w:t>
      </w:r>
      <w:r w:rsidRPr="00AF4BDF">
        <w:t xml:space="preserve"> be taken by safeguarding partners through a multi-agency structure at one or multiple meetings. In line with the </w:t>
      </w:r>
      <w:hyperlink r:id="rId5">
        <w:r w:rsidRPr="00AF4BDF">
          <w:rPr>
            <w:rStyle w:val="Hyperlink"/>
          </w:rPr>
          <w:t>Working Together to Safeguard Children (2018)</w:t>
        </w:r>
      </w:hyperlink>
      <w:r w:rsidRPr="00AF4BDF">
        <w:t xml:space="preserve">, this will be with representation from the three safeguarding partners – </w:t>
      </w:r>
      <w:r w:rsidRPr="00DD079C">
        <w:t>the local authority/ Health and Social Care Trusts, health and police – as a minimum. Where possible, decisions should be taken through an existing multi-agency structure. Engagement with local authorities and</w:t>
      </w:r>
      <w:r w:rsidRPr="00AF4BDF">
        <w:t xml:space="preserve"> NGOs in the design of these pilots has determined that, to avoid potential conflicts of interest, the chair of the multi-agency structure taking the decision should not be the lead social worker involved in the child’s care where a social worker is allocated to the case.</w:t>
      </w:r>
    </w:p>
    <w:p w14:paraId="78DDE8F2" w14:textId="77777777" w:rsidR="00C33A76" w:rsidRPr="00AF4BDF" w:rsidRDefault="00C33A76" w:rsidP="00C33A76">
      <w:pPr>
        <w:pStyle w:val="Default"/>
        <w:numPr>
          <w:ilvl w:val="1"/>
          <w:numId w:val="3"/>
        </w:numPr>
        <w:spacing w:line="259" w:lineRule="auto"/>
        <w:ind w:left="1152"/>
      </w:pPr>
      <w:r w:rsidRPr="00AF4BDF">
        <w:t>Pilot sites must make decisions as to whether a child is a victim of modern slavery in accordance with the Modern Slavery Act 2015 and guidance provided to pilot sites. This requires two decisions to be made:</w:t>
      </w:r>
    </w:p>
    <w:p w14:paraId="743E727D" w14:textId="77777777" w:rsidR="00C33A76" w:rsidRPr="00AF4BDF" w:rsidRDefault="00C33A76" w:rsidP="00C33A76">
      <w:pPr>
        <w:pStyle w:val="Default"/>
        <w:numPr>
          <w:ilvl w:val="1"/>
          <w:numId w:val="1"/>
        </w:numPr>
      </w:pPr>
      <w:r w:rsidRPr="00AF4BDF">
        <w:t xml:space="preserve">A </w:t>
      </w:r>
      <w:r w:rsidRPr="00AF4BDF">
        <w:rPr>
          <w:b/>
        </w:rPr>
        <w:t>Reasonable Grounds (RG)</w:t>
      </w:r>
      <w:r w:rsidRPr="00AF4BDF">
        <w:t xml:space="preserve"> decision where there are reasonable grounds to believe that the individual is a victim</w:t>
      </w:r>
    </w:p>
    <w:p w14:paraId="1ABB18E1" w14:textId="77777777" w:rsidR="00C33A76" w:rsidRPr="00AF4BDF" w:rsidRDefault="00C33A76" w:rsidP="00C33A76">
      <w:pPr>
        <w:pStyle w:val="Default"/>
        <w:numPr>
          <w:ilvl w:val="1"/>
          <w:numId w:val="1"/>
        </w:numPr>
      </w:pPr>
      <w:r w:rsidRPr="00AF4BDF">
        <w:t xml:space="preserve">A </w:t>
      </w:r>
      <w:r w:rsidRPr="00AF4BDF">
        <w:rPr>
          <w:b/>
        </w:rPr>
        <w:t>Conclusive Grounds (CG)</w:t>
      </w:r>
      <w:r w:rsidRPr="00AF4BDF">
        <w:t xml:space="preserve"> decision as to whether, on the balance of probabilities, a child is a victim of modern slavery</w:t>
      </w:r>
    </w:p>
    <w:p w14:paraId="16B61FC5" w14:textId="77777777" w:rsidR="00C33A76" w:rsidRPr="00AF4BDF" w:rsidRDefault="00C33A76" w:rsidP="00C33A76">
      <w:pPr>
        <w:pStyle w:val="Default"/>
        <w:ind w:left="1152"/>
      </w:pPr>
      <w:r>
        <w:lastRenderedPageBreak/>
        <w:t>B</w:t>
      </w:r>
      <w:r w:rsidRPr="00AF4BDF">
        <w:t>oth decisions should be taken as soon as there is sufficient evidence to do so. A</w:t>
      </w:r>
      <w:r>
        <w:t>n</w:t>
      </w:r>
      <w:r w:rsidRPr="00AF4BDF">
        <w:t xml:space="preserve"> RG decision should be made no later than 45 days from the date the pilot site receives the referral. A positive CG decision can also be made at the same meeting if there is sufficient evidence to do so. If a pilot site deems the evidence gathered for the first multi-agency meeting is insufficient for a positive </w:t>
      </w:r>
      <w:r>
        <w:t xml:space="preserve">CG </w:t>
      </w:r>
      <w:r w:rsidRPr="00AF4BDF">
        <w:t xml:space="preserve">decision to be taken at the same meeting, then a second meeting to make the CG decision should take place no later than 45 days after the first meeting (90 days in total). </w:t>
      </w:r>
    </w:p>
    <w:p w14:paraId="63ED8C99" w14:textId="77777777" w:rsidR="00C33A76" w:rsidRPr="00AF4BDF" w:rsidRDefault="00C33A76" w:rsidP="00C33A76">
      <w:pPr>
        <w:pStyle w:val="Default"/>
        <w:numPr>
          <w:ilvl w:val="0"/>
          <w:numId w:val="1"/>
        </w:numPr>
      </w:pPr>
      <w:r w:rsidRPr="00AF4BDF">
        <w:t xml:space="preserve">The outcome of a Reasonable Grounds and/or a Conclusive Grounds decision must be reported to the Home Office within </w:t>
      </w:r>
      <w:r w:rsidRPr="00AF4BDF">
        <w:rPr>
          <w:bCs/>
        </w:rPr>
        <w:t>one</w:t>
      </w:r>
      <w:r w:rsidRPr="00AF4BDF">
        <w:t xml:space="preserve"> working day using the Reporting Template </w:t>
      </w:r>
      <w:r>
        <w:t>provided.</w:t>
      </w:r>
      <w:r w:rsidRPr="00AF4BDF">
        <w:t xml:space="preserve"> </w:t>
      </w:r>
    </w:p>
    <w:p w14:paraId="2B37C717" w14:textId="77777777" w:rsidR="00C33A76" w:rsidRPr="00AF4BDF" w:rsidRDefault="00C33A76" w:rsidP="00C33A76">
      <w:pPr>
        <w:pStyle w:val="Default"/>
        <w:numPr>
          <w:ilvl w:val="0"/>
          <w:numId w:val="1"/>
        </w:numPr>
      </w:pPr>
      <w:r w:rsidRPr="00AF4BDF">
        <w:t xml:space="preserve">Any meetings where decisions are taken should </w:t>
      </w:r>
      <w:r>
        <w:t>have minutes taken</w:t>
      </w:r>
      <w:r w:rsidRPr="00AF4BDF">
        <w:t xml:space="preserve">. </w:t>
      </w:r>
    </w:p>
    <w:p w14:paraId="15DD7A5A" w14:textId="77777777" w:rsidR="00C33A76" w:rsidRPr="00AF4BDF" w:rsidRDefault="00C33A76" w:rsidP="00C33A76">
      <w:pPr>
        <w:pStyle w:val="Default"/>
        <w:numPr>
          <w:ilvl w:val="0"/>
          <w:numId w:val="1"/>
        </w:numPr>
        <w:rPr>
          <w:rFonts w:eastAsia="Arial"/>
          <w:color w:val="000000" w:themeColor="text1"/>
        </w:rPr>
      </w:pPr>
      <w:r w:rsidRPr="00AF4BDF">
        <w:t xml:space="preserve">Once a final Conclusive Grounds decision has been made, and following any quality assurance that is required, the Home Office will issue a decision letter for the case outcome. </w:t>
      </w:r>
    </w:p>
    <w:p w14:paraId="6CAB7CA0" w14:textId="77777777" w:rsidR="00C33A76" w:rsidRDefault="00C33A76" w:rsidP="00C33A76">
      <w:pPr>
        <w:pStyle w:val="Default"/>
        <w:numPr>
          <w:ilvl w:val="0"/>
          <w:numId w:val="1"/>
        </w:numPr>
      </w:pPr>
      <w:r w:rsidRPr="00AF4BDF">
        <w:t>These pilots will not replace any existing devolved legislation.</w:t>
      </w:r>
    </w:p>
    <w:p w14:paraId="09D8ED3B" w14:textId="77777777" w:rsidR="00C33A76" w:rsidRPr="00AF4BDF" w:rsidRDefault="00C33A76" w:rsidP="00C33A76">
      <w:pPr>
        <w:pStyle w:val="Default"/>
        <w:ind w:left="792"/>
      </w:pPr>
    </w:p>
    <w:p w14:paraId="6211A183" w14:textId="77777777" w:rsidR="00C33A76" w:rsidRPr="00AF4BDF" w:rsidRDefault="00C33A76" w:rsidP="00C33A76">
      <w:pPr>
        <w:pStyle w:val="Default"/>
      </w:pPr>
    </w:p>
    <w:p w14:paraId="596DF774" w14:textId="77777777" w:rsidR="00C33A76" w:rsidRPr="00AF4BDF" w:rsidRDefault="00C33A76" w:rsidP="00C33A76">
      <w:pPr>
        <w:pStyle w:val="Default"/>
      </w:pPr>
      <w:r w:rsidRPr="00AF4BDF">
        <w:rPr>
          <w:b/>
          <w:u w:val="single"/>
        </w:rPr>
        <w:t>Please note:</w:t>
      </w:r>
      <w:r w:rsidRPr="00AF4BDF">
        <w:t xml:space="preserve"> In all cases children should continue to receive appropriate safeguarding and support in line with current statutory requirements irrespective of the stage they are at in the decision-making process. </w:t>
      </w:r>
    </w:p>
    <w:p w14:paraId="6ABB0750" w14:textId="77777777" w:rsidR="00C33A76" w:rsidRPr="00AF4BDF" w:rsidRDefault="00C33A76" w:rsidP="00C33A76">
      <w:pPr>
        <w:pStyle w:val="Default"/>
      </w:pPr>
    </w:p>
    <w:p w14:paraId="241470AA" w14:textId="77777777" w:rsidR="00C33A76" w:rsidRDefault="00C33A76" w:rsidP="00C33A76">
      <w:pPr>
        <w:pStyle w:val="Default"/>
      </w:pPr>
    </w:p>
    <w:p w14:paraId="3F32F31D" w14:textId="77777777" w:rsidR="00C33A76" w:rsidRPr="00DF20D9" w:rsidRDefault="00C33A76" w:rsidP="00C33A76">
      <w:pPr>
        <w:rPr>
          <w:b/>
          <w:szCs w:val="24"/>
          <w:u w:val="single"/>
        </w:rPr>
      </w:pPr>
      <w:r w:rsidRPr="00DF20D9">
        <w:rPr>
          <w:b/>
          <w:szCs w:val="24"/>
          <w:u w:val="single"/>
        </w:rPr>
        <w:t>Eligibility</w:t>
      </w:r>
    </w:p>
    <w:p w14:paraId="20A572B5" w14:textId="77777777" w:rsidR="00C33A76" w:rsidRPr="00C71B11" w:rsidRDefault="00C33A76" w:rsidP="00C33A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1B11">
        <w:rPr>
          <w:rFonts w:ascii="Arial" w:hAnsi="Arial" w:cs="Arial"/>
          <w:sz w:val="24"/>
          <w:szCs w:val="24"/>
        </w:rPr>
        <w:t xml:space="preserve">The fund is open to all local authorities </w:t>
      </w:r>
      <w:r>
        <w:rPr>
          <w:rFonts w:ascii="Arial" w:hAnsi="Arial" w:cs="Arial"/>
          <w:sz w:val="24"/>
          <w:szCs w:val="24"/>
        </w:rPr>
        <w:t xml:space="preserve">within England, </w:t>
      </w:r>
      <w:proofErr w:type="gramStart"/>
      <w:r>
        <w:rPr>
          <w:rFonts w:ascii="Arial" w:hAnsi="Arial" w:cs="Arial"/>
          <w:sz w:val="24"/>
          <w:szCs w:val="24"/>
        </w:rPr>
        <w:t>Scotland</w:t>
      </w:r>
      <w:proofErr w:type="gramEnd"/>
      <w:r>
        <w:rPr>
          <w:rFonts w:ascii="Arial" w:hAnsi="Arial" w:cs="Arial"/>
          <w:sz w:val="24"/>
          <w:szCs w:val="24"/>
        </w:rPr>
        <w:t xml:space="preserve"> and Wales w</w:t>
      </w:r>
      <w:r w:rsidRPr="00C71B11">
        <w:rPr>
          <w:rFonts w:ascii="Arial" w:hAnsi="Arial" w:cs="Arial"/>
          <w:sz w:val="24"/>
          <w:szCs w:val="24"/>
        </w:rPr>
        <w:t>ith responsibility for children’s social care</w:t>
      </w:r>
      <w:r>
        <w:rPr>
          <w:rFonts w:ascii="Arial" w:hAnsi="Arial" w:cs="Arial"/>
          <w:sz w:val="24"/>
          <w:szCs w:val="24"/>
        </w:rPr>
        <w:t xml:space="preserve"> and in Northern Ireland, The Department of Health who hold responsibility for children’s social care</w:t>
      </w:r>
      <w:r w:rsidRPr="00C71B11">
        <w:rPr>
          <w:rFonts w:ascii="Arial" w:hAnsi="Arial" w:cs="Arial"/>
          <w:sz w:val="24"/>
          <w:szCs w:val="24"/>
        </w:rPr>
        <w:t>.</w:t>
      </w:r>
    </w:p>
    <w:p w14:paraId="062E5510" w14:textId="77777777" w:rsidR="00C33A76" w:rsidRPr="00C71B11" w:rsidRDefault="00C33A76" w:rsidP="00C33A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1B11">
        <w:rPr>
          <w:rFonts w:ascii="Arial" w:hAnsi="Arial" w:cs="Arial"/>
          <w:sz w:val="24"/>
          <w:szCs w:val="24"/>
        </w:rPr>
        <w:t xml:space="preserve">The Home Office welcomes applications for funding from either individual </w:t>
      </w:r>
      <w:r w:rsidRPr="00DD079C">
        <w:rPr>
          <w:rFonts w:ascii="Arial" w:hAnsi="Arial" w:cs="Arial"/>
          <w:sz w:val="24"/>
          <w:szCs w:val="24"/>
        </w:rPr>
        <w:t>local authorities or local authorities</w:t>
      </w:r>
      <w:r>
        <w:rPr>
          <w:rFonts w:ascii="Arial" w:hAnsi="Arial" w:cs="Arial"/>
          <w:sz w:val="24"/>
          <w:szCs w:val="24"/>
        </w:rPr>
        <w:t>/ Health and Social Care Trusts</w:t>
      </w:r>
      <w:r w:rsidRPr="00C71B11">
        <w:rPr>
          <w:rFonts w:ascii="Arial" w:hAnsi="Arial" w:cs="Arial"/>
          <w:sz w:val="24"/>
          <w:szCs w:val="24"/>
        </w:rPr>
        <w:t xml:space="preserve"> acting together as a consortium.</w:t>
      </w:r>
    </w:p>
    <w:p w14:paraId="3A81E8FB" w14:textId="77777777" w:rsidR="00C33A76" w:rsidRPr="00C71B11" w:rsidRDefault="00C33A76" w:rsidP="00C33A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1B11">
        <w:rPr>
          <w:rFonts w:ascii="Arial" w:hAnsi="Arial" w:cs="Arial"/>
          <w:sz w:val="24"/>
          <w:szCs w:val="24"/>
        </w:rPr>
        <w:t xml:space="preserve">In the case of a consortium bid, </w:t>
      </w:r>
      <w:r w:rsidRPr="00DD079C">
        <w:rPr>
          <w:rFonts w:ascii="Arial" w:hAnsi="Arial" w:cs="Arial"/>
          <w:sz w:val="24"/>
          <w:szCs w:val="24"/>
        </w:rPr>
        <w:t>one local authority/</w:t>
      </w:r>
      <w:r>
        <w:rPr>
          <w:rFonts w:ascii="Arial" w:hAnsi="Arial" w:cs="Arial"/>
          <w:sz w:val="24"/>
          <w:szCs w:val="24"/>
        </w:rPr>
        <w:t xml:space="preserve"> Health and Social Care Trust</w:t>
      </w:r>
      <w:r w:rsidRPr="00C71B11">
        <w:rPr>
          <w:rFonts w:ascii="Arial" w:hAnsi="Arial" w:cs="Arial"/>
          <w:sz w:val="24"/>
          <w:szCs w:val="24"/>
        </w:rPr>
        <w:t xml:space="preserve"> will be nominated as the lead authority</w:t>
      </w:r>
      <w:r>
        <w:rPr>
          <w:rFonts w:ascii="Arial" w:hAnsi="Arial" w:cs="Arial"/>
          <w:sz w:val="24"/>
          <w:szCs w:val="24"/>
        </w:rPr>
        <w:t>/ Health and Social Care Trust</w:t>
      </w:r>
      <w:r w:rsidRPr="00C71B11">
        <w:rPr>
          <w:rFonts w:ascii="Arial" w:hAnsi="Arial" w:cs="Arial"/>
          <w:sz w:val="24"/>
          <w:szCs w:val="24"/>
        </w:rPr>
        <w:t xml:space="preserve"> and will need to have agreement from all </w:t>
      </w:r>
      <w:proofErr w:type="gramStart"/>
      <w:r w:rsidRPr="00C71B11">
        <w:rPr>
          <w:rFonts w:ascii="Arial" w:hAnsi="Arial" w:cs="Arial"/>
          <w:sz w:val="24"/>
          <w:szCs w:val="24"/>
        </w:rPr>
        <w:t>partner</w:t>
      </w:r>
      <w:proofErr w:type="gramEnd"/>
      <w:r w:rsidRPr="00C71B11">
        <w:rPr>
          <w:rFonts w:ascii="Arial" w:hAnsi="Arial" w:cs="Arial"/>
          <w:sz w:val="24"/>
          <w:szCs w:val="24"/>
        </w:rPr>
        <w:t xml:space="preserve"> </w:t>
      </w:r>
      <w:r w:rsidRPr="00DD079C">
        <w:rPr>
          <w:rFonts w:ascii="Arial" w:hAnsi="Arial" w:cs="Arial"/>
          <w:sz w:val="24"/>
          <w:szCs w:val="24"/>
        </w:rPr>
        <w:t>local authorities/</w:t>
      </w:r>
      <w:r>
        <w:rPr>
          <w:rFonts w:ascii="Arial" w:hAnsi="Arial" w:cs="Arial"/>
          <w:sz w:val="24"/>
          <w:szCs w:val="24"/>
        </w:rPr>
        <w:t xml:space="preserve"> Health and Social Care Trusts</w:t>
      </w:r>
      <w:r w:rsidRPr="00C71B11">
        <w:rPr>
          <w:rFonts w:ascii="Arial" w:hAnsi="Arial" w:cs="Arial"/>
          <w:sz w:val="24"/>
          <w:szCs w:val="24"/>
        </w:rPr>
        <w:t xml:space="preserve"> before bidding.</w:t>
      </w:r>
    </w:p>
    <w:p w14:paraId="24D3B86E" w14:textId="77777777" w:rsidR="00C33A76" w:rsidRDefault="00C33A76" w:rsidP="00C33A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1B11">
        <w:rPr>
          <w:rFonts w:ascii="Arial" w:hAnsi="Arial" w:cs="Arial"/>
          <w:sz w:val="24"/>
          <w:szCs w:val="24"/>
        </w:rPr>
        <w:t xml:space="preserve">Bidders must ensure their bid meets the requirements set out in </w:t>
      </w:r>
      <w:r w:rsidRPr="00C33A76">
        <w:rPr>
          <w:rFonts w:ascii="Arial" w:hAnsi="Arial" w:cs="Arial"/>
          <w:sz w:val="24"/>
          <w:szCs w:val="24"/>
        </w:rPr>
        <w:t>Section 6</w:t>
      </w:r>
      <w:r w:rsidRPr="00C71B11">
        <w:rPr>
          <w:rFonts w:ascii="Arial" w:hAnsi="Arial" w:cs="Arial"/>
          <w:sz w:val="24"/>
          <w:szCs w:val="24"/>
        </w:rPr>
        <w:t xml:space="preserve"> of the Statement of outcomes.</w:t>
      </w:r>
    </w:p>
    <w:p w14:paraId="6957263B" w14:textId="77777777" w:rsidR="00C33A76" w:rsidRDefault="00C33A76" w:rsidP="00C33A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71B11">
        <w:rPr>
          <w:rFonts w:ascii="Arial" w:hAnsi="Arial" w:cs="Arial"/>
          <w:sz w:val="24"/>
          <w:szCs w:val="24"/>
        </w:rPr>
        <w:t>Applicants will only be eligible for one grant of funding up to a maximum of £50k</w:t>
      </w:r>
      <w:r>
        <w:rPr>
          <w:rFonts w:ascii="Arial" w:hAnsi="Arial" w:cs="Arial"/>
          <w:sz w:val="24"/>
          <w:szCs w:val="24"/>
        </w:rPr>
        <w:t xml:space="preserve"> per year, pro rata as needed if crossing financial years</w:t>
      </w:r>
      <w:r w:rsidRPr="00C71B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628C9">
        <w:rPr>
          <w:rFonts w:ascii="Arial" w:hAnsi="Arial" w:cs="Arial"/>
          <w:sz w:val="24"/>
          <w:szCs w:val="24"/>
        </w:rPr>
        <w:t>However</w:t>
      </w:r>
      <w:r>
        <w:rPr>
          <w:rFonts w:ascii="Arial" w:hAnsi="Arial" w:cs="Arial"/>
          <w:sz w:val="24"/>
          <w:szCs w:val="24"/>
        </w:rPr>
        <w:t xml:space="preserve">, the </w:t>
      </w:r>
      <w:r w:rsidRPr="00E628C9">
        <w:rPr>
          <w:rFonts w:ascii="Arial" w:hAnsi="Arial" w:cs="Arial"/>
          <w:sz w:val="24"/>
          <w:szCs w:val="24"/>
        </w:rPr>
        <w:t>Home Office will consider higher bids</w:t>
      </w:r>
      <w:r>
        <w:rPr>
          <w:rFonts w:ascii="Arial" w:hAnsi="Arial" w:cs="Arial"/>
          <w:sz w:val="24"/>
          <w:szCs w:val="24"/>
        </w:rPr>
        <w:t xml:space="preserve"> in exceptional circumstances. T</w:t>
      </w:r>
      <w:r w:rsidRPr="00E628C9">
        <w:rPr>
          <w:rFonts w:ascii="Arial" w:hAnsi="Arial" w:cs="Arial"/>
          <w:sz w:val="24"/>
          <w:szCs w:val="24"/>
        </w:rPr>
        <w:t>hese exceptional circumstances will require robust, evidence-based justification.</w:t>
      </w:r>
    </w:p>
    <w:p w14:paraId="4F629035" w14:textId="77777777" w:rsidR="00C33A76" w:rsidRPr="00095F45" w:rsidRDefault="00C33A76" w:rsidP="00C33A76">
      <w:pPr>
        <w:rPr>
          <w:szCs w:val="24"/>
        </w:rPr>
      </w:pPr>
    </w:p>
    <w:p w14:paraId="60D6C3C1" w14:textId="77777777" w:rsidR="00AF6D14" w:rsidRDefault="00AF6D14"/>
    <w:sectPr w:rsidR="00AF6D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0A31"/>
    <w:multiLevelType w:val="hybridMultilevel"/>
    <w:tmpl w:val="FFFFFFFF"/>
    <w:lvl w:ilvl="0" w:tplc="6032D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CC7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AC7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6A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E6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E7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8D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29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0A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E2D97"/>
    <w:multiLevelType w:val="hybridMultilevel"/>
    <w:tmpl w:val="D12E8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0BE9"/>
    <w:multiLevelType w:val="hybridMultilevel"/>
    <w:tmpl w:val="46B27076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76"/>
    <w:rsid w:val="00AF6D14"/>
    <w:rsid w:val="00C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39951"/>
  <w15:chartTrackingRefBased/>
  <w15:docId w15:val="{30435D75-B709-4736-B97D-9A05B869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76"/>
    <w:pPr>
      <w:spacing w:after="200" w:line="276" w:lineRule="auto"/>
    </w:pPr>
    <w:rPr>
      <w:rFonts w:ascii="Arial" w:eastAsia="Calibri" w:hAnsi="Arial" w:cs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A76"/>
    <w:rPr>
      <w:color w:val="005EA5"/>
      <w:u w:val="single"/>
    </w:rPr>
  </w:style>
  <w:style w:type="paragraph" w:styleId="ListParagraph">
    <w:name w:val="List Paragraph"/>
    <w:aliases w:val="Table Text,List Paragraph_Table text,Table text,List Paragraph1,List Paragraph2,Normal numbered,List Paragraph11,OBC Bullet,F5 List Paragraph,Dot pt,No Spacing1,List Paragraph Char Char Char,Indicator Text,Numbered Para 1,Bullet 1,L"/>
    <w:basedOn w:val="Normal"/>
    <w:link w:val="ListParagraphChar"/>
    <w:uiPriority w:val="34"/>
    <w:qFormat/>
    <w:rsid w:val="00C33A76"/>
    <w:pPr>
      <w:spacing w:after="0" w:line="240" w:lineRule="auto"/>
      <w:ind w:left="720"/>
    </w:pPr>
    <w:rPr>
      <w:rFonts w:ascii="Calibri" w:hAnsi="Calibri" w:cs="Times New Roman"/>
      <w:sz w:val="22"/>
      <w:lang w:eastAsia="en-GB"/>
    </w:rPr>
  </w:style>
  <w:style w:type="character" w:customStyle="1" w:styleId="ListParagraphChar">
    <w:name w:val="List Paragraph Char"/>
    <w:aliases w:val="Table Text Char,List Paragraph_Table text Char,Table text Char,List Paragraph1 Char,List Paragraph2 Char,Normal numbered Char,List Paragraph11 Char,OBC Bullet Char,F5 List Paragraph Char,Dot pt Char,No Spacing1 Char,Bullet 1 Char"/>
    <w:basedOn w:val="DefaultParagraphFont"/>
    <w:link w:val="ListParagraph"/>
    <w:uiPriority w:val="34"/>
    <w:qFormat/>
    <w:locked/>
    <w:rsid w:val="00C33A76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33A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working-together-to-safeguard-children-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Robinson</dc:creator>
  <cp:keywords/>
  <dc:description/>
  <cp:lastModifiedBy>Ian Robinson</cp:lastModifiedBy>
  <cp:revision>1</cp:revision>
  <dcterms:created xsi:type="dcterms:W3CDTF">2022-09-21T14:10:00Z</dcterms:created>
  <dcterms:modified xsi:type="dcterms:W3CDTF">2022-09-21T14:12:00Z</dcterms:modified>
</cp:coreProperties>
</file>