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11C44" w14:textId="77777777" w:rsidR="00FE18AC" w:rsidRDefault="00FE18AC" w:rsidP="00FE18AC">
      <w:pPr>
        <w:pStyle w:val="bodystrongcentred"/>
      </w:pPr>
      <w:r>
        <w:t>CONTENTS</w:t>
      </w:r>
    </w:p>
    <w:p w14:paraId="757634AA" w14:textId="77777777" w:rsidR="00FE18AC" w:rsidRDefault="00FE18AC" w:rsidP="00FE18AC"/>
    <w:p w14:paraId="52BEE62B" w14:textId="77777777" w:rsidR="00E91B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sidR="00E91B23">
          <w:rPr>
            <w:noProof/>
            <w:webHidden/>
          </w:rPr>
          <w:fldChar w:fldCharType="begin"/>
        </w:r>
        <w:r w:rsidR="00E91B23">
          <w:rPr>
            <w:noProof/>
            <w:webHidden/>
          </w:rPr>
          <w:instrText xml:space="preserve"> PAGEREF _Toc444518866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0090E30E" w14:textId="77777777" w:rsidR="00E91B23" w:rsidRDefault="001740ED">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E91B23">
          <w:rPr>
            <w:noProof/>
            <w:webHidden/>
          </w:rPr>
          <w:fldChar w:fldCharType="begin"/>
        </w:r>
        <w:r w:rsidR="00E91B23">
          <w:rPr>
            <w:noProof/>
            <w:webHidden/>
          </w:rPr>
          <w:instrText xml:space="preserve"> PAGEREF _Toc444518867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516344FC" w14:textId="77777777" w:rsidR="00E91B23" w:rsidRDefault="001740ED">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E91B23">
          <w:rPr>
            <w:noProof/>
            <w:webHidden/>
          </w:rPr>
          <w:fldChar w:fldCharType="begin"/>
        </w:r>
        <w:r w:rsidR="00E91B23">
          <w:rPr>
            <w:noProof/>
            <w:webHidden/>
          </w:rPr>
          <w:instrText xml:space="preserve"> PAGEREF _Toc444518868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685A5A87" w14:textId="77777777" w:rsidR="00E91B23" w:rsidRDefault="001740ED">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r w:rsidR="00E91B23">
          <w:rPr>
            <w:noProof/>
            <w:webHidden/>
          </w:rPr>
          <w:fldChar w:fldCharType="begin"/>
        </w:r>
        <w:r w:rsidR="00E91B23">
          <w:rPr>
            <w:noProof/>
            <w:webHidden/>
          </w:rPr>
          <w:instrText xml:space="preserve"> PAGEREF _Toc444518869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6D4FD052" w14:textId="77777777" w:rsidR="00E91B23" w:rsidRDefault="001740ED">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r w:rsidR="00E91B23">
          <w:rPr>
            <w:noProof/>
            <w:webHidden/>
          </w:rPr>
          <w:fldChar w:fldCharType="begin"/>
        </w:r>
        <w:r w:rsidR="00E91B23">
          <w:rPr>
            <w:noProof/>
            <w:webHidden/>
          </w:rPr>
          <w:instrText xml:space="preserve"> PAGEREF _Toc444518870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29F7CD7B" w14:textId="77777777" w:rsidR="00E91B23" w:rsidRDefault="001740ED">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r w:rsidR="00E91B23">
          <w:rPr>
            <w:noProof/>
            <w:webHidden/>
          </w:rPr>
          <w:fldChar w:fldCharType="begin"/>
        </w:r>
        <w:r w:rsidR="00E91B23">
          <w:rPr>
            <w:noProof/>
            <w:webHidden/>
          </w:rPr>
          <w:instrText xml:space="preserve"> PAGEREF _Toc444518871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2292AC8B" w14:textId="77777777" w:rsidR="00E91B23" w:rsidRDefault="001740ED">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r w:rsidR="00E91B23">
          <w:rPr>
            <w:noProof/>
            <w:webHidden/>
          </w:rPr>
          <w:fldChar w:fldCharType="begin"/>
        </w:r>
        <w:r w:rsidR="00E91B23">
          <w:rPr>
            <w:noProof/>
            <w:webHidden/>
          </w:rPr>
          <w:instrText xml:space="preserve"> PAGEREF _Toc444518872 \h </w:instrText>
        </w:r>
        <w:r w:rsidR="00E91B23">
          <w:rPr>
            <w:noProof/>
            <w:webHidden/>
          </w:rPr>
        </w:r>
        <w:r w:rsidR="00E91B23">
          <w:rPr>
            <w:noProof/>
            <w:webHidden/>
          </w:rPr>
          <w:fldChar w:fldCharType="separate"/>
        </w:r>
        <w:r w:rsidR="00E91B23">
          <w:rPr>
            <w:noProof/>
            <w:webHidden/>
          </w:rPr>
          <w:t>2</w:t>
        </w:r>
        <w:r w:rsidR="00E91B23">
          <w:rPr>
            <w:noProof/>
            <w:webHidden/>
          </w:rPr>
          <w:fldChar w:fldCharType="end"/>
        </w:r>
      </w:hyperlink>
    </w:p>
    <w:p w14:paraId="6FF2278F" w14:textId="77777777" w:rsidR="00E91B23" w:rsidRDefault="001740ED">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responsibilities</w:t>
        </w:r>
        <w:r w:rsidR="00E91B23">
          <w:rPr>
            <w:noProof/>
            <w:webHidden/>
          </w:rPr>
          <w:tab/>
        </w:r>
        <w:r w:rsidR="00E91B23">
          <w:rPr>
            <w:noProof/>
            <w:webHidden/>
          </w:rPr>
          <w:fldChar w:fldCharType="begin"/>
        </w:r>
        <w:r w:rsidR="00E91B23">
          <w:rPr>
            <w:noProof/>
            <w:webHidden/>
          </w:rPr>
          <w:instrText xml:space="preserve"> PAGEREF _Toc444518873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37E49BB3" w14:textId="77777777" w:rsidR="00E91B23" w:rsidRDefault="001740ED">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r w:rsidR="00E91B23">
          <w:rPr>
            <w:noProof/>
            <w:webHidden/>
          </w:rPr>
          <w:fldChar w:fldCharType="begin"/>
        </w:r>
        <w:r w:rsidR="00E91B23">
          <w:rPr>
            <w:noProof/>
            <w:webHidden/>
          </w:rPr>
          <w:instrText xml:space="preserve"> PAGEREF _Toc444518874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5835FA84" w14:textId="77777777" w:rsidR="00E91B23" w:rsidRDefault="001740ED">
      <w:pPr>
        <w:pStyle w:val="TOC1"/>
        <w:rPr>
          <w:rFonts w:asciiTheme="minorHAnsi" w:eastAsiaTheme="minorEastAsia" w:hAnsiTheme="minorHAnsi" w:cstheme="minorBidi"/>
          <w:caps w:val="0"/>
          <w:noProof/>
          <w:szCs w:val="22"/>
          <w:lang w:eastAsia="en-GB"/>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r w:rsidR="00E91B23">
          <w:rPr>
            <w:noProof/>
            <w:webHidden/>
          </w:rPr>
          <w:fldChar w:fldCharType="begin"/>
        </w:r>
        <w:r w:rsidR="00E91B23">
          <w:rPr>
            <w:noProof/>
            <w:webHidden/>
          </w:rPr>
          <w:instrText xml:space="preserve"> PAGEREF _Toc444518875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29D887A6" w14:textId="77777777" w:rsidR="00E91B23" w:rsidRDefault="001740ED">
      <w:pPr>
        <w:pStyle w:val="TOC1"/>
        <w:rPr>
          <w:rFonts w:asciiTheme="minorHAnsi" w:eastAsiaTheme="minorEastAsia" w:hAnsiTheme="minorHAnsi" w:cstheme="minorBidi"/>
          <w:caps w:val="0"/>
          <w:noProof/>
          <w:szCs w:val="22"/>
          <w:lang w:eastAsia="en-GB"/>
        </w:rPr>
      </w:pPr>
      <w:hyperlink w:anchor="_Toc444518876" w:history="1">
        <w:r w:rsidR="00E91B23" w:rsidRPr="00F24C86">
          <w:rPr>
            <w:rStyle w:val="Hyperlink"/>
            <w:rFonts w:cs="Arial"/>
            <w:noProof/>
          </w:rPr>
          <w:t>11.</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r w:rsidR="00E91B23">
          <w:rPr>
            <w:noProof/>
            <w:webHidden/>
          </w:rPr>
          <w:fldChar w:fldCharType="begin"/>
        </w:r>
        <w:r w:rsidR="00E91B23">
          <w:rPr>
            <w:noProof/>
            <w:webHidden/>
          </w:rPr>
          <w:instrText xml:space="preserve"> PAGEREF _Toc444518876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72D8C225" w14:textId="77777777" w:rsidR="00E91B23" w:rsidRDefault="001740ED">
      <w:pPr>
        <w:pStyle w:val="TOC1"/>
        <w:rPr>
          <w:rFonts w:asciiTheme="minorHAnsi" w:eastAsiaTheme="minorEastAsia" w:hAnsiTheme="minorHAnsi" w:cstheme="minorBidi"/>
          <w:caps w:val="0"/>
          <w:noProof/>
          <w:szCs w:val="22"/>
          <w:lang w:eastAsia="en-GB"/>
        </w:rPr>
      </w:pPr>
      <w:hyperlink w:anchor="_Toc444518877" w:history="1">
        <w:r w:rsidR="00E91B23" w:rsidRPr="00F24C86">
          <w:rPr>
            <w:rStyle w:val="Hyperlink"/>
            <w:noProof/>
          </w:rPr>
          <w:t>12.</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r w:rsidR="00E91B23">
          <w:rPr>
            <w:noProof/>
            <w:webHidden/>
          </w:rPr>
          <w:fldChar w:fldCharType="begin"/>
        </w:r>
        <w:r w:rsidR="00E91B23">
          <w:rPr>
            <w:noProof/>
            <w:webHidden/>
          </w:rPr>
          <w:instrText xml:space="preserve"> PAGEREF _Toc444518877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009CF34A" w14:textId="77777777" w:rsidR="00E91B23" w:rsidRDefault="001740ED">
      <w:pPr>
        <w:pStyle w:val="TOC1"/>
        <w:rPr>
          <w:rFonts w:asciiTheme="minorHAnsi" w:eastAsiaTheme="minorEastAsia" w:hAnsiTheme="minorHAnsi" w:cstheme="minorBidi"/>
          <w:caps w:val="0"/>
          <w:noProof/>
          <w:szCs w:val="22"/>
          <w:lang w:eastAsia="en-GB"/>
        </w:rPr>
      </w:pPr>
      <w:hyperlink w:anchor="_Toc444518878" w:history="1">
        <w:r w:rsidR="00E91B23" w:rsidRPr="00F24C86">
          <w:rPr>
            <w:rStyle w:val="Hyperlink"/>
            <w:rFonts w:cs="Arial"/>
            <w:noProof/>
          </w:rPr>
          <w:t>13.</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r w:rsidR="00E91B23">
          <w:rPr>
            <w:noProof/>
            <w:webHidden/>
          </w:rPr>
          <w:fldChar w:fldCharType="begin"/>
        </w:r>
        <w:r w:rsidR="00E91B23">
          <w:rPr>
            <w:noProof/>
            <w:webHidden/>
          </w:rPr>
          <w:instrText xml:space="preserve"> PAGEREF _Toc444518878 \h </w:instrText>
        </w:r>
        <w:r w:rsidR="00E91B23">
          <w:rPr>
            <w:noProof/>
            <w:webHidden/>
          </w:rPr>
        </w:r>
        <w:r w:rsidR="00E91B23">
          <w:rPr>
            <w:noProof/>
            <w:webHidden/>
          </w:rPr>
          <w:fldChar w:fldCharType="separate"/>
        </w:r>
        <w:r w:rsidR="00E91B23">
          <w:rPr>
            <w:noProof/>
            <w:webHidden/>
          </w:rPr>
          <w:t>3</w:t>
        </w:r>
        <w:r w:rsidR="00E91B23">
          <w:rPr>
            <w:noProof/>
            <w:webHidden/>
          </w:rPr>
          <w:fldChar w:fldCharType="end"/>
        </w:r>
      </w:hyperlink>
    </w:p>
    <w:p w14:paraId="202E1C73" w14:textId="77777777" w:rsidR="00E91B23" w:rsidRDefault="001740ED">
      <w:pPr>
        <w:pStyle w:val="TOC1"/>
        <w:rPr>
          <w:rFonts w:asciiTheme="minorHAnsi" w:eastAsiaTheme="minorEastAsia" w:hAnsiTheme="minorHAnsi" w:cstheme="minorBidi"/>
          <w:caps w:val="0"/>
          <w:noProof/>
          <w:szCs w:val="22"/>
          <w:lang w:eastAsia="en-GB"/>
        </w:rPr>
      </w:pPr>
      <w:hyperlink w:anchor="_Toc444518879" w:history="1">
        <w:r w:rsidR="00E91B23" w:rsidRPr="00F24C86">
          <w:rPr>
            <w:rStyle w:val="Hyperlink"/>
            <w:rFonts w:cs="Arial"/>
            <w:noProof/>
          </w:rPr>
          <w:t>14.</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r w:rsidR="00E91B23">
          <w:rPr>
            <w:noProof/>
            <w:webHidden/>
          </w:rPr>
          <w:fldChar w:fldCharType="begin"/>
        </w:r>
        <w:r w:rsidR="00E91B23">
          <w:rPr>
            <w:noProof/>
            <w:webHidden/>
          </w:rPr>
          <w:instrText xml:space="preserve"> PAGEREF _Toc444518879 \h </w:instrText>
        </w:r>
        <w:r w:rsidR="00E91B23">
          <w:rPr>
            <w:noProof/>
            <w:webHidden/>
          </w:rPr>
        </w:r>
        <w:r w:rsidR="00E91B23">
          <w:rPr>
            <w:noProof/>
            <w:webHidden/>
          </w:rPr>
          <w:fldChar w:fldCharType="separate"/>
        </w:r>
        <w:r w:rsidR="00E91B23">
          <w:rPr>
            <w:noProof/>
            <w:webHidden/>
          </w:rPr>
          <w:t>4</w:t>
        </w:r>
        <w:r w:rsidR="00E91B23">
          <w:rPr>
            <w:noProof/>
            <w:webHidden/>
          </w:rPr>
          <w:fldChar w:fldCharType="end"/>
        </w:r>
      </w:hyperlink>
    </w:p>
    <w:p w14:paraId="240634F5" w14:textId="77777777" w:rsidR="00E91B23" w:rsidRDefault="001740ED">
      <w:pPr>
        <w:pStyle w:val="TOC1"/>
        <w:rPr>
          <w:rFonts w:asciiTheme="minorHAnsi" w:eastAsiaTheme="minorEastAsia" w:hAnsiTheme="minorHAnsi" w:cstheme="minorBidi"/>
          <w:caps w:val="0"/>
          <w:noProof/>
          <w:szCs w:val="22"/>
          <w:lang w:eastAsia="en-GB"/>
        </w:rPr>
      </w:pPr>
      <w:hyperlink w:anchor="_Toc444518880" w:history="1">
        <w:r w:rsidR="00E91B23" w:rsidRPr="00F24C86">
          <w:rPr>
            <w:rStyle w:val="Hyperlink"/>
            <w:rFonts w:cs="Arial"/>
            <w:noProof/>
          </w:rPr>
          <w:t>15.</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r w:rsidR="00E91B23">
          <w:rPr>
            <w:noProof/>
            <w:webHidden/>
          </w:rPr>
          <w:fldChar w:fldCharType="begin"/>
        </w:r>
        <w:r w:rsidR="00E91B23">
          <w:rPr>
            <w:noProof/>
            <w:webHidden/>
          </w:rPr>
          <w:instrText xml:space="preserve"> PAGEREF _Toc444518880 \h </w:instrText>
        </w:r>
        <w:r w:rsidR="00E91B23">
          <w:rPr>
            <w:noProof/>
            <w:webHidden/>
          </w:rPr>
        </w:r>
        <w:r w:rsidR="00E91B23">
          <w:rPr>
            <w:noProof/>
            <w:webHidden/>
          </w:rPr>
          <w:fldChar w:fldCharType="separate"/>
        </w:r>
        <w:r w:rsidR="00E91B23">
          <w:rPr>
            <w:noProof/>
            <w:webHidden/>
          </w:rPr>
          <w:t>4</w:t>
        </w:r>
        <w:r w:rsidR="00E91B23">
          <w:rPr>
            <w:noProof/>
            <w:webHidden/>
          </w:rPr>
          <w:fldChar w:fldCharType="end"/>
        </w:r>
      </w:hyperlink>
    </w:p>
    <w:p w14:paraId="1D2A5D6E" w14:textId="77777777" w:rsidR="00E91B23" w:rsidRDefault="001740ED">
      <w:pPr>
        <w:pStyle w:val="TOC1"/>
        <w:rPr>
          <w:rFonts w:asciiTheme="minorHAnsi" w:eastAsiaTheme="minorEastAsia" w:hAnsiTheme="minorHAnsi" w:cstheme="minorBidi"/>
          <w:caps w:val="0"/>
          <w:noProof/>
          <w:szCs w:val="22"/>
          <w:lang w:eastAsia="en-GB"/>
        </w:rPr>
      </w:pPr>
      <w:hyperlink w:anchor="_Toc444518881" w:history="1">
        <w:r w:rsidR="00E91B23" w:rsidRPr="00F24C86">
          <w:rPr>
            <w:rStyle w:val="Hyperlink"/>
            <w:rFonts w:cs="Arial"/>
            <w:noProof/>
          </w:rPr>
          <w:t>16.</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r w:rsidR="00E91B23">
          <w:rPr>
            <w:noProof/>
            <w:webHidden/>
          </w:rPr>
          <w:fldChar w:fldCharType="begin"/>
        </w:r>
        <w:r w:rsidR="00E91B23">
          <w:rPr>
            <w:noProof/>
            <w:webHidden/>
          </w:rPr>
          <w:instrText xml:space="preserve"> PAGEREF _Toc444518881 \h </w:instrText>
        </w:r>
        <w:r w:rsidR="00E91B23">
          <w:rPr>
            <w:noProof/>
            <w:webHidden/>
          </w:rPr>
        </w:r>
        <w:r w:rsidR="00E91B23">
          <w:rPr>
            <w:noProof/>
            <w:webHidden/>
          </w:rPr>
          <w:fldChar w:fldCharType="separate"/>
        </w:r>
        <w:r w:rsidR="00E91B23">
          <w:rPr>
            <w:noProof/>
            <w:webHidden/>
          </w:rPr>
          <w:t>4</w:t>
        </w:r>
        <w:r w:rsidR="00E91B23">
          <w:rPr>
            <w:noProof/>
            <w:webHidden/>
          </w:rPr>
          <w:fldChar w:fldCharType="end"/>
        </w:r>
      </w:hyperlink>
    </w:p>
    <w:p w14:paraId="7D4F0C8D" w14:textId="77777777" w:rsidR="00E91B23" w:rsidRDefault="001740ED">
      <w:pPr>
        <w:pStyle w:val="TOC1"/>
        <w:rPr>
          <w:rFonts w:asciiTheme="minorHAnsi" w:eastAsiaTheme="minorEastAsia" w:hAnsiTheme="minorHAnsi" w:cstheme="minorBidi"/>
          <w:caps w:val="0"/>
          <w:noProof/>
          <w:szCs w:val="22"/>
          <w:lang w:eastAsia="en-GB"/>
        </w:rPr>
      </w:pPr>
      <w:hyperlink w:anchor="_Toc444518882" w:history="1">
        <w:r w:rsidR="00E91B23" w:rsidRPr="00F24C86">
          <w:rPr>
            <w:rStyle w:val="Hyperlink"/>
            <w:noProof/>
          </w:rPr>
          <w:t>17.</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r w:rsidR="00E91B23">
          <w:rPr>
            <w:noProof/>
            <w:webHidden/>
          </w:rPr>
          <w:fldChar w:fldCharType="begin"/>
        </w:r>
        <w:r w:rsidR="00E91B23">
          <w:rPr>
            <w:noProof/>
            <w:webHidden/>
          </w:rPr>
          <w:instrText xml:space="preserve"> PAGEREF _Toc444518882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5CA17FA2" w14:textId="77777777" w:rsidR="00E91B23" w:rsidRDefault="001740ED">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r w:rsidR="00E91B23">
          <w:rPr>
            <w:noProof/>
            <w:webHidden/>
          </w:rPr>
          <w:fldChar w:fldCharType="begin"/>
        </w:r>
        <w:r w:rsidR="00E91B23">
          <w:rPr>
            <w:noProof/>
            <w:webHidden/>
          </w:rPr>
          <w:instrText xml:space="preserve"> PAGEREF _Toc444518883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3AAA5C91" w14:textId="77777777" w:rsidR="00E91B23" w:rsidRDefault="001740ED">
      <w:pPr>
        <w:pStyle w:val="TOC1"/>
        <w:rPr>
          <w:rFonts w:asciiTheme="minorHAnsi" w:eastAsiaTheme="minorEastAsia" w:hAnsiTheme="minorHAnsi" w:cstheme="minorBidi"/>
          <w:caps w:val="0"/>
          <w:noProof/>
          <w:szCs w:val="22"/>
          <w:lang w:eastAsia="en-GB"/>
        </w:rPr>
      </w:pPr>
      <w:hyperlink w:anchor="_Toc444518884" w:history="1">
        <w:r w:rsidR="00E91B23" w:rsidRPr="00F24C86">
          <w:rPr>
            <w:rStyle w:val="Hyperlink"/>
            <w:rFonts w:cs="Arial"/>
            <w:noProof/>
          </w:rPr>
          <w:t>19.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r w:rsidR="00E91B23">
          <w:rPr>
            <w:noProof/>
            <w:webHidden/>
          </w:rPr>
          <w:fldChar w:fldCharType="begin"/>
        </w:r>
        <w:r w:rsidR="00E91B23">
          <w:rPr>
            <w:noProof/>
            <w:webHidden/>
          </w:rPr>
          <w:instrText xml:space="preserve"> PAGEREF _Toc444518884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34AE040A" w14:textId="77777777" w:rsidR="00E91B23" w:rsidRDefault="001740ED">
      <w:pPr>
        <w:pStyle w:val="TOC1"/>
        <w:rPr>
          <w:rFonts w:asciiTheme="minorHAnsi" w:eastAsiaTheme="minorEastAsia" w:hAnsiTheme="minorHAnsi" w:cstheme="minorBidi"/>
          <w:caps w:val="0"/>
          <w:noProof/>
          <w:szCs w:val="22"/>
          <w:lang w:eastAsia="en-GB"/>
        </w:rPr>
      </w:pPr>
      <w:hyperlink w:anchor="_Toc444518885" w:history="1">
        <w:r w:rsidR="00E91B23" w:rsidRPr="00F24C86">
          <w:rPr>
            <w:rStyle w:val="Hyperlink"/>
            <w:rFonts w:cs="Arial"/>
            <w:noProof/>
          </w:rPr>
          <w:t>20.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r w:rsidR="00E91B23">
          <w:rPr>
            <w:noProof/>
            <w:webHidden/>
          </w:rPr>
          <w:fldChar w:fldCharType="begin"/>
        </w:r>
        <w:r w:rsidR="00E91B23">
          <w:rPr>
            <w:noProof/>
            <w:webHidden/>
          </w:rPr>
          <w:instrText xml:space="preserve"> PAGEREF _Toc444518885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12DDB38D" w14:textId="77777777" w:rsidR="00E91B23" w:rsidRDefault="001740ED">
      <w:pPr>
        <w:pStyle w:val="TOC1"/>
        <w:rPr>
          <w:rFonts w:asciiTheme="minorHAnsi" w:eastAsiaTheme="minorEastAsia" w:hAnsiTheme="minorHAnsi" w:cstheme="minorBidi"/>
          <w:caps w:val="0"/>
          <w:noProof/>
          <w:szCs w:val="22"/>
          <w:lang w:eastAsia="en-GB"/>
        </w:rPr>
      </w:pPr>
      <w:hyperlink w:anchor="_Toc444518886" w:history="1">
        <w:r w:rsidR="00E91B23" w:rsidRPr="00F24C86">
          <w:rPr>
            <w:rStyle w:val="Hyperlink"/>
            <w:noProof/>
          </w:rPr>
          <w:t>21.</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r w:rsidR="00E91B23">
          <w:rPr>
            <w:noProof/>
            <w:webHidden/>
          </w:rPr>
          <w:fldChar w:fldCharType="begin"/>
        </w:r>
        <w:r w:rsidR="00E91B23">
          <w:rPr>
            <w:noProof/>
            <w:webHidden/>
          </w:rPr>
          <w:instrText xml:space="preserve"> PAGEREF _Toc444518886 \h </w:instrText>
        </w:r>
        <w:r w:rsidR="00E91B23">
          <w:rPr>
            <w:noProof/>
            <w:webHidden/>
          </w:rPr>
        </w:r>
        <w:r w:rsidR="00E91B23">
          <w:rPr>
            <w:noProof/>
            <w:webHidden/>
          </w:rPr>
          <w:fldChar w:fldCharType="separate"/>
        </w:r>
        <w:r w:rsidR="00E91B23">
          <w:rPr>
            <w:noProof/>
            <w:webHidden/>
          </w:rPr>
          <w:t>5</w:t>
        </w:r>
        <w:r w:rsidR="00E91B23">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7989F07B" w14:textId="77777777" w:rsidR="00FE18AC" w:rsidRPr="001517A6"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44518866"/>
      <w:r w:rsidRPr="001517A6">
        <w:rPr>
          <w:caps w:val="0"/>
          <w:szCs w:val="22"/>
        </w:rPr>
        <w:lastRenderedPageBreak/>
        <w:t>PURPOSE</w:t>
      </w:r>
      <w:bookmarkEnd w:id="0"/>
      <w:bookmarkEnd w:id="1"/>
      <w:bookmarkEnd w:id="2"/>
    </w:p>
    <w:p w14:paraId="6EC0F67D" w14:textId="77777777" w:rsidR="00FB14CE" w:rsidRPr="001517A6" w:rsidRDefault="00FB14CE"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1517A6">
        <w:rPr>
          <w:szCs w:val="22"/>
        </w:rPr>
        <w:t xml:space="preserve">The Ministry of Defence (MOD) are inviting for bids for the renewal of IRIS software licences and support and maintenance. </w:t>
      </w:r>
    </w:p>
    <w:p w14:paraId="3BDB92AC" w14:textId="7BBD1DCE" w:rsidR="00FE18AC" w:rsidRPr="001517A6" w:rsidRDefault="00FB14CE" w:rsidP="008F3470">
      <w:pPr>
        <w:pStyle w:val="Heading2"/>
        <w:tabs>
          <w:tab w:val="clear" w:pos="720"/>
          <w:tab w:val="num" w:pos="709"/>
        </w:tabs>
        <w:overflowPunct w:val="0"/>
        <w:autoSpaceDE w:val="0"/>
        <w:autoSpaceDN w:val="0"/>
        <w:spacing w:after="120"/>
        <w:ind w:left="709" w:hanging="709"/>
        <w:textAlignment w:val="baseline"/>
        <w:rPr>
          <w:szCs w:val="22"/>
        </w:rPr>
      </w:pPr>
      <w:r w:rsidRPr="001517A6">
        <w:rPr>
          <w:szCs w:val="22"/>
        </w:rPr>
        <w:t>The MOD may be hereafter be referred to as the Authority.</w:t>
      </w:r>
    </w:p>
    <w:p w14:paraId="7196B137" w14:textId="77777777" w:rsidR="00671798" w:rsidRPr="001517A6"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44518867"/>
      <w:bookmarkStart w:id="6" w:name="_Toc297554773"/>
      <w:bookmarkStart w:id="7" w:name="_Toc296415805"/>
      <w:bookmarkStart w:id="8" w:name="_Toc296415793"/>
      <w:bookmarkEnd w:id="3"/>
      <w:r w:rsidRPr="001517A6">
        <w:rPr>
          <w:szCs w:val="22"/>
        </w:rPr>
        <w:t>BACKGROUND TO THE CONTRACTING aUTHORITY</w:t>
      </w:r>
      <w:bookmarkEnd w:id="4"/>
      <w:bookmarkEnd w:id="5"/>
    </w:p>
    <w:p w14:paraId="3D1977ED" w14:textId="1055D44A" w:rsidR="00671798" w:rsidRPr="001517A6" w:rsidRDefault="001517A6">
      <w:pPr>
        <w:pStyle w:val="Heading2"/>
        <w:tabs>
          <w:tab w:val="clear" w:pos="720"/>
          <w:tab w:val="num" w:pos="709"/>
        </w:tabs>
        <w:spacing w:after="120"/>
        <w:ind w:left="709" w:hanging="709"/>
      </w:pPr>
      <w:r w:rsidRPr="001517A6">
        <w:t xml:space="preserve">The Royal Navy </w:t>
      </w:r>
      <w:r>
        <w:t>is</w:t>
      </w:r>
      <w:r w:rsidRPr="001517A6">
        <w:t xml:space="preserve"> part of the Ministry of Defence.</w:t>
      </w:r>
    </w:p>
    <w:p w14:paraId="2A747A9A" w14:textId="2745EE3C" w:rsidR="001517A6" w:rsidRPr="001517A6" w:rsidRDefault="001517A6">
      <w:pPr>
        <w:pStyle w:val="Heading2"/>
        <w:tabs>
          <w:tab w:val="clear" w:pos="720"/>
          <w:tab w:val="num" w:pos="709"/>
        </w:tabs>
        <w:spacing w:after="120"/>
        <w:ind w:left="709" w:hanging="709"/>
      </w:pPr>
      <w:r w:rsidRPr="001517A6">
        <w:t>The Royal Navy is there for:</w:t>
      </w:r>
    </w:p>
    <w:p w14:paraId="2F6963CF" w14:textId="40D12FAA" w:rsidR="001517A6" w:rsidRPr="001517A6" w:rsidRDefault="001517A6" w:rsidP="001517A6">
      <w:pPr>
        <w:pStyle w:val="Heading3"/>
      </w:pPr>
      <w:r w:rsidRPr="001517A6">
        <w:t xml:space="preserve">Preventing </w:t>
      </w:r>
      <w:proofErr w:type="spellStart"/>
      <w:r w:rsidRPr="001517A6">
        <w:t>Contflict</w:t>
      </w:r>
      <w:proofErr w:type="spellEnd"/>
      <w:r w:rsidRPr="001517A6">
        <w:t>;</w:t>
      </w:r>
    </w:p>
    <w:p w14:paraId="56BD5F33" w14:textId="0E136498" w:rsidR="001517A6" w:rsidRPr="001517A6" w:rsidRDefault="001517A6" w:rsidP="001517A6">
      <w:pPr>
        <w:pStyle w:val="Heading3"/>
      </w:pPr>
      <w:r w:rsidRPr="001517A6">
        <w:t>International Partnerships;</w:t>
      </w:r>
    </w:p>
    <w:p w14:paraId="341E6B9E" w14:textId="6612A789" w:rsidR="001517A6" w:rsidRPr="001517A6" w:rsidRDefault="001517A6" w:rsidP="001517A6">
      <w:pPr>
        <w:pStyle w:val="Heading3"/>
      </w:pPr>
      <w:r w:rsidRPr="001517A6">
        <w:t>Protecting the economy;</w:t>
      </w:r>
    </w:p>
    <w:p w14:paraId="789ACF61" w14:textId="20BCBE5B" w:rsidR="001517A6" w:rsidRPr="001517A6" w:rsidRDefault="001517A6" w:rsidP="001517A6">
      <w:pPr>
        <w:pStyle w:val="Heading3"/>
      </w:pPr>
      <w:r w:rsidRPr="001517A6">
        <w:t>Providing security at sea;</w:t>
      </w:r>
    </w:p>
    <w:p w14:paraId="5A022E72" w14:textId="29C6DF6B" w:rsidR="001517A6" w:rsidRPr="001517A6" w:rsidRDefault="001517A6" w:rsidP="001517A6">
      <w:pPr>
        <w:pStyle w:val="Heading3"/>
      </w:pPr>
      <w:r w:rsidRPr="001517A6">
        <w:t>Providing humanitarian assistance; and</w:t>
      </w:r>
    </w:p>
    <w:p w14:paraId="6ADFE0FB" w14:textId="0AE04E98" w:rsidR="001517A6" w:rsidRPr="001517A6" w:rsidRDefault="001517A6" w:rsidP="001517A6">
      <w:pPr>
        <w:pStyle w:val="Heading3"/>
      </w:pPr>
      <w:r w:rsidRPr="001517A6">
        <w:t>To fight in the interest of Britain and their allies.</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44518868"/>
      <w:r>
        <w:rPr>
          <w:szCs w:val="22"/>
        </w:rPr>
        <w:t>Background to requirement/</w:t>
      </w:r>
      <w:r w:rsidRPr="002C546C">
        <w:rPr>
          <w:szCs w:val="22"/>
        </w:rPr>
        <w:t>OVERVIEW</w:t>
      </w:r>
      <w:bookmarkEnd w:id="6"/>
      <w:r>
        <w:rPr>
          <w:szCs w:val="22"/>
        </w:rPr>
        <w:t xml:space="preserve"> of requirement</w:t>
      </w:r>
      <w:bookmarkEnd w:id="9"/>
      <w:bookmarkEnd w:id="10"/>
    </w:p>
    <w:p w14:paraId="2189EF62" w14:textId="14579DF0" w:rsidR="00CC05D0" w:rsidRPr="004C33E9" w:rsidRDefault="009D0F52">
      <w:pPr>
        <w:pStyle w:val="Heading2"/>
        <w:tabs>
          <w:tab w:val="clear" w:pos="720"/>
          <w:tab w:val="num" w:pos="709"/>
        </w:tabs>
        <w:spacing w:after="120"/>
        <w:ind w:left="709" w:hanging="709"/>
      </w:pPr>
      <w:bookmarkStart w:id="11" w:name="_Toc297554774"/>
      <w:bookmarkEnd w:id="7"/>
      <w:r w:rsidRPr="004C33E9">
        <w:t>The Formal Messaging (Signals) capability in Maritime C2/IT Systems is enabled by a suite of IRIS Software Products that enable Formal Messaging and Standard Message Textual Formats (MTFs) on Maritimes C2 systems (including RNCSS, CENTRIXS, NSWAN) in use for Navy Command, ships, submarines, operational units and HQs.</w:t>
      </w:r>
    </w:p>
    <w:p w14:paraId="17F11654" w14:textId="294BE4A7" w:rsidR="00FF402A" w:rsidRPr="004C33E9" w:rsidRDefault="00FF402A">
      <w:pPr>
        <w:pStyle w:val="Heading2"/>
        <w:tabs>
          <w:tab w:val="clear" w:pos="720"/>
          <w:tab w:val="num" w:pos="709"/>
        </w:tabs>
        <w:spacing w:after="120"/>
        <w:ind w:left="709" w:hanging="709"/>
      </w:pPr>
      <w:r w:rsidRPr="004C33E9">
        <w:t>Formal Messages (Signals) and Standard MTFs underpin UK Maritime interoperability and must confirm fully with NATO Allied Procedural Publication No. 11 (APP11). These standards are used across the NATO and t-eyes community and are the foundation of communications interoperability.</w:t>
      </w:r>
    </w:p>
    <w:p w14:paraId="433026C3" w14:textId="1455DF08" w:rsidR="00FF402A" w:rsidRPr="004C33E9" w:rsidRDefault="00FF402A">
      <w:pPr>
        <w:pStyle w:val="Heading2"/>
        <w:tabs>
          <w:tab w:val="clear" w:pos="720"/>
          <w:tab w:val="num" w:pos="709"/>
        </w:tabs>
        <w:spacing w:after="120"/>
        <w:ind w:left="709" w:hanging="709"/>
      </w:pPr>
      <w:r w:rsidRPr="004C33E9">
        <w:t>UK is the custodian and NATO lead on these AP11 standards.</w:t>
      </w:r>
    </w:p>
    <w:p w14:paraId="66C0FA79" w14:textId="0072B6CB" w:rsidR="00FF402A" w:rsidRDefault="00FF402A">
      <w:pPr>
        <w:pStyle w:val="Heading2"/>
        <w:tabs>
          <w:tab w:val="clear" w:pos="720"/>
          <w:tab w:val="num" w:pos="709"/>
        </w:tabs>
        <w:spacing w:after="120"/>
        <w:ind w:left="709" w:hanging="709"/>
      </w:pPr>
      <w:r w:rsidRPr="004C33E9">
        <w:t xml:space="preserve">The IRIS Software Suite underpins maritime </w:t>
      </w:r>
      <w:r w:rsidR="004C33E9">
        <w:t xml:space="preserve">operability. Formal Messaging and Standard MTFs are the base level capabilities that enable UK maritime interoperability with NATO and 5-eyes Maritime, Air, Land units, headquarters and formations. They are also used across the UK forces. </w:t>
      </w:r>
    </w:p>
    <w:p w14:paraId="13CED29E" w14:textId="60D97DC6" w:rsidR="004C33E9" w:rsidRDefault="004C33E9">
      <w:pPr>
        <w:pStyle w:val="Heading2"/>
        <w:tabs>
          <w:tab w:val="clear" w:pos="720"/>
          <w:tab w:val="num" w:pos="709"/>
        </w:tabs>
        <w:spacing w:after="120"/>
        <w:ind w:left="709" w:hanging="709"/>
      </w:pPr>
      <w:r>
        <w:t>Formal Messaging and MTFs are an essential enabler for all current ops including CASD, CEPP and all contingent Defence Tasks.</w:t>
      </w:r>
    </w:p>
    <w:p w14:paraId="0C4F7F76" w14:textId="27D7F6E5" w:rsidR="004C33E9" w:rsidRPr="004C33E9" w:rsidRDefault="004C33E9">
      <w:pPr>
        <w:pStyle w:val="Heading2"/>
        <w:tabs>
          <w:tab w:val="clear" w:pos="720"/>
          <w:tab w:val="num" w:pos="709"/>
        </w:tabs>
        <w:spacing w:after="120"/>
        <w:ind w:left="709" w:hanging="709"/>
      </w:pPr>
      <w:r>
        <w:t xml:space="preserve">Navy Command is the custodian and lead for AP11. This is part of the UK’s commitment to NATO and indirectly the 5-eyes community. This is an important role as both MTFs and Formal Messaging are in use constantly and they must remain relevant to support all forms of on-going operations. </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444518869"/>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A8080D" w:rsidRDefault="00106F24" w:rsidP="0081061A">
            <w:pPr>
              <w:pStyle w:val="Heading2"/>
              <w:numPr>
                <w:ilvl w:val="0"/>
                <w:numId w:val="0"/>
              </w:numPr>
              <w:spacing w:after="120"/>
              <w:ind w:left="18" w:hanging="18"/>
              <w:jc w:val="left"/>
              <w:outlineLvl w:val="1"/>
            </w:pPr>
            <w:r w:rsidRPr="00A8080D">
              <w:t>Expression</w:t>
            </w:r>
            <w:r w:rsidR="0081061A" w:rsidRPr="00A8080D">
              <w:t xml:space="preserve"> or </w:t>
            </w:r>
            <w:r w:rsidRPr="00A8080D">
              <w:t>Acronym</w:t>
            </w:r>
          </w:p>
        </w:tc>
        <w:tc>
          <w:tcPr>
            <w:tcW w:w="6472" w:type="dxa"/>
            <w:shd w:val="clear" w:color="auto" w:fill="C6D9F1" w:themeFill="text2" w:themeFillTint="33"/>
          </w:tcPr>
          <w:p w14:paraId="0CDEAA6D" w14:textId="00739683" w:rsidR="00106F24" w:rsidRPr="00A8080D" w:rsidRDefault="00106F24" w:rsidP="0081061A">
            <w:pPr>
              <w:pStyle w:val="Heading2"/>
              <w:numPr>
                <w:ilvl w:val="0"/>
                <w:numId w:val="0"/>
              </w:numPr>
              <w:spacing w:after="120"/>
              <w:ind w:left="720" w:hanging="720"/>
              <w:outlineLvl w:val="1"/>
            </w:pPr>
            <w:r w:rsidRPr="00A8080D">
              <w:t>Definition</w:t>
            </w:r>
          </w:p>
        </w:tc>
      </w:tr>
      <w:tr w:rsidR="00106F24" w14:paraId="722819D3" w14:textId="77777777" w:rsidTr="00106F24">
        <w:tc>
          <w:tcPr>
            <w:tcW w:w="1827" w:type="dxa"/>
          </w:tcPr>
          <w:p w14:paraId="18A7B53F" w14:textId="65C39BF7" w:rsidR="00106F24" w:rsidRPr="00FB14CE" w:rsidRDefault="00FB14CE" w:rsidP="0081061A">
            <w:pPr>
              <w:pStyle w:val="Heading2"/>
              <w:numPr>
                <w:ilvl w:val="0"/>
                <w:numId w:val="0"/>
              </w:numPr>
              <w:spacing w:after="120"/>
              <w:ind w:left="720" w:hanging="720"/>
              <w:outlineLvl w:val="1"/>
            </w:pPr>
            <w:r w:rsidRPr="00FB14CE">
              <w:lastRenderedPageBreak/>
              <w:t>The Authority / MOD</w:t>
            </w:r>
          </w:p>
        </w:tc>
        <w:tc>
          <w:tcPr>
            <w:tcW w:w="6472" w:type="dxa"/>
          </w:tcPr>
          <w:p w14:paraId="74E0E117" w14:textId="02AE4033" w:rsidR="00106F24" w:rsidRPr="00FB14CE" w:rsidRDefault="00B0032F" w:rsidP="00FB14CE">
            <w:pPr>
              <w:pStyle w:val="Heading2"/>
              <w:numPr>
                <w:ilvl w:val="0"/>
                <w:numId w:val="0"/>
              </w:numPr>
              <w:spacing w:after="120"/>
              <w:outlineLvl w:val="1"/>
            </w:pPr>
            <w:r w:rsidRPr="00FB14CE">
              <w:t>Means</w:t>
            </w:r>
            <w:r w:rsidR="00FF402A">
              <w:t>;</w:t>
            </w:r>
            <w:r w:rsidR="0036555C" w:rsidRPr="00FB14CE">
              <w:t xml:space="preserve"> </w:t>
            </w:r>
            <w:r w:rsidR="00FB14CE" w:rsidRPr="00FB14CE">
              <w:t>the Ministry of Defence.</w:t>
            </w:r>
          </w:p>
        </w:tc>
      </w:tr>
      <w:tr w:rsidR="00FF402A" w14:paraId="0ED1505B" w14:textId="77777777" w:rsidTr="00106F24">
        <w:tc>
          <w:tcPr>
            <w:tcW w:w="1827" w:type="dxa"/>
          </w:tcPr>
          <w:p w14:paraId="0773B834" w14:textId="278D9733" w:rsidR="00FF402A" w:rsidRPr="00A565D5" w:rsidRDefault="00FF402A" w:rsidP="00FF402A">
            <w:pPr>
              <w:pStyle w:val="Heading2"/>
              <w:numPr>
                <w:ilvl w:val="0"/>
                <w:numId w:val="0"/>
              </w:numPr>
              <w:spacing w:after="120"/>
              <w:ind w:left="720" w:hanging="720"/>
              <w:outlineLvl w:val="1"/>
            </w:pPr>
            <w:r w:rsidRPr="00A565D5">
              <w:t>NATO</w:t>
            </w:r>
          </w:p>
        </w:tc>
        <w:tc>
          <w:tcPr>
            <w:tcW w:w="6472" w:type="dxa"/>
          </w:tcPr>
          <w:p w14:paraId="7D6E62CD" w14:textId="41F820CA" w:rsidR="00FF402A" w:rsidRPr="00A565D5" w:rsidRDefault="00FF402A" w:rsidP="00FF402A">
            <w:pPr>
              <w:pStyle w:val="Heading2"/>
              <w:numPr>
                <w:ilvl w:val="0"/>
                <w:numId w:val="0"/>
              </w:numPr>
              <w:spacing w:after="120"/>
              <w:ind w:left="720" w:hanging="720"/>
              <w:outlineLvl w:val="1"/>
            </w:pPr>
            <w:r w:rsidRPr="00A565D5">
              <w:t xml:space="preserve">Means; </w:t>
            </w:r>
            <w:r w:rsidR="004B174B" w:rsidRPr="00A565D5">
              <w:t xml:space="preserve">North Atlantic Treaty Organization </w:t>
            </w:r>
          </w:p>
        </w:tc>
      </w:tr>
      <w:tr w:rsidR="00FF402A" w14:paraId="03344AB3" w14:textId="77777777" w:rsidTr="00106F24">
        <w:tc>
          <w:tcPr>
            <w:tcW w:w="1827" w:type="dxa"/>
          </w:tcPr>
          <w:p w14:paraId="0F046C88" w14:textId="1835E501" w:rsidR="00FF402A" w:rsidRPr="00A565D5" w:rsidRDefault="00FF402A" w:rsidP="00FF402A">
            <w:pPr>
              <w:pStyle w:val="Heading2"/>
              <w:numPr>
                <w:ilvl w:val="0"/>
                <w:numId w:val="0"/>
              </w:numPr>
              <w:spacing w:after="120"/>
              <w:ind w:left="720" w:hanging="720"/>
              <w:outlineLvl w:val="1"/>
            </w:pPr>
            <w:r w:rsidRPr="00A565D5">
              <w:t>MTF</w:t>
            </w:r>
          </w:p>
        </w:tc>
        <w:tc>
          <w:tcPr>
            <w:tcW w:w="6472" w:type="dxa"/>
          </w:tcPr>
          <w:p w14:paraId="37C45D19" w14:textId="2AD0664B" w:rsidR="00FF402A" w:rsidRPr="00A565D5" w:rsidRDefault="00FF402A" w:rsidP="00FF402A">
            <w:pPr>
              <w:pStyle w:val="Heading2"/>
              <w:numPr>
                <w:ilvl w:val="0"/>
                <w:numId w:val="0"/>
              </w:numPr>
              <w:spacing w:after="120"/>
              <w:outlineLvl w:val="1"/>
            </w:pPr>
            <w:r w:rsidRPr="00A565D5">
              <w:t>Means; Message Textual Formats</w:t>
            </w:r>
          </w:p>
        </w:tc>
      </w:tr>
      <w:tr w:rsidR="00FF402A" w14:paraId="190B1E81" w14:textId="77777777" w:rsidTr="00106F24">
        <w:tc>
          <w:tcPr>
            <w:tcW w:w="1827" w:type="dxa"/>
          </w:tcPr>
          <w:p w14:paraId="07749D35" w14:textId="2C70D60B" w:rsidR="00FF402A" w:rsidRPr="00A565D5" w:rsidRDefault="00FF402A" w:rsidP="00FF402A">
            <w:pPr>
              <w:pStyle w:val="Heading2"/>
              <w:numPr>
                <w:ilvl w:val="0"/>
                <w:numId w:val="0"/>
              </w:numPr>
              <w:spacing w:after="120"/>
              <w:ind w:left="720" w:hanging="720"/>
              <w:outlineLvl w:val="1"/>
            </w:pPr>
            <w:r w:rsidRPr="00A565D5">
              <w:t>RNCSS</w:t>
            </w:r>
          </w:p>
        </w:tc>
        <w:tc>
          <w:tcPr>
            <w:tcW w:w="6472" w:type="dxa"/>
          </w:tcPr>
          <w:p w14:paraId="1FBFB839" w14:textId="670ECBA8" w:rsidR="00FF402A" w:rsidRPr="00A565D5" w:rsidRDefault="00FF402A" w:rsidP="00FF402A">
            <w:pPr>
              <w:pStyle w:val="Heading2"/>
              <w:numPr>
                <w:ilvl w:val="0"/>
                <w:numId w:val="0"/>
              </w:numPr>
              <w:spacing w:after="120"/>
              <w:outlineLvl w:val="1"/>
            </w:pPr>
            <w:r w:rsidRPr="00A565D5">
              <w:t xml:space="preserve">Means; </w:t>
            </w:r>
            <w:r w:rsidR="004B174B" w:rsidRPr="00A565D5">
              <w:t>Royal Navy Command Support System</w:t>
            </w:r>
          </w:p>
        </w:tc>
      </w:tr>
      <w:tr w:rsidR="00FF402A" w14:paraId="72ED4175" w14:textId="77777777" w:rsidTr="00106F24">
        <w:tc>
          <w:tcPr>
            <w:tcW w:w="1827" w:type="dxa"/>
          </w:tcPr>
          <w:p w14:paraId="67E2F7D0" w14:textId="7FD02A46" w:rsidR="00FF402A" w:rsidRPr="00A565D5" w:rsidRDefault="00FF402A" w:rsidP="00FF402A">
            <w:pPr>
              <w:pStyle w:val="Heading2"/>
              <w:numPr>
                <w:ilvl w:val="0"/>
                <w:numId w:val="0"/>
              </w:numPr>
              <w:spacing w:after="120"/>
              <w:ind w:left="720" w:hanging="720"/>
              <w:outlineLvl w:val="1"/>
            </w:pPr>
            <w:r w:rsidRPr="00A565D5">
              <w:t>CENTRIXS</w:t>
            </w:r>
          </w:p>
        </w:tc>
        <w:tc>
          <w:tcPr>
            <w:tcW w:w="6472" w:type="dxa"/>
          </w:tcPr>
          <w:p w14:paraId="0949E545" w14:textId="3DA7E9E9" w:rsidR="00FF402A" w:rsidRPr="00A565D5" w:rsidRDefault="00FF402A" w:rsidP="00FF402A">
            <w:pPr>
              <w:pStyle w:val="Heading2"/>
              <w:numPr>
                <w:ilvl w:val="0"/>
                <w:numId w:val="0"/>
              </w:numPr>
              <w:spacing w:after="120"/>
              <w:outlineLvl w:val="1"/>
            </w:pPr>
            <w:r w:rsidRPr="00A565D5">
              <w:t xml:space="preserve">Means; </w:t>
            </w:r>
            <w:r w:rsidR="004B174B" w:rsidRPr="00A565D5">
              <w:t>Combined Enterprise Regional Information Exchange</w:t>
            </w:r>
          </w:p>
        </w:tc>
      </w:tr>
      <w:tr w:rsidR="00FF402A" w14:paraId="0ACFE4FA" w14:textId="77777777" w:rsidTr="00106F24">
        <w:tc>
          <w:tcPr>
            <w:tcW w:w="1827" w:type="dxa"/>
          </w:tcPr>
          <w:p w14:paraId="470D56DA" w14:textId="648FFB72" w:rsidR="00FF402A" w:rsidRPr="00727A46" w:rsidRDefault="00FF402A" w:rsidP="00FF402A">
            <w:pPr>
              <w:pStyle w:val="Heading2"/>
              <w:numPr>
                <w:ilvl w:val="0"/>
                <w:numId w:val="0"/>
              </w:numPr>
              <w:spacing w:after="120"/>
              <w:ind w:left="720" w:hanging="720"/>
              <w:outlineLvl w:val="1"/>
            </w:pPr>
            <w:r w:rsidRPr="00727A46">
              <w:t>NSWAN</w:t>
            </w:r>
          </w:p>
        </w:tc>
        <w:tc>
          <w:tcPr>
            <w:tcW w:w="6472" w:type="dxa"/>
          </w:tcPr>
          <w:p w14:paraId="65C9D3D1" w14:textId="29EA4943" w:rsidR="00FF402A" w:rsidRDefault="00FF402A" w:rsidP="00FF402A">
            <w:pPr>
              <w:pStyle w:val="Heading2"/>
              <w:numPr>
                <w:ilvl w:val="0"/>
                <w:numId w:val="0"/>
              </w:numPr>
              <w:spacing w:after="120"/>
              <w:outlineLvl w:val="1"/>
            </w:pPr>
            <w:r w:rsidRPr="00FC269A">
              <w:t xml:space="preserve">Means; </w:t>
            </w:r>
            <w:r w:rsidR="006F622C">
              <w:t>NATO Secret Wide Area Network</w:t>
            </w:r>
          </w:p>
        </w:tc>
      </w:tr>
      <w:tr w:rsidR="004C33E9" w14:paraId="10E19DBB" w14:textId="77777777" w:rsidTr="00106F24">
        <w:tc>
          <w:tcPr>
            <w:tcW w:w="1827" w:type="dxa"/>
          </w:tcPr>
          <w:p w14:paraId="5A58F1D6" w14:textId="12BAFFB5" w:rsidR="004C33E9" w:rsidRPr="00727A46" w:rsidRDefault="004C33E9" w:rsidP="004C33E9">
            <w:pPr>
              <w:pStyle w:val="Heading2"/>
              <w:numPr>
                <w:ilvl w:val="0"/>
                <w:numId w:val="0"/>
              </w:numPr>
              <w:spacing w:after="120"/>
              <w:ind w:left="720" w:hanging="720"/>
              <w:outlineLvl w:val="1"/>
            </w:pPr>
            <w:r w:rsidRPr="00727A46">
              <w:t>CASD</w:t>
            </w:r>
          </w:p>
        </w:tc>
        <w:tc>
          <w:tcPr>
            <w:tcW w:w="6472" w:type="dxa"/>
          </w:tcPr>
          <w:p w14:paraId="21428B2A" w14:textId="16508CA8" w:rsidR="004C33E9" w:rsidRDefault="004C33E9" w:rsidP="004C33E9">
            <w:pPr>
              <w:pStyle w:val="Heading2"/>
              <w:numPr>
                <w:ilvl w:val="0"/>
                <w:numId w:val="0"/>
              </w:numPr>
              <w:spacing w:after="120"/>
              <w:outlineLvl w:val="1"/>
            </w:pPr>
            <w:r w:rsidRPr="00BE464A">
              <w:t xml:space="preserve">Means; </w:t>
            </w:r>
            <w:r w:rsidR="006F622C" w:rsidRPr="006F622C">
              <w:t xml:space="preserve">Continuous </w:t>
            </w:r>
            <w:proofErr w:type="gramStart"/>
            <w:r w:rsidR="006F622C" w:rsidRPr="006F622C">
              <w:t>At</w:t>
            </w:r>
            <w:proofErr w:type="gramEnd"/>
            <w:r w:rsidR="006F622C" w:rsidRPr="006F622C">
              <w:t xml:space="preserve"> Sea Deterrence</w:t>
            </w:r>
          </w:p>
        </w:tc>
      </w:tr>
      <w:tr w:rsidR="004C33E9" w14:paraId="1D52DFA3" w14:textId="77777777" w:rsidTr="00106F24">
        <w:tc>
          <w:tcPr>
            <w:tcW w:w="1827" w:type="dxa"/>
          </w:tcPr>
          <w:p w14:paraId="2824BBCE" w14:textId="2AF07003" w:rsidR="004C33E9" w:rsidRPr="00727A46" w:rsidRDefault="004C33E9" w:rsidP="004C33E9">
            <w:pPr>
              <w:pStyle w:val="Heading2"/>
              <w:numPr>
                <w:ilvl w:val="0"/>
                <w:numId w:val="0"/>
              </w:numPr>
              <w:spacing w:after="120"/>
              <w:ind w:left="720" w:hanging="720"/>
              <w:outlineLvl w:val="1"/>
            </w:pPr>
            <w:bookmarkStart w:id="14" w:name="_GoBack"/>
            <w:bookmarkEnd w:id="14"/>
            <w:r w:rsidRPr="00727A46">
              <w:t>CEPP</w:t>
            </w:r>
          </w:p>
        </w:tc>
        <w:tc>
          <w:tcPr>
            <w:tcW w:w="6472" w:type="dxa"/>
          </w:tcPr>
          <w:p w14:paraId="24459ADD" w14:textId="4ED3FAC4" w:rsidR="004C33E9" w:rsidRDefault="004C33E9" w:rsidP="004C33E9">
            <w:pPr>
              <w:pStyle w:val="Heading2"/>
              <w:numPr>
                <w:ilvl w:val="0"/>
                <w:numId w:val="0"/>
              </w:numPr>
              <w:spacing w:after="120"/>
              <w:outlineLvl w:val="1"/>
            </w:pPr>
            <w:proofErr w:type="gramStart"/>
            <w:r w:rsidRPr="00BE464A">
              <w:t xml:space="preserve">Means; </w:t>
            </w:r>
            <w:r w:rsidR="006F622C">
              <w:t xml:space="preserve"> </w:t>
            </w:r>
            <w:r w:rsidR="006F622C" w:rsidRPr="006F622C">
              <w:t>Carrier</w:t>
            </w:r>
            <w:proofErr w:type="gramEnd"/>
            <w:r w:rsidR="006F622C" w:rsidRPr="006F622C">
              <w:t xml:space="preserve"> Enabled Power Projection</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444518870"/>
      <w:r w:rsidRPr="00B9425F">
        <w:rPr>
          <w:szCs w:val="22"/>
        </w:rPr>
        <w:t>scope of requirement</w:t>
      </w:r>
      <w:bookmarkEnd w:id="11"/>
      <w:bookmarkEnd w:id="13"/>
      <w:bookmarkEnd w:id="15"/>
      <w:r w:rsidRPr="00B9425F">
        <w:rPr>
          <w:szCs w:val="22"/>
        </w:rPr>
        <w:t xml:space="preserve"> </w:t>
      </w:r>
    </w:p>
    <w:bookmarkEnd w:id="8"/>
    <w:p w14:paraId="1DBE9CCA" w14:textId="05884CB8" w:rsidR="00671798" w:rsidRPr="0027505F" w:rsidRDefault="0027505F">
      <w:pPr>
        <w:pStyle w:val="Heading3"/>
        <w:spacing w:after="120"/>
      </w:pPr>
      <w:r w:rsidRPr="0027505F">
        <w:t>The Scope of this requirement extends to the following provisions:</w:t>
      </w:r>
    </w:p>
    <w:p w14:paraId="3E05F4AC" w14:textId="58E34DFB" w:rsidR="0027505F" w:rsidRPr="0027505F" w:rsidRDefault="0027505F" w:rsidP="0027505F">
      <w:pPr>
        <w:pStyle w:val="Heading4"/>
      </w:pPr>
      <w:r w:rsidRPr="0027505F">
        <w:t>The renewal of IRIS software licences;</w:t>
      </w:r>
    </w:p>
    <w:p w14:paraId="268F0C9B" w14:textId="35A0F51D" w:rsidR="0027505F" w:rsidRPr="0027505F" w:rsidRDefault="00F177AC" w:rsidP="0027505F">
      <w:pPr>
        <w:pStyle w:val="Heading4"/>
      </w:pPr>
      <w:r>
        <w:t>IRIS s</w:t>
      </w:r>
      <w:r w:rsidR="0027505F" w:rsidRPr="0027505F">
        <w:t>upport and Maintenance for the licences;</w:t>
      </w:r>
    </w:p>
    <w:p w14:paraId="07210A92" w14:textId="42AF91F4" w:rsidR="0027505F" w:rsidRPr="0027505F" w:rsidRDefault="0027505F" w:rsidP="0027505F">
      <w:pPr>
        <w:pStyle w:val="Heading3"/>
      </w:pPr>
      <w:r w:rsidRPr="0027505F">
        <w:t xml:space="preserve">This </w:t>
      </w:r>
      <w:r>
        <w:t>contract does not extend to any:</w:t>
      </w:r>
    </w:p>
    <w:p w14:paraId="6D710883" w14:textId="19492A7A" w:rsidR="0027505F" w:rsidRDefault="0027505F" w:rsidP="0027505F">
      <w:pPr>
        <w:pStyle w:val="Heading4"/>
      </w:pPr>
      <w:r w:rsidRPr="0027505F">
        <w:t>Hardware or installation.</w:t>
      </w:r>
    </w:p>
    <w:p w14:paraId="3491B80B" w14:textId="77777777" w:rsidR="00671798" w:rsidRDefault="00FE18AC">
      <w:pPr>
        <w:pStyle w:val="Heading1"/>
        <w:spacing w:after="120"/>
      </w:pPr>
      <w:bookmarkStart w:id="16" w:name="_Toc368573031"/>
      <w:bookmarkStart w:id="17" w:name="_Toc444518871"/>
      <w:r w:rsidRPr="00BE6EE0">
        <w:t>The requirement</w:t>
      </w:r>
      <w:bookmarkEnd w:id="16"/>
      <w:bookmarkEnd w:id="17"/>
    </w:p>
    <w:p w14:paraId="554E3C7C" w14:textId="0B803F82" w:rsidR="00671798" w:rsidRPr="004C3588" w:rsidRDefault="004C3588">
      <w:pPr>
        <w:pStyle w:val="Heading2"/>
        <w:tabs>
          <w:tab w:val="clear" w:pos="720"/>
          <w:tab w:val="num" w:pos="709"/>
        </w:tabs>
        <w:spacing w:after="120"/>
        <w:ind w:left="709" w:hanging="709"/>
      </w:pPr>
      <w:r w:rsidRPr="004C3588">
        <w:t>The Contract will be for a two (2) year period</w:t>
      </w:r>
      <w:r w:rsidR="004956B9">
        <w:t xml:space="preserve"> to cover maintenance and support for licences</w:t>
      </w:r>
      <w:r w:rsidRPr="004C3588">
        <w:t xml:space="preserve"> with no option to extend.</w:t>
      </w:r>
    </w:p>
    <w:p w14:paraId="43C7BC40" w14:textId="23EB5E65" w:rsidR="004C3588" w:rsidRPr="004C3588" w:rsidRDefault="004C3588">
      <w:pPr>
        <w:pStyle w:val="Heading2"/>
        <w:tabs>
          <w:tab w:val="clear" w:pos="720"/>
          <w:tab w:val="num" w:pos="709"/>
        </w:tabs>
        <w:spacing w:after="120"/>
        <w:ind w:left="709" w:hanging="709"/>
      </w:pPr>
      <w:r w:rsidRPr="004C3588">
        <w:t>Potential providers are asked to provide pricing on the following products:</w:t>
      </w:r>
    </w:p>
    <w:tbl>
      <w:tblPr>
        <w:tblStyle w:val="TableGrid"/>
        <w:tblW w:w="9781" w:type="dxa"/>
        <w:tblInd w:w="-147" w:type="dxa"/>
        <w:tblLook w:val="04A0" w:firstRow="1" w:lastRow="0" w:firstColumn="1" w:lastColumn="0" w:noHBand="0" w:noVBand="1"/>
      </w:tblPr>
      <w:tblGrid>
        <w:gridCol w:w="742"/>
        <w:gridCol w:w="2235"/>
        <w:gridCol w:w="3402"/>
        <w:gridCol w:w="1985"/>
        <w:gridCol w:w="1417"/>
      </w:tblGrid>
      <w:tr w:rsidR="005535BA" w14:paraId="376F6299" w14:textId="77777777" w:rsidTr="005535BA">
        <w:tc>
          <w:tcPr>
            <w:tcW w:w="742" w:type="dxa"/>
            <w:shd w:val="clear" w:color="auto" w:fill="B8CCE4" w:themeFill="accent1" w:themeFillTint="66"/>
          </w:tcPr>
          <w:p w14:paraId="42C93A97" w14:textId="5520A795" w:rsidR="00780E4F" w:rsidRPr="004C3588" w:rsidRDefault="00780E4F" w:rsidP="004C3588">
            <w:pPr>
              <w:pStyle w:val="Heading1"/>
              <w:numPr>
                <w:ilvl w:val="0"/>
                <w:numId w:val="0"/>
              </w:numPr>
              <w:jc w:val="center"/>
              <w:outlineLvl w:val="0"/>
            </w:pPr>
            <w:r w:rsidRPr="004C3588">
              <w:lastRenderedPageBreak/>
              <w:t>iTEM nO.</w:t>
            </w:r>
          </w:p>
        </w:tc>
        <w:tc>
          <w:tcPr>
            <w:tcW w:w="2235" w:type="dxa"/>
            <w:shd w:val="clear" w:color="auto" w:fill="B8CCE4" w:themeFill="accent1" w:themeFillTint="66"/>
          </w:tcPr>
          <w:p w14:paraId="3CD97DB6" w14:textId="77B62E29" w:rsidR="00780E4F" w:rsidRPr="004C3588" w:rsidRDefault="00780E4F" w:rsidP="004C3588">
            <w:pPr>
              <w:pStyle w:val="Heading1"/>
              <w:numPr>
                <w:ilvl w:val="0"/>
                <w:numId w:val="0"/>
              </w:numPr>
              <w:jc w:val="center"/>
              <w:outlineLvl w:val="0"/>
            </w:pPr>
            <w:r>
              <w:t>REQUIREMENT</w:t>
            </w:r>
          </w:p>
        </w:tc>
        <w:tc>
          <w:tcPr>
            <w:tcW w:w="3402" w:type="dxa"/>
            <w:shd w:val="clear" w:color="auto" w:fill="B8CCE4" w:themeFill="accent1" w:themeFillTint="66"/>
          </w:tcPr>
          <w:p w14:paraId="7EB87433" w14:textId="226E2CB7" w:rsidR="00780E4F" w:rsidRPr="004C3588" w:rsidRDefault="00780E4F" w:rsidP="004C3588">
            <w:pPr>
              <w:pStyle w:val="Heading1"/>
              <w:numPr>
                <w:ilvl w:val="0"/>
                <w:numId w:val="0"/>
              </w:numPr>
              <w:jc w:val="center"/>
              <w:outlineLvl w:val="0"/>
            </w:pPr>
            <w:r>
              <w:t>ADDITIONAL DETAILS</w:t>
            </w:r>
          </w:p>
        </w:tc>
        <w:tc>
          <w:tcPr>
            <w:tcW w:w="1985" w:type="dxa"/>
            <w:shd w:val="clear" w:color="auto" w:fill="B8CCE4" w:themeFill="accent1" w:themeFillTint="66"/>
          </w:tcPr>
          <w:p w14:paraId="7F625445" w14:textId="2DE0FE2F" w:rsidR="00780E4F" w:rsidRDefault="005535BA" w:rsidP="004C3588">
            <w:pPr>
              <w:pStyle w:val="Heading1"/>
              <w:numPr>
                <w:ilvl w:val="0"/>
                <w:numId w:val="0"/>
              </w:numPr>
              <w:jc w:val="center"/>
              <w:outlineLvl w:val="0"/>
            </w:pPr>
            <w:r>
              <w:t xml:space="preserve">Existing </w:t>
            </w:r>
            <w:r w:rsidR="00780E4F">
              <w:t>Licence No.</w:t>
            </w:r>
          </w:p>
        </w:tc>
        <w:tc>
          <w:tcPr>
            <w:tcW w:w="1417" w:type="dxa"/>
            <w:shd w:val="clear" w:color="auto" w:fill="B8CCE4" w:themeFill="accent1" w:themeFillTint="66"/>
          </w:tcPr>
          <w:p w14:paraId="054EB481" w14:textId="34E63A96" w:rsidR="00780E4F" w:rsidRPr="004C3588" w:rsidRDefault="00780E4F" w:rsidP="004C3588">
            <w:pPr>
              <w:pStyle w:val="Heading1"/>
              <w:numPr>
                <w:ilvl w:val="0"/>
                <w:numId w:val="0"/>
              </w:numPr>
              <w:jc w:val="center"/>
              <w:outlineLvl w:val="0"/>
            </w:pPr>
            <w:r>
              <w:t>Client licence quantity</w:t>
            </w:r>
          </w:p>
        </w:tc>
      </w:tr>
      <w:tr w:rsidR="005535BA" w14:paraId="79472BB5" w14:textId="77777777" w:rsidTr="005535BA">
        <w:tc>
          <w:tcPr>
            <w:tcW w:w="742" w:type="dxa"/>
          </w:tcPr>
          <w:p w14:paraId="47266817" w14:textId="375E8B71" w:rsidR="00780E4F" w:rsidRPr="004C3588" w:rsidRDefault="00780E4F" w:rsidP="00780E4F">
            <w:pPr>
              <w:pStyle w:val="Heading1"/>
              <w:numPr>
                <w:ilvl w:val="0"/>
                <w:numId w:val="0"/>
              </w:numPr>
              <w:jc w:val="center"/>
              <w:outlineLvl w:val="0"/>
            </w:pPr>
            <w:r>
              <w:t>1</w:t>
            </w:r>
          </w:p>
        </w:tc>
        <w:tc>
          <w:tcPr>
            <w:tcW w:w="2235" w:type="dxa"/>
          </w:tcPr>
          <w:p w14:paraId="27741266" w14:textId="6AAE82D7" w:rsidR="00780E4F" w:rsidRPr="00911B5F" w:rsidRDefault="00780E4F" w:rsidP="00911B5F">
            <w:pPr>
              <w:pStyle w:val="Heading2"/>
              <w:numPr>
                <w:ilvl w:val="0"/>
                <w:numId w:val="0"/>
              </w:numPr>
              <w:ind w:left="720" w:hanging="720"/>
              <w:outlineLvl w:val="1"/>
              <w:rPr>
                <w:b/>
              </w:rPr>
            </w:pPr>
            <w:r>
              <w:t>ISM Renewal</w:t>
            </w:r>
          </w:p>
        </w:tc>
        <w:tc>
          <w:tcPr>
            <w:tcW w:w="3402" w:type="dxa"/>
          </w:tcPr>
          <w:p w14:paraId="7CA42E45" w14:textId="77777777" w:rsidR="00132F18" w:rsidRPr="00132F18" w:rsidRDefault="00132F18" w:rsidP="00132F18">
            <w:pPr>
              <w:rPr>
                <w:rFonts w:ascii="Verdana" w:eastAsia="Times New Roman" w:hAnsi="Verdana" w:cs="Verdana"/>
                <w:sz w:val="18"/>
                <w:szCs w:val="18"/>
                <w:lang w:eastAsia="en-GB"/>
              </w:rPr>
            </w:pPr>
            <w:r w:rsidRPr="00132F18">
              <w:rPr>
                <w:rFonts w:ascii="Verdana" w:eastAsia="Times New Roman" w:hAnsi="Verdana" w:cs="Verdana"/>
                <w:sz w:val="18"/>
                <w:szCs w:val="18"/>
                <w:lang w:eastAsia="en-GB"/>
              </w:rPr>
              <w:t>Two (2) Years software maintenance and associated</w:t>
            </w:r>
          </w:p>
          <w:p w14:paraId="4190063A" w14:textId="77777777" w:rsidR="00132F18" w:rsidRPr="00132F18" w:rsidRDefault="00132F18" w:rsidP="00132F18">
            <w:pPr>
              <w:rPr>
                <w:rFonts w:ascii="Verdana" w:eastAsia="Times New Roman" w:hAnsi="Verdana" w:cs="Verdana"/>
                <w:sz w:val="18"/>
                <w:szCs w:val="18"/>
                <w:lang w:eastAsia="en-GB"/>
              </w:rPr>
            </w:pPr>
            <w:r w:rsidRPr="00132F18">
              <w:rPr>
                <w:rFonts w:ascii="Verdana" w:eastAsia="Times New Roman" w:hAnsi="Verdana" w:cs="Verdana"/>
                <w:sz w:val="18"/>
                <w:szCs w:val="18"/>
                <w:lang w:eastAsia="en-GB"/>
              </w:rPr>
              <w:t>technical support for Royal Navy’s existing ISM Iris</w:t>
            </w:r>
          </w:p>
          <w:p w14:paraId="4D4BADF8" w14:textId="0393826A" w:rsidR="00132F18" w:rsidRPr="00132F18" w:rsidRDefault="00132F18" w:rsidP="00132F18">
            <w:pPr>
              <w:rPr>
                <w:rFonts w:ascii="Verdana" w:eastAsia="Times New Roman" w:hAnsi="Verdana" w:cs="Verdana"/>
                <w:sz w:val="18"/>
                <w:szCs w:val="18"/>
                <w:lang w:eastAsia="en-GB"/>
              </w:rPr>
            </w:pPr>
            <w:r w:rsidRPr="00132F18">
              <w:rPr>
                <w:rFonts w:ascii="Verdana" w:eastAsia="Times New Roman" w:hAnsi="Verdana" w:cs="Verdana"/>
                <w:sz w:val="18"/>
                <w:szCs w:val="18"/>
                <w:lang w:eastAsia="en-GB"/>
              </w:rPr>
              <w:t>Standards Management (including MTF SIS) plus ticket</w:t>
            </w:r>
            <w:r>
              <w:rPr>
                <w:rFonts w:ascii="Verdana" w:eastAsia="Times New Roman" w:hAnsi="Verdana" w:cs="Verdana"/>
                <w:sz w:val="18"/>
                <w:szCs w:val="18"/>
                <w:lang w:eastAsia="en-GB"/>
              </w:rPr>
              <w:t xml:space="preserve"> </w:t>
            </w:r>
            <w:r w:rsidRPr="00132F18">
              <w:rPr>
                <w:rFonts w:ascii="Verdana" w:eastAsia="Times New Roman" w:hAnsi="Verdana" w:cs="Verdana"/>
                <w:sz w:val="18"/>
                <w:szCs w:val="18"/>
                <w:lang w:eastAsia="en-GB"/>
              </w:rPr>
              <w:t>hours</w:t>
            </w:r>
          </w:p>
          <w:p w14:paraId="2AF296F1" w14:textId="6B5DE732" w:rsidR="00780E4F" w:rsidRPr="005535BA" w:rsidRDefault="00132F18" w:rsidP="00132F18">
            <w:pPr>
              <w:pStyle w:val="Heading2"/>
              <w:numPr>
                <w:ilvl w:val="0"/>
                <w:numId w:val="0"/>
              </w:numPr>
              <w:outlineLvl w:val="1"/>
              <w:rPr>
                <w:b/>
              </w:rPr>
            </w:pPr>
            <w:r w:rsidRPr="00132F18">
              <w:rPr>
                <w:rFonts w:ascii="Verdana" w:eastAsia="Times New Roman" w:hAnsi="Verdana" w:cs="Verdana"/>
                <w:sz w:val="18"/>
                <w:szCs w:val="18"/>
                <w:lang w:eastAsia="en-GB"/>
              </w:rPr>
              <w:t>telephone and email support</w:t>
            </w:r>
          </w:p>
        </w:tc>
        <w:tc>
          <w:tcPr>
            <w:tcW w:w="1985" w:type="dxa"/>
          </w:tcPr>
          <w:p w14:paraId="31C4F70A" w14:textId="71E5302F" w:rsidR="00780E4F" w:rsidRPr="00780E4F" w:rsidRDefault="00780E4F" w:rsidP="00780E4F">
            <w:pPr>
              <w:pStyle w:val="Heading1"/>
              <w:numPr>
                <w:ilvl w:val="0"/>
                <w:numId w:val="0"/>
              </w:numPr>
              <w:jc w:val="center"/>
              <w:outlineLvl w:val="0"/>
              <w:rPr>
                <w:b w:val="0"/>
              </w:rPr>
            </w:pPr>
            <w:r>
              <w:rPr>
                <w:b w:val="0"/>
              </w:rPr>
              <w:t>ISM0440723301</w:t>
            </w:r>
          </w:p>
        </w:tc>
        <w:tc>
          <w:tcPr>
            <w:tcW w:w="1417" w:type="dxa"/>
          </w:tcPr>
          <w:p w14:paraId="379564C2" w14:textId="7A47DBB7" w:rsidR="00780E4F" w:rsidRPr="00780E4F" w:rsidRDefault="00780E4F" w:rsidP="00780E4F">
            <w:pPr>
              <w:pStyle w:val="Heading1"/>
              <w:numPr>
                <w:ilvl w:val="0"/>
                <w:numId w:val="0"/>
              </w:numPr>
              <w:jc w:val="center"/>
              <w:outlineLvl w:val="0"/>
              <w:rPr>
                <w:b w:val="0"/>
              </w:rPr>
            </w:pPr>
            <w:r w:rsidRPr="00780E4F">
              <w:rPr>
                <w:b w:val="0"/>
              </w:rPr>
              <w:t>5</w:t>
            </w:r>
          </w:p>
        </w:tc>
      </w:tr>
      <w:tr w:rsidR="005535BA" w14:paraId="7D0E6CEC" w14:textId="77777777" w:rsidTr="005535BA">
        <w:tc>
          <w:tcPr>
            <w:tcW w:w="742" w:type="dxa"/>
          </w:tcPr>
          <w:p w14:paraId="3A64B8AA" w14:textId="411850E2" w:rsidR="00780E4F" w:rsidRPr="004C3588" w:rsidRDefault="00780E4F" w:rsidP="00780E4F">
            <w:pPr>
              <w:pStyle w:val="Heading1"/>
              <w:numPr>
                <w:ilvl w:val="0"/>
                <w:numId w:val="0"/>
              </w:numPr>
              <w:jc w:val="center"/>
              <w:outlineLvl w:val="0"/>
            </w:pPr>
            <w:r>
              <w:t>2</w:t>
            </w:r>
          </w:p>
        </w:tc>
        <w:tc>
          <w:tcPr>
            <w:tcW w:w="2235" w:type="dxa"/>
          </w:tcPr>
          <w:p w14:paraId="450D199D" w14:textId="0C47950D" w:rsidR="00780E4F" w:rsidRPr="00780E4F" w:rsidRDefault="00780E4F" w:rsidP="00780E4F">
            <w:pPr>
              <w:pStyle w:val="Heading2"/>
              <w:numPr>
                <w:ilvl w:val="0"/>
                <w:numId w:val="0"/>
              </w:numPr>
              <w:outlineLvl w:val="1"/>
              <w:rPr>
                <w:b/>
              </w:rPr>
            </w:pPr>
            <w:r>
              <w:t>IRIS Forms Force-Wide Maintenance</w:t>
            </w:r>
          </w:p>
        </w:tc>
        <w:tc>
          <w:tcPr>
            <w:tcW w:w="3402" w:type="dxa"/>
          </w:tcPr>
          <w:p w14:paraId="229C7D4B" w14:textId="5B471301" w:rsidR="00780E4F" w:rsidRPr="005535BA" w:rsidRDefault="005535BA" w:rsidP="005535BA">
            <w:pPr>
              <w:pStyle w:val="Heading2"/>
              <w:numPr>
                <w:ilvl w:val="0"/>
                <w:numId w:val="0"/>
              </w:numPr>
              <w:outlineLvl w:val="1"/>
              <w:rPr>
                <w:b/>
              </w:rPr>
            </w:pPr>
            <w:r>
              <w:t>Two (2) Years maintenance for Royal Navy Force-Wide IRIS Forms Licence</w:t>
            </w:r>
          </w:p>
        </w:tc>
        <w:tc>
          <w:tcPr>
            <w:tcW w:w="1985" w:type="dxa"/>
          </w:tcPr>
          <w:p w14:paraId="54D496ED" w14:textId="0B485B5A" w:rsidR="00780E4F" w:rsidRDefault="00780E4F" w:rsidP="00780E4F">
            <w:pPr>
              <w:pStyle w:val="Heading1"/>
              <w:numPr>
                <w:ilvl w:val="0"/>
                <w:numId w:val="0"/>
              </w:numPr>
              <w:jc w:val="center"/>
              <w:outlineLvl w:val="0"/>
              <w:rPr>
                <w:b w:val="0"/>
              </w:rPr>
            </w:pPr>
            <w:r>
              <w:rPr>
                <w:b w:val="0"/>
              </w:rPr>
              <w:t>FOR0440127001</w:t>
            </w:r>
          </w:p>
        </w:tc>
        <w:tc>
          <w:tcPr>
            <w:tcW w:w="1417" w:type="dxa"/>
          </w:tcPr>
          <w:p w14:paraId="687F773E" w14:textId="6C460256" w:rsidR="00780E4F" w:rsidRPr="00780E4F" w:rsidRDefault="00780E4F" w:rsidP="00780E4F">
            <w:pPr>
              <w:pStyle w:val="Heading1"/>
              <w:numPr>
                <w:ilvl w:val="0"/>
                <w:numId w:val="0"/>
              </w:numPr>
              <w:jc w:val="center"/>
              <w:outlineLvl w:val="0"/>
              <w:rPr>
                <w:b w:val="0"/>
              </w:rPr>
            </w:pPr>
            <w:r>
              <w:rPr>
                <w:b w:val="0"/>
              </w:rPr>
              <w:t>n/a</w:t>
            </w:r>
          </w:p>
        </w:tc>
      </w:tr>
      <w:tr w:rsidR="005535BA" w14:paraId="5382285F" w14:textId="77777777" w:rsidTr="005535BA">
        <w:tc>
          <w:tcPr>
            <w:tcW w:w="742" w:type="dxa"/>
          </w:tcPr>
          <w:p w14:paraId="2D758D0D" w14:textId="5CE3B7FB" w:rsidR="00780E4F" w:rsidRPr="004C3588" w:rsidRDefault="00780E4F" w:rsidP="00780E4F">
            <w:pPr>
              <w:pStyle w:val="Heading1"/>
              <w:numPr>
                <w:ilvl w:val="0"/>
                <w:numId w:val="0"/>
              </w:numPr>
              <w:jc w:val="center"/>
              <w:outlineLvl w:val="0"/>
            </w:pPr>
            <w:r>
              <w:t>3</w:t>
            </w:r>
          </w:p>
        </w:tc>
        <w:tc>
          <w:tcPr>
            <w:tcW w:w="2235" w:type="dxa"/>
          </w:tcPr>
          <w:p w14:paraId="11B0F42E" w14:textId="11A1F064" w:rsidR="00780E4F" w:rsidRPr="00780E4F" w:rsidRDefault="00780E4F" w:rsidP="005535BA">
            <w:pPr>
              <w:pStyle w:val="Heading2"/>
              <w:numPr>
                <w:ilvl w:val="0"/>
                <w:numId w:val="0"/>
              </w:numPr>
              <w:outlineLvl w:val="1"/>
              <w:rPr>
                <w:b/>
              </w:rPr>
            </w:pPr>
            <w:r>
              <w:t>IRIS IMT Developer Maintenance</w:t>
            </w:r>
          </w:p>
        </w:tc>
        <w:tc>
          <w:tcPr>
            <w:tcW w:w="3402" w:type="dxa"/>
          </w:tcPr>
          <w:p w14:paraId="4C9454FD" w14:textId="124C7941" w:rsidR="00780E4F" w:rsidRPr="005535BA" w:rsidRDefault="005535BA" w:rsidP="005535BA">
            <w:pPr>
              <w:pStyle w:val="Heading2"/>
              <w:numPr>
                <w:ilvl w:val="0"/>
                <w:numId w:val="0"/>
              </w:numPr>
              <w:outlineLvl w:val="1"/>
              <w:rPr>
                <w:b/>
              </w:rPr>
            </w:pPr>
            <w:r>
              <w:t xml:space="preserve">Two (2) Years Maintenance of IRIS ITM </w:t>
            </w:r>
            <w:r w:rsidR="00343746">
              <w:t xml:space="preserve">Developer </w:t>
            </w:r>
            <w:r>
              <w:t>tool client licences</w:t>
            </w:r>
          </w:p>
        </w:tc>
        <w:tc>
          <w:tcPr>
            <w:tcW w:w="1985" w:type="dxa"/>
          </w:tcPr>
          <w:p w14:paraId="212158E5" w14:textId="43DE4568" w:rsidR="00780E4F" w:rsidRPr="00780E4F" w:rsidRDefault="00780E4F" w:rsidP="00780E4F">
            <w:pPr>
              <w:pStyle w:val="Heading2"/>
              <w:numPr>
                <w:ilvl w:val="0"/>
                <w:numId w:val="0"/>
              </w:numPr>
              <w:ind w:left="720" w:hanging="720"/>
              <w:jc w:val="center"/>
              <w:outlineLvl w:val="1"/>
            </w:pPr>
            <w:r>
              <w:t>ITM0449905403</w:t>
            </w:r>
          </w:p>
        </w:tc>
        <w:tc>
          <w:tcPr>
            <w:tcW w:w="1417" w:type="dxa"/>
          </w:tcPr>
          <w:p w14:paraId="718D444D" w14:textId="3E87F8FA" w:rsidR="00780E4F" w:rsidRPr="00780E4F" w:rsidRDefault="00780E4F" w:rsidP="005535BA">
            <w:pPr>
              <w:pStyle w:val="Heading2"/>
              <w:numPr>
                <w:ilvl w:val="0"/>
                <w:numId w:val="0"/>
              </w:numPr>
              <w:ind w:left="720" w:hanging="720"/>
              <w:jc w:val="center"/>
              <w:outlineLvl w:val="1"/>
            </w:pPr>
            <w:r w:rsidRPr="00780E4F">
              <w:t>2</w:t>
            </w:r>
          </w:p>
        </w:tc>
      </w:tr>
    </w:tbl>
    <w:p w14:paraId="10825B63" w14:textId="77777777" w:rsidR="00911B5F" w:rsidRPr="004E78BC" w:rsidRDefault="00911B5F" w:rsidP="004C3588">
      <w:pPr>
        <w:pStyle w:val="Heading1"/>
        <w:numPr>
          <w:ilvl w:val="0"/>
          <w:numId w:val="0"/>
        </w:numPr>
        <w:ind w:left="720"/>
        <w:rPr>
          <w:highlight w:val="yellow"/>
        </w:rPr>
      </w:pPr>
    </w:p>
    <w:p w14:paraId="3351B229" w14:textId="7A3354F9" w:rsidR="00780E4F" w:rsidRDefault="004F59E8" w:rsidP="00911B5F">
      <w:pPr>
        <w:pStyle w:val="Heading2"/>
      </w:pPr>
      <w:bookmarkStart w:id="18" w:name="_Toc368573032"/>
      <w:bookmarkStart w:id="19" w:name="_Toc444518872"/>
      <w:r>
        <w:t>The annual maintenance and support is to include:</w:t>
      </w:r>
    </w:p>
    <w:p w14:paraId="7BF2BF8C" w14:textId="1ABF3B81" w:rsidR="00780E4F" w:rsidRDefault="00780E4F" w:rsidP="00780E4F">
      <w:pPr>
        <w:pStyle w:val="Heading3"/>
      </w:pPr>
      <w:r>
        <w:t>Telephone and email support;</w:t>
      </w:r>
    </w:p>
    <w:p w14:paraId="217B858D" w14:textId="67A4FB19" w:rsidR="00780E4F" w:rsidRDefault="00780E4F" w:rsidP="00780E4F">
      <w:pPr>
        <w:pStyle w:val="Heading3"/>
      </w:pPr>
      <w:r>
        <w:t>Upgrades for newer version of the licensed software;</w:t>
      </w:r>
    </w:p>
    <w:p w14:paraId="6E55AB99" w14:textId="442D3F83" w:rsidR="00780E4F" w:rsidRDefault="00780E4F" w:rsidP="00780E4F">
      <w:pPr>
        <w:pStyle w:val="Heading3"/>
      </w:pPr>
      <w:r>
        <w:t>Patches</w:t>
      </w:r>
      <w:r w:rsidR="0062070B">
        <w:t>;</w:t>
      </w:r>
    </w:p>
    <w:p w14:paraId="3F41EB4A" w14:textId="62DE62EA" w:rsidR="00780E4F" w:rsidRPr="00780E4F" w:rsidRDefault="00780E4F" w:rsidP="00780E4F">
      <w:pPr>
        <w:pStyle w:val="Heading3"/>
      </w:pPr>
      <w:r>
        <w:t>Support for on-going use of the Software (Particularly in compliance with NATO standards such as ADatP-3).</w:t>
      </w:r>
    </w:p>
    <w:p w14:paraId="73F8B01D" w14:textId="60325F7A" w:rsidR="00911B5F" w:rsidRDefault="00343746" w:rsidP="00911B5F">
      <w:pPr>
        <w:pStyle w:val="Heading2"/>
        <w:rPr>
          <w:b/>
        </w:rPr>
      </w:pPr>
      <w:r>
        <w:rPr>
          <w:b/>
        </w:rPr>
        <w:t>ISM Ticket Hours Support</w:t>
      </w:r>
    </w:p>
    <w:p w14:paraId="249E27AC" w14:textId="6504138D" w:rsidR="00911B5F" w:rsidRDefault="00343746" w:rsidP="00911B5F">
      <w:pPr>
        <w:pStyle w:val="Heading2"/>
      </w:pPr>
      <w:r w:rsidRPr="00343746">
        <w:t>The</w:t>
      </w:r>
      <w:r>
        <w:t xml:space="preserve"> ticket hour’s support will operate as follows:</w:t>
      </w:r>
    </w:p>
    <w:p w14:paraId="41D76A1A" w14:textId="39E541F6" w:rsidR="00343746" w:rsidRDefault="00343746" w:rsidP="00343746">
      <w:pPr>
        <w:pStyle w:val="Heading3"/>
      </w:pPr>
      <w:r>
        <w:t>Navy Command will supply Systematic with a list of authorised individuals who initiate ticket support requests with Systematic. No activities will occur unless an individual initiates the request;</w:t>
      </w:r>
    </w:p>
    <w:p w14:paraId="74E12FA7" w14:textId="67E7D5BA" w:rsidR="00343746" w:rsidRDefault="00343746" w:rsidP="00343746">
      <w:pPr>
        <w:pStyle w:val="Heading3"/>
      </w:pPr>
      <w:r>
        <w:t xml:space="preserve">Telephone Support is available 08:30 – 17:30 CET Monday to Thursday and </w:t>
      </w:r>
      <w:r w:rsidR="0062070B">
        <w:t>0</w:t>
      </w:r>
      <w:r>
        <w:t>8:30 – 16:00 on Friday (excluding Danish Public Holidays);</w:t>
      </w:r>
    </w:p>
    <w:p w14:paraId="4524D289" w14:textId="39A87D15" w:rsidR="00343746" w:rsidRDefault="00343746" w:rsidP="00343746">
      <w:pPr>
        <w:pStyle w:val="Heading3"/>
      </w:pPr>
      <w:r>
        <w:t>Reporting of acknowledged software bugs (which is covered by maintenance) does not affect the ticket hours;</w:t>
      </w:r>
      <w:r w:rsidR="00D72D8A">
        <w:t xml:space="preserve"> and</w:t>
      </w:r>
    </w:p>
    <w:p w14:paraId="1149F519" w14:textId="519D960F" w:rsidR="00343746" w:rsidRDefault="00343746" w:rsidP="00343746">
      <w:pPr>
        <w:pStyle w:val="Heading3"/>
      </w:pPr>
      <w:r>
        <w:t>The ticket hours are deducted upon each started half an hour of support or consultancy.</w:t>
      </w:r>
    </w:p>
    <w:p w14:paraId="328C4E2B" w14:textId="1340929B" w:rsidR="00D15FFC" w:rsidRPr="00D15FFC" w:rsidRDefault="00D15FFC" w:rsidP="00D15FFC">
      <w:pPr>
        <w:pStyle w:val="Heading2"/>
        <w:rPr>
          <w:b/>
        </w:rPr>
      </w:pPr>
      <w:r w:rsidRPr="00D15FFC">
        <w:rPr>
          <w:b/>
        </w:rPr>
        <w:t>IRIS Point of Contact</w:t>
      </w:r>
    </w:p>
    <w:p w14:paraId="573B267E" w14:textId="493DFAFC" w:rsidR="00D15FFC" w:rsidRDefault="00D15FFC" w:rsidP="00D15FFC">
      <w:pPr>
        <w:pStyle w:val="Heading2"/>
      </w:pPr>
      <w:r>
        <w:lastRenderedPageBreak/>
        <w:t>Name: Paul Fielding (Senior Manager Business Development)</w:t>
      </w:r>
    </w:p>
    <w:p w14:paraId="2F450E30" w14:textId="5117A77F" w:rsidR="00D15FFC" w:rsidRDefault="00D15FFC" w:rsidP="00D15FFC">
      <w:pPr>
        <w:pStyle w:val="Heading2"/>
      </w:pPr>
      <w:r>
        <w:t xml:space="preserve">Email: </w:t>
      </w:r>
      <w:hyperlink r:id="rId11" w:history="1">
        <w:r w:rsidRPr="000A2404">
          <w:rPr>
            <w:rStyle w:val="Hyperlink"/>
          </w:rPr>
          <w:t>Paul.fielding@systematic.com</w:t>
        </w:r>
      </w:hyperlink>
    </w:p>
    <w:p w14:paraId="69D26318" w14:textId="13818BC8" w:rsidR="00D15FFC" w:rsidRPr="00343746" w:rsidRDefault="00D15FFC" w:rsidP="00D15FFC">
      <w:pPr>
        <w:pStyle w:val="Heading2"/>
      </w:pPr>
      <w:r>
        <w:t>Telephone: 01276 674721</w:t>
      </w:r>
    </w:p>
    <w:p w14:paraId="6EE7C8C4" w14:textId="546CCFE6" w:rsidR="00671798" w:rsidRPr="00A8080D" w:rsidRDefault="00FE18AC" w:rsidP="00A8080D">
      <w:pPr>
        <w:pStyle w:val="Heading1"/>
        <w:spacing w:after="120"/>
      </w:pPr>
      <w:r>
        <w:t>key milestones</w:t>
      </w:r>
      <w:bookmarkEnd w:id="18"/>
      <w:bookmarkEnd w:id="19"/>
    </w:p>
    <w:p w14:paraId="4D0E0CBA" w14:textId="33DF39C6"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A8080D" w:rsidRDefault="00FE18AC">
            <w:pPr>
              <w:pStyle w:val="Heading3"/>
              <w:numPr>
                <w:ilvl w:val="0"/>
                <w:numId w:val="0"/>
              </w:numPr>
              <w:spacing w:after="120"/>
              <w:jc w:val="center"/>
              <w:outlineLvl w:val="2"/>
              <w:rPr>
                <w:b/>
                <w:szCs w:val="24"/>
              </w:rPr>
            </w:pPr>
            <w:r w:rsidRPr="00A8080D">
              <w:rPr>
                <w:b/>
              </w:rPr>
              <w:t>Milestone</w:t>
            </w:r>
          </w:p>
        </w:tc>
        <w:tc>
          <w:tcPr>
            <w:tcW w:w="2480" w:type="pct"/>
            <w:shd w:val="clear" w:color="auto" w:fill="C6D9F1" w:themeFill="text2" w:themeFillTint="33"/>
            <w:vAlign w:val="center"/>
          </w:tcPr>
          <w:p w14:paraId="55754382" w14:textId="77777777" w:rsidR="00671798" w:rsidRPr="00A8080D" w:rsidRDefault="00FE18AC">
            <w:pPr>
              <w:pStyle w:val="Heading3"/>
              <w:numPr>
                <w:ilvl w:val="0"/>
                <w:numId w:val="0"/>
              </w:numPr>
              <w:spacing w:after="120"/>
              <w:jc w:val="center"/>
              <w:outlineLvl w:val="2"/>
              <w:rPr>
                <w:b/>
                <w:szCs w:val="24"/>
              </w:rPr>
            </w:pPr>
            <w:r w:rsidRPr="00A8080D">
              <w:rPr>
                <w:b/>
              </w:rPr>
              <w:t>Description</w:t>
            </w:r>
          </w:p>
        </w:tc>
        <w:tc>
          <w:tcPr>
            <w:tcW w:w="1622" w:type="pct"/>
            <w:shd w:val="clear" w:color="auto" w:fill="C6D9F1" w:themeFill="text2" w:themeFillTint="33"/>
            <w:vAlign w:val="center"/>
          </w:tcPr>
          <w:p w14:paraId="0EABB2D0" w14:textId="77777777" w:rsidR="00671798" w:rsidRPr="00A8080D" w:rsidRDefault="00FE18AC">
            <w:pPr>
              <w:pStyle w:val="Heading3"/>
              <w:numPr>
                <w:ilvl w:val="0"/>
                <w:numId w:val="0"/>
              </w:numPr>
              <w:spacing w:after="120"/>
              <w:jc w:val="center"/>
              <w:outlineLvl w:val="2"/>
              <w:rPr>
                <w:b/>
                <w:szCs w:val="24"/>
              </w:rPr>
            </w:pPr>
            <w:r w:rsidRPr="00A8080D">
              <w:rPr>
                <w:b/>
              </w:rPr>
              <w:t>Timeframe</w:t>
            </w:r>
          </w:p>
        </w:tc>
      </w:tr>
      <w:tr w:rsidR="00FE18AC" w:rsidRPr="00297CF4" w14:paraId="2B6EAC37" w14:textId="77777777" w:rsidTr="00E245A6">
        <w:tc>
          <w:tcPr>
            <w:tcW w:w="898" w:type="pct"/>
            <w:vAlign w:val="center"/>
          </w:tcPr>
          <w:p w14:paraId="13176D62" w14:textId="77777777" w:rsidR="00671798" w:rsidRPr="001F4D09" w:rsidRDefault="00FE18AC">
            <w:pPr>
              <w:pStyle w:val="Heading3"/>
              <w:numPr>
                <w:ilvl w:val="0"/>
                <w:numId w:val="0"/>
              </w:numPr>
              <w:spacing w:after="120"/>
              <w:jc w:val="center"/>
              <w:outlineLvl w:val="2"/>
              <w:rPr>
                <w:szCs w:val="24"/>
              </w:rPr>
            </w:pPr>
            <w:r w:rsidRPr="001F4D09">
              <w:t>1</w:t>
            </w:r>
          </w:p>
        </w:tc>
        <w:tc>
          <w:tcPr>
            <w:tcW w:w="2480" w:type="pct"/>
            <w:vAlign w:val="center"/>
          </w:tcPr>
          <w:p w14:paraId="04CC1243" w14:textId="2CCAFDE7" w:rsidR="00671798" w:rsidRPr="001F4D09" w:rsidRDefault="001F4D09" w:rsidP="00CD38F0">
            <w:pPr>
              <w:pStyle w:val="Heading3"/>
              <w:numPr>
                <w:ilvl w:val="0"/>
                <w:numId w:val="0"/>
              </w:numPr>
              <w:spacing w:after="120"/>
              <w:jc w:val="left"/>
              <w:outlineLvl w:val="2"/>
              <w:rPr>
                <w:szCs w:val="24"/>
              </w:rPr>
            </w:pPr>
            <w:r w:rsidRPr="001F4D09">
              <w:t>Signed Contract Returned</w:t>
            </w:r>
          </w:p>
        </w:tc>
        <w:tc>
          <w:tcPr>
            <w:tcW w:w="1622" w:type="pct"/>
            <w:vAlign w:val="center"/>
          </w:tcPr>
          <w:p w14:paraId="23E536A9" w14:textId="4EE32AB0" w:rsidR="00671798" w:rsidRPr="001F4D09" w:rsidRDefault="001F4D09">
            <w:pPr>
              <w:pStyle w:val="Heading3"/>
              <w:numPr>
                <w:ilvl w:val="0"/>
                <w:numId w:val="0"/>
              </w:numPr>
              <w:spacing w:after="120"/>
              <w:jc w:val="center"/>
              <w:outlineLvl w:val="2"/>
              <w:rPr>
                <w:szCs w:val="24"/>
              </w:rPr>
            </w:pPr>
            <w:r w:rsidRPr="001F4D09">
              <w:t>Within one (1) week of Contract Award</w:t>
            </w:r>
          </w:p>
        </w:tc>
      </w:tr>
      <w:tr w:rsidR="00FE18AC" w:rsidRPr="00297CF4" w14:paraId="16F113EC" w14:textId="77777777" w:rsidTr="00E245A6">
        <w:tc>
          <w:tcPr>
            <w:tcW w:w="898" w:type="pct"/>
            <w:vAlign w:val="center"/>
          </w:tcPr>
          <w:p w14:paraId="4FD18402" w14:textId="77777777" w:rsidR="00671798" w:rsidRPr="001F4D09" w:rsidRDefault="00FE18AC">
            <w:pPr>
              <w:pStyle w:val="Heading3"/>
              <w:numPr>
                <w:ilvl w:val="0"/>
                <w:numId w:val="0"/>
              </w:numPr>
              <w:spacing w:after="120"/>
              <w:jc w:val="center"/>
              <w:outlineLvl w:val="2"/>
              <w:rPr>
                <w:szCs w:val="24"/>
              </w:rPr>
            </w:pPr>
            <w:r w:rsidRPr="001F4D09">
              <w:t>2</w:t>
            </w:r>
          </w:p>
        </w:tc>
        <w:tc>
          <w:tcPr>
            <w:tcW w:w="2480" w:type="pct"/>
            <w:vAlign w:val="center"/>
          </w:tcPr>
          <w:p w14:paraId="33C22C40" w14:textId="473E69F8" w:rsidR="00671798" w:rsidRPr="001F4D09" w:rsidRDefault="001F4D09">
            <w:pPr>
              <w:pStyle w:val="Heading3"/>
              <w:numPr>
                <w:ilvl w:val="0"/>
                <w:numId w:val="0"/>
              </w:numPr>
              <w:spacing w:after="120"/>
              <w:jc w:val="left"/>
              <w:outlineLvl w:val="2"/>
              <w:rPr>
                <w:szCs w:val="24"/>
              </w:rPr>
            </w:pPr>
            <w:r w:rsidRPr="001F4D09">
              <w:t>Commence of Support and Maintenance</w:t>
            </w:r>
          </w:p>
        </w:tc>
        <w:tc>
          <w:tcPr>
            <w:tcW w:w="1622" w:type="pct"/>
            <w:vAlign w:val="center"/>
          </w:tcPr>
          <w:p w14:paraId="3B285FD4" w14:textId="6ADAD4A1" w:rsidR="00671798" w:rsidRPr="001F4D09" w:rsidRDefault="00FE18AC">
            <w:pPr>
              <w:pStyle w:val="Heading3"/>
              <w:numPr>
                <w:ilvl w:val="0"/>
                <w:numId w:val="0"/>
              </w:numPr>
              <w:spacing w:after="120"/>
              <w:jc w:val="center"/>
              <w:outlineLvl w:val="2"/>
              <w:rPr>
                <w:szCs w:val="24"/>
              </w:rPr>
            </w:pPr>
            <w:r w:rsidRPr="001F4D09">
              <w:t xml:space="preserve">Within week </w:t>
            </w:r>
            <w:r w:rsidR="001F4D09">
              <w:t>two (</w:t>
            </w:r>
            <w:r w:rsidRPr="001F4D09">
              <w:t>2</w:t>
            </w:r>
            <w:r w:rsidR="001F4D09">
              <w:t>)</w:t>
            </w:r>
            <w:r w:rsidRPr="001F4D09">
              <w:t xml:space="preserve"> of Contract Award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44518873"/>
      <w:bookmarkStart w:id="22" w:name="_Toc368573033"/>
      <w:r>
        <w:rPr>
          <w:rFonts w:cs="Arial"/>
          <w:szCs w:val="22"/>
        </w:rPr>
        <w:t>authority’s responsibilities</w:t>
      </w:r>
      <w:bookmarkEnd w:id="21"/>
    </w:p>
    <w:p w14:paraId="6417A944" w14:textId="2E78A553" w:rsidR="00106F24" w:rsidRPr="001F4D09" w:rsidRDefault="001F4D09" w:rsidP="00106F24">
      <w:pPr>
        <w:pStyle w:val="Heading2"/>
      </w:pPr>
      <w:r w:rsidRPr="001F4D09">
        <w:t>The Authority will supply Systematic with a list of authorised individuals who initiate ticket support requests with Systematic. No activities will occur unless an individual initiates the request</w:t>
      </w:r>
      <w:r>
        <w:t>.</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44518874"/>
      <w:r w:rsidRPr="00BE6EE0">
        <w:rPr>
          <w:rFonts w:cs="Arial"/>
          <w:szCs w:val="22"/>
        </w:rPr>
        <w:t>reporting</w:t>
      </w:r>
      <w:bookmarkEnd w:id="22"/>
      <w:bookmarkEnd w:id="23"/>
    </w:p>
    <w:p w14:paraId="22C08F65" w14:textId="12931456" w:rsidR="00671798" w:rsidRPr="00132F18" w:rsidRDefault="00132F18">
      <w:pPr>
        <w:pStyle w:val="Heading2"/>
        <w:tabs>
          <w:tab w:val="clear" w:pos="720"/>
          <w:tab w:val="num" w:pos="709"/>
        </w:tabs>
        <w:spacing w:after="120"/>
        <w:ind w:left="709" w:hanging="709"/>
      </w:pPr>
      <w:r w:rsidRPr="00132F18">
        <w:t>N/A</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444518875"/>
      <w:r w:rsidRPr="00BE6EE0">
        <w:rPr>
          <w:rFonts w:cs="Arial"/>
          <w:szCs w:val="22"/>
        </w:rPr>
        <w:t>volumes</w:t>
      </w:r>
      <w:bookmarkEnd w:id="24"/>
      <w:bookmarkEnd w:id="25"/>
    </w:p>
    <w:p w14:paraId="3AB9FCA7" w14:textId="70CEF46D" w:rsidR="00671798" w:rsidRPr="003169F8" w:rsidRDefault="003169F8">
      <w:pPr>
        <w:pStyle w:val="Heading2"/>
        <w:tabs>
          <w:tab w:val="clear" w:pos="720"/>
          <w:tab w:val="num" w:pos="709"/>
        </w:tabs>
        <w:spacing w:after="120"/>
        <w:ind w:left="709" w:hanging="709"/>
      </w:pPr>
      <w:r w:rsidRPr="003169F8">
        <w:t>The volumes are outlined in Section 6 – The Requirement.</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44518876"/>
      <w:r w:rsidRPr="00BE6EE0">
        <w:rPr>
          <w:rFonts w:cs="Arial"/>
          <w:szCs w:val="22"/>
        </w:rPr>
        <w:t>continuous improvement</w:t>
      </w:r>
      <w:bookmarkEnd w:id="26"/>
      <w:bookmarkEnd w:id="27"/>
    </w:p>
    <w:p w14:paraId="73ED8F03" w14:textId="16BD45CD"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7B944B64" w14:textId="1FF42D0A"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should present new ways of working to the</w:t>
      </w:r>
      <w:r>
        <w:t xml:space="preserve"> </w:t>
      </w:r>
      <w:r w:rsidRPr="008104E0">
        <w:t xml:space="preserve">Authority during </w:t>
      </w:r>
      <w:r w:rsidR="007729F8">
        <w:t>quarterly</w:t>
      </w:r>
      <w:r w:rsidRPr="008104E0">
        <w:t xml:space="preserve"> Contract review meetings.</w:t>
      </w:r>
      <w:r w:rsidR="004D22DF">
        <w:t xml:space="preserve"> </w:t>
      </w:r>
    </w:p>
    <w:p w14:paraId="031D2B5A" w14:textId="6E1F43D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CC141C7" w14:textId="3806E783" w:rsidR="004E78BC" w:rsidRDefault="004E78BC" w:rsidP="004E78BC">
      <w:pPr>
        <w:pStyle w:val="Heading1"/>
      </w:pPr>
      <w:bookmarkStart w:id="28" w:name="_Toc444518877"/>
      <w:r>
        <w:t>Sustainability</w:t>
      </w:r>
      <w:bookmarkEnd w:id="28"/>
    </w:p>
    <w:p w14:paraId="2E637186" w14:textId="2538F139" w:rsidR="004E78BC" w:rsidRPr="00132F18" w:rsidRDefault="00132F18" w:rsidP="004E78BC">
      <w:pPr>
        <w:pStyle w:val="Heading2"/>
      </w:pPr>
      <w:r w:rsidRPr="00132F18">
        <w:t>N/A</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444518878"/>
      <w:r w:rsidRPr="00517FEF">
        <w:rPr>
          <w:rFonts w:cs="Arial"/>
          <w:szCs w:val="22"/>
        </w:rPr>
        <w:t>quality</w:t>
      </w:r>
      <w:bookmarkEnd w:id="29"/>
      <w:bookmarkEnd w:id="30"/>
    </w:p>
    <w:p w14:paraId="63CD3A25" w14:textId="527DE99D" w:rsidR="00671798" w:rsidRPr="006B61D0" w:rsidRDefault="006B61D0">
      <w:pPr>
        <w:pStyle w:val="Heading2"/>
        <w:tabs>
          <w:tab w:val="clear" w:pos="720"/>
          <w:tab w:val="num" w:pos="709"/>
        </w:tabs>
        <w:spacing w:after="120"/>
        <w:ind w:left="709" w:hanging="709"/>
      </w:pPr>
      <w:r w:rsidRPr="006B61D0">
        <w:t>Quality shall comply with those set out in this ITT and in line with the Terms and Conditions of RM</w:t>
      </w:r>
      <w:r w:rsidR="007729F8">
        <w:t>6068</w:t>
      </w:r>
      <w:r w:rsidRPr="006B61D0">
        <w:t xml:space="preserve"> Technology Products, Item C, Section 5.0 Standards and Quality.</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444518879"/>
      <w:r w:rsidRPr="00BE6EE0">
        <w:rPr>
          <w:rFonts w:cs="Arial"/>
          <w:szCs w:val="22"/>
        </w:rPr>
        <w:t>PRICE</w:t>
      </w:r>
      <w:bookmarkEnd w:id="31"/>
      <w:bookmarkEnd w:id="32"/>
    </w:p>
    <w:p w14:paraId="5AAD3779" w14:textId="77777777" w:rsidR="00E468A7" w:rsidRDefault="00E468A7" w:rsidP="00E468A7">
      <w:pPr>
        <w:pStyle w:val="Heading2"/>
      </w:pPr>
      <w:r>
        <w:t>All prices quoted for must remain valid for a period of thirty (30) days.</w:t>
      </w:r>
    </w:p>
    <w:p w14:paraId="645D51EC" w14:textId="23C84EF6" w:rsidR="00671798" w:rsidRDefault="00E468A7" w:rsidP="00E468A7">
      <w:pPr>
        <w:pStyle w:val="Heading2"/>
      </w:pPr>
      <w:r>
        <w:lastRenderedPageBreak/>
        <w:t>Prices should be in GBP and be firm and final, encompassing all associated costs with the full term of the contract award, including all expenses and excluding VAT.</w:t>
      </w:r>
    </w:p>
    <w:p w14:paraId="78014F58" w14:textId="7549FB3E" w:rsidR="00E468A7" w:rsidRDefault="00E468A7" w:rsidP="00E468A7">
      <w:pPr>
        <w:pStyle w:val="Heading2"/>
      </w:pPr>
      <w:r>
        <w:t>Prices are to be submitted via the e-Sourcing Suite by completing the Appendix E - Price Schedule excluding VAT. This is to provide a full transparent breakdown of all costs associated with this contract.</w:t>
      </w:r>
    </w:p>
    <w:p w14:paraId="5689F228" w14:textId="05B1A035" w:rsidR="00E468A7" w:rsidRDefault="00E468A7" w:rsidP="00E468A7">
      <w:pPr>
        <w:pStyle w:val="Heading2"/>
      </w:pPr>
      <w:r>
        <w:t>Potential Providers are required to provide a formal quotation on company official headed paper in PDF version, detailing all equipment and delivery costs, inclusive of any/product numbers or references, in addition to submitting the Appendix E – Price Schedule.</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44518880"/>
      <w:r w:rsidRPr="00BE6EE0">
        <w:rPr>
          <w:rFonts w:cs="Arial"/>
          <w:szCs w:val="22"/>
        </w:rPr>
        <w:t>STAFF AND CUSTOMER SERVICE</w:t>
      </w:r>
      <w:bookmarkEnd w:id="33"/>
      <w:bookmarkEnd w:id="34"/>
    </w:p>
    <w:p w14:paraId="473FF9D3" w14:textId="5FBF0E36"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Contract in order to consistently deliver a quality service to all Parties.</w:t>
      </w:r>
    </w:p>
    <w:p w14:paraId="7C5FF49B" w14:textId="3EE28B1C" w:rsidR="00671798" w:rsidRDefault="00FE18AC">
      <w:pPr>
        <w:pStyle w:val="Heading2"/>
        <w:tabs>
          <w:tab w:val="clear" w:pos="720"/>
          <w:tab w:val="num" w:pos="709"/>
        </w:tabs>
        <w:spacing w:after="120"/>
        <w:ind w:left="709" w:hanging="709"/>
      </w:pPr>
      <w:r>
        <w:t>Potential Provider’s staff assigned to the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44518881"/>
      <w:r w:rsidRPr="004E1D36">
        <w:rPr>
          <w:rFonts w:cs="Arial"/>
          <w:szCs w:val="22"/>
        </w:rPr>
        <w:t>service levels a</w:t>
      </w:r>
      <w:r>
        <w:rPr>
          <w:rFonts w:cs="Arial"/>
          <w:szCs w:val="22"/>
        </w:rPr>
        <w:t>nd performance</w:t>
      </w:r>
      <w:bookmarkEnd w:id="35"/>
      <w:bookmarkEnd w:id="36"/>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5E93A82" w14:textId="52C3DF38" w:rsidR="00671798" w:rsidRDefault="0067179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1213A873" w:rsidR="00B13763" w:rsidRDefault="0007503C" w:rsidP="00B13763">
            <w:pPr>
              <w:pStyle w:val="Heading2"/>
              <w:numPr>
                <w:ilvl w:val="0"/>
                <w:numId w:val="0"/>
              </w:numPr>
              <w:jc w:val="left"/>
              <w:outlineLvl w:val="1"/>
            </w:pPr>
            <w:r>
              <w:t xml:space="preserve">Delivery </w:t>
            </w:r>
            <w:r w:rsidR="00A2681F">
              <w:t>Timescales</w:t>
            </w:r>
          </w:p>
        </w:tc>
        <w:tc>
          <w:tcPr>
            <w:tcW w:w="3827" w:type="dxa"/>
          </w:tcPr>
          <w:p w14:paraId="1A83F74D" w14:textId="240DB50A" w:rsidR="00B13763" w:rsidRDefault="00B25C88" w:rsidP="00B13763">
            <w:pPr>
              <w:pStyle w:val="Heading2"/>
              <w:numPr>
                <w:ilvl w:val="0"/>
                <w:numId w:val="0"/>
              </w:numPr>
              <w:jc w:val="left"/>
              <w:outlineLvl w:val="1"/>
            </w:pPr>
            <w:r>
              <w:t xml:space="preserve">Contract to </w:t>
            </w:r>
            <w:r w:rsidR="004956B9">
              <w:t>commence</w:t>
            </w:r>
            <w:r>
              <w:t xml:space="preserve"> one (1) day from signed Order Form</w:t>
            </w:r>
          </w:p>
        </w:tc>
        <w:tc>
          <w:tcPr>
            <w:tcW w:w="1653" w:type="dxa"/>
          </w:tcPr>
          <w:p w14:paraId="53B2F4ED" w14:textId="1E5642B9" w:rsidR="00B13763" w:rsidRDefault="0007503C" w:rsidP="00B13763">
            <w:pPr>
              <w:pStyle w:val="Heading2"/>
              <w:numPr>
                <w:ilvl w:val="0"/>
                <w:numId w:val="0"/>
              </w:numPr>
              <w:outlineLvl w:val="1"/>
            </w:pPr>
            <w:r>
              <w:t>100%</w:t>
            </w:r>
          </w:p>
        </w:tc>
      </w:tr>
      <w:tr w:rsidR="00B13763" w14:paraId="611A7437" w14:textId="77777777" w:rsidTr="00B13763">
        <w:tc>
          <w:tcPr>
            <w:tcW w:w="1048" w:type="dxa"/>
          </w:tcPr>
          <w:p w14:paraId="0CA6154F" w14:textId="2E4A9E81" w:rsidR="00B13763" w:rsidRDefault="00B13763" w:rsidP="00B13763">
            <w:pPr>
              <w:pStyle w:val="Heading2"/>
              <w:numPr>
                <w:ilvl w:val="0"/>
                <w:numId w:val="0"/>
              </w:numPr>
              <w:jc w:val="center"/>
              <w:outlineLvl w:val="1"/>
            </w:pPr>
            <w:r>
              <w:t>2</w:t>
            </w:r>
          </w:p>
        </w:tc>
        <w:tc>
          <w:tcPr>
            <w:tcW w:w="1771" w:type="dxa"/>
          </w:tcPr>
          <w:p w14:paraId="5A8C3451" w14:textId="04369692" w:rsidR="00B13763" w:rsidRDefault="0007503C" w:rsidP="00B13763">
            <w:pPr>
              <w:pStyle w:val="Heading2"/>
              <w:numPr>
                <w:ilvl w:val="0"/>
                <w:numId w:val="0"/>
              </w:numPr>
              <w:outlineLvl w:val="1"/>
            </w:pPr>
            <w:r>
              <w:t>Service Delivery</w:t>
            </w:r>
          </w:p>
        </w:tc>
        <w:tc>
          <w:tcPr>
            <w:tcW w:w="3827" w:type="dxa"/>
          </w:tcPr>
          <w:p w14:paraId="4FBFDF3E" w14:textId="77777777" w:rsidR="00B13763" w:rsidRDefault="00B13763" w:rsidP="00B13763">
            <w:pPr>
              <w:pStyle w:val="Heading2"/>
              <w:numPr>
                <w:ilvl w:val="0"/>
                <w:numId w:val="0"/>
              </w:numPr>
              <w:outlineLvl w:val="1"/>
            </w:pPr>
          </w:p>
        </w:tc>
        <w:tc>
          <w:tcPr>
            <w:tcW w:w="1653" w:type="dxa"/>
          </w:tcPr>
          <w:p w14:paraId="0EE422DF" w14:textId="77777777" w:rsidR="00B13763" w:rsidRDefault="00B13763" w:rsidP="00B13763">
            <w:pPr>
              <w:pStyle w:val="Heading2"/>
              <w:numPr>
                <w:ilvl w:val="0"/>
                <w:numId w:val="0"/>
              </w:numPr>
              <w:outlineLvl w:val="1"/>
            </w:pPr>
          </w:p>
        </w:tc>
      </w:tr>
      <w:tr w:rsidR="00B13763" w14:paraId="368A6710" w14:textId="77777777" w:rsidTr="00B13763">
        <w:tc>
          <w:tcPr>
            <w:tcW w:w="1048" w:type="dxa"/>
          </w:tcPr>
          <w:p w14:paraId="4EE94C74" w14:textId="7FAF8111" w:rsidR="00B13763" w:rsidRDefault="00B13763" w:rsidP="00B13763">
            <w:pPr>
              <w:pStyle w:val="Heading2"/>
              <w:numPr>
                <w:ilvl w:val="0"/>
                <w:numId w:val="0"/>
              </w:numPr>
              <w:jc w:val="center"/>
              <w:outlineLvl w:val="1"/>
            </w:pPr>
            <w:r>
              <w:t>3</w:t>
            </w:r>
          </w:p>
        </w:tc>
        <w:tc>
          <w:tcPr>
            <w:tcW w:w="1771" w:type="dxa"/>
          </w:tcPr>
          <w:p w14:paraId="6726DC40" w14:textId="77777777" w:rsidR="00B13763" w:rsidRDefault="00B13763" w:rsidP="00B13763">
            <w:pPr>
              <w:pStyle w:val="Heading2"/>
              <w:numPr>
                <w:ilvl w:val="0"/>
                <w:numId w:val="0"/>
              </w:numPr>
              <w:outlineLvl w:val="1"/>
            </w:pPr>
          </w:p>
        </w:tc>
        <w:tc>
          <w:tcPr>
            <w:tcW w:w="3827" w:type="dxa"/>
          </w:tcPr>
          <w:p w14:paraId="58DC627C" w14:textId="77777777" w:rsidR="00B13763" w:rsidRDefault="00B13763" w:rsidP="00B13763">
            <w:pPr>
              <w:pStyle w:val="Heading2"/>
              <w:numPr>
                <w:ilvl w:val="0"/>
                <w:numId w:val="0"/>
              </w:numPr>
              <w:outlineLvl w:val="1"/>
            </w:pPr>
          </w:p>
        </w:tc>
        <w:tc>
          <w:tcPr>
            <w:tcW w:w="1653" w:type="dxa"/>
          </w:tcPr>
          <w:p w14:paraId="19BB03B8" w14:textId="77777777" w:rsidR="00B13763" w:rsidRDefault="00B13763" w:rsidP="00B13763">
            <w:pPr>
              <w:pStyle w:val="Heading2"/>
              <w:numPr>
                <w:ilvl w:val="0"/>
                <w:numId w:val="0"/>
              </w:numPr>
              <w:outlineLvl w:val="1"/>
            </w:pPr>
          </w:p>
        </w:tc>
      </w:tr>
      <w:tr w:rsidR="00B13763" w14:paraId="69ECF5CB" w14:textId="77777777" w:rsidTr="00B13763">
        <w:tc>
          <w:tcPr>
            <w:tcW w:w="1048" w:type="dxa"/>
          </w:tcPr>
          <w:p w14:paraId="76A093A5" w14:textId="0AF770F3" w:rsidR="00B13763" w:rsidRDefault="00B13763" w:rsidP="00B13763">
            <w:pPr>
              <w:pStyle w:val="Heading2"/>
              <w:numPr>
                <w:ilvl w:val="0"/>
                <w:numId w:val="0"/>
              </w:numPr>
              <w:jc w:val="center"/>
              <w:outlineLvl w:val="1"/>
            </w:pPr>
            <w:r>
              <w:t>4</w:t>
            </w:r>
          </w:p>
        </w:tc>
        <w:tc>
          <w:tcPr>
            <w:tcW w:w="1771" w:type="dxa"/>
          </w:tcPr>
          <w:p w14:paraId="094D220C" w14:textId="77777777" w:rsidR="00B13763" w:rsidRDefault="00B13763" w:rsidP="00B13763">
            <w:pPr>
              <w:pStyle w:val="Heading2"/>
              <w:numPr>
                <w:ilvl w:val="0"/>
                <w:numId w:val="0"/>
              </w:numPr>
              <w:outlineLvl w:val="1"/>
            </w:pPr>
          </w:p>
        </w:tc>
        <w:tc>
          <w:tcPr>
            <w:tcW w:w="3827" w:type="dxa"/>
          </w:tcPr>
          <w:p w14:paraId="6F1FD8A2" w14:textId="77777777" w:rsidR="00B13763" w:rsidRDefault="00B13763" w:rsidP="00B13763">
            <w:pPr>
              <w:pStyle w:val="Heading2"/>
              <w:numPr>
                <w:ilvl w:val="0"/>
                <w:numId w:val="0"/>
              </w:numPr>
              <w:outlineLvl w:val="1"/>
            </w:pPr>
          </w:p>
        </w:tc>
        <w:tc>
          <w:tcPr>
            <w:tcW w:w="1653" w:type="dxa"/>
          </w:tcPr>
          <w:p w14:paraId="33C6BA7C" w14:textId="77777777" w:rsidR="00B13763" w:rsidRDefault="00B13763" w:rsidP="00B13763">
            <w:pPr>
              <w:pStyle w:val="Heading2"/>
              <w:numPr>
                <w:ilvl w:val="0"/>
                <w:numId w:val="0"/>
              </w:numPr>
              <w:outlineLvl w:val="1"/>
            </w:pPr>
          </w:p>
        </w:tc>
      </w:tr>
      <w:tr w:rsidR="00B13763" w14:paraId="5C97CD01" w14:textId="77777777" w:rsidTr="00B13763">
        <w:tc>
          <w:tcPr>
            <w:tcW w:w="1048" w:type="dxa"/>
          </w:tcPr>
          <w:p w14:paraId="429E6947" w14:textId="51B4D2D9" w:rsidR="00B13763" w:rsidRDefault="00B13763" w:rsidP="00B13763">
            <w:pPr>
              <w:pStyle w:val="Heading2"/>
              <w:numPr>
                <w:ilvl w:val="0"/>
                <w:numId w:val="0"/>
              </w:numPr>
              <w:jc w:val="center"/>
              <w:outlineLvl w:val="1"/>
            </w:pPr>
            <w:r>
              <w:t>5</w:t>
            </w:r>
          </w:p>
        </w:tc>
        <w:tc>
          <w:tcPr>
            <w:tcW w:w="1771" w:type="dxa"/>
          </w:tcPr>
          <w:p w14:paraId="52399E49" w14:textId="77777777" w:rsidR="00B13763" w:rsidRDefault="00B13763" w:rsidP="00B13763">
            <w:pPr>
              <w:pStyle w:val="Heading2"/>
              <w:numPr>
                <w:ilvl w:val="0"/>
                <w:numId w:val="0"/>
              </w:numPr>
              <w:outlineLvl w:val="1"/>
            </w:pPr>
          </w:p>
        </w:tc>
        <w:tc>
          <w:tcPr>
            <w:tcW w:w="3827" w:type="dxa"/>
          </w:tcPr>
          <w:p w14:paraId="077A3A07" w14:textId="77777777" w:rsidR="00B13763" w:rsidRDefault="00B13763" w:rsidP="00B13763">
            <w:pPr>
              <w:pStyle w:val="Heading2"/>
              <w:numPr>
                <w:ilvl w:val="0"/>
                <w:numId w:val="0"/>
              </w:numPr>
              <w:outlineLvl w:val="1"/>
            </w:pPr>
          </w:p>
        </w:tc>
        <w:tc>
          <w:tcPr>
            <w:tcW w:w="1653" w:type="dxa"/>
          </w:tcPr>
          <w:p w14:paraId="7710DA68" w14:textId="77777777" w:rsidR="00B13763" w:rsidRDefault="00B13763" w:rsidP="00B13763">
            <w:pPr>
              <w:pStyle w:val="Heading2"/>
              <w:numPr>
                <w:ilvl w:val="0"/>
                <w:numId w:val="0"/>
              </w:numPr>
              <w:outlineLvl w:val="1"/>
            </w:pPr>
          </w:p>
        </w:tc>
      </w:tr>
    </w:tbl>
    <w:p w14:paraId="2E373C90" w14:textId="77777777" w:rsidR="003F626A" w:rsidRDefault="003F626A" w:rsidP="003F626A">
      <w:pPr>
        <w:pStyle w:val="Heading2"/>
        <w:numPr>
          <w:ilvl w:val="0"/>
          <w:numId w:val="0"/>
        </w:numPr>
        <w:ind w:left="720"/>
      </w:pPr>
    </w:p>
    <w:p w14:paraId="5613316B" w14:textId="30632A61" w:rsidR="00CB68C0" w:rsidRPr="00CB68C0" w:rsidRDefault="00CB68C0" w:rsidP="00CB68C0">
      <w:pPr>
        <w:pStyle w:val="Heading2"/>
      </w:pPr>
      <w:bookmarkStart w:id="37" w:name="_Toc368573040"/>
      <w:bookmarkStart w:id="38" w:name="_Toc444518882"/>
      <w:r w:rsidRPr="00CB68C0">
        <w:t>Where a potential provider fails the against the KPI’s listed above, the Authority will, in</w:t>
      </w:r>
      <w:r>
        <w:rPr>
          <w:b/>
          <w:caps/>
        </w:rPr>
        <w:t xml:space="preserve"> </w:t>
      </w:r>
      <w:r w:rsidRPr="00CB68C0">
        <w:t>the first instance, seek a mutually agreeable resolution with the Potential Provider. However, if this is not possible, the Authority reserves the right to cancel the agreement and seek alternative supply from the next ranked Potential Provider identified during the procurement event.</w:t>
      </w:r>
    </w:p>
    <w:p w14:paraId="3F767EF8" w14:textId="395BBB53" w:rsidR="00671798" w:rsidRDefault="00FE18AC" w:rsidP="00CB68C0">
      <w:pPr>
        <w:pStyle w:val="Heading1"/>
      </w:pPr>
      <w:r>
        <w:lastRenderedPageBreak/>
        <w:t>Security requirements</w:t>
      </w:r>
      <w:bookmarkEnd w:id="37"/>
      <w:bookmarkEnd w:id="38"/>
    </w:p>
    <w:p w14:paraId="3FF1BF98" w14:textId="1555793C" w:rsidR="00671798" w:rsidRPr="00132F18" w:rsidRDefault="00132F18">
      <w:pPr>
        <w:pStyle w:val="Heading2"/>
        <w:tabs>
          <w:tab w:val="clear" w:pos="720"/>
          <w:tab w:val="num" w:pos="709"/>
        </w:tabs>
        <w:spacing w:after="120"/>
        <w:ind w:left="709" w:hanging="709"/>
      </w:pPr>
      <w:r w:rsidRPr="00132F18">
        <w:t>N/A</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444518883"/>
      <w:r>
        <w:rPr>
          <w:rFonts w:cs="Arial"/>
          <w:szCs w:val="22"/>
        </w:rPr>
        <w:t>intellectual property rights (ipr)</w:t>
      </w:r>
      <w:bookmarkEnd w:id="39"/>
      <w:bookmarkEnd w:id="40"/>
    </w:p>
    <w:p w14:paraId="1F156070" w14:textId="4C46C953" w:rsidR="00176CBE" w:rsidRPr="00132F18" w:rsidRDefault="00132F18" w:rsidP="00176CBE">
      <w:pPr>
        <w:pStyle w:val="Heading2"/>
        <w:rPr>
          <w:rFonts w:cs="Arial"/>
          <w:szCs w:val="22"/>
        </w:rPr>
      </w:pPr>
      <w:r>
        <w:t>N/A</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44518884"/>
      <w:bookmarkStart w:id="42" w:name="_Toc368573042"/>
      <w:r w:rsidRPr="00874062">
        <w:rPr>
          <w:rFonts w:cs="Arial"/>
          <w:szCs w:val="22"/>
        </w:rPr>
        <w:t>payment</w:t>
      </w:r>
      <w:bookmarkEnd w:id="41"/>
    </w:p>
    <w:p w14:paraId="3D9AE070" w14:textId="77777777" w:rsidR="00CF1C18" w:rsidRPr="00293179" w:rsidRDefault="00CF1C18" w:rsidP="00CF1C18">
      <w:pPr>
        <w:pStyle w:val="Heading2"/>
      </w:pPr>
      <w:bookmarkStart w:id="43" w:name="_Toc444518885"/>
      <w:r w:rsidRPr="00293179">
        <w:t>Payment will be made via CP&amp;F.</w:t>
      </w:r>
    </w:p>
    <w:p w14:paraId="79A0F08A" w14:textId="77777777" w:rsidR="00CF1C18" w:rsidRPr="00293179" w:rsidRDefault="00CF1C18" w:rsidP="00CF1C18">
      <w:pPr>
        <w:pStyle w:val="Heading2"/>
        <w:rPr>
          <w:szCs w:val="22"/>
        </w:rPr>
      </w:pPr>
      <w:r w:rsidRPr="00293179">
        <w:rPr>
          <w:rFonts w:cs="Arial"/>
          <w:color w:val="000000"/>
          <w:szCs w:val="22"/>
          <w:shd w:val="clear" w:color="auto" w:fill="FFFFFF"/>
        </w:rPr>
        <w:t xml:space="preserve">Payment can only be made following satisfactory delivery of pre-agreed certified products and deliverables. </w:t>
      </w:r>
    </w:p>
    <w:p w14:paraId="2E38E5C1" w14:textId="77777777" w:rsidR="00CF1C18" w:rsidRPr="00293179" w:rsidRDefault="00CF1C18" w:rsidP="00CF1C18">
      <w:pPr>
        <w:pStyle w:val="Heading2"/>
        <w:rPr>
          <w:szCs w:val="22"/>
        </w:rPr>
      </w:pPr>
      <w:r w:rsidRPr="00293179">
        <w:rPr>
          <w:rFonts w:cs="Arial"/>
          <w:color w:val="000000"/>
          <w:szCs w:val="22"/>
          <w:shd w:val="clear" w:color="auto" w:fill="FFFFFF"/>
        </w:rPr>
        <w:t xml:space="preserve">Before payment can be considered, each invoice must include a detailed elemental breakdown of work completed and the associated costs. </w:t>
      </w:r>
    </w:p>
    <w:p w14:paraId="57D2EE42" w14:textId="77777777" w:rsidR="00CF1C18" w:rsidRPr="00293179" w:rsidRDefault="00CF1C18" w:rsidP="00CF1C18">
      <w:pPr>
        <w:pStyle w:val="Heading2"/>
        <w:rPr>
          <w:szCs w:val="22"/>
        </w:rPr>
      </w:pPr>
      <w:r w:rsidRPr="00293179">
        <w:rPr>
          <w:rFonts w:cs="Arial"/>
          <w:color w:val="000000"/>
          <w:szCs w:val="22"/>
          <w:shd w:val="clear" w:color="auto" w:fill="FFFFFF"/>
        </w:rPr>
        <w:t>The invoices should include a full breakdown of goods and services.</w:t>
      </w:r>
    </w:p>
    <w:p w14:paraId="520B4F50" w14:textId="77777777" w:rsidR="00CF1C18" w:rsidRPr="00293179" w:rsidRDefault="00CF1C18" w:rsidP="00CF1C18">
      <w:pPr>
        <w:pStyle w:val="Heading2"/>
        <w:rPr>
          <w:szCs w:val="22"/>
        </w:rPr>
      </w:pPr>
      <w:r w:rsidRPr="00293179">
        <w:rPr>
          <w:rFonts w:cs="Arial"/>
          <w:color w:val="000000"/>
          <w:szCs w:val="22"/>
          <w:shd w:val="clear" w:color="auto" w:fill="FFFFFF"/>
        </w:rPr>
        <w:t>Payment will be made thirty (30) days following receipt of invoice.</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Pr>
          <w:rFonts w:cs="Arial"/>
          <w:szCs w:val="22"/>
        </w:rPr>
        <w:t>additional information</w:t>
      </w:r>
      <w:bookmarkEnd w:id="42"/>
      <w:bookmarkEnd w:id="43"/>
      <w:r>
        <w:rPr>
          <w:rFonts w:cs="Arial"/>
          <w:szCs w:val="22"/>
        </w:rPr>
        <w:t xml:space="preserve"> </w:t>
      </w:r>
    </w:p>
    <w:p w14:paraId="32DE6FE4" w14:textId="77777777" w:rsidR="00CF1C18" w:rsidRPr="0070156F" w:rsidRDefault="00CF1C18" w:rsidP="00CF1C18">
      <w:pPr>
        <w:pStyle w:val="Heading2"/>
        <w:tabs>
          <w:tab w:val="clear" w:pos="720"/>
          <w:tab w:val="num" w:pos="709"/>
        </w:tabs>
        <w:spacing w:after="120"/>
        <w:ind w:left="709" w:hanging="709"/>
      </w:pPr>
      <w:bookmarkStart w:id="44" w:name="_Toc368573043"/>
      <w:bookmarkStart w:id="45" w:name="_Toc444518886"/>
      <w:bookmarkEnd w:id="20"/>
      <w:r w:rsidRPr="0070156F">
        <w:t>Upon award of the Contract, the successful Provider will be issued with a RM3733 Order Form. The Order Form is issued in accordance with the provision of the Technology Products 2 Framework Agreement and forms the contractual agreement between the Authority and the successful Provider.</w:t>
      </w:r>
    </w:p>
    <w:p w14:paraId="1A7757E5" w14:textId="77777777" w:rsidR="00CF1C18" w:rsidRDefault="00CF1C18" w:rsidP="00CF1C18">
      <w:pPr>
        <w:pStyle w:val="Heading2"/>
        <w:tabs>
          <w:tab w:val="clear" w:pos="720"/>
          <w:tab w:val="num" w:pos="709"/>
        </w:tabs>
        <w:spacing w:after="120"/>
        <w:ind w:left="709" w:hanging="709"/>
      </w:pPr>
      <w:r w:rsidRPr="0070156F">
        <w:t>Potential Providers are reminded to provide a formal quotation on company official headed paper in PDF version, detailing all equipment and delivery costs, inclusive of any/product numbers or references, as well as submitting the Appendix E – Price Schedule.</w:t>
      </w:r>
    </w:p>
    <w:p w14:paraId="04BBE808" w14:textId="77777777" w:rsidR="00671798" w:rsidRDefault="00FE18AC">
      <w:pPr>
        <w:pStyle w:val="Heading1"/>
        <w:spacing w:after="120"/>
      </w:pPr>
      <w:r>
        <w:t>Location</w:t>
      </w:r>
      <w:bookmarkEnd w:id="44"/>
      <w:bookmarkEnd w:id="45"/>
      <w:r>
        <w:t xml:space="preserve"> </w:t>
      </w:r>
    </w:p>
    <w:p w14:paraId="37C13A5F" w14:textId="69F91AA2" w:rsidR="00671798" w:rsidRDefault="00FE18AC">
      <w:pPr>
        <w:pStyle w:val="Heading2"/>
        <w:tabs>
          <w:tab w:val="clear" w:pos="720"/>
          <w:tab w:val="num" w:pos="709"/>
        </w:tabs>
        <w:spacing w:after="120"/>
        <w:ind w:left="709" w:hanging="709"/>
      </w:pPr>
      <w:r>
        <w:t>The location of the Services will</w:t>
      </w:r>
      <w:r w:rsidR="00A8080D">
        <w:t xml:space="preserve"> </w:t>
      </w:r>
      <w:proofErr w:type="gramStart"/>
      <w:r w:rsidR="00A8080D">
        <w:t>delivered</w:t>
      </w:r>
      <w:proofErr w:type="gramEnd"/>
      <w:r w:rsidR="00A8080D">
        <w:t xml:space="preserve"> to the following address:</w:t>
      </w:r>
    </w:p>
    <w:p w14:paraId="107169EB" w14:textId="3C627A83" w:rsidR="00A8080D" w:rsidRDefault="00A8080D" w:rsidP="00A8080D">
      <w:pPr>
        <w:pStyle w:val="Heading3"/>
        <w:spacing w:after="0"/>
      </w:pPr>
      <w:r>
        <w:t>MSCU, QinetiQ Technology Park,</w:t>
      </w:r>
    </w:p>
    <w:p w14:paraId="48E172FA" w14:textId="4EBC345F" w:rsidR="00A8080D" w:rsidRDefault="00A8080D" w:rsidP="00A8080D">
      <w:pPr>
        <w:pStyle w:val="Heading3"/>
        <w:numPr>
          <w:ilvl w:val="0"/>
          <w:numId w:val="0"/>
        </w:numPr>
        <w:spacing w:after="0"/>
        <w:ind w:left="1800"/>
      </w:pPr>
      <w:r>
        <w:t>Portsdown Hill,</w:t>
      </w:r>
    </w:p>
    <w:p w14:paraId="25321301" w14:textId="06D0B094" w:rsidR="00A8080D" w:rsidRDefault="00A8080D" w:rsidP="00A8080D">
      <w:pPr>
        <w:pStyle w:val="Heading3"/>
        <w:numPr>
          <w:ilvl w:val="0"/>
          <w:numId w:val="0"/>
        </w:numPr>
        <w:spacing w:after="0"/>
        <w:ind w:left="1800"/>
      </w:pPr>
      <w:r>
        <w:t>Cosham,</w:t>
      </w:r>
    </w:p>
    <w:p w14:paraId="68FE8211" w14:textId="5F8A8DD9" w:rsidR="00A8080D" w:rsidRDefault="00A8080D" w:rsidP="00A8080D">
      <w:pPr>
        <w:pStyle w:val="Heading3"/>
        <w:numPr>
          <w:ilvl w:val="0"/>
          <w:numId w:val="0"/>
        </w:numPr>
        <w:spacing w:after="0"/>
        <w:ind w:left="1800"/>
      </w:pPr>
      <w:r>
        <w:t>Hants,</w:t>
      </w:r>
    </w:p>
    <w:p w14:paraId="0F12CE8C" w14:textId="6170B87D" w:rsidR="00A8080D" w:rsidRDefault="00A8080D" w:rsidP="00A8080D">
      <w:pPr>
        <w:pStyle w:val="Heading3"/>
        <w:numPr>
          <w:ilvl w:val="0"/>
          <w:numId w:val="0"/>
        </w:numPr>
        <w:spacing w:after="0"/>
        <w:ind w:left="1800"/>
      </w:pPr>
      <w:r>
        <w:t>PO6 3RU</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2"/>
      <w:footerReference w:type="default" r:id="rId13"/>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5E9C3" w14:textId="77777777" w:rsidR="000B1B46" w:rsidRDefault="000B1B46">
      <w:pPr>
        <w:spacing w:line="20" w:lineRule="exact"/>
      </w:pPr>
    </w:p>
  </w:endnote>
  <w:endnote w:type="continuationSeparator" w:id="0">
    <w:p w14:paraId="5105F620" w14:textId="77777777" w:rsidR="000B1B46" w:rsidRDefault="000B1B46">
      <w:pPr>
        <w:spacing w:line="20" w:lineRule="exact"/>
      </w:pPr>
      <w:r>
        <w:t xml:space="preserve"> </w:t>
      </w:r>
    </w:p>
  </w:endnote>
  <w:endnote w:type="continuationNotice" w:id="1">
    <w:p w14:paraId="1FFDDF20" w14:textId="77777777" w:rsidR="000B1B46" w:rsidRDefault="000B1B4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7900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7423353F" w:rsidR="00362A29" w:rsidRDefault="00E927CD">
        <w:pPr>
          <w:pStyle w:val="Footer"/>
          <w:rPr>
            <w:sz w:val="20"/>
            <w:szCs w:val="20"/>
          </w:rPr>
        </w:pPr>
        <w:r>
          <w:rPr>
            <w:sz w:val="20"/>
            <w:szCs w:val="20"/>
          </w:rPr>
          <w:t>Sarah Pearson</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143B1E0A" w:rsidR="00362A29" w:rsidRPr="00985B4D" w:rsidRDefault="00362A29" w:rsidP="00985B4D">
        <w:pPr>
          <w:pStyle w:val="Footer"/>
          <w:jc w:val="right"/>
          <w:rPr>
            <w:sz w:val="20"/>
            <w:szCs w:val="20"/>
          </w:rPr>
        </w:pPr>
        <w:r>
          <w:rPr>
            <w:sz w:val="20"/>
            <w:szCs w:val="20"/>
          </w:rPr>
          <w:t>V3.</w:t>
        </w:r>
        <w:r w:rsidR="00E927CD">
          <w:rPr>
            <w:sz w:val="20"/>
            <w:szCs w:val="20"/>
          </w:rPr>
          <w:t xml:space="preserve">1 </w:t>
        </w:r>
        <w:r w:rsidR="00C95754">
          <w:rPr>
            <w:sz w:val="20"/>
            <w:szCs w:val="20"/>
          </w:rPr>
          <w:t>02.07</w:t>
        </w:r>
        <w:r w:rsidR="00E927CD">
          <w:rPr>
            <w:sz w:val="20"/>
            <w:szCs w:val="20"/>
          </w:rPr>
          <w:t>.2018</w:t>
        </w:r>
      </w:p>
      <w:p w14:paraId="5214230D" w14:textId="4EF2BBD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DC5E67">
          <w:rPr>
            <w:noProof/>
            <w:sz w:val="20"/>
            <w:szCs w:val="20"/>
          </w:rPr>
          <w:t>8</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8F87E" w14:textId="77777777" w:rsidR="000B1B46" w:rsidRDefault="000B1B46">
      <w:r>
        <w:separator/>
      </w:r>
    </w:p>
  </w:footnote>
  <w:footnote w:type="continuationSeparator" w:id="0">
    <w:p w14:paraId="6075539F" w14:textId="77777777" w:rsidR="000B1B46" w:rsidRDefault="000B1B46">
      <w:r>
        <w:continuationSeparator/>
      </w:r>
    </w:p>
  </w:footnote>
  <w:footnote w:type="continuationNotice" w:id="1">
    <w:p w14:paraId="3397C671" w14:textId="77777777" w:rsidR="000B1B46" w:rsidRDefault="000B1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3A70D0" w14:textId="1C04B0EE" w:rsidR="004447F6" w:rsidRPr="004447F6" w:rsidRDefault="00362A29" w:rsidP="004447F6">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r w:rsidR="004447F6">
      <w:rPr>
        <w:rFonts w:eastAsia="Times New Roman" w:cs="Arial"/>
        <w:color w:val="000000"/>
        <w:sz w:val="20"/>
        <w:szCs w:val="20"/>
        <w:lang w:eastAsia="en-GB"/>
      </w:rPr>
      <w:br/>
      <w:t>Provision of IRIS Software M</w:t>
    </w:r>
    <w:r w:rsidR="004447F6" w:rsidRPr="004447F6">
      <w:rPr>
        <w:rFonts w:eastAsia="Times New Roman" w:cs="Arial"/>
        <w:color w:val="000000"/>
        <w:sz w:val="20"/>
        <w:szCs w:val="20"/>
        <w:lang w:eastAsia="en-GB"/>
      </w:rPr>
      <w:t>aintenance Renewal</w:t>
    </w:r>
  </w:p>
  <w:p w14:paraId="3CFCFA88" w14:textId="2889A2D6" w:rsidR="00362A29" w:rsidRPr="005334EA" w:rsidRDefault="00E927CD" w:rsidP="005334EA">
    <w:pPr>
      <w:tabs>
        <w:tab w:val="center" w:pos="4153"/>
        <w:tab w:val="right" w:pos="8306"/>
      </w:tabs>
      <w:ind w:left="720"/>
      <w:jc w:val="center"/>
      <w:rPr>
        <w:sz w:val="20"/>
        <w:szCs w:val="20"/>
      </w:rPr>
    </w:pPr>
    <w:r>
      <w:rPr>
        <w:rFonts w:cs="Arial"/>
        <w:sz w:val="20"/>
        <w:szCs w:val="20"/>
      </w:rPr>
      <w:t>CCSO18A98</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1CBA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138"/>
        </w:tabs>
        <w:ind w:left="2138"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503C"/>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B46"/>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1A6F"/>
    <w:rsid w:val="00113459"/>
    <w:rsid w:val="00113CF2"/>
    <w:rsid w:val="001173D2"/>
    <w:rsid w:val="001223EC"/>
    <w:rsid w:val="00122891"/>
    <w:rsid w:val="00123FAD"/>
    <w:rsid w:val="001245F5"/>
    <w:rsid w:val="001256D9"/>
    <w:rsid w:val="0012683D"/>
    <w:rsid w:val="001313AB"/>
    <w:rsid w:val="00131AF8"/>
    <w:rsid w:val="001321F1"/>
    <w:rsid w:val="00132F18"/>
    <w:rsid w:val="00133ADF"/>
    <w:rsid w:val="00133FC1"/>
    <w:rsid w:val="001345B2"/>
    <w:rsid w:val="00134C60"/>
    <w:rsid w:val="00134FC3"/>
    <w:rsid w:val="00135690"/>
    <w:rsid w:val="001360AB"/>
    <w:rsid w:val="001368D7"/>
    <w:rsid w:val="00136BDD"/>
    <w:rsid w:val="00136D23"/>
    <w:rsid w:val="0013718C"/>
    <w:rsid w:val="0013771E"/>
    <w:rsid w:val="00141017"/>
    <w:rsid w:val="00144867"/>
    <w:rsid w:val="00144F3B"/>
    <w:rsid w:val="00145725"/>
    <w:rsid w:val="00147DA6"/>
    <w:rsid w:val="001517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68D6"/>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1881"/>
    <w:rsid w:val="001E378F"/>
    <w:rsid w:val="001E3BC9"/>
    <w:rsid w:val="001E49D6"/>
    <w:rsid w:val="001F0B69"/>
    <w:rsid w:val="001F13E1"/>
    <w:rsid w:val="001F2926"/>
    <w:rsid w:val="001F2F1C"/>
    <w:rsid w:val="001F300D"/>
    <w:rsid w:val="001F3B05"/>
    <w:rsid w:val="001F4B65"/>
    <w:rsid w:val="001F4D09"/>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4FB"/>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505F"/>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169F8"/>
    <w:rsid w:val="0032065B"/>
    <w:rsid w:val="00323541"/>
    <w:rsid w:val="00323EAA"/>
    <w:rsid w:val="00330C5C"/>
    <w:rsid w:val="00331523"/>
    <w:rsid w:val="003316AA"/>
    <w:rsid w:val="00333D28"/>
    <w:rsid w:val="003341DC"/>
    <w:rsid w:val="00336059"/>
    <w:rsid w:val="0034369B"/>
    <w:rsid w:val="00343746"/>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47F6"/>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56B9"/>
    <w:rsid w:val="0049625F"/>
    <w:rsid w:val="00497D0E"/>
    <w:rsid w:val="004A225E"/>
    <w:rsid w:val="004A2D0B"/>
    <w:rsid w:val="004A2E7B"/>
    <w:rsid w:val="004A31F5"/>
    <w:rsid w:val="004A4371"/>
    <w:rsid w:val="004A48ED"/>
    <w:rsid w:val="004B174B"/>
    <w:rsid w:val="004B4E34"/>
    <w:rsid w:val="004B5B9D"/>
    <w:rsid w:val="004B6951"/>
    <w:rsid w:val="004B7B71"/>
    <w:rsid w:val="004C0636"/>
    <w:rsid w:val="004C1460"/>
    <w:rsid w:val="004C33E9"/>
    <w:rsid w:val="004C3588"/>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E7B06"/>
    <w:rsid w:val="004F2229"/>
    <w:rsid w:val="004F2D68"/>
    <w:rsid w:val="004F4E7F"/>
    <w:rsid w:val="004F59E8"/>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35BA"/>
    <w:rsid w:val="005571B2"/>
    <w:rsid w:val="00561AE0"/>
    <w:rsid w:val="00561BB6"/>
    <w:rsid w:val="00563F76"/>
    <w:rsid w:val="00564CCA"/>
    <w:rsid w:val="0056660C"/>
    <w:rsid w:val="00570006"/>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070B"/>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1D0"/>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22C"/>
    <w:rsid w:val="006F6878"/>
    <w:rsid w:val="006F6F85"/>
    <w:rsid w:val="007003CC"/>
    <w:rsid w:val="00702C1F"/>
    <w:rsid w:val="00704A4D"/>
    <w:rsid w:val="00706FCC"/>
    <w:rsid w:val="007110A9"/>
    <w:rsid w:val="007145F1"/>
    <w:rsid w:val="0072081F"/>
    <w:rsid w:val="007217F8"/>
    <w:rsid w:val="00724885"/>
    <w:rsid w:val="00727A46"/>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29F8"/>
    <w:rsid w:val="007734F9"/>
    <w:rsid w:val="00773C5A"/>
    <w:rsid w:val="007742BD"/>
    <w:rsid w:val="00780E4F"/>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B5F"/>
    <w:rsid w:val="00911C93"/>
    <w:rsid w:val="00912B1E"/>
    <w:rsid w:val="00912C42"/>
    <w:rsid w:val="009141BA"/>
    <w:rsid w:val="0091531E"/>
    <w:rsid w:val="00915583"/>
    <w:rsid w:val="009175F3"/>
    <w:rsid w:val="00922A4C"/>
    <w:rsid w:val="00923A8C"/>
    <w:rsid w:val="00923ACC"/>
    <w:rsid w:val="00926958"/>
    <w:rsid w:val="00926AFD"/>
    <w:rsid w:val="00926B0F"/>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0F52"/>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0E70"/>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81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65D5"/>
    <w:rsid w:val="00A57890"/>
    <w:rsid w:val="00A57B4E"/>
    <w:rsid w:val="00A61283"/>
    <w:rsid w:val="00A6219D"/>
    <w:rsid w:val="00A63F3F"/>
    <w:rsid w:val="00A646DE"/>
    <w:rsid w:val="00A72352"/>
    <w:rsid w:val="00A72AE0"/>
    <w:rsid w:val="00A73E58"/>
    <w:rsid w:val="00A74FE3"/>
    <w:rsid w:val="00A8080D"/>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32F"/>
    <w:rsid w:val="00B008C0"/>
    <w:rsid w:val="00B0302C"/>
    <w:rsid w:val="00B06365"/>
    <w:rsid w:val="00B1155E"/>
    <w:rsid w:val="00B1289A"/>
    <w:rsid w:val="00B12987"/>
    <w:rsid w:val="00B13340"/>
    <w:rsid w:val="00B13763"/>
    <w:rsid w:val="00B238B0"/>
    <w:rsid w:val="00B240CE"/>
    <w:rsid w:val="00B25132"/>
    <w:rsid w:val="00B2520D"/>
    <w:rsid w:val="00B25BB6"/>
    <w:rsid w:val="00B25C88"/>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1D8A"/>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754"/>
    <w:rsid w:val="00C959C7"/>
    <w:rsid w:val="00CA2595"/>
    <w:rsid w:val="00CA3052"/>
    <w:rsid w:val="00CA3130"/>
    <w:rsid w:val="00CA3806"/>
    <w:rsid w:val="00CA69F1"/>
    <w:rsid w:val="00CB0B3E"/>
    <w:rsid w:val="00CB14F9"/>
    <w:rsid w:val="00CB1680"/>
    <w:rsid w:val="00CB3318"/>
    <w:rsid w:val="00CB68C0"/>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1C18"/>
    <w:rsid w:val="00CF53F5"/>
    <w:rsid w:val="00CF5885"/>
    <w:rsid w:val="00CF7A5C"/>
    <w:rsid w:val="00CF7B6A"/>
    <w:rsid w:val="00CF7DAD"/>
    <w:rsid w:val="00D01126"/>
    <w:rsid w:val="00D012D3"/>
    <w:rsid w:val="00D02587"/>
    <w:rsid w:val="00D03382"/>
    <w:rsid w:val="00D038AC"/>
    <w:rsid w:val="00D056A2"/>
    <w:rsid w:val="00D10BD3"/>
    <w:rsid w:val="00D12A9F"/>
    <w:rsid w:val="00D15FFC"/>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2D8A"/>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5E67"/>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0D40"/>
    <w:rsid w:val="00E22084"/>
    <w:rsid w:val="00E22767"/>
    <w:rsid w:val="00E245A6"/>
    <w:rsid w:val="00E25C2D"/>
    <w:rsid w:val="00E2791D"/>
    <w:rsid w:val="00E32A1D"/>
    <w:rsid w:val="00E33788"/>
    <w:rsid w:val="00E3410E"/>
    <w:rsid w:val="00E4045B"/>
    <w:rsid w:val="00E41D60"/>
    <w:rsid w:val="00E420B0"/>
    <w:rsid w:val="00E42A3E"/>
    <w:rsid w:val="00E450B0"/>
    <w:rsid w:val="00E468A7"/>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CD"/>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BAD"/>
    <w:rsid w:val="00ED3242"/>
    <w:rsid w:val="00ED3ECF"/>
    <w:rsid w:val="00ED6D4F"/>
    <w:rsid w:val="00EE2602"/>
    <w:rsid w:val="00EE2DA4"/>
    <w:rsid w:val="00EE3490"/>
    <w:rsid w:val="00EE3CAE"/>
    <w:rsid w:val="00EE4132"/>
    <w:rsid w:val="00EE5F66"/>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7AC"/>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4CE"/>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42CF"/>
    <w:rsid w:val="00FE591B"/>
    <w:rsid w:val="00FE7B9A"/>
    <w:rsid w:val="00FE7D76"/>
    <w:rsid w:val="00FF402A"/>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tabs>
        <w:tab w:val="clear" w:pos="2138"/>
        <w:tab w:val="num" w:pos="720"/>
      </w:tabs>
      <w:ind w:left="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803738">
      <w:bodyDiv w:val="1"/>
      <w:marLeft w:val="0"/>
      <w:marRight w:val="0"/>
      <w:marTop w:val="0"/>
      <w:marBottom w:val="0"/>
      <w:divBdr>
        <w:top w:val="none" w:sz="0" w:space="0" w:color="auto"/>
        <w:left w:val="none" w:sz="0" w:space="0" w:color="auto"/>
        <w:bottom w:val="none" w:sz="0" w:space="0" w:color="auto"/>
        <w:right w:val="none" w:sz="0" w:space="0" w:color="auto"/>
      </w:divBdr>
      <w:divsChild>
        <w:div w:id="317735729">
          <w:marLeft w:val="0"/>
          <w:marRight w:val="0"/>
          <w:marTop w:val="0"/>
          <w:marBottom w:val="0"/>
          <w:divBdr>
            <w:top w:val="none" w:sz="0" w:space="0" w:color="auto"/>
            <w:left w:val="none" w:sz="0" w:space="0" w:color="auto"/>
            <w:bottom w:val="none" w:sz="0" w:space="0" w:color="auto"/>
            <w:right w:val="none" w:sz="0" w:space="0" w:color="auto"/>
          </w:divBdr>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fielding@systemati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9" ma:contentTypeDescription="Create a new document." ma:contentTypeScope="" ma:versionID="3f87ff147f80cd6096d48987efcc8287">
  <xsd:schema xmlns:xsd="http://www.w3.org/2001/XMLSchema" xmlns:xs="http://www.w3.org/2001/XMLSchema" xmlns:p="http://schemas.microsoft.com/office/2006/metadata/properties" xmlns:ns2="6c32ae9e-2cfc-4715-a107-839e96415ba0" targetNamespace="http://schemas.microsoft.com/office/2006/metadata/properties" ma:root="true" ma:fieldsID="9c510e0db05f18a9766abc8b9e69cbec"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6B89-9E10-40F1-96FC-B78E2B07E8C1}">
  <ds:schemaRefs>
    <ds:schemaRef ds:uri="http://schemas.microsoft.com/sharepoint/v3/contenttype/forms"/>
  </ds:schemaRefs>
</ds:datastoreItem>
</file>

<file path=customXml/itemProps2.xml><?xml version="1.0" encoding="utf-8"?>
<ds:datastoreItem xmlns:ds="http://schemas.openxmlformats.org/officeDocument/2006/customXml" ds:itemID="{63AEABA3-81E5-49D7-BD32-0089F5677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18316-5BEC-464E-8DCD-58C55D76BCE2}">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6c32ae9e-2cfc-4715-a107-839e96415ba0"/>
    <ds:schemaRef ds:uri="http://purl.org/dc/terms/"/>
  </ds:schemaRefs>
</ds:datastoreItem>
</file>

<file path=customXml/itemProps4.xml><?xml version="1.0" encoding="utf-8"?>
<ds:datastoreItem xmlns:ds="http://schemas.openxmlformats.org/officeDocument/2006/customXml" ds:itemID="{8171154D-19C5-4399-8D36-93439128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Murton, Eliot D (NAVY COMRCL-Comrcl Officer 12)</cp:lastModifiedBy>
  <cp:revision>2</cp:revision>
  <dcterms:created xsi:type="dcterms:W3CDTF">2020-08-18T15:20:00Z</dcterms:created>
  <dcterms:modified xsi:type="dcterms:W3CDTF">2020-08-18T15:20:00Z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0x01010025FF934C08F6B74AB7B7D3A94B6DB89D</vt:lpwstr>
  </property>
</Properties>
</file>