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Letter of Intent to Guarantee – Framework Agreement RM6244 Standard and Specialist Vehicles (the “Framework Agreement”)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hUww9n5mvyypA3shBa5CXCrCw==">AMUW2mVhemdTBr5QUnHicbvIQj/lzSx/NZXR/D9RGdSjRvbLE5nl4evFWT9pSXhcaNrx7/C99VrtlU5X8B2VP0kfqMbSzJwRtGfrt0BVqRVv8QGH8FU/SKIAfi+xr6tvnqtDvuOthWkh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