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8" w:lineRule="auto"/>
        <w:ind w:left="14" w:right="802" w:firstLine="13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Framework Schedule 6 (Order Form and Call-Off </w:t>
      </w:r>
      <w:r>
        <w:rPr>
          <w:b/>
          <w:color w:val="000000"/>
          <w:sz w:val="36"/>
          <w:szCs w:val="36"/>
        </w:rPr>
        <w:t xml:space="preserve">Schedules) </w:t>
      </w:r>
    </w:p>
    <w:p w:rsidR="00347090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left="15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Order Form  </w:t>
      </w:r>
    </w:p>
    <w:p w:rsidR="00347090" w:rsidRDefault="00347090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0" w:line="240" w:lineRule="auto"/>
        <w:ind w:left="15"/>
        <w:rPr>
          <w:b/>
          <w:color w:val="000000"/>
          <w:sz w:val="36"/>
          <w:szCs w:val="36"/>
        </w:rPr>
      </w:pPr>
    </w:p>
    <w:p w:rsidR="00D14AB7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REFERENCE: </w:t>
      </w:r>
      <w:r w:rsidR="00347090">
        <w:rPr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Conclave SaaS Single Sign </w:t>
      </w:r>
      <w:r w:rsidR="00347090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n Solution </w:t>
      </w:r>
    </w:p>
    <w:p w:rsidR="00347090" w:rsidRDefault="00347090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"/>
        <w:rPr>
          <w:color w:val="000000"/>
          <w:sz w:val="24"/>
          <w:szCs w:val="24"/>
        </w:rPr>
      </w:pPr>
    </w:p>
    <w:p w:rsidR="00347090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BUYER: </w:t>
      </w:r>
      <w:r w:rsidR="00347090">
        <w:rPr>
          <w:color w:val="000000"/>
          <w:sz w:val="24"/>
          <w:szCs w:val="24"/>
        </w:rPr>
        <w:t xml:space="preserve">                              </w:t>
      </w:r>
      <w:r w:rsidRPr="00347090">
        <w:rPr>
          <w:color w:val="000000"/>
          <w:sz w:val="24"/>
          <w:szCs w:val="24"/>
        </w:rPr>
        <w:t>Crown Commercial Service</w:t>
      </w:r>
      <w:r>
        <w:rPr>
          <w:b/>
          <w:color w:val="000000"/>
          <w:sz w:val="24"/>
          <w:szCs w:val="24"/>
        </w:rPr>
        <w:t xml:space="preserve"> </w:t>
      </w:r>
    </w:p>
    <w:p w:rsidR="00347090" w:rsidRDefault="00347090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b/>
          <w:color w:val="000000"/>
          <w:sz w:val="24"/>
          <w:szCs w:val="24"/>
        </w:rPr>
      </w:pPr>
    </w:p>
    <w:p w:rsidR="00D14AB7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44" w:hanging="3544"/>
        <w:rPr>
          <w:b/>
          <w:bCs/>
          <w:color w:val="FF0000"/>
        </w:rPr>
      </w:pPr>
      <w:r>
        <w:rPr>
          <w:color w:val="000000"/>
          <w:sz w:val="24"/>
          <w:szCs w:val="24"/>
        </w:rPr>
        <w:t>BUYER ADDRESS</w:t>
      </w:r>
      <w:r w:rsidR="00347090">
        <w:rPr>
          <w:color w:val="000000"/>
          <w:sz w:val="24"/>
          <w:szCs w:val="24"/>
        </w:rPr>
        <w:t xml:space="preserve">:                     </w:t>
      </w:r>
      <w:r w:rsidR="00347090">
        <w:rPr>
          <w:b/>
          <w:bCs/>
          <w:color w:val="FF0000"/>
        </w:rPr>
        <w:t>REDACTED TEXT under FOIA Section 40, Personal Information</w:t>
      </w:r>
    </w:p>
    <w:p w:rsidR="00347090" w:rsidRDefault="00347090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44" w:hanging="3544"/>
        <w:rPr>
          <w:color w:val="000000"/>
          <w:sz w:val="24"/>
          <w:szCs w:val="24"/>
        </w:rPr>
      </w:pPr>
    </w:p>
    <w:p w:rsidR="00D14AB7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HE SUPPLIER: </w:t>
      </w:r>
      <w:r w:rsidR="00347090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Softcat Plc </w:t>
      </w:r>
    </w:p>
    <w:p w:rsidR="00D14AB7" w:rsidRDefault="007A7905" w:rsidP="006C2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263" w:lineRule="auto"/>
        <w:ind w:left="3544" w:right="94" w:hanging="3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SUPPLIER ADDRESS: </w:t>
      </w:r>
      <w:r w:rsidR="00347090">
        <w:rPr>
          <w:color w:val="000000"/>
          <w:sz w:val="24"/>
          <w:szCs w:val="24"/>
        </w:rPr>
        <w:t xml:space="preserve">               </w:t>
      </w:r>
      <w:r w:rsidR="00347090">
        <w:rPr>
          <w:b/>
          <w:bCs/>
          <w:color w:val="FF0000"/>
        </w:rPr>
        <w:t>REDACTED TEXT under FOIA Section</w:t>
      </w:r>
      <w:r w:rsidR="006C2BA7">
        <w:rPr>
          <w:b/>
          <w:bCs/>
          <w:color w:val="FF0000"/>
        </w:rPr>
        <w:t xml:space="preserve"> </w:t>
      </w:r>
      <w:r w:rsidR="00347090">
        <w:rPr>
          <w:b/>
          <w:bCs/>
          <w:color w:val="FF0000"/>
        </w:rPr>
        <w:t>40, Personal Information</w:t>
      </w:r>
    </w:p>
    <w:p w:rsidR="00D14AB7" w:rsidRDefault="007A7905" w:rsidP="006C2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544" w:hanging="3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REGISTRATION NUMBER: </w:t>
      </w:r>
      <w:r w:rsidR="006C2BA7">
        <w:rPr>
          <w:color w:val="000000"/>
          <w:sz w:val="24"/>
          <w:szCs w:val="24"/>
        </w:rPr>
        <w:t xml:space="preserve">        </w:t>
      </w:r>
      <w:r w:rsidR="006C2BA7">
        <w:rPr>
          <w:b/>
          <w:bCs/>
          <w:color w:val="FF0000"/>
        </w:rPr>
        <w:t>REDACTED TEXT under FOIA Section 40, Personal Information</w:t>
      </w:r>
    </w:p>
    <w:p w:rsidR="00D14AB7" w:rsidRDefault="007A7905" w:rsidP="006C2B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5" w:line="240" w:lineRule="auto"/>
        <w:ind w:left="3544" w:hanging="35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DUNS NUMBER: </w:t>
      </w:r>
      <w:r w:rsidR="006C2BA7">
        <w:rPr>
          <w:color w:val="000000"/>
          <w:sz w:val="24"/>
          <w:szCs w:val="24"/>
        </w:rPr>
        <w:t xml:space="preserve">                         </w:t>
      </w:r>
      <w:r w:rsidR="006C2BA7">
        <w:rPr>
          <w:b/>
          <w:bCs/>
          <w:color w:val="FF0000"/>
        </w:rPr>
        <w:t>REDACTED TEXT under FOIA Section 40, Personal Information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11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SID4GOV ID: </w:t>
      </w:r>
      <w:r>
        <w:rPr>
          <w:b/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3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APPLICABLE FRAMEWORK CONTRACT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7" w:lineRule="auto"/>
        <w:ind w:left="13" w:right="70" w:hanging="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This Order Form is for the provision of the Call-Off Deliverables and dated </w:t>
      </w:r>
      <w:r w:rsidRPr="006C2BA7">
        <w:rPr>
          <w:color w:val="000000"/>
          <w:sz w:val="24"/>
          <w:szCs w:val="24"/>
        </w:rPr>
        <w:t>01/04/2021</w:t>
      </w:r>
      <w:r>
        <w:rPr>
          <w:color w:val="000000"/>
          <w:sz w:val="24"/>
          <w:szCs w:val="24"/>
        </w:rPr>
        <w:t xml:space="preserve">.  It’s issued under the Framework Contract with the reference number RM6068 for the </w:t>
      </w:r>
      <w:r>
        <w:rPr>
          <w:color w:val="000000"/>
          <w:sz w:val="24"/>
          <w:szCs w:val="24"/>
        </w:rPr>
        <w:t>provision of Technology Products and</w:t>
      </w:r>
      <w:r>
        <w:rPr>
          <w:color w:val="000000"/>
          <w:sz w:val="24"/>
          <w:szCs w:val="24"/>
        </w:rPr>
        <w:t xml:space="preserve"> Associated Services.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LOT(S):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77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Lot 3 Software &amp; Associated Services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4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INCORPORATED TERMS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63" w:lineRule="auto"/>
        <w:ind w:left="3" w:right="4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following documents are incorporated into this Call-Off Contract. Where </w:t>
      </w:r>
      <w:r>
        <w:rPr>
          <w:color w:val="000000"/>
          <w:sz w:val="24"/>
          <w:szCs w:val="24"/>
        </w:rPr>
        <w:t xml:space="preserve">numbers are missing we are not using those schedules. If the documents conflict, </w:t>
      </w:r>
      <w:r>
        <w:rPr>
          <w:color w:val="000000"/>
          <w:sz w:val="24"/>
          <w:szCs w:val="24"/>
        </w:rPr>
        <w:t>the following order of precedence applies: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64" w:lineRule="auto"/>
        <w:ind w:left="731" w:right="518" w:hanging="34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 This Order Form including the Call-Off Special Terms and Call-Off Specia</w:t>
      </w:r>
      <w:r w:rsidR="006C2BA7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Schedules.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Joint Schedule 1(Definitions and Interpretation) RM6068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36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The following Schedules in equal order of precedence: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left="74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Joint Schedules for RM6068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2 (Variation Form)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3 (Insurance Requirements)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4 (Commercially Sensitive Information)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6 (Key Subcontractors - Auth0)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8 (Guarantee)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9 (Minimum Standards of Reliability)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456"/>
        <w:rPr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o </w:t>
      </w:r>
      <w:r>
        <w:rPr>
          <w:color w:val="000000"/>
          <w:sz w:val="24"/>
          <w:szCs w:val="24"/>
        </w:rPr>
        <w:t xml:space="preserve">Joint Schedule 10 (Rectification Plan)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40" w:lineRule="auto"/>
        <w:ind w:left="740"/>
        <w:rPr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● </w:t>
      </w:r>
      <w:r>
        <w:rPr>
          <w:color w:val="000000"/>
          <w:sz w:val="24"/>
          <w:szCs w:val="24"/>
        </w:rPr>
        <w:t xml:space="preserve">Call-Off Schedules for </w:t>
      </w:r>
      <w:r w:rsidR="006C2BA7" w:rsidRPr="006C2BA7">
        <w:rPr>
          <w:color w:val="000000"/>
          <w:sz w:val="24"/>
          <w:szCs w:val="24"/>
        </w:rPr>
        <w:t>N/A</w:t>
      </w:r>
    </w:p>
    <w:p w:rsidR="007D7148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color w:val="000000"/>
          <w:sz w:val="24"/>
          <w:szCs w:val="24"/>
        </w:rPr>
        <w:t xml:space="preserve">Call-Off Schedule 1 (Transparency Reports) </w:t>
      </w:r>
    </w:p>
    <w:p w:rsidR="007D7148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 Off Schedule 3 (Continuous Improvement) </w:t>
      </w:r>
    </w:p>
    <w:p w:rsidR="007D7148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>Call-Off</w:t>
      </w:r>
      <w:r w:rsidRPr="007D7148">
        <w:rPr>
          <w:rFonts w:eastAsia="Courier New"/>
          <w:color w:val="000000"/>
          <w:sz w:val="24"/>
          <w:szCs w:val="24"/>
        </w:rPr>
        <w:t xml:space="preserve"> Schedule 6 (ICT Services) </w:t>
      </w:r>
    </w:p>
    <w:p w:rsid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</w:t>
      </w:r>
      <w:r w:rsidRPr="007D7148">
        <w:rPr>
          <w:rFonts w:eastAsia="Courier New"/>
          <w:color w:val="000000"/>
          <w:sz w:val="24"/>
          <w:szCs w:val="24"/>
        </w:rPr>
        <w:t>Schedule 8 (Business Continuity &amp; Disaster Recovery) Part [A/B]</w:t>
      </w:r>
      <w:r w:rsidRPr="007D7148">
        <w:rPr>
          <w:rFonts w:eastAsia="Courier New"/>
          <w:color w:val="000000"/>
          <w:sz w:val="24"/>
          <w:szCs w:val="24"/>
        </w:rPr>
        <w:t xml:space="preserve">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9 (Security) Part C 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10 (Exit Management) Part [A/B]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13 (Implementation Plan and Testing) 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14 (Service Levels) 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15 (Call-Off Contract Management) 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Call-Off Schedule 20 (Call-Off Specification) </w:t>
      </w:r>
    </w:p>
    <w:p w:rsidR="00D14AB7" w:rsidRPr="007D7148" w:rsidRDefault="007A7905" w:rsidP="007D714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43"/>
        <w:rPr>
          <w:rFonts w:eastAsia="Courier New"/>
          <w:color w:val="000000"/>
          <w:sz w:val="24"/>
          <w:szCs w:val="24"/>
        </w:rPr>
      </w:pPr>
      <w:r w:rsidRPr="007D7148">
        <w:rPr>
          <w:rFonts w:eastAsia="Courier New"/>
          <w:color w:val="000000"/>
          <w:sz w:val="24"/>
          <w:szCs w:val="24"/>
        </w:rPr>
        <w:t xml:space="preserve">CCS Core Terms (version 3.0.6)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8" w:lineRule="auto"/>
        <w:ind w:left="366" w:right="477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 Joint Schedule 5 (Corporate Social Responsibility) RM6068</w:t>
      </w:r>
      <w:r>
        <w:rPr>
          <w:color w:val="000000"/>
          <w:sz w:val="24"/>
          <w:szCs w:val="24"/>
        </w:rPr>
        <w:t xml:space="preserve"> 5. [Call-Off Schedule 4 (Call-Off Tender) as long as any parts of the Call-Off</w:t>
      </w:r>
      <w:r>
        <w:rPr>
          <w:color w:val="000000"/>
          <w:sz w:val="24"/>
          <w:szCs w:val="24"/>
        </w:rPr>
        <w:t xml:space="preserve"> Tender that offer a better commer</w:t>
      </w:r>
      <w:r>
        <w:rPr>
          <w:color w:val="000000"/>
          <w:sz w:val="24"/>
          <w:szCs w:val="24"/>
        </w:rPr>
        <w:t xml:space="preserve">cial position for the Buyer (as decided by </w:t>
      </w:r>
      <w:r>
        <w:rPr>
          <w:color w:val="000000"/>
          <w:sz w:val="24"/>
          <w:szCs w:val="24"/>
        </w:rPr>
        <w:t xml:space="preserve">the Buyer) take precedence over the documents above.]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Annexes A to E Call-Off Schedule 6 (ICT Services) </w:t>
      </w:r>
    </w:p>
    <w:p w:rsidR="007D7148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Additional Security Obligations with respect to Auth0: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D14AB7" w:rsidRDefault="007A7905" w:rsidP="007D71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7" w:lineRule="auto"/>
        <w:ind w:left="574" w:right="242" w:hanging="4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The service provider shall ensure adequate logical separation between </w:t>
      </w:r>
      <w:proofErr w:type="gramStart"/>
      <w:r>
        <w:rPr>
          <w:color w:val="000000"/>
          <w:sz w:val="24"/>
          <w:szCs w:val="24"/>
        </w:rPr>
        <w:t>clients  and</w:t>
      </w:r>
      <w:proofErr w:type="gramEnd"/>
      <w:r>
        <w:rPr>
          <w:color w:val="000000"/>
          <w:sz w:val="24"/>
          <w:szCs w:val="24"/>
        </w:rPr>
        <w:t xml:space="preserve"> data such that compromise of one does not affect the other.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9" w:lineRule="auto"/>
        <w:ind w:left="574" w:right="207" w:hanging="41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The service provider shall ensure that service supports </w:t>
      </w:r>
      <w:proofErr w:type="gramStart"/>
      <w:r>
        <w:rPr>
          <w:color w:val="000000"/>
          <w:sz w:val="24"/>
          <w:szCs w:val="24"/>
        </w:rPr>
        <w:t>adequate  authentication</w:t>
      </w:r>
      <w:proofErr w:type="gramEnd"/>
      <w:r>
        <w:rPr>
          <w:color w:val="000000"/>
          <w:sz w:val="24"/>
          <w:szCs w:val="24"/>
        </w:rPr>
        <w:t xml:space="preserve"> and authorisation of individuals with varying privileges and roles  (i.e. privileged, support and end users)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7" w:lineRule="auto"/>
        <w:ind w:left="582" w:right="425" w:hanging="4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The service provider’s product shall support multi-factor a</w:t>
      </w:r>
      <w:r>
        <w:rPr>
          <w:color w:val="000000"/>
          <w:sz w:val="24"/>
          <w:szCs w:val="24"/>
        </w:rPr>
        <w:t xml:space="preserve">uthentication on </w:t>
      </w:r>
      <w:proofErr w:type="gramStart"/>
      <w:r>
        <w:rPr>
          <w:color w:val="000000"/>
          <w:sz w:val="24"/>
          <w:szCs w:val="24"/>
        </w:rPr>
        <w:t xml:space="preserve">at  </w:t>
      </w:r>
      <w:r>
        <w:rPr>
          <w:color w:val="000000"/>
          <w:sz w:val="24"/>
          <w:szCs w:val="24"/>
        </w:rPr>
        <w:lastRenderedPageBreak/>
        <w:t>least</w:t>
      </w:r>
      <w:proofErr w:type="gramEnd"/>
      <w:r>
        <w:rPr>
          <w:color w:val="000000"/>
          <w:sz w:val="24"/>
          <w:szCs w:val="24"/>
        </w:rPr>
        <w:t xml:space="preserve"> high privileged accounts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574" w:right="309" w:hanging="4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The service provider’s service shall support encryption at rest for all </w:t>
      </w:r>
      <w:proofErr w:type="gramStart"/>
      <w:r>
        <w:rPr>
          <w:color w:val="000000"/>
          <w:sz w:val="24"/>
          <w:szCs w:val="24"/>
        </w:rPr>
        <w:t>Authority  data</w:t>
      </w:r>
      <w:proofErr w:type="gramEnd"/>
      <w:r>
        <w:rPr>
          <w:color w:val="000000"/>
          <w:sz w:val="24"/>
          <w:szCs w:val="24"/>
        </w:rPr>
        <w:t xml:space="preserve"> considered highly sensitive (e.g. PII, commercially sensitive)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7" w:lineRule="auto"/>
        <w:ind w:left="574" w:right="266" w:hanging="4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 The service provider shall make useful security logs (e.g. login, </w:t>
      </w:r>
      <w:proofErr w:type="gramStart"/>
      <w:r>
        <w:rPr>
          <w:color w:val="000000"/>
          <w:sz w:val="24"/>
          <w:szCs w:val="24"/>
        </w:rPr>
        <w:t>administrator  actions</w:t>
      </w:r>
      <w:proofErr w:type="gramEnd"/>
      <w:r>
        <w:rPr>
          <w:color w:val="000000"/>
          <w:sz w:val="24"/>
          <w:szCs w:val="24"/>
        </w:rPr>
        <w:t xml:space="preserve">) available to the Authority as part of the service. Where this is </w:t>
      </w:r>
      <w:proofErr w:type="gramStart"/>
      <w:r>
        <w:rPr>
          <w:color w:val="000000"/>
          <w:sz w:val="24"/>
          <w:szCs w:val="24"/>
        </w:rPr>
        <w:t>not  possible</w:t>
      </w:r>
      <w:proofErr w:type="gramEnd"/>
      <w:r>
        <w:rPr>
          <w:color w:val="000000"/>
          <w:sz w:val="24"/>
          <w:szCs w:val="24"/>
        </w:rPr>
        <w:t>, the service provider shall maintain such logs and have a mechanism  in place to pro</w:t>
      </w:r>
      <w:r>
        <w:rPr>
          <w:color w:val="000000"/>
          <w:sz w:val="24"/>
          <w:szCs w:val="24"/>
        </w:rPr>
        <w:t xml:space="preserve">vide details of such logs upon Authority’s request (e.g. during  security investigations)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8" w:lineRule="auto"/>
        <w:ind w:left="574" w:right="158" w:hanging="4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 The service provider shall undertake an independent penetration test or </w:t>
      </w:r>
      <w:proofErr w:type="gramStart"/>
      <w:r>
        <w:rPr>
          <w:color w:val="000000"/>
          <w:sz w:val="24"/>
          <w:szCs w:val="24"/>
        </w:rPr>
        <w:t>IT  Health</w:t>
      </w:r>
      <w:proofErr w:type="gramEnd"/>
      <w:r>
        <w:rPr>
          <w:color w:val="000000"/>
          <w:sz w:val="24"/>
          <w:szCs w:val="24"/>
        </w:rPr>
        <w:t xml:space="preserve"> Check of its SaaS application regularly (ideally annually) and implement  appro</w:t>
      </w:r>
      <w:r>
        <w:rPr>
          <w:color w:val="000000"/>
          <w:sz w:val="24"/>
          <w:szCs w:val="24"/>
        </w:rPr>
        <w:t xml:space="preserve">priate mitigation for all critical or high issues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7" w:lineRule="auto"/>
        <w:ind w:left="569" w:right="528" w:hanging="4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G. The service provider shall adhere to agreed retention timeframes with </w:t>
      </w:r>
      <w:proofErr w:type="gramStart"/>
      <w:r>
        <w:rPr>
          <w:color w:val="000000"/>
          <w:sz w:val="24"/>
          <w:szCs w:val="24"/>
        </w:rPr>
        <w:t>the  Authority</w:t>
      </w:r>
      <w:proofErr w:type="gramEnd"/>
      <w:r>
        <w:rPr>
          <w:color w:val="000000"/>
          <w:sz w:val="24"/>
          <w:szCs w:val="24"/>
        </w:rPr>
        <w:t xml:space="preserve"> and must utilise approved mechanisms for secure deletion of data  due for deletion.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7" w:lineRule="auto"/>
        <w:ind w:left="582" w:right="108" w:hanging="4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H. The service provider shall support the Authority where necessary in adhering </w:t>
      </w:r>
      <w:proofErr w:type="gramStart"/>
      <w:r>
        <w:rPr>
          <w:color w:val="000000"/>
          <w:sz w:val="24"/>
          <w:szCs w:val="24"/>
        </w:rPr>
        <w:t>to  its</w:t>
      </w:r>
      <w:proofErr w:type="gramEnd"/>
      <w:r>
        <w:rPr>
          <w:color w:val="000000"/>
          <w:sz w:val="24"/>
          <w:szCs w:val="24"/>
        </w:rPr>
        <w:t xml:space="preserve"> GDPR subject rights obligations (e.g. DSARs, etc.)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7" w:lineRule="auto"/>
        <w:ind w:left="574" w:right="544" w:hanging="4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I. The service provider shall take responsibility for ensuring that its </w:t>
      </w:r>
      <w:proofErr w:type="gramStart"/>
      <w:r>
        <w:rPr>
          <w:color w:val="000000"/>
          <w:sz w:val="24"/>
          <w:szCs w:val="24"/>
        </w:rPr>
        <w:t>suppliers  supporting</w:t>
      </w:r>
      <w:proofErr w:type="gramEnd"/>
      <w:r>
        <w:rPr>
          <w:color w:val="000000"/>
          <w:sz w:val="24"/>
          <w:szCs w:val="24"/>
        </w:rPr>
        <w:t xml:space="preserve"> this service maintain </w:t>
      </w:r>
      <w:r>
        <w:rPr>
          <w:color w:val="000000"/>
          <w:sz w:val="24"/>
          <w:szCs w:val="24"/>
        </w:rPr>
        <w:t xml:space="preserve">a comparable level of security as per these  requirements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7" w:lineRule="auto"/>
        <w:ind w:left="3" w:right="112" w:firstLine="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other Supplier terms are part of the Call-Off Contract. That includes any </w:t>
      </w:r>
      <w:proofErr w:type="gramStart"/>
      <w:r>
        <w:rPr>
          <w:color w:val="000000"/>
          <w:sz w:val="24"/>
          <w:szCs w:val="24"/>
        </w:rPr>
        <w:t>terms  written</w:t>
      </w:r>
      <w:proofErr w:type="gramEnd"/>
      <w:r>
        <w:rPr>
          <w:color w:val="000000"/>
          <w:sz w:val="24"/>
          <w:szCs w:val="24"/>
        </w:rPr>
        <w:t xml:space="preserve"> on the back of, added to this Order Form, or presented at the time of delivery.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SPECIAL TERMS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16" w:right="1519" w:hanging="13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following Special Terms are incorporated into this Call-Off Contract: </w:t>
      </w:r>
      <w:r>
        <w:rPr>
          <w:b/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6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START DATE: </w:t>
      </w:r>
      <w:r>
        <w:rPr>
          <w:b/>
          <w:color w:val="000000"/>
          <w:sz w:val="24"/>
          <w:szCs w:val="24"/>
        </w:rPr>
        <w:t>[01/04/2021</w:t>
      </w:r>
      <w:r>
        <w:rPr>
          <w:color w:val="000000"/>
          <w:sz w:val="24"/>
          <w:szCs w:val="24"/>
        </w:rPr>
        <w:t xml:space="preserve">]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EXPIRY DATE: </w:t>
      </w:r>
      <w:r>
        <w:rPr>
          <w:b/>
          <w:color w:val="000000"/>
          <w:sz w:val="24"/>
          <w:szCs w:val="24"/>
        </w:rPr>
        <w:t>[31/03/2024</w:t>
      </w:r>
      <w:r>
        <w:rPr>
          <w:color w:val="000000"/>
          <w:sz w:val="24"/>
          <w:szCs w:val="24"/>
        </w:rPr>
        <w:t xml:space="preserve">]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INITIAL PERIOD: </w:t>
      </w:r>
      <w:r>
        <w:rPr>
          <w:b/>
          <w:color w:val="000000"/>
          <w:sz w:val="24"/>
          <w:szCs w:val="24"/>
        </w:rPr>
        <w:t>[3 Years</w:t>
      </w:r>
      <w:r>
        <w:rPr>
          <w:color w:val="000000"/>
          <w:sz w:val="24"/>
          <w:szCs w:val="24"/>
        </w:rPr>
        <w:t xml:space="preserve">]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OPTIONAL EXTENSION </w:t>
      </w:r>
      <w:r>
        <w:rPr>
          <w:b/>
          <w:color w:val="000000"/>
          <w:sz w:val="24"/>
          <w:szCs w:val="24"/>
        </w:rPr>
        <w:t>[2 Years</w:t>
      </w:r>
      <w:r>
        <w:rPr>
          <w:color w:val="000000"/>
          <w:sz w:val="24"/>
          <w:szCs w:val="24"/>
        </w:rPr>
        <w:t xml:space="preserve">]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PERIOD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DELIVERABLES  </w:t>
      </w:r>
    </w:p>
    <w:tbl>
      <w:tblPr>
        <w:tblStyle w:val="a"/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"/>
        <w:gridCol w:w="8056"/>
      </w:tblGrid>
      <w:tr w:rsidR="00D14AB7" w:rsidTr="000E5588">
        <w:trPr>
          <w:trHeight w:val="472"/>
        </w:trPr>
        <w:tc>
          <w:tcPr>
            <w:tcW w:w="962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Quantity </w:t>
            </w:r>
          </w:p>
        </w:tc>
        <w:tc>
          <w:tcPr>
            <w:tcW w:w="8056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>Description</w:t>
            </w:r>
          </w:p>
        </w:tc>
      </w:tr>
      <w:tr w:rsidR="007D7148">
        <w:trPr>
          <w:trHeight w:val="472"/>
        </w:trPr>
        <w:tc>
          <w:tcPr>
            <w:tcW w:w="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148" w:rsidRDefault="007D71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80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6" w:lineRule="auto"/>
              <w:ind w:right="868" w:hanging="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 xml:space="preserve">Annual Active Average Pricing - CCS is expecting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XMillion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 xml:space="preserve"> unique users to log in over the </w:t>
            </w:r>
            <w:proofErr w:type="gramStart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 xml:space="preserve">year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(</w:t>
            </w:r>
            <w:proofErr w:type="gramEnd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therefore reducing the MAU)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8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Auth0 Enterprise - External - 1.5m Annual Active Average User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Auth0 Enterprise - External - 3m Annual Active Average User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  <w:highlight w:val="white"/>
                <w:u w:val="singl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3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  <w:highlight w:val="white"/>
                <w:u w:val="singl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Auth0 Enterprise - External - 4m Annual Active Average User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4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Auth0 Enterprise - External - 4.5m Annual Active Average User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5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color w:val="000000"/>
                <w:sz w:val="16"/>
                <w:szCs w:val="16"/>
                <w:highlight w:val="white"/>
              </w:rPr>
              <w:t>Auth0 Enterprise - External - 5m Annual Active Average User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240" w:lineRule="auto"/>
              <w:rPr>
                <w:b/>
                <w:color w:val="000000"/>
                <w:sz w:val="16"/>
                <w:szCs w:val="16"/>
                <w:highlight w:val="white"/>
                <w:u w:val="single"/>
              </w:rPr>
            </w:pPr>
          </w:p>
        </w:tc>
      </w:tr>
    </w:tbl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7A7905" w:rsidP="000E55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LOCATION FOR DELIVERY </w:t>
      </w:r>
    </w:p>
    <w:p w:rsidR="000E5588" w:rsidRDefault="007A7905" w:rsidP="000E5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>Remote Delivery -</w:t>
      </w:r>
      <w:r w:rsidR="000E5588" w:rsidRPr="000E5588">
        <w:rPr>
          <w:b/>
          <w:color w:val="FF0000"/>
          <w:sz w:val="24"/>
          <w:szCs w:val="24"/>
        </w:rPr>
        <w:t xml:space="preserve"> REDACTED TEXT under FOIA Section 40, Personal Informatio</w:t>
      </w:r>
      <w:r w:rsidR="000E5588">
        <w:rPr>
          <w:b/>
          <w:color w:val="FF0000"/>
          <w:sz w:val="24"/>
          <w:szCs w:val="24"/>
        </w:rPr>
        <w:t>n.</w:t>
      </w:r>
    </w:p>
    <w:p w:rsidR="000E5588" w:rsidRDefault="000E5588" w:rsidP="000E5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5"/>
        <w:rPr>
          <w:color w:val="000000"/>
          <w:sz w:val="24"/>
          <w:szCs w:val="24"/>
        </w:rPr>
      </w:pPr>
    </w:p>
    <w:p w:rsidR="00D14AB7" w:rsidRDefault="007A7905" w:rsidP="000E55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DATES FOR DELIVERY OF THE DELIVERABLES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he goods are to be delivered on or before the 5</w:t>
      </w:r>
      <w:r>
        <w:rPr>
          <w:color w:val="000000"/>
          <w:sz w:val="26"/>
          <w:szCs w:val="26"/>
          <w:vertAlign w:val="superscript"/>
        </w:rPr>
        <w:t xml:space="preserve">th </w:t>
      </w:r>
      <w:r>
        <w:rPr>
          <w:color w:val="000000"/>
          <w:sz w:val="24"/>
          <w:szCs w:val="24"/>
        </w:rPr>
        <w:t xml:space="preserve">April 2021.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TESTING OF DELIVERABLES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WARRANTY PERIOD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8" w:right="116" w:hanging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warranty period for the purposes of Clause 3.1.2 of the Core Terms shall be </w:t>
      </w:r>
      <w:proofErr w:type="gramStart"/>
      <w:r>
        <w:rPr>
          <w:color w:val="000000"/>
          <w:sz w:val="24"/>
          <w:szCs w:val="24"/>
        </w:rPr>
        <w:t>180  days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MAXIMUM LIABILITY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7" w:lineRule="auto"/>
        <w:ind w:left="3" w:right="1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limitation of liability for this Call-Off Contract is stated in Clause 11.2 of the </w:t>
      </w:r>
      <w:proofErr w:type="gramStart"/>
      <w:r>
        <w:rPr>
          <w:color w:val="000000"/>
          <w:sz w:val="24"/>
          <w:szCs w:val="24"/>
        </w:rPr>
        <w:t>Core  Terms</w:t>
      </w:r>
      <w:proofErr w:type="gramEnd"/>
      <w:r>
        <w:rPr>
          <w:color w:val="000000"/>
          <w:sz w:val="24"/>
          <w:szCs w:val="24"/>
        </w:rPr>
        <w:t xml:space="preserve">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7" w:lineRule="auto"/>
        <w:ind w:left="8" w:right="326" w:hanging="4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Estimated Year 1 Charges used to calculate liability in the first Contract Year is </w:t>
      </w:r>
      <w:r w:rsidR="00853BB5">
        <w:rPr>
          <w:b/>
          <w:bCs/>
          <w:color w:val="FF0000"/>
        </w:rPr>
        <w:t>REDACTED TEXT under FOIA Section 43 Commercial Interests</w:t>
      </w:r>
      <w:r>
        <w:rPr>
          <w:b/>
          <w:color w:val="000000"/>
          <w:sz w:val="24"/>
          <w:szCs w:val="24"/>
        </w:rPr>
        <w:t xml:space="preserve">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CALL-OFF CHARGES </w:t>
      </w:r>
    </w:p>
    <w:tbl>
      <w:tblPr>
        <w:tblStyle w:val="a0"/>
        <w:tblW w:w="90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"/>
        <w:gridCol w:w="5392"/>
        <w:gridCol w:w="1307"/>
        <w:gridCol w:w="1356"/>
      </w:tblGrid>
      <w:tr w:rsidR="00D14AB7" w:rsidTr="000E5588">
        <w:trPr>
          <w:trHeight w:val="470"/>
        </w:trPr>
        <w:tc>
          <w:tcPr>
            <w:tcW w:w="962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Quantity </w:t>
            </w:r>
          </w:p>
        </w:tc>
        <w:tc>
          <w:tcPr>
            <w:tcW w:w="5391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Description </w:t>
            </w:r>
          </w:p>
        </w:tc>
        <w:tc>
          <w:tcPr>
            <w:tcW w:w="1307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Unit Price </w:t>
            </w:r>
          </w:p>
        </w:tc>
        <w:tc>
          <w:tcPr>
            <w:tcW w:w="1356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Pr="000E5588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b/>
                <w:color w:val="FFFFFF"/>
                <w:sz w:val="18"/>
                <w:szCs w:val="18"/>
                <w:shd w:val="clear" w:color="auto" w:fill="89599B"/>
              </w:rPr>
              <w:t>Total Price</w:t>
            </w:r>
          </w:p>
        </w:tc>
      </w:tr>
      <w:tr w:rsidR="000E5588">
        <w:trPr>
          <w:trHeight w:val="470"/>
        </w:trPr>
        <w:tc>
          <w:tcPr>
            <w:tcW w:w="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6"/>
                <w:szCs w:val="16"/>
                <w:shd w:val="clear" w:color="auto" w:fill="89599B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6"/>
                <w:szCs w:val="16"/>
                <w:shd w:val="clear" w:color="auto" w:fill="89599B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6"/>
                <w:szCs w:val="16"/>
                <w:shd w:val="clear" w:color="auto" w:fill="89599B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6"/>
                <w:szCs w:val="16"/>
                <w:shd w:val="clear" w:color="auto" w:fill="89599B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6"/>
                <w:szCs w:val="16"/>
                <w:shd w:val="clear" w:color="auto" w:fill="89599B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P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</w:p>
          <w:p w:rsidR="000E5588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0E5588">
              <w:rPr>
                <w:color w:val="000000"/>
                <w:sz w:val="16"/>
                <w:szCs w:val="16"/>
                <w:highlight w:val="white"/>
              </w:rPr>
              <w:t>1</w:t>
            </w:r>
          </w:p>
        </w:tc>
        <w:tc>
          <w:tcPr>
            <w:tcW w:w="53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lastRenderedPageBreak/>
              <w:t xml:space="preserve">Annual Active Average Pricing - CCS is expecting </w:t>
            </w:r>
            <w:proofErr w:type="spellStart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XMillion</w:t>
            </w:r>
            <w:proofErr w:type="spellEnd"/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 xml:space="preserve"> unique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users to log in over the year (therefore reducing the MAU)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7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1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372" w:lineRule="auto"/>
              <w:ind w:right="206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Auth0 Enterprise - External - 1.5m Annual Active Average User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 w:line="372" w:lineRule="auto"/>
              <w:ind w:right="2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lastRenderedPageBreak/>
              <w:t>Year 2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Auth0 Enterprise - External - 3m Annual Active Average User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3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Auth0 Enterprise - External - 4m Annual Active Average User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4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Auth0 Enterprise - External - 4.5m Annual Active Average User 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240" w:lineRule="auto"/>
              <w:ind w:right="20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  <w:u w:val="single"/>
              </w:rPr>
              <w:t>Year 5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0E5588" w:rsidRP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 w:line="372" w:lineRule="auto"/>
              <w:ind w:right="206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Auth0 Enterprise - External - 5m Annual Active Average User</w:t>
            </w:r>
          </w:p>
          <w:p w:rsidR="000E5588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</w:tc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588" w:rsidRPr="00853BB5" w:rsidRDefault="00853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853BB5">
              <w:rPr>
                <w:b/>
                <w:bCs/>
                <w:color w:val="FF0000"/>
                <w:sz w:val="18"/>
              </w:rPr>
              <w:lastRenderedPageBreak/>
              <w:t>REDACTED TEXT under FOIA Section 43 Commercial Interests</w:t>
            </w:r>
          </w:p>
          <w:p w:rsidR="000E5588" w:rsidRPr="00853BB5" w:rsidRDefault="000E5588" w:rsidP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</w:tc>
        <w:tc>
          <w:tcPr>
            <w:tcW w:w="1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5588" w:rsidRPr="00853BB5" w:rsidRDefault="00853B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 w:rsidRPr="00853BB5">
              <w:rPr>
                <w:b/>
                <w:bCs/>
                <w:color w:val="FF0000"/>
                <w:sz w:val="18"/>
              </w:rPr>
              <w:lastRenderedPageBreak/>
              <w:t>REDACTED TEXT under FOIA Section 43 Commercial Interests</w:t>
            </w:r>
          </w:p>
          <w:p w:rsidR="000E5588" w:rsidRPr="00853BB5" w:rsidRDefault="000E55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</w:p>
        </w:tc>
      </w:tr>
    </w:tbl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2" w:line="240" w:lineRule="auto"/>
        <w:ind w:right="206"/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</w:t>
      </w:r>
    </w:p>
    <w:tbl>
      <w:tblPr>
        <w:tblStyle w:val="a1"/>
        <w:tblW w:w="2664" w:type="dxa"/>
        <w:tblInd w:w="6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7"/>
        <w:gridCol w:w="1357"/>
      </w:tblGrid>
      <w:tr w:rsidR="00D14AB7">
        <w:trPr>
          <w:trHeight w:val="376"/>
        </w:trPr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Subtotal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(GBP) 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9"/>
              <w:jc w:val="right"/>
              <w:rPr>
                <w:b/>
                <w:color w:val="000000"/>
                <w:sz w:val="16"/>
                <w:szCs w:val="16"/>
                <w:highlight w:val="white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 xml:space="preserve">£537,927.18 </w:t>
            </w:r>
          </w:p>
        </w:tc>
      </w:tr>
      <w:tr w:rsidR="00D14AB7">
        <w:trPr>
          <w:trHeight w:val="311"/>
        </w:trPr>
        <w:tc>
          <w:tcPr>
            <w:tcW w:w="13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Delivery </w:t>
            </w:r>
          </w:p>
        </w:tc>
        <w:tc>
          <w:tcPr>
            <w:tcW w:w="13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8"/>
              <w:jc w:val="right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£0.00 </w:t>
            </w:r>
          </w:p>
        </w:tc>
      </w:tr>
      <w:tr w:rsidR="00D14AB7" w:rsidTr="00853BB5">
        <w:trPr>
          <w:trHeight w:val="458"/>
        </w:trPr>
        <w:tc>
          <w:tcPr>
            <w:tcW w:w="1307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Total (GBP) </w:t>
            </w:r>
          </w:p>
        </w:tc>
        <w:tc>
          <w:tcPr>
            <w:tcW w:w="1356" w:type="dxa"/>
            <w:shd w:val="clear" w:color="auto" w:fill="7030A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b/>
                <w:color w:val="FFFFFF"/>
                <w:sz w:val="18"/>
                <w:szCs w:val="18"/>
                <w:shd w:val="clear" w:color="auto" w:fill="89599B"/>
              </w:rPr>
            </w:pPr>
            <w:r>
              <w:rPr>
                <w:b/>
                <w:color w:val="FFFFFF"/>
                <w:sz w:val="18"/>
                <w:szCs w:val="18"/>
                <w:shd w:val="clear" w:color="auto" w:fill="89599B"/>
              </w:rPr>
              <w:t xml:space="preserve">£537,927.18 </w:t>
            </w:r>
          </w:p>
        </w:tc>
      </w:tr>
    </w:tbl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10" w:right="433" w:hanging="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Charges will not be impacted by any change to the Framework Prices. The</w:t>
      </w:r>
      <w:r>
        <w:rPr>
          <w:color w:val="000000"/>
          <w:sz w:val="24"/>
          <w:szCs w:val="24"/>
        </w:rPr>
        <w:t xml:space="preserve"> Charges can only be changed by agreement in writing between the Buyer and the </w:t>
      </w:r>
      <w:r>
        <w:rPr>
          <w:color w:val="000000"/>
          <w:sz w:val="24"/>
          <w:szCs w:val="24"/>
        </w:rPr>
        <w:t>Supplier because of a Specific Change in Law or Benchmarking using Call-</w:t>
      </w:r>
      <w:proofErr w:type="gramStart"/>
      <w:r>
        <w:rPr>
          <w:color w:val="000000"/>
          <w:sz w:val="24"/>
          <w:szCs w:val="24"/>
        </w:rPr>
        <w:t>Off  Schedule</w:t>
      </w:r>
      <w:proofErr w:type="gramEnd"/>
      <w:r w:rsidR="00853BB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 (Benchmarki</w:t>
      </w:r>
      <w:r>
        <w:rPr>
          <w:color w:val="000000"/>
          <w:sz w:val="24"/>
          <w:szCs w:val="24"/>
        </w:rPr>
        <w:t xml:space="preserve">ng) where this is used.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0" w:lineRule="auto"/>
        <w:ind w:left="2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REIMBURSABLE EXPENSES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PAYMENT METHOD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payment method for this Call-Off Contract is BACS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BUYER’S INVOICE ADDRESS: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Crown Commercial Service </w:t>
      </w:r>
    </w:p>
    <w:p w:rsidR="00D14AB7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0"/>
        <w:rPr>
          <w:color w:val="000000"/>
          <w:sz w:val="24"/>
          <w:szCs w:val="24"/>
        </w:rPr>
      </w:pPr>
      <w:r>
        <w:rPr>
          <w:b/>
          <w:bCs/>
          <w:color w:val="FF0000"/>
        </w:rPr>
        <w:t>REDACTED TEXT under FOIA Section 40, Personal Information</w:t>
      </w:r>
      <w:r w:rsidR="007A7905">
        <w:rPr>
          <w:color w:val="000000"/>
          <w:sz w:val="24"/>
          <w:szCs w:val="24"/>
        </w:rPr>
        <w:t xml:space="preserve"> </w:t>
      </w:r>
    </w:p>
    <w:p w:rsidR="00853BB5" w:rsidRDefault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BUYER’S AUTHORISED REPRESENTATIVE 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 xml:space="preserve">REDACTED TEXT under FOIA Section 40, Personal </w:t>
      </w:r>
      <w:proofErr w:type="spellStart"/>
      <w:r>
        <w:rPr>
          <w:b/>
          <w:bCs/>
          <w:color w:val="FF0000"/>
        </w:rPr>
        <w:t>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proofErr w:type="spellEnd"/>
      <w:r>
        <w:rPr>
          <w:b/>
          <w:bCs/>
          <w:color w:val="FF0000"/>
        </w:rPr>
        <w:t xml:space="preserve">REDACTED TEXT under FOIA Section 40, Personal </w:t>
      </w:r>
      <w:proofErr w:type="spellStart"/>
      <w:r>
        <w:rPr>
          <w:b/>
          <w:bCs/>
          <w:color w:val="FF0000"/>
        </w:rPr>
        <w:t>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proofErr w:type="spellEnd"/>
      <w:r>
        <w:rPr>
          <w:b/>
          <w:bCs/>
          <w:color w:val="FF0000"/>
        </w:rPr>
        <w:t>REDACTED TEXT under FOIA Section 40, Personal 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</w:p>
    <w:p w:rsidR="00D14AB7" w:rsidRDefault="007A790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BUYER’</w:t>
      </w:r>
      <w:proofErr w:type="spellEnd"/>
      <w:r>
        <w:rPr>
          <w:color w:val="000000"/>
          <w:sz w:val="24"/>
          <w:szCs w:val="24"/>
        </w:rPr>
        <w:t xml:space="preserve">S ENVIRONMENTAL POLICY  </w:t>
      </w:r>
    </w:p>
    <w:p w:rsidR="00D14AB7" w:rsidRPr="00853BB5" w:rsidRDefault="007A790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 w:rsidRPr="00853BB5">
        <w:rPr>
          <w:color w:val="000000"/>
          <w:sz w:val="24"/>
          <w:szCs w:val="24"/>
        </w:rPr>
        <w:t xml:space="preserve">N/A </w:t>
      </w:r>
      <w:r w:rsidRPr="00853BB5">
        <w:rPr>
          <w:color w:val="000000"/>
          <w:sz w:val="24"/>
          <w:szCs w:val="24"/>
        </w:rPr>
        <w:t xml:space="preserve">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1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BUYER’S SECURITY POLICY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3"/>
        <w:rPr>
          <w:color w:val="3C4043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As detailed at </w:t>
      </w:r>
      <w:r>
        <w:rPr>
          <w:color w:val="3C4043"/>
          <w:sz w:val="24"/>
          <w:szCs w:val="24"/>
        </w:rPr>
        <w:t xml:space="preserve">Call-Off Schedule 9 (Security) Part C'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SUPPLIER’S AUTHORISED REPRESENTATIVE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SUPPLIER’S CONTRACT MANAGER 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853BB5" w:rsidRDefault="00853BB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bCs/>
          <w:color w:val="FF0000"/>
        </w:rPr>
      </w:pPr>
      <w:r>
        <w:rPr>
          <w:b/>
          <w:bCs/>
          <w:color w:val="FF0000"/>
        </w:rPr>
        <w:t>REDACTED TEXT under FOIA Section 40, Personal Information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PROGRESS REPORT FREQUENCY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3" w:line="240" w:lineRule="auto"/>
        <w:ind w:left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PROGRESS MEETING FREQUENCY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 STAFF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KEY SUBCONTRACTOR(S)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Not applicable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left="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COMMERCIALLY SENSITIVE INFORMATION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29" w:lineRule="auto"/>
        <w:ind w:left="542" w:right="135"/>
        <w:rPr>
          <w:color w:val="252423"/>
          <w:sz w:val="18"/>
          <w:szCs w:val="18"/>
        </w:rPr>
      </w:pPr>
      <w:r>
        <w:rPr>
          <w:color w:val="252423"/>
          <w:sz w:val="18"/>
          <w:szCs w:val="18"/>
          <w:highlight w:val="white"/>
        </w:rPr>
        <w:t xml:space="preserve">Without prejudice to the Authority’s and/or the Customer’s obligation to disclose Information in </w:t>
      </w:r>
      <w:proofErr w:type="gramStart"/>
      <w:r>
        <w:rPr>
          <w:color w:val="252423"/>
          <w:sz w:val="18"/>
          <w:szCs w:val="18"/>
          <w:highlight w:val="white"/>
        </w:rPr>
        <w:t xml:space="preserve">accordance </w:t>
      </w:r>
      <w:r>
        <w:rPr>
          <w:color w:val="252423"/>
          <w:sz w:val="18"/>
          <w:szCs w:val="18"/>
        </w:rPr>
        <w:t xml:space="preserve"> </w:t>
      </w:r>
      <w:r>
        <w:rPr>
          <w:color w:val="252423"/>
          <w:sz w:val="18"/>
          <w:szCs w:val="18"/>
          <w:highlight w:val="white"/>
        </w:rPr>
        <w:t>with</w:t>
      </w:r>
      <w:proofErr w:type="gramEnd"/>
      <w:r>
        <w:rPr>
          <w:color w:val="252423"/>
          <w:sz w:val="18"/>
          <w:szCs w:val="18"/>
          <w:highlight w:val="white"/>
        </w:rPr>
        <w:t xml:space="preserve"> FOIA or Clause 24.4 (Freedom of Information), the Authority and/or Customer will, in its sole </w:t>
      </w:r>
      <w:r>
        <w:rPr>
          <w:color w:val="252423"/>
          <w:sz w:val="18"/>
          <w:szCs w:val="18"/>
        </w:rPr>
        <w:t xml:space="preserve"> </w:t>
      </w:r>
      <w:r>
        <w:rPr>
          <w:color w:val="252423"/>
          <w:sz w:val="18"/>
          <w:szCs w:val="18"/>
          <w:highlight w:val="white"/>
        </w:rPr>
        <w:t xml:space="preserve">discretion, acting reasonably, seek to apply the relevant exemption set out in the FOIA to the following </w:t>
      </w:r>
      <w:r>
        <w:rPr>
          <w:color w:val="252423"/>
          <w:sz w:val="18"/>
          <w:szCs w:val="18"/>
        </w:rPr>
        <w:t xml:space="preserve"> </w:t>
      </w:r>
      <w:r>
        <w:rPr>
          <w:color w:val="252423"/>
          <w:sz w:val="18"/>
          <w:szCs w:val="18"/>
          <w:highlight w:val="white"/>
        </w:rPr>
        <w:t>Information:</w:t>
      </w:r>
      <w:r>
        <w:rPr>
          <w:color w:val="252423"/>
          <w:sz w:val="18"/>
          <w:szCs w:val="18"/>
        </w:rPr>
        <w:t xml:space="preserve"> </w:t>
      </w:r>
    </w:p>
    <w:tbl>
      <w:tblPr>
        <w:tblStyle w:val="a2"/>
        <w:tblW w:w="90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5"/>
        <w:gridCol w:w="2638"/>
      </w:tblGrid>
      <w:tr w:rsidR="00D14AB7">
        <w:trPr>
          <w:trHeight w:val="566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Item(s)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Duration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Confidentiality</w:t>
            </w:r>
          </w:p>
        </w:tc>
      </w:tr>
      <w:tr w:rsidR="00D14AB7">
        <w:trPr>
          <w:trHeight w:val="290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Total value of contract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Permitted</w:t>
            </w:r>
          </w:p>
        </w:tc>
      </w:tr>
      <w:tr w:rsidR="00D14AB7">
        <w:trPr>
          <w:trHeight w:val="292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detail around pricing or commercial models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  <w:tr w:rsidR="00D14AB7">
        <w:trPr>
          <w:trHeight w:val="290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detail around Softcat facilities, personnel or resources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  <w:tr w:rsidR="00D14AB7">
        <w:trPr>
          <w:trHeight w:val="290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detail around business processes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  <w:tr w:rsidR="00D14AB7">
        <w:trPr>
          <w:trHeight w:val="290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detail around business IT systems employed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  <w:tr w:rsidR="00D14AB7">
        <w:trPr>
          <w:trHeight w:val="292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detail around our named sub-contracting partners </w:t>
            </w:r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  <w:tr w:rsidR="00D14AB7">
        <w:trPr>
          <w:trHeight w:val="566"/>
        </w:trPr>
        <w:tc>
          <w:tcPr>
            <w:tcW w:w="6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6" w:right="643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Any reference to third parties such as clients, vendors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partners</w:t>
            </w:r>
            <w:proofErr w:type="gramEnd"/>
          </w:p>
        </w:tc>
        <w:tc>
          <w:tcPr>
            <w:tcW w:w="26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 perpetuity</w:t>
            </w:r>
          </w:p>
        </w:tc>
      </w:tr>
    </w:tbl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SERVICE CREDITS </w:t>
      </w:r>
    </w:p>
    <w:p w:rsidR="00D14AB7" w:rsidRPr="00853BB5" w:rsidRDefault="007A7905" w:rsidP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 w:rsidRPr="00853BB5"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left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 INSURANCES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N/A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GUARANTEE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N/A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6" w:line="240" w:lineRule="auto"/>
        <w:ind w:left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SOCIAL VALUE COMMITMENT </w:t>
      </w:r>
    </w:p>
    <w:p w:rsidR="00D14AB7" w:rsidRDefault="007A79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N/A</w:t>
      </w:r>
    </w:p>
    <w:p w:rsidR="00853BB5" w:rsidRDefault="00853B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4"/>
          <w:szCs w:val="24"/>
        </w:rPr>
      </w:pPr>
    </w:p>
    <w:tbl>
      <w:tblPr>
        <w:tblStyle w:val="a3"/>
        <w:tblW w:w="9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27"/>
        <w:gridCol w:w="2981"/>
        <w:gridCol w:w="1555"/>
        <w:gridCol w:w="3108"/>
      </w:tblGrid>
      <w:tr w:rsidR="00D14AB7" w:rsidTr="00347090">
        <w:trPr>
          <w:trHeight w:val="688"/>
        </w:trPr>
        <w:tc>
          <w:tcPr>
            <w:tcW w:w="45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For and on behalf of the Supplier: </w:t>
            </w:r>
          </w:p>
        </w:tc>
        <w:tc>
          <w:tcPr>
            <w:tcW w:w="466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347090" w:rsidTr="00347090">
        <w:trPr>
          <w:trHeight w:val="825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Signature: </w:t>
            </w:r>
          </w:p>
        </w:tc>
        <w:tc>
          <w:tcPr>
            <w:tcW w:w="2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046C1">
              <w:rPr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A733C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347090" w:rsidTr="00347090">
        <w:trPr>
          <w:trHeight w:val="645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Name: </w:t>
            </w:r>
          </w:p>
        </w:tc>
        <w:tc>
          <w:tcPr>
            <w:tcW w:w="2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046C1">
              <w:rPr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Name: </w:t>
            </w:r>
          </w:p>
        </w:tc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A733C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347090" w:rsidTr="00347090">
        <w:trPr>
          <w:trHeight w:val="922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Role: </w:t>
            </w:r>
          </w:p>
        </w:tc>
        <w:tc>
          <w:tcPr>
            <w:tcW w:w="2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046C1">
              <w:rPr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Role: </w:t>
            </w:r>
          </w:p>
        </w:tc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7090" w:rsidRDefault="00347090" w:rsidP="00347090">
            <w:r w:rsidRPr="001A733C">
              <w:rPr>
                <w:b/>
                <w:bCs/>
                <w:color w:val="FF0000"/>
              </w:rPr>
              <w:t>REDACTED TEXT under FOIA Section 40, Personal Information</w:t>
            </w:r>
          </w:p>
        </w:tc>
      </w:tr>
      <w:tr w:rsidR="00D14AB7" w:rsidTr="00347090">
        <w:trPr>
          <w:trHeight w:val="873"/>
        </w:trPr>
        <w:tc>
          <w:tcPr>
            <w:tcW w:w="1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Date: </w:t>
            </w:r>
          </w:p>
        </w:tc>
        <w:tc>
          <w:tcPr>
            <w:tcW w:w="2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26/03/2021 </w:t>
            </w:r>
          </w:p>
        </w:tc>
        <w:tc>
          <w:tcPr>
            <w:tcW w:w="1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7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Date: </w:t>
            </w:r>
          </w:p>
        </w:tc>
        <w:tc>
          <w:tcPr>
            <w:tcW w:w="31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AB7" w:rsidRDefault="007A7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01/04/2021</w:t>
            </w:r>
          </w:p>
        </w:tc>
      </w:tr>
    </w:tbl>
    <w:p w:rsidR="00D14AB7" w:rsidRDefault="00D14A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14AB7" w:rsidRDefault="007A7905" w:rsidP="0034709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</w:p>
    <w:sectPr w:rsidR="00D14AB7" w:rsidSect="006C2BA7">
      <w:headerReference w:type="default" r:id="rId7"/>
      <w:footerReference w:type="default" r:id="rId8"/>
      <w:pgSz w:w="11900" w:h="16820"/>
      <w:pgMar w:top="1248" w:right="1294" w:bottom="751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905" w:rsidRDefault="007A7905" w:rsidP="006C2BA7">
      <w:pPr>
        <w:spacing w:line="240" w:lineRule="auto"/>
      </w:pPr>
      <w:r>
        <w:separator/>
      </w:r>
    </w:p>
  </w:endnote>
  <w:endnote w:type="continuationSeparator" w:id="0">
    <w:p w:rsidR="007A7905" w:rsidRDefault="007A7905" w:rsidP="006C2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before="727" w:line="240" w:lineRule="auto"/>
      <w:ind w:left="17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Framework Ref: RM6068  </w:t>
    </w:r>
  </w:p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28" w:lineRule="auto"/>
      <w:ind w:left="14" w:right="139" w:firstLine="2"/>
      <w:rPr>
        <w:color w:val="000000"/>
        <w:sz w:val="19"/>
        <w:szCs w:val="19"/>
      </w:rPr>
    </w:pPr>
    <w:r>
      <w:rPr>
        <w:color w:val="000000"/>
        <w:sz w:val="19"/>
        <w:szCs w:val="19"/>
      </w:rPr>
      <w:t xml:space="preserve">Project Version: v0.1 1 Model Version: v3.2 </w:t>
    </w:r>
  </w:p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31" w:lineRule="auto"/>
      <w:ind w:left="8" w:right="2521" w:firstLine="6"/>
      <w:rPr>
        <w:color w:val="000000"/>
        <w:sz w:val="19"/>
        <w:szCs w:val="19"/>
      </w:rPr>
    </w:pPr>
    <w:r>
      <w:rPr>
        <w:b/>
        <w:color w:val="000000"/>
        <w:sz w:val="19"/>
        <w:szCs w:val="19"/>
      </w:rPr>
      <w:t xml:space="preserve">Framework Schedule 6 (Order Form Template and Call-Off Schedules) </w:t>
    </w:r>
    <w:r>
      <w:rPr>
        <w:color w:val="000000"/>
        <w:sz w:val="19"/>
        <w:szCs w:val="19"/>
      </w:rPr>
      <w:t xml:space="preserve">Crown Copyright 2018 </w:t>
    </w:r>
  </w:p>
  <w:p w:rsidR="006C2BA7" w:rsidRDefault="006C2B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905" w:rsidRDefault="007A7905" w:rsidP="006C2BA7">
      <w:pPr>
        <w:spacing w:line="240" w:lineRule="auto"/>
      </w:pPr>
      <w:r>
        <w:separator/>
      </w:r>
    </w:p>
  </w:footnote>
  <w:footnote w:type="continuationSeparator" w:id="0">
    <w:p w:rsidR="007A7905" w:rsidRDefault="007A7905" w:rsidP="006C2B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31" w:lineRule="auto"/>
      <w:ind w:left="8" w:right="2521" w:firstLine="6"/>
      <w:rPr>
        <w:b/>
        <w:color w:val="000000"/>
        <w:sz w:val="19"/>
        <w:szCs w:val="19"/>
      </w:rPr>
    </w:pPr>
  </w:p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31" w:lineRule="auto"/>
      <w:ind w:left="8" w:right="2521" w:firstLine="6"/>
      <w:rPr>
        <w:b/>
        <w:color w:val="000000"/>
        <w:sz w:val="19"/>
        <w:szCs w:val="19"/>
      </w:rPr>
    </w:pPr>
  </w:p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31" w:lineRule="auto"/>
      <w:ind w:left="8" w:right="2521" w:firstLine="6"/>
      <w:rPr>
        <w:b/>
        <w:color w:val="000000"/>
        <w:sz w:val="19"/>
        <w:szCs w:val="19"/>
      </w:rPr>
    </w:pPr>
  </w:p>
  <w:p w:rsidR="006C2BA7" w:rsidRDefault="006C2BA7" w:rsidP="006C2BA7">
    <w:pPr>
      <w:widowControl w:val="0"/>
      <w:pBdr>
        <w:top w:val="nil"/>
        <w:left w:val="nil"/>
        <w:bottom w:val="nil"/>
        <w:right w:val="nil"/>
        <w:between w:val="nil"/>
      </w:pBdr>
      <w:spacing w:line="231" w:lineRule="auto"/>
      <w:ind w:left="8" w:right="2521" w:firstLine="6"/>
      <w:rPr>
        <w:color w:val="000000"/>
        <w:sz w:val="19"/>
        <w:szCs w:val="19"/>
      </w:rPr>
    </w:pPr>
    <w:r>
      <w:rPr>
        <w:b/>
        <w:color w:val="000000"/>
        <w:sz w:val="19"/>
        <w:szCs w:val="19"/>
      </w:rPr>
      <w:t xml:space="preserve">Framework Schedule 6 (Order Form Template and Call-Off Schedules) </w:t>
    </w:r>
    <w:r>
      <w:rPr>
        <w:color w:val="000000"/>
        <w:sz w:val="19"/>
        <w:szCs w:val="19"/>
      </w:rPr>
      <w:t xml:space="preserve">Crown Copyright 2018 </w:t>
    </w:r>
  </w:p>
  <w:p w:rsidR="006C2BA7" w:rsidRDefault="006C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0CBC"/>
    <w:multiLevelType w:val="hybridMultilevel"/>
    <w:tmpl w:val="8716CE56"/>
    <w:lvl w:ilvl="0" w:tplc="08090003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AB7"/>
    <w:rsid w:val="000E5588"/>
    <w:rsid w:val="00266187"/>
    <w:rsid w:val="00347090"/>
    <w:rsid w:val="006C2BA7"/>
    <w:rsid w:val="007A7905"/>
    <w:rsid w:val="007D7148"/>
    <w:rsid w:val="00853BB5"/>
    <w:rsid w:val="00AA1AC8"/>
    <w:rsid w:val="00D1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1E0C4"/>
  <w15:docId w15:val="{174506E6-B69E-4B2D-B5A3-0F859B27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B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BA7"/>
  </w:style>
  <w:style w:type="paragraph" w:styleId="Footer">
    <w:name w:val="footer"/>
    <w:basedOn w:val="Normal"/>
    <w:link w:val="FooterChar"/>
    <w:uiPriority w:val="99"/>
    <w:unhideWhenUsed/>
    <w:rsid w:val="006C2BA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BA7"/>
  </w:style>
  <w:style w:type="paragraph" w:styleId="ListParagraph">
    <w:name w:val="List Paragraph"/>
    <w:basedOn w:val="Normal"/>
    <w:uiPriority w:val="34"/>
    <w:qFormat/>
    <w:rsid w:val="007D7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1428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Lancaster</dc:creator>
  <cp:lastModifiedBy>Megan Lancaster</cp:lastModifiedBy>
  <cp:revision>3</cp:revision>
  <dcterms:created xsi:type="dcterms:W3CDTF">2024-01-10T15:23:00Z</dcterms:created>
  <dcterms:modified xsi:type="dcterms:W3CDTF">2024-01-10T16:52:00Z</dcterms:modified>
</cp:coreProperties>
</file>