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4">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8">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09">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0A">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0B">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0C">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w:t>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1">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2">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3">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4">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5">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bookmarkStart w:colFirst="0" w:colLast="0" w:name="bookmark=id.gjdgxs" w:id="0"/>
    <w:bookmarkEnd w:id="0"/>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bookmarkStart w:colFirst="0" w:colLast="0" w:name="bookmark=id.30j0zll" w:id="1"/>
    <w:bookmarkEnd w:id="1"/>
    <w:p w:rsidR="00000000" w:rsidDel="00000000" w:rsidP="00000000" w:rsidRDefault="00000000" w:rsidRPr="00000000" w14:paraId="00000017">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unless the Processor is required to do otherwise by Law. If it is so required the Processor shall notify the Controller before Processing the Personal Data unless prohibited by Law;</w:t>
      </w:r>
    </w:p>
    <w:bookmarkStart w:colFirst="0" w:colLast="0" w:name="bookmark=id.1fob9te" w:id="2"/>
    <w:bookmarkEnd w:id="2"/>
    <w:p w:rsidR="00000000" w:rsidDel="00000000" w:rsidP="00000000" w:rsidRDefault="00000000" w:rsidRPr="00000000" w14:paraId="00000018">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019">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bookmarkStart w:colFirst="0" w:colLast="0" w:name="bookmark=id.3znysh7" w:id="3"/>
      <w:bookmarkEnd w:id="3"/>
      <w:r w:rsidDel="00000000" w:rsidR="00000000" w:rsidRPr="00000000">
        <w:rPr>
          <w:rtl w:val="0"/>
        </w:rPr>
      </w:r>
    </w:p>
    <w:p w:rsidR="00000000" w:rsidDel="00000000" w:rsidP="00000000" w:rsidRDefault="00000000" w:rsidRPr="00000000" w14:paraId="0000001A">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1B">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1C">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bookmarkStart w:colFirst="0" w:colLast="0" w:name="bookmark=id.2et92p0" w:id="4"/>
    <w:bookmarkEnd w:id="4"/>
    <w:p w:rsidR="00000000" w:rsidDel="00000000" w:rsidP="00000000" w:rsidRDefault="00000000" w:rsidRPr="00000000" w14:paraId="0000001D">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1E">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F">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020">
      <w:pPr>
        <w:numPr>
          <w:ilvl w:val="4"/>
          <w:numId w:val="5"/>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1">
      <w:pPr>
        <w:numPr>
          <w:ilvl w:val="4"/>
          <w:numId w:val="5"/>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2">
      <w:pPr>
        <w:numPr>
          <w:ilvl w:val="4"/>
          <w:numId w:val="5"/>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3">
      <w:pPr>
        <w:numPr>
          <w:ilvl w:val="4"/>
          <w:numId w:val="5"/>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bookmarkStart w:colFirst="0" w:colLast="0" w:name="bookmark=id.tyjcwt" w:id="5"/>
    <w:bookmarkEnd w:id="5"/>
    <w:p w:rsidR="00000000" w:rsidDel="00000000" w:rsidP="00000000" w:rsidRDefault="00000000" w:rsidRPr="00000000" w14:paraId="00000024">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EU unless the prior written consent of the Controller has been obtained and the following conditions are fulfilled:</w:t>
      </w:r>
    </w:p>
    <w:bookmarkStart w:colFirst="0" w:colLast="0" w:name="bookmark=id.3dy6vkm" w:id="6"/>
    <w:bookmarkEnd w:id="6"/>
    <w:p w:rsidR="00000000" w:rsidDel="00000000" w:rsidP="00000000" w:rsidRDefault="00000000" w:rsidRPr="00000000" w14:paraId="00000025">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LED Article 37) as determined by the Controller;</w:t>
      </w:r>
    </w:p>
    <w:bookmarkStart w:colFirst="0" w:colLast="0" w:name="bookmark=id.1t3h5sf" w:id="7"/>
    <w:bookmarkEnd w:id="7"/>
    <w:p w:rsidR="00000000" w:rsidDel="00000000" w:rsidP="00000000" w:rsidRDefault="00000000" w:rsidRPr="00000000" w14:paraId="00000026">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bookmarkStart w:colFirst="0" w:colLast="0" w:name="bookmark=id.4d34og8" w:id="8"/>
    <w:bookmarkEnd w:id="8"/>
    <w:p w:rsidR="00000000" w:rsidDel="00000000" w:rsidP="00000000" w:rsidRDefault="00000000" w:rsidRPr="00000000" w14:paraId="00000027">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9"/>
    <w:bookmarkEnd w:id="9"/>
    <w:p w:rsidR="00000000" w:rsidDel="00000000" w:rsidP="00000000" w:rsidRDefault="00000000" w:rsidRPr="00000000" w14:paraId="00000028">
      <w:pPr>
        <w:numPr>
          <w:ilvl w:val="3"/>
          <w:numId w:val="5"/>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w:t>
      </w:r>
    </w:p>
    <w:bookmarkStart w:colFirst="0" w:colLast="0" w:name="bookmark=id.17dp8vu" w:id="10"/>
    <w:bookmarkEnd w:id="10"/>
    <w:p w:rsidR="00000000" w:rsidDel="00000000" w:rsidP="00000000" w:rsidRDefault="00000000" w:rsidRPr="00000000" w14:paraId="00000029">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1"/>
    <w:bookmarkEnd w:id="11"/>
    <w:p w:rsidR="00000000" w:rsidDel="00000000" w:rsidP="00000000" w:rsidRDefault="00000000" w:rsidRPr="00000000" w14:paraId="0000002A">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2B">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2C">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2D">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2E">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2F">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0">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31">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32">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000000" w:rsidDel="00000000" w:rsidP="00000000" w:rsidRDefault="00000000" w:rsidRPr="00000000" w14:paraId="00000033">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34">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it to comply with a Data Subject Access Request within the relevant timescales set out in the Data Protection Legislation; </w:t>
      </w:r>
    </w:p>
    <w:p w:rsidR="00000000" w:rsidDel="00000000" w:rsidP="00000000" w:rsidRDefault="00000000" w:rsidRPr="00000000" w14:paraId="00000035">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36">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37">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038">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39">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3A">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bookmarkStart w:colFirst="0" w:colLast="0" w:name="_heading=h.26in1rg" w:id="12"/>
      <w:bookmarkEnd w:id="12"/>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3B">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bookmarkStart w:colFirst="0" w:colLast="0" w:name="bookmark=id.lnxbz9" w:id="13"/>
    <w:bookmarkEnd w:id="13"/>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3F">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0">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41">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42">
      <w:pPr>
        <w:numPr>
          <w:ilvl w:val="2"/>
          <w:numId w:val="5"/>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43">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bookmarkStart w:colFirst="0" w:colLast="0" w:name="bookmark=id.35nkun2" w:id="14"/>
    <w:bookmarkEnd w:id="14"/>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000000" w:rsidDel="00000000" w:rsidP="00000000" w:rsidRDefault="00000000" w:rsidRPr="00000000" w14:paraId="0000004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47">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49">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4A">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4B">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4C">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4D">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4E">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4F">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0">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51">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52">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53">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4">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55">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58">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59">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5A">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5B">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5C">
      <w:pPr>
        <w:numPr>
          <w:ilvl w:val="2"/>
          <w:numId w:val="5"/>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5D">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Framework Processing Personal Data</w:t>
      </w:r>
      <w:r w:rsidDel="00000000" w:rsidR="00000000" w:rsidRPr="00000000">
        <w:rPr>
          <w:rtl w:val="0"/>
        </w:rPr>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CCS’s at its absolute discretion.  </w:t>
      </w:r>
    </w:p>
    <w:p w:rsidR="00000000" w:rsidDel="00000000" w:rsidP="00000000" w:rsidRDefault="00000000" w:rsidRPr="00000000" w14:paraId="00000063">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CCS’s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64">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Contact details]</w:t>
      </w:r>
    </w:p>
    <w:p w:rsidR="00000000" w:rsidDel="00000000" w:rsidP="00000000" w:rsidRDefault="00000000" w:rsidRPr="00000000" w14:paraId="00000065">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66">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67">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6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6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for each Category of Personal Data</w:t>
            </w:r>
          </w:p>
        </w:tc>
        <w:tc>
          <w:tcPr>
            <w:shd w:fill="auto" w:val="clear"/>
          </w:tcPr>
          <w:p w:rsidR="00000000" w:rsidDel="00000000" w:rsidP="00000000" w:rsidRDefault="00000000" w:rsidRPr="00000000" w14:paraId="0000006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CCS and the Supplier are Independent Controllers of Personal Data</w:t>
            </w:r>
          </w:p>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Business contact details of Supplier Personnel for which the Supplier is the Controller; and </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Business contact details of any directors, officers, employees, agents, consultants and contractors of CCS (excluding the Supplier Personnel) engaged in the performance of CCS’s duties under the Framework Contract) for which CCS is the Controller.</w:t>
            </w:r>
            <w:r w:rsidDel="00000000" w:rsidR="00000000" w:rsidRPr="00000000">
              <w:rPr>
                <w:rFonts w:ascii="Arial" w:cs="Arial" w:eastAsia="Arial" w:hAnsi="Arial"/>
                <w:i w:val="1"/>
                <w:color w:val="000000"/>
                <w:sz w:val="24"/>
                <w:szCs w:val="24"/>
                <w:rtl w:val="0"/>
              </w:rPr>
              <w:t xml:space="preserve"> </w:t>
            </w:r>
          </w:p>
        </w:tc>
      </w:tr>
      <w:tr>
        <w:trPr>
          <w:cantSplit w:val="0"/>
          <w:trHeight w:val="1460" w:hRule="atLeast"/>
          <w:tblHeader w:val="0"/>
        </w:trPr>
        <w:tc>
          <w:tcPr>
            <w:shd w:fill="auto" w:val="clear"/>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70">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Period of the Framework Contract. </w:t>
            </w:r>
          </w:p>
        </w:tc>
      </w:tr>
      <w:tr>
        <w:trPr>
          <w:cantSplit w:val="0"/>
          <w:trHeight w:val="1520" w:hRule="atLeast"/>
          <w:tblHeader w:val="0"/>
        </w:trPr>
        <w:tc>
          <w:tcPr>
            <w:shd w:fill="auto" w:val="clear"/>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72">
            <w:pPr>
              <w:pStyle w:val="Heading2"/>
              <w:spacing w:after="0" w:before="0" w:lineRule="auto"/>
              <w:ind w:left="709" w:firstLine="0"/>
              <w:rPr>
                <w:rFonts w:ascii="Arial" w:cs="Arial" w:eastAsia="Arial" w:hAnsi="Arial"/>
                <w:sz w:val="24"/>
                <w:szCs w:val="24"/>
              </w:rPr>
            </w:pPr>
            <w:bookmarkStart w:colFirst="0" w:colLast="0" w:name="_heading=h.lmrmcqu230z0" w:id="15"/>
            <w:bookmarkEnd w:id="15"/>
            <w:r w:rsidDel="00000000" w:rsidR="00000000" w:rsidRPr="00000000">
              <w:rPr>
                <w:rFonts w:ascii="Arial" w:cs="Arial" w:eastAsia="Arial" w:hAnsi="Arial"/>
                <w:sz w:val="24"/>
                <w:szCs w:val="24"/>
                <w:rtl w:val="0"/>
              </w:rPr>
              <w:t xml:space="preserve">N/A please refer to Annex 1 – Call-Off Contract Processing</w:t>
            </w:r>
          </w:p>
          <w:p w:rsidR="00000000" w:rsidDel="00000000" w:rsidP="00000000" w:rsidRDefault="00000000" w:rsidRPr="00000000" w14:paraId="00000073">
            <w:pPr>
              <w:pStyle w:val="Heading2"/>
              <w:spacing w:after="0" w:before="0" w:lineRule="auto"/>
              <w:ind w:left="709" w:firstLine="0"/>
              <w:rPr>
                <w:rFonts w:ascii="Arial" w:cs="Arial" w:eastAsia="Arial" w:hAnsi="Arial"/>
                <w:sz w:val="24"/>
                <w:szCs w:val="24"/>
              </w:rPr>
            </w:pPr>
            <w:bookmarkStart w:colFirst="0" w:colLast="0" w:name="_heading=h.66pvcb12tikk" w:id="16"/>
            <w:bookmarkEnd w:id="16"/>
            <w:r w:rsidDel="00000000" w:rsidR="00000000" w:rsidRPr="00000000">
              <w:rPr>
                <w:rFonts w:ascii="Arial" w:cs="Arial" w:eastAsia="Arial" w:hAnsi="Arial"/>
                <w:sz w:val="24"/>
                <w:szCs w:val="24"/>
                <w:rtl w:val="0"/>
              </w:rPr>
              <w:t xml:space="preserve">Personal Data</w:t>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76">
            <w:pPr>
              <w:pStyle w:val="Heading2"/>
              <w:spacing w:before="0" w:lineRule="auto"/>
              <w:ind w:left="709" w:firstLine="0"/>
              <w:rPr>
                <w:rFonts w:ascii="Arial" w:cs="Arial" w:eastAsia="Arial" w:hAnsi="Arial"/>
                <w:sz w:val="24"/>
                <w:szCs w:val="24"/>
              </w:rPr>
            </w:pPr>
            <w:bookmarkStart w:colFirst="0" w:colLast="0" w:name="_heading=h.6ozys8xm3nmp" w:id="17"/>
            <w:bookmarkEnd w:id="17"/>
            <w:r w:rsidDel="00000000" w:rsidR="00000000" w:rsidRPr="00000000">
              <w:rPr>
                <w:rFonts w:ascii="Arial" w:cs="Arial" w:eastAsia="Arial" w:hAnsi="Arial"/>
                <w:sz w:val="24"/>
                <w:szCs w:val="24"/>
                <w:rtl w:val="0"/>
              </w:rPr>
              <w:t xml:space="preserve">N/A please refer to Annex 1 – Call-Off Contract Processing</w:t>
            </w:r>
          </w:p>
          <w:p w:rsidR="00000000" w:rsidDel="00000000" w:rsidP="00000000" w:rsidRDefault="00000000" w:rsidRPr="00000000" w14:paraId="00000077">
            <w:pPr>
              <w:pStyle w:val="Heading2"/>
              <w:spacing w:after="240" w:before="0" w:lineRule="auto"/>
              <w:ind w:left="709" w:firstLine="0"/>
              <w:rPr>
                <w:rFonts w:ascii="Arial" w:cs="Arial" w:eastAsia="Arial" w:hAnsi="Arial"/>
                <w:sz w:val="24"/>
                <w:szCs w:val="24"/>
              </w:rPr>
            </w:pPr>
            <w:bookmarkStart w:colFirst="0" w:colLast="0" w:name="_heading=h.hxtk9ja9l0w0" w:id="18"/>
            <w:bookmarkEnd w:id="18"/>
            <w:r w:rsidDel="00000000" w:rsidR="00000000" w:rsidRPr="00000000">
              <w:rPr>
                <w:rFonts w:ascii="Arial" w:cs="Arial" w:eastAsia="Arial" w:hAnsi="Arial"/>
                <w:sz w:val="24"/>
                <w:szCs w:val="24"/>
                <w:rtl w:val="0"/>
              </w:rPr>
              <w:t xml:space="preserve">Personal Data</w:t>
            </w:r>
          </w:p>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7A">
            <w:pPr>
              <w:pStyle w:val="Heading2"/>
              <w:spacing w:before="0" w:lineRule="auto"/>
              <w:ind w:left="709" w:firstLine="0"/>
              <w:rPr>
                <w:rFonts w:ascii="Arial" w:cs="Arial" w:eastAsia="Arial" w:hAnsi="Arial"/>
                <w:sz w:val="24"/>
                <w:szCs w:val="24"/>
              </w:rPr>
            </w:pPr>
            <w:bookmarkStart w:colFirst="0" w:colLast="0" w:name="_heading=h.gicktzpcocm8" w:id="19"/>
            <w:bookmarkEnd w:id="19"/>
            <w:r w:rsidDel="00000000" w:rsidR="00000000" w:rsidRPr="00000000">
              <w:rPr>
                <w:rFonts w:ascii="Arial" w:cs="Arial" w:eastAsia="Arial" w:hAnsi="Arial"/>
                <w:sz w:val="24"/>
                <w:szCs w:val="24"/>
                <w:rtl w:val="0"/>
              </w:rPr>
              <w:t xml:space="preserve">N/A please refer to Annex 1 – Call-Off Contract Processing</w:t>
            </w:r>
          </w:p>
          <w:p w:rsidR="00000000" w:rsidDel="00000000" w:rsidP="00000000" w:rsidRDefault="00000000" w:rsidRPr="00000000" w14:paraId="0000007B">
            <w:pPr>
              <w:pStyle w:val="Heading2"/>
              <w:spacing w:after="240" w:before="0" w:lineRule="auto"/>
              <w:ind w:left="709" w:firstLine="0"/>
              <w:rPr>
                <w:rFonts w:ascii="Arial" w:cs="Arial" w:eastAsia="Arial" w:hAnsi="Arial"/>
                <w:sz w:val="24"/>
                <w:szCs w:val="24"/>
              </w:rPr>
            </w:pPr>
            <w:bookmarkStart w:colFirst="0" w:colLast="0" w:name="_heading=h.e2hlf29sefei" w:id="20"/>
            <w:bookmarkEnd w:id="20"/>
            <w:r w:rsidDel="00000000" w:rsidR="00000000" w:rsidRPr="00000000">
              <w:rPr>
                <w:rFonts w:ascii="Arial" w:cs="Arial" w:eastAsia="Arial" w:hAnsi="Arial"/>
                <w:sz w:val="24"/>
                <w:szCs w:val="24"/>
                <w:rtl w:val="0"/>
              </w:rPr>
              <w:t xml:space="preserve">Personal Data</w:t>
            </w:r>
          </w:p>
        </w:tc>
      </w:tr>
      <w:tr>
        <w:trPr>
          <w:cantSplit w:val="0"/>
          <w:trHeight w:val="1660" w:hRule="atLeast"/>
          <w:tblHeader w:val="0"/>
        </w:trPr>
        <w:tc>
          <w:tcPr>
            <w:shd w:fill="auto" w:val="clear"/>
          </w:tcPr>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paragraph 6(e) of this Joint Schedule 11. </w:t>
            </w:r>
          </w:p>
          <w:p w:rsidR="00000000" w:rsidDel="00000000" w:rsidP="00000000" w:rsidRDefault="00000000" w:rsidRPr="00000000" w14:paraId="0000007F">
            <w:pPr>
              <w:pStyle w:val="Heading2"/>
              <w:spacing w:before="0" w:lineRule="auto"/>
              <w:ind w:left="709" w:firstLine="0"/>
              <w:rPr>
                <w:rFonts w:ascii="Arial" w:cs="Arial" w:eastAsia="Arial" w:hAnsi="Arial"/>
                <w:sz w:val="24"/>
                <w:szCs w:val="24"/>
              </w:rPr>
            </w:pPr>
            <w:bookmarkStart w:colFirst="0" w:colLast="0" w:name="_heading=h.4k2rpxurrtk5" w:id="21"/>
            <w:bookmarkEnd w:id="21"/>
            <w:r w:rsidDel="00000000" w:rsidR="00000000" w:rsidRPr="00000000">
              <w:rPr>
                <w:rFonts w:ascii="Arial" w:cs="Arial" w:eastAsia="Arial" w:hAnsi="Arial"/>
                <w:sz w:val="24"/>
                <w:szCs w:val="24"/>
                <w:rtl w:val="0"/>
              </w:rPr>
              <w:t xml:space="preserve">N/A please refer to Annex 1 – Call-Off Contract Processing</w:t>
            </w:r>
          </w:p>
          <w:p w:rsidR="00000000" w:rsidDel="00000000" w:rsidP="00000000" w:rsidRDefault="00000000" w:rsidRPr="00000000" w14:paraId="00000080">
            <w:pPr>
              <w:pStyle w:val="Heading2"/>
              <w:spacing w:before="0" w:lineRule="auto"/>
              <w:ind w:left="709" w:firstLine="0"/>
              <w:rPr>
                <w:rFonts w:ascii="Arial" w:cs="Arial" w:eastAsia="Arial" w:hAnsi="Arial"/>
                <w:i w:val="1"/>
                <w:sz w:val="24"/>
                <w:szCs w:val="24"/>
              </w:rPr>
            </w:pPr>
            <w:bookmarkStart w:colFirst="0" w:colLast="0" w:name="_heading=h.v9hef36jiyu6" w:id="22"/>
            <w:bookmarkEnd w:id="22"/>
            <w:r w:rsidDel="00000000" w:rsidR="00000000" w:rsidRPr="00000000">
              <w:rPr>
                <w:rFonts w:ascii="Arial" w:cs="Arial" w:eastAsia="Arial" w:hAnsi="Arial"/>
                <w:sz w:val="24"/>
                <w:szCs w:val="24"/>
                <w:rtl w:val="0"/>
              </w:rPr>
              <w:t xml:space="preserve">Personal Data</w:t>
            </w:r>
            <w:r w:rsidDel="00000000" w:rsidR="00000000" w:rsidRPr="00000000">
              <w:rPr>
                <w:rtl w:val="0"/>
              </w:rPr>
            </w:r>
          </w:p>
        </w:tc>
      </w:tr>
    </w:tbl>
    <w:p w:rsidR="00000000" w:rsidDel="00000000" w:rsidP="00000000" w:rsidRDefault="00000000" w:rsidRPr="00000000" w14:paraId="0000008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2"/>
        <w:spacing w:after="240" w:before="0" w:lineRule="auto"/>
        <w:ind w:left="709" w:hanging="709"/>
        <w:rPr>
          <w:rFonts w:ascii="Arial" w:cs="Arial" w:eastAsia="Arial" w:hAnsi="Arial"/>
          <w:b w:val="0"/>
          <w:sz w:val="24"/>
          <w:szCs w:val="24"/>
        </w:rPr>
      </w:pPr>
      <w:r w:rsidDel="00000000" w:rsidR="00000000" w:rsidRPr="00000000">
        <w:rPr>
          <w:rFonts w:ascii="Arial" w:cs="Arial" w:eastAsia="Arial" w:hAnsi="Arial"/>
          <w:sz w:val="24"/>
          <w:szCs w:val="24"/>
          <w:rtl w:val="0"/>
        </w:rPr>
        <w:t xml:space="preserve">Annex 1 – Call-Off Contract Processing Personal Data</w:t>
      </w:r>
      <w:r w:rsidDel="00000000" w:rsidR="00000000" w:rsidRPr="00000000">
        <w:rPr>
          <w:rtl w:val="0"/>
        </w:rPr>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the Buyer’s at its absolute discretion.  </w:t>
      </w:r>
    </w:p>
    <w:p w:rsidR="00000000" w:rsidDel="00000000" w:rsidP="00000000" w:rsidRDefault="00000000" w:rsidRPr="00000000" w14:paraId="00000085">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Buyer’s Data Protection Officer are: Claire Fisher (Claire.Fisher6@homeoffice.gov.uk)</w:t>
      </w:r>
    </w:p>
    <w:p w:rsidR="00000000" w:rsidDel="00000000" w:rsidP="00000000" w:rsidRDefault="00000000" w:rsidRPr="00000000" w14:paraId="00000086">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 Owen Coombes E-mail owen.coombes@claritybt.com</w:t>
      </w:r>
    </w:p>
    <w:p w:rsidR="00000000" w:rsidDel="00000000" w:rsidP="00000000" w:rsidRDefault="00000000" w:rsidRPr="00000000" w14:paraId="00000087">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88">
      <w:pPr>
        <w:keepNext w:val="1"/>
        <w:numPr>
          <w:ilvl w:val="3"/>
          <w:numId w:val="2"/>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89">
      <w:pPr>
        <w:keepNext w:val="1"/>
        <w:ind w:left="720" w:firstLine="0"/>
        <w:rPr>
          <w:rFonts w:ascii="Arial" w:cs="Arial" w:eastAsia="Arial" w:hAnsi="Arial"/>
          <w:sz w:val="24"/>
          <w:szCs w:val="24"/>
        </w:rPr>
      </w:pPr>
      <w:r w:rsidDel="00000000" w:rsidR="00000000" w:rsidRPr="00000000">
        <w:rPr>
          <w:rtl w:val="0"/>
        </w:rPr>
      </w:r>
    </w:p>
    <w:tbl>
      <w:tblPr>
        <w:tblStyle w:val="Table3"/>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8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8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for each Category of Personal Data</w:t>
            </w:r>
          </w:p>
        </w:tc>
        <w:tc>
          <w:tcPr>
            <w:shd w:fill="auto" w:val="clear"/>
          </w:tcPr>
          <w:p w:rsidR="00000000" w:rsidDel="00000000" w:rsidP="00000000" w:rsidRDefault="00000000" w:rsidRPr="00000000" w14:paraId="0000008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Buyer is Controller and the Supplier is Processor</w:t>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in accordance with paragraph 3 to paragraph 16 and for the purposes of the Data Protection Legislation, the Buyer is the Controller and the Supplier is the Processor of the following Personal Data:</w:t>
            </w:r>
          </w:p>
          <w:p w:rsidR="00000000" w:rsidDel="00000000" w:rsidP="00000000" w:rsidRDefault="00000000" w:rsidRPr="00000000" w14:paraId="0000008F">
            <w:pPr>
              <w:spacing w:after="40" w:before="40" w:lineRule="auto"/>
              <w:rPr/>
            </w:pPr>
            <w:r w:rsidDel="00000000" w:rsidR="00000000" w:rsidRPr="00000000">
              <w:rPr>
                <w:rtl w:val="0"/>
              </w:rPr>
              <w:t xml:space="preserve">Data is exchanged with the supplier to ensure only eligible staff are able to book travel and accommodation whilst conducting official business on behalf of the Buyer.  </w:t>
            </w:r>
          </w:p>
          <w:p w:rsidR="00000000" w:rsidDel="00000000" w:rsidP="00000000" w:rsidRDefault="00000000" w:rsidRPr="00000000" w14:paraId="00000090">
            <w:pPr>
              <w:spacing w:after="40" w:before="40" w:lineRule="auto"/>
              <w:rPr/>
            </w:pPr>
            <w:r w:rsidDel="00000000" w:rsidR="00000000" w:rsidRPr="00000000">
              <w:rPr>
                <w:rtl w:val="0"/>
              </w:rPr>
              <w:t xml:space="preserve">The personal data will relate to the booker and also the traveller </w:t>
            </w:r>
          </w:p>
          <w:p w:rsidR="00000000" w:rsidDel="00000000" w:rsidP="00000000" w:rsidRDefault="00000000" w:rsidRPr="00000000" w14:paraId="00000091">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Title</w:t>
            </w:r>
          </w:p>
          <w:p w:rsidR="00000000" w:rsidDel="00000000" w:rsidP="00000000" w:rsidRDefault="00000000" w:rsidRPr="00000000" w14:paraId="00000092">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Forename</w:t>
            </w:r>
          </w:p>
          <w:p w:rsidR="00000000" w:rsidDel="00000000" w:rsidP="00000000" w:rsidRDefault="00000000" w:rsidRPr="00000000" w14:paraId="00000093">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Surname</w:t>
            </w:r>
          </w:p>
          <w:p w:rsidR="00000000" w:rsidDel="00000000" w:rsidP="00000000" w:rsidRDefault="00000000" w:rsidRPr="00000000" w14:paraId="00000094">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Address Line 1 (Office address)</w:t>
            </w:r>
          </w:p>
          <w:p w:rsidR="00000000" w:rsidDel="00000000" w:rsidP="00000000" w:rsidRDefault="00000000" w:rsidRPr="00000000" w14:paraId="00000095">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Address Line 2</w:t>
            </w:r>
          </w:p>
          <w:p w:rsidR="00000000" w:rsidDel="00000000" w:rsidP="00000000" w:rsidRDefault="00000000" w:rsidRPr="00000000" w14:paraId="00000096">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Town/City</w:t>
            </w:r>
          </w:p>
          <w:p w:rsidR="00000000" w:rsidDel="00000000" w:rsidP="00000000" w:rsidRDefault="00000000" w:rsidRPr="00000000" w14:paraId="00000097">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Post Code</w:t>
            </w:r>
          </w:p>
          <w:p w:rsidR="00000000" w:rsidDel="00000000" w:rsidP="00000000" w:rsidRDefault="00000000" w:rsidRPr="00000000" w14:paraId="00000098">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Country Code</w:t>
            </w:r>
          </w:p>
          <w:p w:rsidR="00000000" w:rsidDel="00000000" w:rsidP="00000000" w:rsidRDefault="00000000" w:rsidRPr="00000000" w14:paraId="00000099">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Area Code</w:t>
            </w:r>
          </w:p>
          <w:p w:rsidR="00000000" w:rsidDel="00000000" w:rsidP="00000000" w:rsidRDefault="00000000" w:rsidRPr="00000000" w14:paraId="0000009A">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Phone Number (home/mobile/office)</w:t>
            </w:r>
          </w:p>
          <w:p w:rsidR="00000000" w:rsidDel="00000000" w:rsidP="00000000" w:rsidRDefault="00000000" w:rsidRPr="00000000" w14:paraId="0000009B">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Employee number </w:t>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w:t>
            </w:r>
          </w:p>
          <w:p w:rsidR="00000000" w:rsidDel="00000000" w:rsidP="00000000" w:rsidRDefault="00000000" w:rsidRPr="00000000" w14:paraId="0000009D">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Cost Centre</w:t>
            </w:r>
          </w:p>
          <w:p w:rsidR="00000000" w:rsidDel="00000000" w:rsidP="00000000" w:rsidRDefault="00000000" w:rsidRPr="00000000" w14:paraId="0000009E">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Gender </w:t>
            </w:r>
          </w:p>
          <w:p w:rsidR="00000000" w:rsidDel="00000000" w:rsidP="00000000" w:rsidRDefault="00000000" w:rsidRPr="00000000" w14:paraId="0000009F">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Full home address (optional)</w:t>
            </w:r>
          </w:p>
          <w:p w:rsidR="00000000" w:rsidDel="00000000" w:rsidP="00000000" w:rsidRDefault="00000000" w:rsidRPr="00000000" w14:paraId="000000A0">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Hashed password </w:t>
            </w:r>
          </w:p>
          <w:p w:rsidR="00000000" w:rsidDel="00000000" w:rsidP="00000000" w:rsidRDefault="00000000" w:rsidRPr="00000000" w14:paraId="000000A1">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Date of birth (optional)</w:t>
            </w:r>
          </w:p>
          <w:p w:rsidR="00000000" w:rsidDel="00000000" w:rsidP="00000000" w:rsidRDefault="00000000" w:rsidRPr="00000000" w14:paraId="000000A2">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passport (optional only required for certain carriers), if the employee is travelling by air.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Arial" w:cs="Arial" w:eastAsia="Arial" w:hAnsi="Arial"/>
                <w:i w:val="1"/>
                <w:color w:val="000000"/>
                <w:sz w:val="24"/>
                <w:szCs w:val="24"/>
              </w:rPr>
            </w:pPr>
            <w:r w:rsidDel="00000000" w:rsidR="00000000" w:rsidRPr="00000000">
              <w:rPr>
                <w:rFonts w:ascii="Arial" w:cs="Arial" w:eastAsia="Arial" w:hAnsi="Arial"/>
                <w:i w:val="1"/>
                <w:sz w:val="24"/>
                <w:szCs w:val="24"/>
                <w:rtl w:val="0"/>
              </w:rPr>
              <w:t xml:space="preserve"> </w:t>
            </w: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As per the Contract Period (2 Years from the Contract Start Date)</w:t>
            </w:r>
            <w:r w:rsidDel="00000000" w:rsidR="00000000" w:rsidRPr="00000000">
              <w:rPr>
                <w:rtl w:val="0"/>
              </w:rPr>
            </w:r>
          </w:p>
        </w:tc>
      </w:tr>
      <w:tr>
        <w:trPr>
          <w:cantSplit w:val="0"/>
          <w:trHeight w:val="699" w:hRule="atLeast"/>
          <w:tblHeader w:val="0"/>
        </w:trPr>
        <w:tc>
          <w:tcPr>
            <w:shd w:fill="auto" w:val="clear"/>
          </w:tcPr>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A7">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A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AB">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Title</w:t>
            </w:r>
          </w:p>
          <w:p w:rsidR="00000000" w:rsidDel="00000000" w:rsidP="00000000" w:rsidRDefault="00000000" w:rsidRPr="00000000" w14:paraId="000000AC">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Forename</w:t>
            </w:r>
          </w:p>
          <w:p w:rsidR="00000000" w:rsidDel="00000000" w:rsidP="00000000" w:rsidRDefault="00000000" w:rsidRPr="00000000" w14:paraId="000000AD">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Surname</w:t>
            </w:r>
          </w:p>
          <w:p w:rsidR="00000000" w:rsidDel="00000000" w:rsidP="00000000" w:rsidRDefault="00000000" w:rsidRPr="00000000" w14:paraId="000000AE">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Address Line 1 (Office address)</w:t>
            </w:r>
          </w:p>
          <w:p w:rsidR="00000000" w:rsidDel="00000000" w:rsidP="00000000" w:rsidRDefault="00000000" w:rsidRPr="00000000" w14:paraId="000000AF">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Address Line 2</w:t>
            </w:r>
          </w:p>
          <w:p w:rsidR="00000000" w:rsidDel="00000000" w:rsidP="00000000" w:rsidRDefault="00000000" w:rsidRPr="00000000" w14:paraId="000000B0">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Town/City</w:t>
            </w:r>
          </w:p>
          <w:p w:rsidR="00000000" w:rsidDel="00000000" w:rsidP="00000000" w:rsidRDefault="00000000" w:rsidRPr="00000000" w14:paraId="000000B1">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Post Code</w:t>
            </w:r>
          </w:p>
          <w:p w:rsidR="00000000" w:rsidDel="00000000" w:rsidP="00000000" w:rsidRDefault="00000000" w:rsidRPr="00000000" w14:paraId="000000B2">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Country Code</w:t>
            </w:r>
          </w:p>
          <w:p w:rsidR="00000000" w:rsidDel="00000000" w:rsidP="00000000" w:rsidRDefault="00000000" w:rsidRPr="00000000" w14:paraId="000000B3">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Area Code</w:t>
            </w:r>
          </w:p>
          <w:p w:rsidR="00000000" w:rsidDel="00000000" w:rsidP="00000000" w:rsidRDefault="00000000" w:rsidRPr="00000000" w14:paraId="000000B4">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Phone Number (home/mobile/office)</w:t>
            </w:r>
          </w:p>
          <w:p w:rsidR="00000000" w:rsidDel="00000000" w:rsidP="00000000" w:rsidRDefault="00000000" w:rsidRPr="00000000" w14:paraId="000000B5">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Employee number </w:t>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w:t>
            </w:r>
          </w:p>
          <w:p w:rsidR="00000000" w:rsidDel="00000000" w:rsidP="00000000" w:rsidRDefault="00000000" w:rsidRPr="00000000" w14:paraId="000000B7">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Cost Centre</w:t>
            </w:r>
          </w:p>
          <w:p w:rsidR="00000000" w:rsidDel="00000000" w:rsidP="00000000" w:rsidRDefault="00000000" w:rsidRPr="00000000" w14:paraId="000000B8">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Gender </w:t>
            </w:r>
          </w:p>
          <w:p w:rsidR="00000000" w:rsidDel="00000000" w:rsidP="00000000" w:rsidRDefault="00000000" w:rsidRPr="00000000" w14:paraId="000000B9">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Full home address (optional)</w:t>
            </w:r>
          </w:p>
          <w:p w:rsidR="00000000" w:rsidDel="00000000" w:rsidP="00000000" w:rsidRDefault="00000000" w:rsidRPr="00000000" w14:paraId="000000BA">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Hashed password </w:t>
            </w:r>
          </w:p>
          <w:p w:rsidR="00000000" w:rsidDel="00000000" w:rsidP="00000000" w:rsidRDefault="00000000" w:rsidRPr="00000000" w14:paraId="000000BB">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Date of birth (optional)</w:t>
            </w:r>
          </w:p>
          <w:p w:rsidR="00000000" w:rsidDel="00000000" w:rsidP="00000000" w:rsidRDefault="00000000" w:rsidRPr="00000000" w14:paraId="000000BC">
            <w:pPr>
              <w:numPr>
                <w:ilvl w:val="0"/>
                <w:numId w:val="3"/>
              </w:numPr>
              <w:spacing w:after="0" w:line="240" w:lineRule="auto"/>
              <w:ind w:left="1004" w:hanging="360"/>
              <w:rPr>
                <w:rFonts w:ascii="Arial" w:cs="Arial" w:eastAsia="Arial" w:hAnsi="Arial"/>
              </w:rPr>
            </w:pPr>
            <w:r w:rsidDel="00000000" w:rsidR="00000000" w:rsidRPr="00000000">
              <w:rPr>
                <w:rFonts w:ascii="Arial" w:cs="Arial" w:eastAsia="Arial" w:hAnsi="Arial"/>
                <w:rtl w:val="0"/>
              </w:rPr>
              <w:t xml:space="preserve">passport (optional only required for certain carriers), if the employee is travelling by air.  </w:t>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BE">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 Staff (including volunteers, agents, and temporary workers), customers/ clients, users of a particular</w:t>
              <w:br w:type="textWrapping"/>
              <w:t xml:space="preserve">website etc]</w:t>
            </w:r>
            <w:r w:rsidDel="00000000" w:rsidR="00000000" w:rsidRPr="00000000">
              <w:rPr>
                <w:rtl w:val="0"/>
              </w:rPr>
            </w:r>
          </w:p>
        </w:tc>
      </w:tr>
    </w:tbl>
    <w:p w:rsidR="00000000" w:rsidDel="00000000" w:rsidP="00000000" w:rsidRDefault="00000000" w:rsidRPr="00000000" w14:paraId="000000C0">
      <w:pPr>
        <w:rPr>
          <w:rFonts w:ascii="Arial" w:cs="Arial" w:eastAsia="Arial" w:hAnsi="Arial"/>
          <w:b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C7">
    <w:pPr>
      <w:spacing w:after="0" w:lineRule="auto"/>
      <w:rPr/>
    </w:pPr>
    <w:r w:rsidDel="00000000" w:rsidR="00000000" w:rsidRPr="00000000">
      <w:rPr>
        <w:rFonts w:ascii="Arial" w:cs="Arial" w:eastAsia="Arial" w:hAnsi="Arial"/>
        <w:sz w:val="20"/>
        <w:szCs w:val="20"/>
        <w:rtl w:val="0"/>
      </w:rPr>
      <w:t xml:space="preserve">Model Version: v4.3</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CB">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-13329</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gjdgxs" w:id="23"/>
    <w:bookmarkEnd w:id="23"/>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4">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val="1"/>
    <w:rsid w:val="002404A4"/>
    <w:pPr>
      <w:tabs>
        <w:tab w:val="num" w:pos="720"/>
      </w:tabs>
      <w:spacing w:after="240" w:line="240" w:lineRule="auto"/>
      <w:ind w:left="567" w:hanging="567"/>
      <w:jc w:val="both"/>
      <w:outlineLvl w:val="0"/>
    </w:pPr>
    <w:rPr>
      <w:rFonts w:ascii="Arial" w:cs="Arial" w:hAnsi="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1"/>
    </w:pPr>
    <w:rPr>
      <w:rFonts w:ascii="Cambria" w:cs="Cambria" w:eastAsia="Cambria" w:hAnsi="Cambria"/>
      <w:b w:val="1"/>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val="1"/>
    <w:rsid w:val="00D50719"/>
    <w:pPr>
      <w:keepNext w:val="1"/>
      <w:keepLines w:val="1"/>
      <w:pBdr>
        <w:top w:space="0" w:sz="0" w:val="nil"/>
        <w:left w:space="0" w:sz="0" w:val="nil"/>
        <w:bottom w:space="0" w:sz="0" w:val="nil"/>
        <w:right w:space="0" w:sz="0" w:val="nil"/>
        <w:between w:space="0" w:sz="0" w:val="nil"/>
      </w:pBdr>
      <w:spacing w:after="0" w:before="200" w:line="240" w:lineRule="auto"/>
      <w:outlineLvl w:val="2"/>
    </w:pPr>
    <w:rPr>
      <w:rFonts w:ascii="Cambria" w:cs="Cambria" w:eastAsia="Cambria" w:hAnsi="Cambria"/>
      <w:b w:val="1"/>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val="1"/>
    <w:unhideWhenUsed w:val="1"/>
    <w:qFormat w:val="1"/>
    <w:rsid w:val="002404A4"/>
    <w:pPr>
      <w:tabs>
        <w:tab w:val="num" w:pos="2268"/>
      </w:tabs>
      <w:spacing w:after="240" w:line="240" w:lineRule="auto"/>
      <w:ind w:left="2268" w:hanging="850"/>
      <w:jc w:val="both"/>
      <w:outlineLvl w:val="3"/>
    </w:pPr>
    <w:rPr>
      <w:rFonts w:ascii="Arial" w:cs="Arial" w:hAnsi="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val="1"/>
    <w:unhideWhenUsed w:val="1"/>
    <w:qFormat w:val="1"/>
    <w:rsid w:val="002404A4"/>
    <w:pPr>
      <w:tabs>
        <w:tab w:val="num" w:pos="1985"/>
      </w:tabs>
      <w:spacing w:after="240" w:line="240" w:lineRule="auto"/>
      <w:ind w:left="1985" w:hanging="567"/>
      <w:jc w:val="both"/>
      <w:outlineLvl w:val="4"/>
    </w:pPr>
    <w:rPr>
      <w:rFonts w:ascii="Arial" w:cs="Arial" w:hAnsi="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val="1"/>
    <w:unhideWhenUsed w:val="1"/>
    <w:qFormat w:val="1"/>
    <w:rsid w:val="002404A4"/>
    <w:pPr>
      <w:tabs>
        <w:tab w:val="num" w:pos="4320"/>
      </w:tabs>
      <w:spacing w:after="240" w:line="240" w:lineRule="auto"/>
      <w:ind w:left="4320" w:hanging="720"/>
      <w:jc w:val="both"/>
      <w:outlineLvl w:val="5"/>
    </w:pPr>
    <w:rPr>
      <w:rFonts w:ascii="Arial" w:cs="Arial" w:hAnsi="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ascii="Arial" w:cs="Times New Roman" w:eastAsia="Times New Roman" w:hAnsi="Arial"/>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qFormat w:val="1"/>
    <w:rsid w:val="002771AA"/>
    <w:pPr>
      <w:numPr>
        <w:numId w:val="1"/>
      </w:numPr>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ascii="Arial" w:cs="Times New Roman" w:eastAsia="Times New Roman" w:hAnsi="Arial"/>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sz w:val="24"/>
      <w:szCs w:val="24"/>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14"/>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14"/>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rFonts w:ascii="Arial" w:cs="Arial" w:hAnsi="Arial"/>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15"/>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15"/>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15"/>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W465eno7GFvETIrHFRpvIXZjQ==">CgMxLjAyCWlkLmdqZGd4czIKaWQuMzBqMHpsbDIKaWQuMWZvYjl0ZTIKaWQuM3pueXNoNzIKaWQuMmV0OTJwMDIJaWQudHlqY3d0MgppZC4zZHk2dmttMgppZC4xdDNoNXNmMgppZC40ZDM0b2c4MgppZC4yczhleW8xMgppZC4xN2RwOHZ1MgppZC4zcmRjcmpuMgloLjI2aW4xcmcyCWlkLmxueGJ6OTIKaWQuMzVua3VuMjIOaC5sbXJtY3F1MjMwejAyDmguNjZwdmNiMTJ0aWtrMg5oLjZvenlzOHhtM25tcDIOaC5oeHRrOWphOWwwdzAyDmguZ2lja3R6cGNvY204Mg5oLmUyaGxmMjlzZWZlaTIOaC40azJycHh1cnJ0azUyDmgudjloZWYzNmppeXU2MghoLmdqZGd4czgAciExUi1VQVMzc2R6STQ3ZEFseDkza2pMdllhNTNEeG85T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2022-08-18T10:26:00Z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