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043E7" w14:textId="123E526A" w:rsidR="00087ED6" w:rsidRDefault="00087ED6" w:rsidP="00087ED6">
      <w:pPr>
        <w:spacing w:line="280" w:lineRule="atLeast"/>
        <w:jc w:val="center"/>
        <w:rPr>
          <w:rFonts w:cs="Times New Roman"/>
          <w:b/>
          <w:sz w:val="32"/>
          <w:lang w:val="en-US"/>
        </w:rPr>
      </w:pPr>
      <w:bookmarkStart w:id="0" w:name="_Toc235933281"/>
      <w:r w:rsidRPr="006B144E">
        <w:rPr>
          <w:rFonts w:cs="Times New Roman"/>
          <w:b/>
          <w:sz w:val="32"/>
          <w:lang w:val="en-US"/>
        </w:rPr>
        <w:t xml:space="preserve">Programme </w:t>
      </w:r>
      <w:r w:rsidR="00982C78">
        <w:rPr>
          <w:rFonts w:cs="Times New Roman"/>
          <w:b/>
          <w:sz w:val="32"/>
          <w:lang w:val="en-US"/>
        </w:rPr>
        <w:t>S</w:t>
      </w:r>
      <w:r w:rsidRPr="006B144E">
        <w:rPr>
          <w:rFonts w:cs="Times New Roman"/>
          <w:b/>
          <w:sz w:val="32"/>
          <w:lang w:val="en-US"/>
        </w:rPr>
        <w:t>pecification 20</w:t>
      </w:r>
      <w:r>
        <w:rPr>
          <w:rFonts w:cs="Times New Roman"/>
          <w:b/>
          <w:sz w:val="32"/>
          <w:lang w:val="en-US"/>
        </w:rPr>
        <w:t>23-28</w:t>
      </w:r>
    </w:p>
    <w:p w14:paraId="468A489A" w14:textId="77777777" w:rsidR="00087ED6" w:rsidRDefault="00087ED6" w:rsidP="00087ED6">
      <w:pPr>
        <w:spacing w:line="280" w:lineRule="atLeast"/>
        <w:jc w:val="center"/>
        <w:rPr>
          <w:rFonts w:cs="Times New Roman"/>
          <w:b/>
          <w:sz w:val="32"/>
          <w:lang w:val="en-US"/>
        </w:rPr>
      </w:pPr>
    </w:p>
    <w:p w14:paraId="006B173A" w14:textId="44EED357" w:rsidR="00BD6349" w:rsidRPr="00AB6E5D" w:rsidRDefault="00BD6349" w:rsidP="00BD6349">
      <w:pPr>
        <w:pStyle w:val="Heading2"/>
        <w:jc w:val="center"/>
        <w:rPr>
          <w:color w:val="000000" w:themeColor="text1"/>
          <w:sz w:val="32"/>
          <w:szCs w:val="32"/>
        </w:rPr>
      </w:pPr>
      <w:bookmarkStart w:id="1" w:name="_Toc118292523"/>
      <w:bookmarkStart w:id="2" w:name="_Toc118292547"/>
      <w:bookmarkStart w:id="3" w:name="_Toc118296656"/>
      <w:bookmarkStart w:id="4" w:name="_Toc118380466"/>
      <w:bookmarkStart w:id="5" w:name="_Toc118380628"/>
      <w:bookmarkEnd w:id="0"/>
      <w:r w:rsidRPr="00AB6E5D">
        <w:rPr>
          <w:color w:val="000000" w:themeColor="text1"/>
          <w:sz w:val="32"/>
          <w:szCs w:val="32"/>
        </w:rPr>
        <w:t>National training function to support the ongoing provision of high</w:t>
      </w:r>
      <w:r>
        <w:rPr>
          <w:color w:val="000000" w:themeColor="text1"/>
          <w:sz w:val="32"/>
          <w:szCs w:val="32"/>
        </w:rPr>
        <w:t>-</w:t>
      </w:r>
      <w:r w:rsidRPr="00AB6E5D">
        <w:rPr>
          <w:color w:val="000000" w:themeColor="text1"/>
          <w:sz w:val="32"/>
          <w:szCs w:val="32"/>
        </w:rPr>
        <w:t>quality stop smoking services in England</w:t>
      </w:r>
      <w:bookmarkEnd w:id="1"/>
      <w:bookmarkEnd w:id="2"/>
      <w:bookmarkEnd w:id="3"/>
      <w:bookmarkEnd w:id="4"/>
      <w:bookmarkEnd w:id="5"/>
    </w:p>
    <w:p w14:paraId="2766BAC1" w14:textId="77777777" w:rsidR="00BD6349" w:rsidRPr="005519D1" w:rsidRDefault="00BD6349" w:rsidP="00BD6349">
      <w:pPr>
        <w:spacing w:line="280" w:lineRule="atLeast"/>
        <w:rPr>
          <w:rFonts w:cs="Times New Roman"/>
          <w:lang w:val="en-US"/>
        </w:rPr>
      </w:pPr>
    </w:p>
    <w:p w14:paraId="66AE6505" w14:textId="583A3549" w:rsidR="0009406E" w:rsidRDefault="0009406E" w:rsidP="00BD6349">
      <w:pPr>
        <w:spacing w:line="280" w:lineRule="atLeast"/>
        <w:jc w:val="center"/>
        <w:rPr>
          <w:rFonts w:cs="Times New Roman"/>
          <w:b/>
          <w:sz w:val="32"/>
          <w:lang w:val="en-US"/>
        </w:rPr>
      </w:pPr>
    </w:p>
    <w:sdt>
      <w:sdtPr>
        <w:rPr>
          <w:rFonts w:ascii="Arial" w:eastAsia="Times New Roman" w:hAnsi="Arial" w:cs="Arial"/>
          <w:color w:val="auto"/>
          <w:sz w:val="24"/>
          <w:szCs w:val="20"/>
          <w:lang w:val="en-GB"/>
        </w:rPr>
        <w:id w:val="652794625"/>
        <w:docPartObj>
          <w:docPartGallery w:val="Table of Contents"/>
          <w:docPartUnique/>
        </w:docPartObj>
      </w:sdtPr>
      <w:sdtEndPr>
        <w:rPr>
          <w:b/>
          <w:bCs/>
          <w:noProof/>
        </w:rPr>
      </w:sdtEndPr>
      <w:sdtContent>
        <w:p w14:paraId="4162F560" w14:textId="77777777" w:rsidR="00FB6D60" w:rsidRDefault="0009406E" w:rsidP="00897DCF">
          <w:pPr>
            <w:pStyle w:val="TOCHeading"/>
            <w:rPr>
              <w:noProof/>
            </w:rPr>
          </w:pPr>
          <w:r>
            <w:t>Contents</w:t>
          </w:r>
          <w:r>
            <w:fldChar w:fldCharType="begin"/>
          </w:r>
          <w:r>
            <w:instrText xml:space="preserve"> TOC \o "1-3" \h \z \u </w:instrText>
          </w:r>
          <w:r>
            <w:fldChar w:fldCharType="separate"/>
          </w:r>
        </w:p>
        <w:p w14:paraId="3145F31C" w14:textId="5E59AFBA" w:rsidR="00FB6D60" w:rsidRDefault="004D7E63">
          <w:pPr>
            <w:pStyle w:val="TOC1"/>
            <w:rPr>
              <w:rFonts w:asciiTheme="minorHAnsi" w:eastAsiaTheme="minorEastAsia" w:hAnsiTheme="minorHAnsi" w:cstheme="minorBidi"/>
              <w:noProof/>
              <w:sz w:val="22"/>
              <w:szCs w:val="22"/>
              <w:lang w:eastAsia="en-GB"/>
            </w:rPr>
          </w:pPr>
          <w:hyperlink w:anchor="_Toc118380629" w:history="1">
            <w:r w:rsidR="00FB6D60" w:rsidRPr="0098508B">
              <w:rPr>
                <w:rStyle w:val="Hyperlink"/>
                <w:noProof/>
              </w:rPr>
              <w:t>1.</w:t>
            </w:r>
            <w:r w:rsidR="00FB6D60">
              <w:rPr>
                <w:rFonts w:asciiTheme="minorHAnsi" w:eastAsiaTheme="minorEastAsia" w:hAnsiTheme="minorHAnsi" w:cstheme="minorBidi"/>
                <w:noProof/>
                <w:sz w:val="22"/>
                <w:szCs w:val="22"/>
                <w:lang w:eastAsia="en-GB"/>
              </w:rPr>
              <w:tab/>
            </w:r>
            <w:r w:rsidR="00FB6D60" w:rsidRPr="0098508B">
              <w:rPr>
                <w:rStyle w:val="Hyperlink"/>
                <w:noProof/>
              </w:rPr>
              <w:t>Introduction</w:t>
            </w:r>
            <w:r w:rsidR="00FB6D60">
              <w:rPr>
                <w:noProof/>
                <w:webHidden/>
              </w:rPr>
              <w:tab/>
            </w:r>
            <w:r w:rsidR="00FB6D60">
              <w:rPr>
                <w:noProof/>
                <w:webHidden/>
              </w:rPr>
              <w:fldChar w:fldCharType="begin"/>
            </w:r>
            <w:r w:rsidR="00FB6D60">
              <w:rPr>
                <w:noProof/>
                <w:webHidden/>
              </w:rPr>
              <w:instrText xml:space="preserve"> PAGEREF _Toc118380629 \h </w:instrText>
            </w:r>
            <w:r w:rsidR="00FB6D60">
              <w:rPr>
                <w:noProof/>
                <w:webHidden/>
              </w:rPr>
            </w:r>
            <w:r w:rsidR="00FB6D60">
              <w:rPr>
                <w:noProof/>
                <w:webHidden/>
              </w:rPr>
              <w:fldChar w:fldCharType="separate"/>
            </w:r>
            <w:r w:rsidR="00FB6D60">
              <w:rPr>
                <w:noProof/>
                <w:webHidden/>
              </w:rPr>
              <w:t>2</w:t>
            </w:r>
            <w:r w:rsidR="00FB6D60">
              <w:rPr>
                <w:noProof/>
                <w:webHidden/>
              </w:rPr>
              <w:fldChar w:fldCharType="end"/>
            </w:r>
          </w:hyperlink>
        </w:p>
        <w:p w14:paraId="638C399C" w14:textId="71872F42" w:rsidR="00FB6D60" w:rsidRDefault="004D7E63">
          <w:pPr>
            <w:pStyle w:val="TOC1"/>
            <w:rPr>
              <w:rFonts w:asciiTheme="minorHAnsi" w:eastAsiaTheme="minorEastAsia" w:hAnsiTheme="minorHAnsi" w:cstheme="minorBidi"/>
              <w:noProof/>
              <w:sz w:val="22"/>
              <w:szCs w:val="22"/>
              <w:lang w:eastAsia="en-GB"/>
            </w:rPr>
          </w:pPr>
          <w:hyperlink w:anchor="_Toc118380630" w:history="1">
            <w:r w:rsidR="00FB6D60" w:rsidRPr="0098508B">
              <w:rPr>
                <w:rStyle w:val="Hyperlink"/>
                <w:noProof/>
              </w:rPr>
              <w:t>2.</w:t>
            </w:r>
            <w:r w:rsidR="00FB6D60">
              <w:rPr>
                <w:rFonts w:asciiTheme="minorHAnsi" w:eastAsiaTheme="minorEastAsia" w:hAnsiTheme="minorHAnsi" w:cstheme="minorBidi"/>
                <w:noProof/>
                <w:sz w:val="22"/>
                <w:szCs w:val="22"/>
                <w:lang w:eastAsia="en-GB"/>
              </w:rPr>
              <w:tab/>
            </w:r>
            <w:r w:rsidR="00FB6D60" w:rsidRPr="0098508B">
              <w:rPr>
                <w:rStyle w:val="Hyperlink"/>
                <w:noProof/>
              </w:rPr>
              <w:t>Definitions</w:t>
            </w:r>
            <w:r w:rsidR="00FB6D60">
              <w:rPr>
                <w:noProof/>
                <w:webHidden/>
              </w:rPr>
              <w:tab/>
            </w:r>
            <w:r w:rsidR="00FB6D60">
              <w:rPr>
                <w:noProof/>
                <w:webHidden/>
              </w:rPr>
              <w:fldChar w:fldCharType="begin"/>
            </w:r>
            <w:r w:rsidR="00FB6D60">
              <w:rPr>
                <w:noProof/>
                <w:webHidden/>
              </w:rPr>
              <w:instrText xml:space="preserve"> PAGEREF _Toc118380630 \h </w:instrText>
            </w:r>
            <w:r w:rsidR="00FB6D60">
              <w:rPr>
                <w:noProof/>
                <w:webHidden/>
              </w:rPr>
            </w:r>
            <w:r w:rsidR="00FB6D60">
              <w:rPr>
                <w:noProof/>
                <w:webHidden/>
              </w:rPr>
              <w:fldChar w:fldCharType="separate"/>
            </w:r>
            <w:r w:rsidR="00FB6D60">
              <w:rPr>
                <w:noProof/>
                <w:webHidden/>
              </w:rPr>
              <w:t>2</w:t>
            </w:r>
            <w:r w:rsidR="00FB6D60">
              <w:rPr>
                <w:noProof/>
                <w:webHidden/>
              </w:rPr>
              <w:fldChar w:fldCharType="end"/>
            </w:r>
          </w:hyperlink>
        </w:p>
        <w:p w14:paraId="158AF79B" w14:textId="7C376CB7" w:rsidR="00FB6D60" w:rsidRDefault="004D7E63">
          <w:pPr>
            <w:pStyle w:val="TOC1"/>
            <w:rPr>
              <w:rFonts w:asciiTheme="minorHAnsi" w:eastAsiaTheme="minorEastAsia" w:hAnsiTheme="minorHAnsi" w:cstheme="minorBidi"/>
              <w:noProof/>
              <w:sz w:val="22"/>
              <w:szCs w:val="22"/>
              <w:lang w:eastAsia="en-GB"/>
            </w:rPr>
          </w:pPr>
          <w:hyperlink w:anchor="_Toc118380631" w:history="1">
            <w:r w:rsidR="00FB6D60" w:rsidRPr="0098508B">
              <w:rPr>
                <w:rStyle w:val="Hyperlink"/>
                <w:noProof/>
              </w:rPr>
              <w:t>3.</w:t>
            </w:r>
            <w:r w:rsidR="00FB6D60">
              <w:rPr>
                <w:rFonts w:asciiTheme="minorHAnsi" w:eastAsiaTheme="minorEastAsia" w:hAnsiTheme="minorHAnsi" w:cstheme="minorBidi"/>
                <w:noProof/>
                <w:sz w:val="22"/>
                <w:szCs w:val="22"/>
                <w:lang w:eastAsia="en-GB"/>
              </w:rPr>
              <w:tab/>
            </w:r>
            <w:r w:rsidR="00FB6D60" w:rsidRPr="0098508B">
              <w:rPr>
                <w:rStyle w:val="Hyperlink"/>
                <w:noProof/>
              </w:rPr>
              <w:t>Purpose and Background</w:t>
            </w:r>
            <w:r w:rsidR="00FB6D60">
              <w:rPr>
                <w:noProof/>
                <w:webHidden/>
              </w:rPr>
              <w:tab/>
            </w:r>
            <w:r w:rsidR="00FB6D60">
              <w:rPr>
                <w:noProof/>
                <w:webHidden/>
              </w:rPr>
              <w:fldChar w:fldCharType="begin"/>
            </w:r>
            <w:r w:rsidR="00FB6D60">
              <w:rPr>
                <w:noProof/>
                <w:webHidden/>
              </w:rPr>
              <w:instrText xml:space="preserve"> PAGEREF _Toc118380631 \h </w:instrText>
            </w:r>
            <w:r w:rsidR="00FB6D60">
              <w:rPr>
                <w:noProof/>
                <w:webHidden/>
              </w:rPr>
            </w:r>
            <w:r w:rsidR="00FB6D60">
              <w:rPr>
                <w:noProof/>
                <w:webHidden/>
              </w:rPr>
              <w:fldChar w:fldCharType="separate"/>
            </w:r>
            <w:r w:rsidR="00FB6D60">
              <w:rPr>
                <w:noProof/>
                <w:webHidden/>
              </w:rPr>
              <w:t>2</w:t>
            </w:r>
            <w:r w:rsidR="00FB6D60">
              <w:rPr>
                <w:noProof/>
                <w:webHidden/>
              </w:rPr>
              <w:fldChar w:fldCharType="end"/>
            </w:r>
          </w:hyperlink>
        </w:p>
        <w:p w14:paraId="0F49B84C" w14:textId="1ED8AA9A" w:rsidR="00FB6D60" w:rsidRDefault="004D7E63">
          <w:pPr>
            <w:pStyle w:val="TOC1"/>
            <w:rPr>
              <w:rFonts w:asciiTheme="minorHAnsi" w:eastAsiaTheme="minorEastAsia" w:hAnsiTheme="minorHAnsi" w:cstheme="minorBidi"/>
              <w:noProof/>
              <w:sz w:val="22"/>
              <w:szCs w:val="22"/>
              <w:lang w:eastAsia="en-GB"/>
            </w:rPr>
          </w:pPr>
          <w:hyperlink w:anchor="_Toc118380632" w:history="1">
            <w:r w:rsidR="00FB6D60" w:rsidRPr="0098508B">
              <w:rPr>
                <w:rStyle w:val="Hyperlink"/>
                <w:noProof/>
              </w:rPr>
              <w:t>4.</w:t>
            </w:r>
            <w:r w:rsidR="00FB6D60">
              <w:rPr>
                <w:rFonts w:asciiTheme="minorHAnsi" w:eastAsiaTheme="minorEastAsia" w:hAnsiTheme="minorHAnsi" w:cstheme="minorBidi"/>
                <w:noProof/>
                <w:sz w:val="22"/>
                <w:szCs w:val="22"/>
                <w:lang w:eastAsia="en-GB"/>
              </w:rPr>
              <w:tab/>
            </w:r>
            <w:r w:rsidR="00FB6D60" w:rsidRPr="0098508B">
              <w:rPr>
                <w:rStyle w:val="Hyperlink"/>
                <w:noProof/>
              </w:rPr>
              <w:t>Service Requirements</w:t>
            </w:r>
            <w:r w:rsidR="00FB6D60">
              <w:rPr>
                <w:noProof/>
                <w:webHidden/>
              </w:rPr>
              <w:tab/>
            </w:r>
            <w:r w:rsidR="00FB6D60">
              <w:rPr>
                <w:noProof/>
                <w:webHidden/>
              </w:rPr>
              <w:fldChar w:fldCharType="begin"/>
            </w:r>
            <w:r w:rsidR="00FB6D60">
              <w:rPr>
                <w:noProof/>
                <w:webHidden/>
              </w:rPr>
              <w:instrText xml:space="preserve"> PAGEREF _Toc118380632 \h </w:instrText>
            </w:r>
            <w:r w:rsidR="00FB6D60">
              <w:rPr>
                <w:noProof/>
                <w:webHidden/>
              </w:rPr>
            </w:r>
            <w:r w:rsidR="00FB6D60">
              <w:rPr>
                <w:noProof/>
                <w:webHidden/>
              </w:rPr>
              <w:fldChar w:fldCharType="separate"/>
            </w:r>
            <w:r w:rsidR="00FB6D60">
              <w:rPr>
                <w:noProof/>
                <w:webHidden/>
              </w:rPr>
              <w:t>4</w:t>
            </w:r>
            <w:r w:rsidR="00FB6D60">
              <w:rPr>
                <w:noProof/>
                <w:webHidden/>
              </w:rPr>
              <w:fldChar w:fldCharType="end"/>
            </w:r>
          </w:hyperlink>
        </w:p>
        <w:p w14:paraId="1A2FFDEC" w14:textId="088A41D7" w:rsidR="00FB6D60" w:rsidRDefault="004D7E63">
          <w:pPr>
            <w:pStyle w:val="TOC1"/>
            <w:rPr>
              <w:rFonts w:asciiTheme="minorHAnsi" w:eastAsiaTheme="minorEastAsia" w:hAnsiTheme="minorHAnsi" w:cstheme="minorBidi"/>
              <w:noProof/>
              <w:sz w:val="22"/>
              <w:szCs w:val="22"/>
              <w:lang w:eastAsia="en-GB"/>
            </w:rPr>
          </w:pPr>
          <w:hyperlink w:anchor="_Toc118380633" w:history="1">
            <w:r w:rsidR="00FB6D60" w:rsidRPr="0098508B">
              <w:rPr>
                <w:rStyle w:val="Hyperlink"/>
                <w:noProof/>
              </w:rPr>
              <w:t>5.</w:t>
            </w:r>
            <w:r w:rsidR="00FB6D60">
              <w:rPr>
                <w:rFonts w:asciiTheme="minorHAnsi" w:eastAsiaTheme="minorEastAsia" w:hAnsiTheme="minorHAnsi" w:cstheme="minorBidi"/>
                <w:noProof/>
                <w:sz w:val="22"/>
                <w:szCs w:val="22"/>
                <w:lang w:eastAsia="en-GB"/>
              </w:rPr>
              <w:tab/>
            </w:r>
            <w:r w:rsidR="00FB6D60" w:rsidRPr="0098508B">
              <w:rPr>
                <w:rStyle w:val="Hyperlink"/>
                <w:noProof/>
              </w:rPr>
              <w:t>Deliverables/Outcomes/Outputs</w:t>
            </w:r>
            <w:r w:rsidR="00FB6D60">
              <w:rPr>
                <w:noProof/>
                <w:webHidden/>
              </w:rPr>
              <w:tab/>
            </w:r>
            <w:r w:rsidR="00FB6D60">
              <w:rPr>
                <w:noProof/>
                <w:webHidden/>
              </w:rPr>
              <w:fldChar w:fldCharType="begin"/>
            </w:r>
            <w:r w:rsidR="00FB6D60">
              <w:rPr>
                <w:noProof/>
                <w:webHidden/>
              </w:rPr>
              <w:instrText xml:space="preserve"> PAGEREF _Toc118380633 \h </w:instrText>
            </w:r>
            <w:r w:rsidR="00FB6D60">
              <w:rPr>
                <w:noProof/>
                <w:webHidden/>
              </w:rPr>
            </w:r>
            <w:r w:rsidR="00FB6D60">
              <w:rPr>
                <w:noProof/>
                <w:webHidden/>
              </w:rPr>
              <w:fldChar w:fldCharType="separate"/>
            </w:r>
            <w:r w:rsidR="00FB6D60">
              <w:rPr>
                <w:noProof/>
                <w:webHidden/>
              </w:rPr>
              <w:t>4</w:t>
            </w:r>
            <w:r w:rsidR="00FB6D60">
              <w:rPr>
                <w:noProof/>
                <w:webHidden/>
              </w:rPr>
              <w:fldChar w:fldCharType="end"/>
            </w:r>
          </w:hyperlink>
        </w:p>
        <w:p w14:paraId="3E2D170F" w14:textId="0825364F" w:rsidR="00FB6D60" w:rsidRDefault="004D7E63">
          <w:pPr>
            <w:pStyle w:val="TOC1"/>
            <w:rPr>
              <w:rFonts w:asciiTheme="minorHAnsi" w:eastAsiaTheme="minorEastAsia" w:hAnsiTheme="minorHAnsi" w:cstheme="minorBidi"/>
              <w:noProof/>
              <w:sz w:val="22"/>
              <w:szCs w:val="22"/>
              <w:lang w:eastAsia="en-GB"/>
            </w:rPr>
          </w:pPr>
          <w:hyperlink w:anchor="_Toc118380634" w:history="1">
            <w:r w:rsidR="00FB6D60" w:rsidRPr="0098508B">
              <w:rPr>
                <w:rStyle w:val="Hyperlink"/>
                <w:noProof/>
              </w:rPr>
              <w:t>6.</w:t>
            </w:r>
            <w:r w:rsidR="00FB6D60">
              <w:rPr>
                <w:rFonts w:asciiTheme="minorHAnsi" w:eastAsiaTheme="minorEastAsia" w:hAnsiTheme="minorHAnsi" w:cstheme="minorBidi"/>
                <w:noProof/>
                <w:sz w:val="22"/>
                <w:szCs w:val="22"/>
                <w:lang w:eastAsia="en-GB"/>
              </w:rPr>
              <w:tab/>
            </w:r>
            <w:r w:rsidR="00FB6D60" w:rsidRPr="0098508B">
              <w:rPr>
                <w:rStyle w:val="Hyperlink"/>
                <w:noProof/>
              </w:rPr>
              <w:t>Service Delivery Principles</w:t>
            </w:r>
            <w:r w:rsidR="00FB6D60">
              <w:rPr>
                <w:noProof/>
                <w:webHidden/>
              </w:rPr>
              <w:tab/>
            </w:r>
            <w:r w:rsidR="00FB6D60">
              <w:rPr>
                <w:noProof/>
                <w:webHidden/>
              </w:rPr>
              <w:fldChar w:fldCharType="begin"/>
            </w:r>
            <w:r w:rsidR="00FB6D60">
              <w:rPr>
                <w:noProof/>
                <w:webHidden/>
              </w:rPr>
              <w:instrText xml:space="preserve"> PAGEREF _Toc118380634 \h </w:instrText>
            </w:r>
            <w:r w:rsidR="00FB6D60">
              <w:rPr>
                <w:noProof/>
                <w:webHidden/>
              </w:rPr>
            </w:r>
            <w:r w:rsidR="00FB6D60">
              <w:rPr>
                <w:noProof/>
                <w:webHidden/>
              </w:rPr>
              <w:fldChar w:fldCharType="separate"/>
            </w:r>
            <w:r w:rsidR="00FB6D60">
              <w:rPr>
                <w:noProof/>
                <w:webHidden/>
              </w:rPr>
              <w:t>5</w:t>
            </w:r>
            <w:r w:rsidR="00FB6D60">
              <w:rPr>
                <w:noProof/>
                <w:webHidden/>
              </w:rPr>
              <w:fldChar w:fldCharType="end"/>
            </w:r>
          </w:hyperlink>
        </w:p>
        <w:p w14:paraId="62DA697F" w14:textId="2A3C0D8F" w:rsidR="00FB6D60" w:rsidRDefault="004D7E63">
          <w:pPr>
            <w:pStyle w:val="TOC1"/>
            <w:rPr>
              <w:rFonts w:asciiTheme="minorHAnsi" w:eastAsiaTheme="minorEastAsia" w:hAnsiTheme="minorHAnsi" w:cstheme="minorBidi"/>
              <w:noProof/>
              <w:sz w:val="22"/>
              <w:szCs w:val="22"/>
              <w:lang w:eastAsia="en-GB"/>
            </w:rPr>
          </w:pPr>
          <w:hyperlink w:anchor="_Toc118380635" w:history="1">
            <w:r w:rsidR="00FB6D60" w:rsidRPr="0098508B">
              <w:rPr>
                <w:rStyle w:val="Hyperlink"/>
                <w:noProof/>
              </w:rPr>
              <w:t>7.</w:t>
            </w:r>
            <w:r w:rsidR="00FB6D60">
              <w:rPr>
                <w:rFonts w:asciiTheme="minorHAnsi" w:eastAsiaTheme="minorEastAsia" w:hAnsiTheme="minorHAnsi" w:cstheme="minorBidi"/>
                <w:noProof/>
                <w:sz w:val="22"/>
                <w:szCs w:val="22"/>
                <w:lang w:eastAsia="en-GB"/>
              </w:rPr>
              <w:tab/>
            </w:r>
            <w:r w:rsidR="00FB6D60" w:rsidRPr="0098508B">
              <w:rPr>
                <w:rStyle w:val="Hyperlink"/>
                <w:noProof/>
              </w:rPr>
              <w:t>Key Performance Indicators</w:t>
            </w:r>
            <w:r w:rsidR="00FB6D60">
              <w:rPr>
                <w:noProof/>
                <w:webHidden/>
              </w:rPr>
              <w:tab/>
            </w:r>
            <w:r w:rsidR="00FB6D60">
              <w:rPr>
                <w:noProof/>
                <w:webHidden/>
              </w:rPr>
              <w:fldChar w:fldCharType="begin"/>
            </w:r>
            <w:r w:rsidR="00FB6D60">
              <w:rPr>
                <w:noProof/>
                <w:webHidden/>
              </w:rPr>
              <w:instrText xml:space="preserve"> PAGEREF _Toc118380635 \h </w:instrText>
            </w:r>
            <w:r w:rsidR="00FB6D60">
              <w:rPr>
                <w:noProof/>
                <w:webHidden/>
              </w:rPr>
            </w:r>
            <w:r w:rsidR="00FB6D60">
              <w:rPr>
                <w:noProof/>
                <w:webHidden/>
              </w:rPr>
              <w:fldChar w:fldCharType="separate"/>
            </w:r>
            <w:r w:rsidR="00FB6D60">
              <w:rPr>
                <w:noProof/>
                <w:webHidden/>
              </w:rPr>
              <w:t>7</w:t>
            </w:r>
            <w:r w:rsidR="00FB6D60">
              <w:rPr>
                <w:noProof/>
                <w:webHidden/>
              </w:rPr>
              <w:fldChar w:fldCharType="end"/>
            </w:r>
          </w:hyperlink>
        </w:p>
        <w:p w14:paraId="700E1F2D" w14:textId="1C1D252D" w:rsidR="00FB6D60" w:rsidRDefault="004D7E63">
          <w:pPr>
            <w:pStyle w:val="TOC1"/>
            <w:rPr>
              <w:rFonts w:asciiTheme="minorHAnsi" w:eastAsiaTheme="minorEastAsia" w:hAnsiTheme="minorHAnsi" w:cstheme="minorBidi"/>
              <w:noProof/>
              <w:sz w:val="22"/>
              <w:szCs w:val="22"/>
              <w:lang w:eastAsia="en-GB"/>
            </w:rPr>
          </w:pPr>
          <w:hyperlink w:anchor="_Toc118380636" w:history="1">
            <w:r w:rsidR="00FB6D60" w:rsidRPr="0098508B">
              <w:rPr>
                <w:rStyle w:val="Hyperlink"/>
                <w:noProof/>
              </w:rPr>
              <w:t>8.</w:t>
            </w:r>
            <w:r w:rsidR="00FB6D60">
              <w:rPr>
                <w:rFonts w:asciiTheme="minorHAnsi" w:eastAsiaTheme="minorEastAsia" w:hAnsiTheme="minorHAnsi" w:cstheme="minorBidi"/>
                <w:noProof/>
                <w:sz w:val="22"/>
                <w:szCs w:val="22"/>
                <w:lang w:eastAsia="en-GB"/>
              </w:rPr>
              <w:tab/>
            </w:r>
            <w:r w:rsidR="00FB6D60" w:rsidRPr="0098508B">
              <w:rPr>
                <w:rStyle w:val="Hyperlink"/>
                <w:noProof/>
              </w:rPr>
              <w:t>Budget/Payment Schedule</w:t>
            </w:r>
            <w:r w:rsidR="00FB6D60">
              <w:rPr>
                <w:noProof/>
                <w:webHidden/>
              </w:rPr>
              <w:tab/>
            </w:r>
            <w:r w:rsidR="00FB6D60">
              <w:rPr>
                <w:noProof/>
                <w:webHidden/>
              </w:rPr>
              <w:fldChar w:fldCharType="begin"/>
            </w:r>
            <w:r w:rsidR="00FB6D60">
              <w:rPr>
                <w:noProof/>
                <w:webHidden/>
              </w:rPr>
              <w:instrText xml:space="preserve"> PAGEREF _Toc118380636 \h </w:instrText>
            </w:r>
            <w:r w:rsidR="00FB6D60">
              <w:rPr>
                <w:noProof/>
                <w:webHidden/>
              </w:rPr>
            </w:r>
            <w:r w:rsidR="00FB6D60">
              <w:rPr>
                <w:noProof/>
                <w:webHidden/>
              </w:rPr>
              <w:fldChar w:fldCharType="separate"/>
            </w:r>
            <w:r w:rsidR="00FB6D60">
              <w:rPr>
                <w:noProof/>
                <w:webHidden/>
              </w:rPr>
              <w:t>8</w:t>
            </w:r>
            <w:r w:rsidR="00FB6D60">
              <w:rPr>
                <w:noProof/>
                <w:webHidden/>
              </w:rPr>
              <w:fldChar w:fldCharType="end"/>
            </w:r>
          </w:hyperlink>
        </w:p>
        <w:p w14:paraId="68CEECB8" w14:textId="6303E492" w:rsidR="00FB6D60" w:rsidRDefault="004D7E63">
          <w:pPr>
            <w:pStyle w:val="TOC1"/>
            <w:rPr>
              <w:rFonts w:asciiTheme="minorHAnsi" w:eastAsiaTheme="minorEastAsia" w:hAnsiTheme="minorHAnsi" w:cstheme="minorBidi"/>
              <w:noProof/>
              <w:sz w:val="22"/>
              <w:szCs w:val="22"/>
              <w:lang w:eastAsia="en-GB"/>
            </w:rPr>
          </w:pPr>
          <w:hyperlink w:anchor="_Toc118380637" w:history="1">
            <w:r w:rsidR="00FB6D60" w:rsidRPr="0098508B">
              <w:rPr>
                <w:rStyle w:val="Hyperlink"/>
                <w:noProof/>
              </w:rPr>
              <w:t>9.</w:t>
            </w:r>
            <w:r w:rsidR="00FB6D60">
              <w:rPr>
                <w:rFonts w:asciiTheme="minorHAnsi" w:eastAsiaTheme="minorEastAsia" w:hAnsiTheme="minorHAnsi" w:cstheme="minorBidi"/>
                <w:noProof/>
                <w:sz w:val="22"/>
                <w:szCs w:val="22"/>
                <w:lang w:eastAsia="en-GB"/>
              </w:rPr>
              <w:tab/>
            </w:r>
            <w:r w:rsidR="00FB6D60" w:rsidRPr="0098508B">
              <w:rPr>
                <w:rStyle w:val="Hyperlink"/>
                <w:noProof/>
              </w:rPr>
              <w:t>Contract Term</w:t>
            </w:r>
            <w:r w:rsidR="00FB6D60">
              <w:rPr>
                <w:noProof/>
                <w:webHidden/>
              </w:rPr>
              <w:tab/>
            </w:r>
            <w:r w:rsidR="00FB6D60">
              <w:rPr>
                <w:noProof/>
                <w:webHidden/>
              </w:rPr>
              <w:fldChar w:fldCharType="begin"/>
            </w:r>
            <w:r w:rsidR="00FB6D60">
              <w:rPr>
                <w:noProof/>
                <w:webHidden/>
              </w:rPr>
              <w:instrText xml:space="preserve"> PAGEREF _Toc118380637 \h </w:instrText>
            </w:r>
            <w:r w:rsidR="00FB6D60">
              <w:rPr>
                <w:noProof/>
                <w:webHidden/>
              </w:rPr>
            </w:r>
            <w:r w:rsidR="00FB6D60">
              <w:rPr>
                <w:noProof/>
                <w:webHidden/>
              </w:rPr>
              <w:fldChar w:fldCharType="separate"/>
            </w:r>
            <w:r w:rsidR="00FB6D60">
              <w:rPr>
                <w:noProof/>
                <w:webHidden/>
              </w:rPr>
              <w:t>8</w:t>
            </w:r>
            <w:r w:rsidR="00FB6D60">
              <w:rPr>
                <w:noProof/>
                <w:webHidden/>
              </w:rPr>
              <w:fldChar w:fldCharType="end"/>
            </w:r>
          </w:hyperlink>
        </w:p>
        <w:p w14:paraId="655C33EC" w14:textId="1B496B6F" w:rsidR="00FB6D60" w:rsidRDefault="004D7E63">
          <w:pPr>
            <w:pStyle w:val="TOC1"/>
            <w:rPr>
              <w:rFonts w:asciiTheme="minorHAnsi" w:eastAsiaTheme="minorEastAsia" w:hAnsiTheme="minorHAnsi" w:cstheme="minorBidi"/>
              <w:noProof/>
              <w:sz w:val="22"/>
              <w:szCs w:val="22"/>
              <w:lang w:eastAsia="en-GB"/>
            </w:rPr>
          </w:pPr>
          <w:hyperlink w:anchor="_Toc118380638" w:history="1">
            <w:r w:rsidR="00FB6D60" w:rsidRPr="0098508B">
              <w:rPr>
                <w:rStyle w:val="Hyperlink"/>
                <w:noProof/>
              </w:rPr>
              <w:t>10.</w:t>
            </w:r>
            <w:r w:rsidR="00FB6D60">
              <w:rPr>
                <w:rFonts w:asciiTheme="minorHAnsi" w:eastAsiaTheme="minorEastAsia" w:hAnsiTheme="minorHAnsi" w:cstheme="minorBidi"/>
                <w:noProof/>
                <w:sz w:val="22"/>
                <w:szCs w:val="22"/>
                <w:lang w:eastAsia="en-GB"/>
              </w:rPr>
              <w:tab/>
            </w:r>
            <w:r w:rsidR="00FB6D60" w:rsidRPr="0098508B">
              <w:rPr>
                <w:rStyle w:val="Hyperlink"/>
                <w:noProof/>
              </w:rPr>
              <w:t>Authority Responsibilities</w:t>
            </w:r>
            <w:r w:rsidR="00FB6D60">
              <w:rPr>
                <w:noProof/>
                <w:webHidden/>
              </w:rPr>
              <w:tab/>
            </w:r>
            <w:r w:rsidR="00FB6D60">
              <w:rPr>
                <w:noProof/>
                <w:webHidden/>
              </w:rPr>
              <w:fldChar w:fldCharType="begin"/>
            </w:r>
            <w:r w:rsidR="00FB6D60">
              <w:rPr>
                <w:noProof/>
                <w:webHidden/>
              </w:rPr>
              <w:instrText xml:space="preserve"> PAGEREF _Toc118380638 \h </w:instrText>
            </w:r>
            <w:r w:rsidR="00FB6D60">
              <w:rPr>
                <w:noProof/>
                <w:webHidden/>
              </w:rPr>
            </w:r>
            <w:r w:rsidR="00FB6D60">
              <w:rPr>
                <w:noProof/>
                <w:webHidden/>
              </w:rPr>
              <w:fldChar w:fldCharType="separate"/>
            </w:r>
            <w:r w:rsidR="00FB6D60">
              <w:rPr>
                <w:noProof/>
                <w:webHidden/>
              </w:rPr>
              <w:t>8</w:t>
            </w:r>
            <w:r w:rsidR="00FB6D60">
              <w:rPr>
                <w:noProof/>
                <w:webHidden/>
              </w:rPr>
              <w:fldChar w:fldCharType="end"/>
            </w:r>
          </w:hyperlink>
        </w:p>
        <w:p w14:paraId="1D40BFDA" w14:textId="305A3C0A" w:rsidR="00FB6D60" w:rsidRDefault="004D7E63">
          <w:pPr>
            <w:pStyle w:val="TOC1"/>
            <w:rPr>
              <w:rFonts w:asciiTheme="minorHAnsi" w:eastAsiaTheme="minorEastAsia" w:hAnsiTheme="minorHAnsi" w:cstheme="minorBidi"/>
              <w:noProof/>
              <w:sz w:val="22"/>
              <w:szCs w:val="22"/>
              <w:lang w:eastAsia="en-GB"/>
            </w:rPr>
          </w:pPr>
          <w:hyperlink w:anchor="_Toc118380639" w:history="1">
            <w:r w:rsidR="00FB6D60" w:rsidRPr="0098508B">
              <w:rPr>
                <w:rStyle w:val="Hyperlink"/>
                <w:noProof/>
              </w:rPr>
              <w:t>11.</w:t>
            </w:r>
            <w:r w:rsidR="00FB6D60">
              <w:rPr>
                <w:rFonts w:asciiTheme="minorHAnsi" w:eastAsiaTheme="minorEastAsia" w:hAnsiTheme="minorHAnsi" w:cstheme="minorBidi"/>
                <w:noProof/>
                <w:sz w:val="22"/>
                <w:szCs w:val="22"/>
                <w:lang w:eastAsia="en-GB"/>
              </w:rPr>
              <w:tab/>
            </w:r>
            <w:r w:rsidR="00FB6D60" w:rsidRPr="0098508B">
              <w:rPr>
                <w:rStyle w:val="Hyperlink"/>
                <w:noProof/>
              </w:rPr>
              <w:t>Contractor Responsibilities</w:t>
            </w:r>
            <w:r w:rsidR="00FB6D60">
              <w:rPr>
                <w:noProof/>
                <w:webHidden/>
              </w:rPr>
              <w:tab/>
            </w:r>
            <w:r w:rsidR="00FB6D60">
              <w:rPr>
                <w:noProof/>
                <w:webHidden/>
              </w:rPr>
              <w:fldChar w:fldCharType="begin"/>
            </w:r>
            <w:r w:rsidR="00FB6D60">
              <w:rPr>
                <w:noProof/>
                <w:webHidden/>
              </w:rPr>
              <w:instrText xml:space="preserve"> PAGEREF _Toc118380639 \h </w:instrText>
            </w:r>
            <w:r w:rsidR="00FB6D60">
              <w:rPr>
                <w:noProof/>
                <w:webHidden/>
              </w:rPr>
            </w:r>
            <w:r w:rsidR="00FB6D60">
              <w:rPr>
                <w:noProof/>
                <w:webHidden/>
              </w:rPr>
              <w:fldChar w:fldCharType="separate"/>
            </w:r>
            <w:r w:rsidR="00FB6D60">
              <w:rPr>
                <w:noProof/>
                <w:webHidden/>
              </w:rPr>
              <w:t>9</w:t>
            </w:r>
            <w:r w:rsidR="00FB6D60">
              <w:rPr>
                <w:noProof/>
                <w:webHidden/>
              </w:rPr>
              <w:fldChar w:fldCharType="end"/>
            </w:r>
          </w:hyperlink>
        </w:p>
        <w:p w14:paraId="580CBCE0" w14:textId="433B4C72" w:rsidR="00FB6D60" w:rsidRDefault="004D7E63">
          <w:pPr>
            <w:pStyle w:val="TOC1"/>
            <w:rPr>
              <w:rFonts w:asciiTheme="minorHAnsi" w:eastAsiaTheme="minorEastAsia" w:hAnsiTheme="minorHAnsi" w:cstheme="minorBidi"/>
              <w:noProof/>
              <w:sz w:val="22"/>
              <w:szCs w:val="22"/>
              <w:lang w:eastAsia="en-GB"/>
            </w:rPr>
          </w:pPr>
          <w:hyperlink w:anchor="_Toc118380640" w:history="1">
            <w:r w:rsidR="00FB6D60" w:rsidRPr="0098508B">
              <w:rPr>
                <w:rStyle w:val="Hyperlink"/>
                <w:noProof/>
              </w:rPr>
              <w:t>12.</w:t>
            </w:r>
            <w:r w:rsidR="00FB6D60">
              <w:rPr>
                <w:rFonts w:asciiTheme="minorHAnsi" w:eastAsiaTheme="minorEastAsia" w:hAnsiTheme="minorHAnsi" w:cstheme="minorBidi"/>
                <w:noProof/>
                <w:sz w:val="22"/>
                <w:szCs w:val="22"/>
                <w:lang w:eastAsia="en-GB"/>
              </w:rPr>
              <w:tab/>
            </w:r>
            <w:r w:rsidR="00FB6D60" w:rsidRPr="0098508B">
              <w:rPr>
                <w:rStyle w:val="Hyperlink"/>
                <w:noProof/>
              </w:rPr>
              <w:t>Reporting Requirements</w:t>
            </w:r>
            <w:r w:rsidR="00FB6D60">
              <w:rPr>
                <w:noProof/>
                <w:webHidden/>
              </w:rPr>
              <w:tab/>
            </w:r>
            <w:r w:rsidR="00FB6D60">
              <w:rPr>
                <w:noProof/>
                <w:webHidden/>
              </w:rPr>
              <w:fldChar w:fldCharType="begin"/>
            </w:r>
            <w:r w:rsidR="00FB6D60">
              <w:rPr>
                <w:noProof/>
                <w:webHidden/>
              </w:rPr>
              <w:instrText xml:space="preserve"> PAGEREF _Toc118380640 \h </w:instrText>
            </w:r>
            <w:r w:rsidR="00FB6D60">
              <w:rPr>
                <w:noProof/>
                <w:webHidden/>
              </w:rPr>
            </w:r>
            <w:r w:rsidR="00FB6D60">
              <w:rPr>
                <w:noProof/>
                <w:webHidden/>
              </w:rPr>
              <w:fldChar w:fldCharType="separate"/>
            </w:r>
            <w:r w:rsidR="00FB6D60">
              <w:rPr>
                <w:noProof/>
                <w:webHidden/>
              </w:rPr>
              <w:t>9</w:t>
            </w:r>
            <w:r w:rsidR="00FB6D60">
              <w:rPr>
                <w:noProof/>
                <w:webHidden/>
              </w:rPr>
              <w:fldChar w:fldCharType="end"/>
            </w:r>
          </w:hyperlink>
        </w:p>
        <w:p w14:paraId="7BB6BD6E" w14:textId="315809BF" w:rsidR="00FB6D60" w:rsidRDefault="004D7E63">
          <w:pPr>
            <w:pStyle w:val="TOC1"/>
            <w:rPr>
              <w:rFonts w:asciiTheme="minorHAnsi" w:eastAsiaTheme="minorEastAsia" w:hAnsiTheme="minorHAnsi" w:cstheme="minorBidi"/>
              <w:noProof/>
              <w:sz w:val="22"/>
              <w:szCs w:val="22"/>
              <w:lang w:eastAsia="en-GB"/>
            </w:rPr>
          </w:pPr>
          <w:hyperlink w:anchor="_Toc118380641" w:history="1">
            <w:r w:rsidR="00FB6D60" w:rsidRPr="0098508B">
              <w:rPr>
                <w:rStyle w:val="Hyperlink"/>
                <w:noProof/>
              </w:rPr>
              <w:t>13.</w:t>
            </w:r>
            <w:r w:rsidR="00FB6D60">
              <w:rPr>
                <w:rFonts w:asciiTheme="minorHAnsi" w:eastAsiaTheme="minorEastAsia" w:hAnsiTheme="minorHAnsi" w:cstheme="minorBidi"/>
                <w:noProof/>
                <w:sz w:val="22"/>
                <w:szCs w:val="22"/>
                <w:lang w:eastAsia="en-GB"/>
              </w:rPr>
              <w:tab/>
            </w:r>
            <w:r w:rsidR="00FB6D60" w:rsidRPr="0098508B">
              <w:rPr>
                <w:rStyle w:val="Hyperlink"/>
                <w:noProof/>
              </w:rPr>
              <w:t>Location</w:t>
            </w:r>
            <w:r w:rsidR="00FB6D60">
              <w:rPr>
                <w:noProof/>
                <w:webHidden/>
              </w:rPr>
              <w:tab/>
            </w:r>
            <w:r w:rsidR="00FB6D60">
              <w:rPr>
                <w:noProof/>
                <w:webHidden/>
              </w:rPr>
              <w:fldChar w:fldCharType="begin"/>
            </w:r>
            <w:r w:rsidR="00FB6D60">
              <w:rPr>
                <w:noProof/>
                <w:webHidden/>
              </w:rPr>
              <w:instrText xml:space="preserve"> PAGEREF _Toc118380641 \h </w:instrText>
            </w:r>
            <w:r w:rsidR="00FB6D60">
              <w:rPr>
                <w:noProof/>
                <w:webHidden/>
              </w:rPr>
            </w:r>
            <w:r w:rsidR="00FB6D60">
              <w:rPr>
                <w:noProof/>
                <w:webHidden/>
              </w:rPr>
              <w:fldChar w:fldCharType="separate"/>
            </w:r>
            <w:r w:rsidR="00FB6D60">
              <w:rPr>
                <w:noProof/>
                <w:webHidden/>
              </w:rPr>
              <w:t>10</w:t>
            </w:r>
            <w:r w:rsidR="00FB6D60">
              <w:rPr>
                <w:noProof/>
                <w:webHidden/>
              </w:rPr>
              <w:fldChar w:fldCharType="end"/>
            </w:r>
          </w:hyperlink>
        </w:p>
        <w:p w14:paraId="2C8E1FEB" w14:textId="0F2F9458" w:rsidR="00FB6D60" w:rsidRDefault="004D7E63">
          <w:pPr>
            <w:pStyle w:val="TOC1"/>
            <w:rPr>
              <w:rFonts w:asciiTheme="minorHAnsi" w:eastAsiaTheme="minorEastAsia" w:hAnsiTheme="minorHAnsi" w:cstheme="minorBidi"/>
              <w:noProof/>
              <w:sz w:val="22"/>
              <w:szCs w:val="22"/>
              <w:lang w:eastAsia="en-GB"/>
            </w:rPr>
          </w:pPr>
          <w:hyperlink w:anchor="_Toc118380642" w:history="1">
            <w:r w:rsidR="00FB6D60" w:rsidRPr="0098508B">
              <w:rPr>
                <w:rStyle w:val="Hyperlink"/>
                <w:noProof/>
              </w:rPr>
              <w:t>14.</w:t>
            </w:r>
            <w:r w:rsidR="00FB6D60">
              <w:rPr>
                <w:rFonts w:asciiTheme="minorHAnsi" w:eastAsiaTheme="minorEastAsia" w:hAnsiTheme="minorHAnsi" w:cstheme="minorBidi"/>
                <w:noProof/>
                <w:sz w:val="22"/>
                <w:szCs w:val="22"/>
                <w:lang w:eastAsia="en-GB"/>
              </w:rPr>
              <w:tab/>
            </w:r>
            <w:r w:rsidR="00FB6D60" w:rsidRPr="0098508B">
              <w:rPr>
                <w:rStyle w:val="Hyperlink"/>
                <w:noProof/>
              </w:rPr>
              <w:t xml:space="preserve">Staff </w:t>
            </w:r>
            <w:r w:rsidR="00982C78">
              <w:rPr>
                <w:rStyle w:val="Hyperlink"/>
                <w:noProof/>
              </w:rPr>
              <w:t>Q</w:t>
            </w:r>
            <w:r w:rsidR="00FB6D60" w:rsidRPr="0098508B">
              <w:rPr>
                <w:rStyle w:val="Hyperlink"/>
                <w:noProof/>
              </w:rPr>
              <w:t xml:space="preserve">ualifications and </w:t>
            </w:r>
            <w:r w:rsidR="00982C78">
              <w:rPr>
                <w:rStyle w:val="Hyperlink"/>
                <w:noProof/>
              </w:rPr>
              <w:t>T</w:t>
            </w:r>
            <w:r w:rsidR="00FB6D60" w:rsidRPr="0098508B">
              <w:rPr>
                <w:rStyle w:val="Hyperlink"/>
                <w:noProof/>
              </w:rPr>
              <w:t>raining</w:t>
            </w:r>
            <w:r w:rsidR="00FB6D60">
              <w:rPr>
                <w:noProof/>
                <w:webHidden/>
              </w:rPr>
              <w:tab/>
            </w:r>
            <w:r w:rsidR="00FB6D60">
              <w:rPr>
                <w:noProof/>
                <w:webHidden/>
              </w:rPr>
              <w:fldChar w:fldCharType="begin"/>
            </w:r>
            <w:r w:rsidR="00FB6D60">
              <w:rPr>
                <w:noProof/>
                <w:webHidden/>
              </w:rPr>
              <w:instrText xml:space="preserve"> PAGEREF _Toc118380642 \h </w:instrText>
            </w:r>
            <w:r w:rsidR="00FB6D60">
              <w:rPr>
                <w:noProof/>
                <w:webHidden/>
              </w:rPr>
            </w:r>
            <w:r w:rsidR="00FB6D60">
              <w:rPr>
                <w:noProof/>
                <w:webHidden/>
              </w:rPr>
              <w:fldChar w:fldCharType="separate"/>
            </w:r>
            <w:r w:rsidR="00FB6D60">
              <w:rPr>
                <w:noProof/>
                <w:webHidden/>
              </w:rPr>
              <w:t>10</w:t>
            </w:r>
            <w:r w:rsidR="00FB6D60">
              <w:rPr>
                <w:noProof/>
                <w:webHidden/>
              </w:rPr>
              <w:fldChar w:fldCharType="end"/>
            </w:r>
          </w:hyperlink>
        </w:p>
        <w:p w14:paraId="636B570E" w14:textId="091F0A00" w:rsidR="00FB6D60" w:rsidRDefault="004D7E63">
          <w:pPr>
            <w:pStyle w:val="TOC1"/>
            <w:rPr>
              <w:rFonts w:asciiTheme="minorHAnsi" w:eastAsiaTheme="minorEastAsia" w:hAnsiTheme="minorHAnsi" w:cstheme="minorBidi"/>
              <w:noProof/>
              <w:sz w:val="22"/>
              <w:szCs w:val="22"/>
              <w:lang w:eastAsia="en-GB"/>
            </w:rPr>
          </w:pPr>
          <w:hyperlink w:anchor="_Toc118380643" w:history="1">
            <w:r w:rsidR="00FB6D60" w:rsidRPr="0098508B">
              <w:rPr>
                <w:rStyle w:val="Hyperlink"/>
                <w:noProof/>
              </w:rPr>
              <w:t>15.</w:t>
            </w:r>
            <w:r w:rsidR="00FB6D60">
              <w:rPr>
                <w:rFonts w:asciiTheme="minorHAnsi" w:eastAsiaTheme="minorEastAsia" w:hAnsiTheme="minorHAnsi" w:cstheme="minorBidi"/>
                <w:noProof/>
                <w:sz w:val="22"/>
                <w:szCs w:val="22"/>
                <w:lang w:eastAsia="en-GB"/>
              </w:rPr>
              <w:tab/>
            </w:r>
            <w:r w:rsidR="00FB6D60" w:rsidRPr="0098508B">
              <w:rPr>
                <w:rStyle w:val="Hyperlink"/>
                <w:noProof/>
              </w:rPr>
              <w:t>Data</w:t>
            </w:r>
            <w:r w:rsidR="00FB6D60">
              <w:rPr>
                <w:noProof/>
                <w:webHidden/>
              </w:rPr>
              <w:tab/>
            </w:r>
            <w:r w:rsidR="00FB6D60">
              <w:rPr>
                <w:noProof/>
                <w:webHidden/>
              </w:rPr>
              <w:fldChar w:fldCharType="begin"/>
            </w:r>
            <w:r w:rsidR="00FB6D60">
              <w:rPr>
                <w:noProof/>
                <w:webHidden/>
              </w:rPr>
              <w:instrText xml:space="preserve"> PAGEREF _Toc118380643 \h </w:instrText>
            </w:r>
            <w:r w:rsidR="00FB6D60">
              <w:rPr>
                <w:noProof/>
                <w:webHidden/>
              </w:rPr>
            </w:r>
            <w:r w:rsidR="00FB6D60">
              <w:rPr>
                <w:noProof/>
                <w:webHidden/>
              </w:rPr>
              <w:fldChar w:fldCharType="separate"/>
            </w:r>
            <w:r w:rsidR="00FB6D60">
              <w:rPr>
                <w:noProof/>
                <w:webHidden/>
              </w:rPr>
              <w:t>10</w:t>
            </w:r>
            <w:r w:rsidR="00FB6D60">
              <w:rPr>
                <w:noProof/>
                <w:webHidden/>
              </w:rPr>
              <w:fldChar w:fldCharType="end"/>
            </w:r>
          </w:hyperlink>
        </w:p>
        <w:p w14:paraId="0EE5F85D" w14:textId="3A2E3219" w:rsidR="00FB6D60" w:rsidRDefault="004D7E63">
          <w:pPr>
            <w:pStyle w:val="TOC1"/>
            <w:rPr>
              <w:rFonts w:asciiTheme="minorHAnsi" w:eastAsiaTheme="minorEastAsia" w:hAnsiTheme="minorHAnsi" w:cstheme="minorBidi"/>
              <w:noProof/>
              <w:sz w:val="22"/>
              <w:szCs w:val="22"/>
              <w:lang w:eastAsia="en-GB"/>
            </w:rPr>
          </w:pPr>
          <w:hyperlink w:anchor="_Toc118380646" w:history="1">
            <w:r w:rsidR="00FB6D60" w:rsidRPr="0098508B">
              <w:rPr>
                <w:rStyle w:val="Hyperlink"/>
                <w:noProof/>
              </w:rPr>
              <w:t>16.</w:t>
            </w:r>
            <w:r w:rsidR="00FB6D60">
              <w:rPr>
                <w:rFonts w:asciiTheme="minorHAnsi" w:eastAsiaTheme="minorEastAsia" w:hAnsiTheme="minorHAnsi" w:cstheme="minorBidi"/>
                <w:noProof/>
                <w:sz w:val="22"/>
                <w:szCs w:val="22"/>
                <w:lang w:eastAsia="en-GB"/>
              </w:rPr>
              <w:tab/>
            </w:r>
            <w:r w:rsidR="00FB6D60" w:rsidRPr="0098508B">
              <w:rPr>
                <w:rStyle w:val="Hyperlink"/>
                <w:noProof/>
              </w:rPr>
              <w:t>Social Value</w:t>
            </w:r>
            <w:r w:rsidR="00FB6D60">
              <w:rPr>
                <w:noProof/>
                <w:webHidden/>
              </w:rPr>
              <w:tab/>
            </w:r>
            <w:r w:rsidR="00FB6D60">
              <w:rPr>
                <w:noProof/>
                <w:webHidden/>
              </w:rPr>
              <w:fldChar w:fldCharType="begin"/>
            </w:r>
            <w:r w:rsidR="00FB6D60">
              <w:rPr>
                <w:noProof/>
                <w:webHidden/>
              </w:rPr>
              <w:instrText xml:space="preserve"> PAGEREF _Toc118380646 \h </w:instrText>
            </w:r>
            <w:r w:rsidR="00FB6D60">
              <w:rPr>
                <w:noProof/>
                <w:webHidden/>
              </w:rPr>
            </w:r>
            <w:r w:rsidR="00FB6D60">
              <w:rPr>
                <w:noProof/>
                <w:webHidden/>
              </w:rPr>
              <w:fldChar w:fldCharType="separate"/>
            </w:r>
            <w:r w:rsidR="00FB6D60">
              <w:rPr>
                <w:noProof/>
                <w:webHidden/>
              </w:rPr>
              <w:t>11</w:t>
            </w:r>
            <w:r w:rsidR="00FB6D60">
              <w:rPr>
                <w:noProof/>
                <w:webHidden/>
              </w:rPr>
              <w:fldChar w:fldCharType="end"/>
            </w:r>
          </w:hyperlink>
        </w:p>
        <w:p w14:paraId="2775C0CF" w14:textId="3944517C" w:rsidR="00FB6D60" w:rsidRDefault="004D7E63">
          <w:pPr>
            <w:pStyle w:val="TOC1"/>
            <w:rPr>
              <w:rFonts w:asciiTheme="minorHAnsi" w:eastAsiaTheme="minorEastAsia" w:hAnsiTheme="minorHAnsi" w:cstheme="minorBidi"/>
              <w:noProof/>
              <w:sz w:val="22"/>
              <w:szCs w:val="22"/>
              <w:lang w:eastAsia="en-GB"/>
            </w:rPr>
          </w:pPr>
          <w:hyperlink w:anchor="_Toc118380647" w:history="1">
            <w:r w:rsidR="00FB6D60" w:rsidRPr="0098508B">
              <w:rPr>
                <w:rStyle w:val="Hyperlink"/>
                <w:noProof/>
              </w:rPr>
              <w:t>17.</w:t>
            </w:r>
            <w:r w:rsidR="00FB6D60">
              <w:rPr>
                <w:rFonts w:asciiTheme="minorHAnsi" w:eastAsiaTheme="minorEastAsia" w:hAnsiTheme="minorHAnsi" w:cstheme="minorBidi"/>
                <w:noProof/>
                <w:sz w:val="22"/>
                <w:szCs w:val="22"/>
                <w:lang w:eastAsia="en-GB"/>
              </w:rPr>
              <w:tab/>
            </w:r>
            <w:r w:rsidR="00FB6D60" w:rsidRPr="0098508B">
              <w:rPr>
                <w:rStyle w:val="Hyperlink"/>
                <w:noProof/>
              </w:rPr>
              <w:t>References</w:t>
            </w:r>
            <w:r w:rsidR="00FB6D60">
              <w:rPr>
                <w:noProof/>
                <w:webHidden/>
              </w:rPr>
              <w:tab/>
            </w:r>
            <w:r w:rsidR="00FB6D60">
              <w:rPr>
                <w:noProof/>
                <w:webHidden/>
              </w:rPr>
              <w:fldChar w:fldCharType="begin"/>
            </w:r>
            <w:r w:rsidR="00FB6D60">
              <w:rPr>
                <w:noProof/>
                <w:webHidden/>
              </w:rPr>
              <w:instrText xml:space="preserve"> PAGEREF _Toc118380647 \h </w:instrText>
            </w:r>
            <w:r w:rsidR="00FB6D60">
              <w:rPr>
                <w:noProof/>
                <w:webHidden/>
              </w:rPr>
            </w:r>
            <w:r w:rsidR="00FB6D60">
              <w:rPr>
                <w:noProof/>
                <w:webHidden/>
              </w:rPr>
              <w:fldChar w:fldCharType="separate"/>
            </w:r>
            <w:r w:rsidR="00FB6D60">
              <w:rPr>
                <w:noProof/>
                <w:webHidden/>
              </w:rPr>
              <w:t>12</w:t>
            </w:r>
            <w:r w:rsidR="00FB6D60">
              <w:rPr>
                <w:noProof/>
                <w:webHidden/>
              </w:rPr>
              <w:fldChar w:fldCharType="end"/>
            </w:r>
          </w:hyperlink>
        </w:p>
        <w:p w14:paraId="556276C5" w14:textId="6CD65DE3" w:rsidR="0009406E" w:rsidRDefault="0009406E">
          <w:r>
            <w:rPr>
              <w:b/>
              <w:bCs/>
              <w:noProof/>
            </w:rPr>
            <w:fldChar w:fldCharType="end"/>
          </w:r>
        </w:p>
      </w:sdtContent>
    </w:sdt>
    <w:p w14:paraId="207847A4" w14:textId="77777777" w:rsidR="00BD6349" w:rsidRDefault="00BD6349" w:rsidP="00416047">
      <w:pPr>
        <w:pStyle w:val="DHTitle"/>
        <w:jc w:val="center"/>
        <w:rPr>
          <w:rFonts w:cs="Arial"/>
          <w:sz w:val="24"/>
          <w:szCs w:val="24"/>
        </w:rPr>
      </w:pPr>
    </w:p>
    <w:p w14:paraId="2183E57A" w14:textId="639166FD" w:rsidR="00C90F0F" w:rsidRDefault="00C90F0F" w:rsidP="00416047">
      <w:pPr>
        <w:pStyle w:val="DHTitle"/>
        <w:jc w:val="center"/>
        <w:rPr>
          <w:rFonts w:cs="Arial"/>
          <w:sz w:val="24"/>
          <w:szCs w:val="24"/>
        </w:rPr>
      </w:pPr>
    </w:p>
    <w:p w14:paraId="7C0CB58A" w14:textId="4E714AC0" w:rsidR="00BC6F90" w:rsidRPr="008A5C83" w:rsidRDefault="00763266" w:rsidP="008A5C83">
      <w:pPr>
        <w:rPr>
          <w:rFonts w:cs="Times New Roman"/>
          <w:b/>
          <w:color w:val="009966"/>
          <w:szCs w:val="24"/>
        </w:rPr>
      </w:pPr>
      <w:r>
        <w:rPr>
          <w:szCs w:val="24"/>
        </w:rPr>
        <w:br w:type="page"/>
      </w:r>
    </w:p>
    <w:p w14:paraId="4DB50E69" w14:textId="22A2712B" w:rsidR="002C50B8" w:rsidRDefault="0018203D" w:rsidP="00982C78">
      <w:pPr>
        <w:pStyle w:val="Sch1"/>
        <w:numPr>
          <w:ilvl w:val="0"/>
          <w:numId w:val="45"/>
        </w:numPr>
        <w:ind w:left="567" w:hanging="567"/>
        <w:rPr>
          <w:rFonts w:ascii="Arial" w:hAnsi="Arial"/>
          <w:sz w:val="24"/>
          <w:szCs w:val="24"/>
        </w:rPr>
      </w:pPr>
      <w:bookmarkStart w:id="6" w:name="_Toc118380629"/>
      <w:r>
        <w:rPr>
          <w:rFonts w:ascii="Arial" w:hAnsi="Arial"/>
          <w:sz w:val="24"/>
          <w:szCs w:val="24"/>
        </w:rPr>
        <w:lastRenderedPageBreak/>
        <w:t>Introduction</w:t>
      </w:r>
      <w:bookmarkEnd w:id="6"/>
    </w:p>
    <w:p w14:paraId="3746D193" w14:textId="77777777" w:rsidR="00982C78" w:rsidRPr="00982C78" w:rsidRDefault="00982C78" w:rsidP="00982C78">
      <w:pPr>
        <w:pStyle w:val="StyleHeading2"/>
      </w:pPr>
    </w:p>
    <w:p w14:paraId="24EDA495" w14:textId="77777777" w:rsidR="002C50B8" w:rsidRDefault="0024009B" w:rsidP="002C50B8">
      <w:pPr>
        <w:pStyle w:val="ListParagraph"/>
        <w:widowControl w:val="0"/>
        <w:numPr>
          <w:ilvl w:val="1"/>
          <w:numId w:val="6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24009B">
        <w:t>The Office for Health Improvement and Disparities (OHID) works across the Department of Health and Social Care (DHSC), the rest of government, the healthcare system, local government and industry to be creative about how we shift our focus towards preventing ill health, in particular in the places and communities where there are the most significant disparities.</w:t>
      </w:r>
    </w:p>
    <w:p w14:paraId="78630607" w14:textId="77777777" w:rsidR="002C50B8" w:rsidRDefault="002C50B8" w:rsidP="002C50B8">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792"/>
      </w:pPr>
    </w:p>
    <w:p w14:paraId="038CD813" w14:textId="77777777" w:rsidR="002C50B8" w:rsidRDefault="0024009B" w:rsidP="0024009B">
      <w:pPr>
        <w:pStyle w:val="ListParagraph"/>
        <w:widowControl w:val="0"/>
        <w:numPr>
          <w:ilvl w:val="1"/>
          <w:numId w:val="6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24009B">
        <w:t>As part of DHSC, OHID brings together expert advice, analysis and evidence with</w:t>
      </w:r>
      <w:r w:rsidR="00087ED6">
        <w:t xml:space="preserve"> </w:t>
      </w:r>
      <w:r w:rsidRPr="0024009B">
        <w:t xml:space="preserve">policy development and implementation to shape and drive health improvement and equalities priorities </w:t>
      </w:r>
      <w:r w:rsidR="00763266" w:rsidRPr="0024009B">
        <w:t>for government</w:t>
      </w:r>
      <w:r w:rsidR="00E1628E" w:rsidRPr="0024009B">
        <w:t>.</w:t>
      </w:r>
    </w:p>
    <w:p w14:paraId="4D49F1CC" w14:textId="77777777" w:rsidR="002C50B8" w:rsidRDefault="002C50B8" w:rsidP="002C50B8">
      <w:pPr>
        <w:pStyle w:val="ListParagraph"/>
      </w:pPr>
    </w:p>
    <w:p w14:paraId="3980B009" w14:textId="679CC85A" w:rsidR="008A5C83" w:rsidRPr="0018203D" w:rsidRDefault="00E1628E" w:rsidP="008A5C83">
      <w:pPr>
        <w:pStyle w:val="ListParagraph"/>
        <w:widowControl w:val="0"/>
        <w:numPr>
          <w:ilvl w:val="1"/>
          <w:numId w:val="65"/>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t>The</w:t>
      </w:r>
      <w:r w:rsidR="008E279B">
        <w:t xml:space="preserve"> </w:t>
      </w:r>
      <w:r w:rsidR="004059BA">
        <w:t xml:space="preserve">Authority is </w:t>
      </w:r>
      <w:r w:rsidR="0037696F" w:rsidRPr="00DD267A">
        <w:t>seeking to secure</w:t>
      </w:r>
      <w:r w:rsidR="009F6462">
        <w:t xml:space="preserve"> </w:t>
      </w:r>
      <w:r w:rsidR="00BD6349" w:rsidRPr="0024009B">
        <w:t>a national training function to support the ongoing provision of high-quality stop smoking services in England</w:t>
      </w:r>
      <w:r w:rsidR="00BD6349" w:rsidRPr="008E279B">
        <w:t xml:space="preserve"> from 2023-28</w:t>
      </w:r>
      <w:r w:rsidR="00BD6349" w:rsidRPr="004059BA">
        <w:t>.</w:t>
      </w:r>
    </w:p>
    <w:p w14:paraId="6718C2FC" w14:textId="2CEF252C" w:rsidR="008A5C83" w:rsidRPr="008A5C83" w:rsidRDefault="00572BD4" w:rsidP="008A5C83">
      <w:pPr>
        <w:pStyle w:val="Sch1"/>
        <w:numPr>
          <w:ilvl w:val="0"/>
          <w:numId w:val="65"/>
        </w:numPr>
        <w:ind w:left="567" w:hanging="567"/>
        <w:rPr>
          <w:rFonts w:ascii="Arial" w:hAnsi="Arial"/>
          <w:sz w:val="24"/>
          <w:szCs w:val="24"/>
        </w:rPr>
      </w:pPr>
      <w:bookmarkStart w:id="7" w:name="_Toc118380630"/>
      <w:r>
        <w:rPr>
          <w:rFonts w:ascii="Arial" w:hAnsi="Arial"/>
          <w:sz w:val="24"/>
          <w:szCs w:val="24"/>
        </w:rPr>
        <w:t>Definitions</w:t>
      </w:r>
      <w:bookmarkEnd w:id="7"/>
    </w:p>
    <w:p w14:paraId="2CF3E49B" w14:textId="2395E96C" w:rsidR="00572BD4" w:rsidRDefault="00572BD4" w:rsidP="00572BD4">
      <w:pPr>
        <w:pStyle w:val="StyleHeading2"/>
      </w:pPr>
    </w:p>
    <w:tbl>
      <w:tblPr>
        <w:tblStyle w:val="TableGrid"/>
        <w:tblW w:w="0" w:type="auto"/>
        <w:tblInd w:w="704" w:type="dxa"/>
        <w:tblLook w:val="04A0" w:firstRow="1" w:lastRow="0" w:firstColumn="1" w:lastColumn="0" w:noHBand="0" w:noVBand="1"/>
      </w:tblPr>
      <w:tblGrid>
        <w:gridCol w:w="3119"/>
        <w:gridCol w:w="5238"/>
      </w:tblGrid>
      <w:tr w:rsidR="00572BD4" w14:paraId="5A09B853" w14:textId="77777777" w:rsidTr="00572BD4">
        <w:tc>
          <w:tcPr>
            <w:tcW w:w="3119" w:type="dxa"/>
          </w:tcPr>
          <w:p w14:paraId="4DF6699D" w14:textId="4A7604B9" w:rsidR="00572BD4" w:rsidRPr="00572BD4" w:rsidRDefault="00572BD4" w:rsidP="00572BD4">
            <w:pPr>
              <w:pStyle w:val="StyleHeading2"/>
              <w:rPr>
                <w:b/>
                <w:bCs/>
              </w:rPr>
            </w:pPr>
            <w:r w:rsidRPr="00572BD4">
              <w:rPr>
                <w:b/>
                <w:bCs/>
              </w:rPr>
              <w:t>Expression or Acronym</w:t>
            </w:r>
          </w:p>
        </w:tc>
        <w:tc>
          <w:tcPr>
            <w:tcW w:w="5238" w:type="dxa"/>
          </w:tcPr>
          <w:p w14:paraId="013E9C95" w14:textId="68B589B1" w:rsidR="00572BD4" w:rsidRPr="00572BD4" w:rsidRDefault="00572BD4" w:rsidP="00572BD4">
            <w:pPr>
              <w:pStyle w:val="StyleHeading2"/>
              <w:rPr>
                <w:b/>
                <w:bCs/>
              </w:rPr>
            </w:pPr>
            <w:r w:rsidRPr="00572BD4">
              <w:rPr>
                <w:b/>
                <w:bCs/>
              </w:rPr>
              <w:t>Description</w:t>
            </w:r>
          </w:p>
        </w:tc>
      </w:tr>
      <w:tr w:rsidR="00572BD4" w14:paraId="4AEF5E9D" w14:textId="77777777" w:rsidTr="00572BD4">
        <w:tc>
          <w:tcPr>
            <w:tcW w:w="3119" w:type="dxa"/>
          </w:tcPr>
          <w:p w14:paraId="41F12AD6" w14:textId="1E53F42E" w:rsidR="00572BD4" w:rsidRDefault="00616765" w:rsidP="00572BD4">
            <w:pPr>
              <w:pStyle w:val="StyleHeading2"/>
            </w:pPr>
            <w:r>
              <w:t>The Authority</w:t>
            </w:r>
          </w:p>
        </w:tc>
        <w:tc>
          <w:tcPr>
            <w:tcW w:w="5238" w:type="dxa"/>
          </w:tcPr>
          <w:p w14:paraId="5C051B26" w14:textId="3ECECB24" w:rsidR="00572BD4" w:rsidRDefault="0024009B" w:rsidP="00572BD4">
            <w:pPr>
              <w:pStyle w:val="StyleHeading2"/>
            </w:pPr>
            <w:r>
              <w:t>The Department of Health and Social Care</w:t>
            </w:r>
          </w:p>
        </w:tc>
      </w:tr>
      <w:tr w:rsidR="00572BD4" w14:paraId="6C768391" w14:textId="77777777" w:rsidTr="00572BD4">
        <w:tc>
          <w:tcPr>
            <w:tcW w:w="3119" w:type="dxa"/>
          </w:tcPr>
          <w:p w14:paraId="5C0D96C2" w14:textId="15CB42DC" w:rsidR="00572BD4" w:rsidRDefault="00616765" w:rsidP="00572BD4">
            <w:pPr>
              <w:pStyle w:val="StyleHeading2"/>
            </w:pPr>
            <w:r>
              <w:t>OHID</w:t>
            </w:r>
          </w:p>
        </w:tc>
        <w:tc>
          <w:tcPr>
            <w:tcW w:w="5238" w:type="dxa"/>
          </w:tcPr>
          <w:p w14:paraId="105D75A2" w14:textId="604EEEAF" w:rsidR="00572BD4" w:rsidRDefault="0024009B" w:rsidP="00572BD4">
            <w:pPr>
              <w:pStyle w:val="StyleHeading2"/>
            </w:pPr>
            <w:r w:rsidRPr="0024009B">
              <w:t>The Office for Health Improvement and Disparities</w:t>
            </w:r>
          </w:p>
        </w:tc>
      </w:tr>
      <w:tr w:rsidR="00763266" w14:paraId="7328D150" w14:textId="77777777" w:rsidTr="000747E7">
        <w:tc>
          <w:tcPr>
            <w:tcW w:w="3119" w:type="dxa"/>
          </w:tcPr>
          <w:p w14:paraId="732E4491" w14:textId="77777777" w:rsidR="00763266" w:rsidRDefault="00763266" w:rsidP="000747E7">
            <w:pPr>
              <w:pStyle w:val="StyleHeading2"/>
            </w:pPr>
            <w:r>
              <w:t>DHSC</w:t>
            </w:r>
          </w:p>
        </w:tc>
        <w:tc>
          <w:tcPr>
            <w:tcW w:w="5238" w:type="dxa"/>
          </w:tcPr>
          <w:p w14:paraId="5109770B" w14:textId="77777777" w:rsidR="00763266" w:rsidRDefault="00763266" w:rsidP="000747E7">
            <w:pPr>
              <w:pStyle w:val="StyleHeading2"/>
            </w:pPr>
            <w:r>
              <w:t>The Department of Health and Social Care</w:t>
            </w:r>
          </w:p>
        </w:tc>
      </w:tr>
      <w:tr w:rsidR="00763266" w14:paraId="7ED9B957" w14:textId="77777777" w:rsidTr="00572BD4">
        <w:tc>
          <w:tcPr>
            <w:tcW w:w="3119" w:type="dxa"/>
          </w:tcPr>
          <w:p w14:paraId="0C59C763" w14:textId="1E1104D7" w:rsidR="00763266" w:rsidRDefault="00763266" w:rsidP="00572BD4">
            <w:pPr>
              <w:pStyle w:val="StyleHeading2"/>
            </w:pPr>
            <w:r>
              <w:t>Healthcare professional</w:t>
            </w:r>
          </w:p>
        </w:tc>
        <w:tc>
          <w:tcPr>
            <w:tcW w:w="5238" w:type="dxa"/>
          </w:tcPr>
          <w:p w14:paraId="6B42DB08" w14:textId="2DD561BB" w:rsidR="00763266" w:rsidRPr="0024009B" w:rsidRDefault="00D54D52" w:rsidP="00572BD4">
            <w:pPr>
              <w:pStyle w:val="StyleHeading2"/>
            </w:pPr>
            <w:r>
              <w:t>An individual working in a role that offers health advice and/or care to the public</w:t>
            </w:r>
          </w:p>
        </w:tc>
      </w:tr>
      <w:tr w:rsidR="00763266" w14:paraId="2358417A" w14:textId="77777777" w:rsidTr="00572BD4">
        <w:tc>
          <w:tcPr>
            <w:tcW w:w="3119" w:type="dxa"/>
          </w:tcPr>
          <w:p w14:paraId="32F0DCC1" w14:textId="6A7836D5" w:rsidR="00763266" w:rsidRDefault="00763266" w:rsidP="00572BD4">
            <w:pPr>
              <w:pStyle w:val="StyleHeading2"/>
            </w:pPr>
            <w:r>
              <w:t>Local Stop Smoking Service</w:t>
            </w:r>
          </w:p>
        </w:tc>
        <w:tc>
          <w:tcPr>
            <w:tcW w:w="5238" w:type="dxa"/>
          </w:tcPr>
          <w:p w14:paraId="5D51B9F8" w14:textId="347CCE90" w:rsidR="00763266" w:rsidRPr="0024009B" w:rsidRDefault="00763266" w:rsidP="00572BD4">
            <w:pPr>
              <w:pStyle w:val="StyleHeading2"/>
            </w:pPr>
            <w:r>
              <w:t>Local authority commissioned service for helping smokers to quit</w:t>
            </w:r>
          </w:p>
        </w:tc>
      </w:tr>
      <w:tr w:rsidR="00763266" w14:paraId="49DC85A4" w14:textId="77777777" w:rsidTr="00572BD4">
        <w:tc>
          <w:tcPr>
            <w:tcW w:w="3119" w:type="dxa"/>
          </w:tcPr>
          <w:p w14:paraId="029D6510" w14:textId="13647CB0" w:rsidR="00763266" w:rsidRDefault="00763266" w:rsidP="00572BD4">
            <w:pPr>
              <w:pStyle w:val="StyleHeading2"/>
            </w:pPr>
            <w:r>
              <w:t>Specialist stop smoking practitioner</w:t>
            </w:r>
          </w:p>
        </w:tc>
        <w:tc>
          <w:tcPr>
            <w:tcW w:w="5238" w:type="dxa"/>
          </w:tcPr>
          <w:p w14:paraId="6B3ACD22" w14:textId="6D7E441E" w:rsidR="00763266" w:rsidRDefault="006515DE" w:rsidP="00572BD4">
            <w:pPr>
              <w:pStyle w:val="StyleHeading2"/>
            </w:pPr>
            <w:r>
              <w:t>An individual trained to the required standards to deliver stop smoking interventions</w:t>
            </w:r>
          </w:p>
        </w:tc>
      </w:tr>
      <w:tr w:rsidR="0024009B" w14:paraId="709A00C2" w14:textId="77777777" w:rsidTr="00572BD4">
        <w:tc>
          <w:tcPr>
            <w:tcW w:w="3119" w:type="dxa"/>
          </w:tcPr>
          <w:p w14:paraId="264A54DF" w14:textId="7258F6AF" w:rsidR="0024009B" w:rsidRDefault="00211E1F" w:rsidP="0024009B">
            <w:pPr>
              <w:pStyle w:val="StyleHeading2"/>
            </w:pPr>
            <w:r>
              <w:t>Open Access</w:t>
            </w:r>
          </w:p>
        </w:tc>
        <w:tc>
          <w:tcPr>
            <w:tcW w:w="5238" w:type="dxa"/>
          </w:tcPr>
          <w:p w14:paraId="0CA6A87A" w14:textId="2A7A9496" w:rsidR="0024009B" w:rsidRDefault="00211E1F" w:rsidP="0024009B">
            <w:pPr>
              <w:pStyle w:val="StyleHeading2"/>
            </w:pPr>
            <w:r>
              <w:t>F</w:t>
            </w:r>
            <w:r w:rsidRPr="00211E1F">
              <w:t>ree access to information and unrestricted use of electronic resources for everyone</w:t>
            </w:r>
          </w:p>
        </w:tc>
      </w:tr>
    </w:tbl>
    <w:p w14:paraId="4928A947" w14:textId="77777777" w:rsidR="00572BD4" w:rsidRPr="00572BD4" w:rsidRDefault="00572BD4" w:rsidP="00572BD4">
      <w:pPr>
        <w:pStyle w:val="StyleHeading2"/>
      </w:pPr>
    </w:p>
    <w:p w14:paraId="4053D1F3" w14:textId="326029A4" w:rsidR="009F6462" w:rsidRDefault="0018203D" w:rsidP="008A5C83">
      <w:pPr>
        <w:pStyle w:val="Sch1"/>
        <w:numPr>
          <w:ilvl w:val="0"/>
          <w:numId w:val="65"/>
        </w:numPr>
        <w:rPr>
          <w:rFonts w:ascii="Arial" w:hAnsi="Arial"/>
          <w:sz w:val="24"/>
          <w:szCs w:val="24"/>
        </w:rPr>
      </w:pPr>
      <w:bookmarkStart w:id="8" w:name="_Toc118380631"/>
      <w:r>
        <w:rPr>
          <w:rFonts w:ascii="Arial" w:hAnsi="Arial"/>
          <w:sz w:val="24"/>
          <w:szCs w:val="24"/>
        </w:rPr>
        <w:t>P</w:t>
      </w:r>
      <w:r w:rsidR="000A3D02" w:rsidRPr="00B07531">
        <w:rPr>
          <w:rFonts w:ascii="Arial" w:hAnsi="Arial"/>
          <w:sz w:val="24"/>
          <w:szCs w:val="24"/>
        </w:rPr>
        <w:t>urpose</w:t>
      </w:r>
      <w:r w:rsidR="009A7B83">
        <w:rPr>
          <w:rFonts w:ascii="Arial" w:hAnsi="Arial"/>
          <w:sz w:val="24"/>
          <w:szCs w:val="24"/>
        </w:rPr>
        <w:t xml:space="preserve"> and </w:t>
      </w:r>
      <w:r>
        <w:rPr>
          <w:rFonts w:ascii="Arial" w:hAnsi="Arial"/>
          <w:sz w:val="24"/>
          <w:szCs w:val="24"/>
        </w:rPr>
        <w:t>B</w:t>
      </w:r>
      <w:r w:rsidR="009A7B83">
        <w:rPr>
          <w:rFonts w:ascii="Arial" w:hAnsi="Arial"/>
          <w:sz w:val="24"/>
          <w:szCs w:val="24"/>
        </w:rPr>
        <w:t>ackground</w:t>
      </w:r>
      <w:bookmarkEnd w:id="8"/>
    </w:p>
    <w:p w14:paraId="69C4CE60" w14:textId="77777777" w:rsidR="008A5C83" w:rsidRPr="00EB4118" w:rsidRDefault="008A5C83" w:rsidP="008A5C83">
      <w:pPr>
        <w:pStyle w:val="ListParagraph"/>
        <w:ind w:left="360"/>
        <w:contextualSpacing w:val="0"/>
      </w:pPr>
    </w:p>
    <w:p w14:paraId="450ADD57" w14:textId="193B3478" w:rsidR="00EB4118" w:rsidRDefault="00EB4118" w:rsidP="00EB4118">
      <w:pPr>
        <w:pStyle w:val="StyleHeading2"/>
        <w:numPr>
          <w:ilvl w:val="1"/>
          <w:numId w:val="52"/>
        </w:numPr>
        <w:rPr>
          <w:rFonts w:eastAsia="Calibri"/>
          <w:szCs w:val="24"/>
          <w:u w:val="single"/>
          <w:lang w:eastAsia="en-GB"/>
        </w:rPr>
      </w:pPr>
      <w:r w:rsidRPr="00EB4118">
        <w:rPr>
          <w:rFonts w:eastAsia="Calibri"/>
          <w:szCs w:val="24"/>
          <w:lang w:eastAsia="en-GB"/>
        </w:rPr>
        <w:tab/>
      </w:r>
      <w:r w:rsidRPr="00EB4118">
        <w:rPr>
          <w:rFonts w:eastAsia="Calibri"/>
          <w:szCs w:val="24"/>
          <w:u w:val="single"/>
          <w:lang w:eastAsia="en-GB"/>
        </w:rPr>
        <w:t>Purpose</w:t>
      </w:r>
      <w:r>
        <w:rPr>
          <w:rFonts w:eastAsia="Calibri"/>
          <w:szCs w:val="24"/>
          <w:u w:val="single"/>
          <w:lang w:eastAsia="en-GB"/>
        </w:rPr>
        <w:t>:</w:t>
      </w:r>
    </w:p>
    <w:p w14:paraId="1A2800C1" w14:textId="77777777" w:rsidR="00EB4118" w:rsidRDefault="00EB4118" w:rsidP="00EB4118">
      <w:pPr>
        <w:pStyle w:val="StyleHeading2"/>
        <w:ind w:left="360"/>
        <w:rPr>
          <w:rFonts w:eastAsia="Calibri"/>
          <w:szCs w:val="24"/>
          <w:u w:val="single"/>
          <w:lang w:eastAsia="en-GB"/>
        </w:rPr>
      </w:pPr>
    </w:p>
    <w:p w14:paraId="4B21DD55" w14:textId="1A8A96E1" w:rsidR="00EB4118" w:rsidRPr="00EB4118" w:rsidRDefault="00EB4118" w:rsidP="00EB4118">
      <w:pPr>
        <w:pStyle w:val="StyleHeading2"/>
        <w:ind w:left="360"/>
        <w:rPr>
          <w:rFonts w:eastAsia="Calibri"/>
          <w:szCs w:val="24"/>
          <w:u w:val="single"/>
          <w:lang w:eastAsia="en-GB"/>
        </w:rPr>
      </w:pPr>
      <w:r w:rsidRPr="00EB4118">
        <w:rPr>
          <w:rFonts w:eastAsia="Calibri"/>
          <w:szCs w:val="24"/>
          <w:lang w:eastAsia="en-GB"/>
        </w:rPr>
        <w:tab/>
      </w:r>
      <w:r w:rsidR="00A1242F" w:rsidRPr="00EB4118">
        <w:rPr>
          <w:rFonts w:eastAsia="Calibri"/>
          <w:szCs w:val="24"/>
          <w:lang w:eastAsia="en-GB"/>
        </w:rPr>
        <w:t xml:space="preserve">A national training function is required to enhance and maintain the quality and </w:t>
      </w:r>
      <w:r w:rsidRPr="00EB4118">
        <w:rPr>
          <w:rFonts w:eastAsia="Calibri"/>
          <w:szCs w:val="24"/>
          <w:lang w:eastAsia="en-GB"/>
        </w:rPr>
        <w:tab/>
      </w:r>
      <w:r w:rsidR="00A1242F" w:rsidRPr="00EB4118">
        <w:rPr>
          <w:rFonts w:eastAsia="Calibri"/>
          <w:szCs w:val="24"/>
          <w:lang w:eastAsia="en-GB"/>
        </w:rPr>
        <w:t xml:space="preserve">consistency of stop smoking interventions delivered across the country, </w:t>
      </w:r>
      <w:r w:rsidRPr="00EB4118">
        <w:rPr>
          <w:rFonts w:eastAsia="Calibri"/>
          <w:szCs w:val="24"/>
          <w:lang w:eastAsia="en-GB"/>
        </w:rPr>
        <w:tab/>
      </w:r>
      <w:r w:rsidRPr="00EB4118">
        <w:rPr>
          <w:rFonts w:eastAsia="Calibri"/>
          <w:szCs w:val="24"/>
          <w:lang w:eastAsia="en-GB"/>
        </w:rPr>
        <w:tab/>
      </w:r>
      <w:r w:rsidR="00A1242F" w:rsidRPr="00EB4118">
        <w:rPr>
          <w:rFonts w:eastAsia="Calibri"/>
          <w:szCs w:val="24"/>
          <w:lang w:eastAsia="en-GB"/>
        </w:rPr>
        <w:t xml:space="preserve">providing specialist </w:t>
      </w:r>
      <w:r w:rsidR="00763266" w:rsidRPr="00EB4118">
        <w:rPr>
          <w:rFonts w:eastAsia="Calibri"/>
          <w:szCs w:val="24"/>
          <w:lang w:eastAsia="en-GB"/>
        </w:rPr>
        <w:t xml:space="preserve">stop smoking </w:t>
      </w:r>
      <w:r w:rsidR="00A1242F" w:rsidRPr="00EB4118">
        <w:rPr>
          <w:rFonts w:eastAsia="Calibri"/>
          <w:szCs w:val="24"/>
          <w:lang w:eastAsia="en-GB"/>
        </w:rPr>
        <w:t xml:space="preserve">practitioners with the knowledge and skills to </w:t>
      </w:r>
      <w:r w:rsidRPr="00EB4118">
        <w:rPr>
          <w:rFonts w:eastAsia="Calibri"/>
          <w:szCs w:val="24"/>
          <w:lang w:eastAsia="en-GB"/>
        </w:rPr>
        <w:tab/>
      </w:r>
      <w:r w:rsidR="00A1242F" w:rsidRPr="00EB4118">
        <w:rPr>
          <w:rFonts w:eastAsia="Calibri"/>
          <w:szCs w:val="24"/>
          <w:lang w:eastAsia="en-GB"/>
        </w:rPr>
        <w:t>deliver effective evidence-based interventions.</w:t>
      </w:r>
    </w:p>
    <w:p w14:paraId="1FEA8DDB" w14:textId="77777777" w:rsidR="00EB4118" w:rsidRDefault="00EB4118" w:rsidP="00EB4118">
      <w:pPr>
        <w:pStyle w:val="StyleHeading2"/>
        <w:ind w:left="360"/>
        <w:rPr>
          <w:rFonts w:eastAsia="Calibri"/>
          <w:szCs w:val="24"/>
          <w:u w:val="single"/>
          <w:lang w:eastAsia="en-GB"/>
        </w:rPr>
      </w:pPr>
    </w:p>
    <w:p w14:paraId="60A10C74" w14:textId="77777777" w:rsidR="00EB4118" w:rsidRDefault="00EB4118" w:rsidP="00EB4118">
      <w:pPr>
        <w:pStyle w:val="StyleHeading2"/>
        <w:numPr>
          <w:ilvl w:val="1"/>
          <w:numId w:val="52"/>
        </w:numPr>
        <w:rPr>
          <w:rFonts w:eastAsia="Calibri"/>
          <w:szCs w:val="24"/>
          <w:u w:val="single"/>
          <w:lang w:eastAsia="en-GB"/>
        </w:rPr>
      </w:pPr>
      <w:r w:rsidRPr="00EB4118">
        <w:rPr>
          <w:rFonts w:cstheme="minorBidi"/>
          <w:szCs w:val="22"/>
        </w:rPr>
        <w:tab/>
      </w:r>
      <w:r w:rsidR="00AC41CA" w:rsidRPr="00EB4118">
        <w:rPr>
          <w:rFonts w:cstheme="minorBidi"/>
          <w:szCs w:val="22"/>
          <w:u w:val="single"/>
        </w:rPr>
        <w:t>B</w:t>
      </w:r>
      <w:r w:rsidR="00A1242F" w:rsidRPr="00EB4118">
        <w:rPr>
          <w:rFonts w:cstheme="minorBidi"/>
          <w:szCs w:val="22"/>
          <w:u w:val="single"/>
        </w:rPr>
        <w:t>ackground:</w:t>
      </w:r>
    </w:p>
    <w:p w14:paraId="4EA6A6FE" w14:textId="77777777" w:rsidR="00EB4118" w:rsidRDefault="00EB4118" w:rsidP="00EB4118">
      <w:pPr>
        <w:pStyle w:val="StyleHeading2"/>
        <w:rPr>
          <w:rFonts w:cstheme="minorBidi"/>
          <w:szCs w:val="22"/>
        </w:rPr>
      </w:pPr>
    </w:p>
    <w:p w14:paraId="5A6C9C54" w14:textId="487E668E" w:rsidR="00EB4118" w:rsidRDefault="00EB4118" w:rsidP="00EB4118">
      <w:pPr>
        <w:pStyle w:val="StyleHeading2"/>
        <w:rPr>
          <w:rFonts w:cstheme="minorBidi"/>
          <w:szCs w:val="22"/>
        </w:rPr>
      </w:pPr>
      <w:r>
        <w:rPr>
          <w:rFonts w:cstheme="minorBidi"/>
          <w:szCs w:val="22"/>
        </w:rPr>
        <w:tab/>
      </w:r>
      <w:r w:rsidR="00AC41CA" w:rsidRPr="00EB4118">
        <w:rPr>
          <w:rFonts w:cstheme="minorBidi"/>
          <w:szCs w:val="22"/>
        </w:rPr>
        <w:t>R</w:t>
      </w:r>
      <w:r w:rsidR="00BD6349" w:rsidRPr="00EB4118">
        <w:rPr>
          <w:rFonts w:cstheme="minorBidi"/>
          <w:szCs w:val="22"/>
        </w:rPr>
        <w:t xml:space="preserve">educing health disparities is a core part of the Governments Levelling Up </w:t>
      </w:r>
      <w:r w:rsidRPr="00EB4118">
        <w:rPr>
          <w:rFonts w:cstheme="minorBidi"/>
          <w:szCs w:val="22"/>
        </w:rPr>
        <w:tab/>
      </w:r>
      <w:r w:rsidR="00BD6349" w:rsidRPr="00EB4118">
        <w:rPr>
          <w:rFonts w:cstheme="minorBidi"/>
          <w:szCs w:val="22"/>
        </w:rPr>
        <w:t xml:space="preserve">agenda. Smoking is one of the most significant contributors to health </w:t>
      </w:r>
      <w:r w:rsidRPr="00EB4118">
        <w:rPr>
          <w:rFonts w:cstheme="minorBidi"/>
          <w:szCs w:val="22"/>
        </w:rPr>
        <w:tab/>
      </w:r>
      <w:r w:rsidRPr="00EB4118">
        <w:rPr>
          <w:rFonts w:cstheme="minorBidi"/>
          <w:szCs w:val="22"/>
        </w:rPr>
        <w:tab/>
      </w:r>
      <w:r w:rsidR="00BD6349" w:rsidRPr="00EB4118">
        <w:rPr>
          <w:rFonts w:cstheme="minorBidi"/>
          <w:szCs w:val="22"/>
        </w:rPr>
        <w:t xml:space="preserve">disparities and the provision of effective stop smoking support in local </w:t>
      </w:r>
      <w:r w:rsidRPr="00EB4118">
        <w:rPr>
          <w:rFonts w:cstheme="minorBidi"/>
          <w:szCs w:val="22"/>
        </w:rPr>
        <w:tab/>
      </w:r>
      <w:r w:rsidR="00BD6349" w:rsidRPr="00EB4118">
        <w:rPr>
          <w:rFonts w:cstheme="minorBidi"/>
          <w:szCs w:val="22"/>
        </w:rPr>
        <w:t xml:space="preserve">communities is vital to help those in most need to change their smoking </w:t>
      </w:r>
      <w:r w:rsidRPr="00EB4118">
        <w:rPr>
          <w:rFonts w:cstheme="minorBidi"/>
          <w:szCs w:val="22"/>
        </w:rPr>
        <w:tab/>
      </w:r>
      <w:r w:rsidR="00BD6349" w:rsidRPr="00EB4118">
        <w:rPr>
          <w:rFonts w:cstheme="minorBidi"/>
          <w:szCs w:val="22"/>
        </w:rPr>
        <w:t xml:space="preserve">behaviour. Having an appropriately trained workforce with the knowledge, </w:t>
      </w:r>
      <w:r>
        <w:rPr>
          <w:rFonts w:cstheme="minorBidi"/>
          <w:szCs w:val="22"/>
        </w:rPr>
        <w:lastRenderedPageBreak/>
        <w:tab/>
      </w:r>
      <w:r w:rsidR="00BD6349" w:rsidRPr="00EB4118">
        <w:rPr>
          <w:rFonts w:cstheme="minorBidi"/>
          <w:szCs w:val="22"/>
        </w:rPr>
        <w:t xml:space="preserve">skills and confidence to treat tobacco dependence is therefore vital, </w:t>
      </w:r>
      <w:r>
        <w:rPr>
          <w:rFonts w:cstheme="minorBidi"/>
          <w:szCs w:val="22"/>
        </w:rPr>
        <w:tab/>
      </w:r>
      <w:r w:rsidR="00BD6349" w:rsidRPr="00EB4118">
        <w:rPr>
          <w:rFonts w:cstheme="minorBidi"/>
          <w:szCs w:val="22"/>
        </w:rPr>
        <w:t xml:space="preserve">particularly in the more deprived communities where smoking prevalence is </w:t>
      </w:r>
      <w:r>
        <w:rPr>
          <w:rFonts w:cstheme="minorBidi"/>
          <w:szCs w:val="22"/>
        </w:rPr>
        <w:tab/>
      </w:r>
      <w:r w:rsidR="00BD6349" w:rsidRPr="00EB4118">
        <w:rPr>
          <w:rFonts w:cstheme="minorBidi"/>
          <w:szCs w:val="22"/>
        </w:rPr>
        <w:t>higher and the consequences of smoking greater</w:t>
      </w:r>
      <w:r w:rsidR="00A1242F" w:rsidRPr="00EB4118">
        <w:rPr>
          <w:rFonts w:cstheme="minorBidi"/>
          <w:szCs w:val="22"/>
        </w:rPr>
        <w:t>.</w:t>
      </w:r>
    </w:p>
    <w:p w14:paraId="65517C6B" w14:textId="77777777" w:rsidR="00EB4118" w:rsidRDefault="00EB4118" w:rsidP="00EB4118">
      <w:pPr>
        <w:pStyle w:val="StyleHeading2"/>
        <w:rPr>
          <w:rFonts w:eastAsia="Calibri"/>
          <w:szCs w:val="24"/>
          <w:u w:val="single"/>
          <w:lang w:eastAsia="en-GB"/>
        </w:rPr>
      </w:pPr>
    </w:p>
    <w:p w14:paraId="15AF2799" w14:textId="2521E6DC" w:rsidR="00EB4118" w:rsidRPr="00EB4118" w:rsidRDefault="00A1242F" w:rsidP="00EB4118">
      <w:pPr>
        <w:pStyle w:val="StyleHeading2"/>
        <w:numPr>
          <w:ilvl w:val="1"/>
          <w:numId w:val="52"/>
        </w:numPr>
        <w:rPr>
          <w:rFonts w:eastAsia="Calibri"/>
          <w:szCs w:val="24"/>
          <w:u w:val="single"/>
          <w:lang w:eastAsia="en-GB"/>
        </w:rPr>
      </w:pPr>
      <w:r>
        <w:t xml:space="preserve">Although prevalence has declined in recent decades, smoking </w:t>
      </w:r>
      <w:r w:rsidRPr="00F85C69">
        <w:t>remains the single largest cause of premature death in England, as well as the leading cause of health inequalit</w:t>
      </w:r>
      <w:r>
        <w:t>ies</w:t>
      </w:r>
      <w:r w:rsidRPr="00F85C69">
        <w:t xml:space="preserve">. </w:t>
      </w:r>
      <w:r w:rsidR="0015223F">
        <w:t>Nearly 6</w:t>
      </w:r>
      <w:r w:rsidRPr="00596E2A">
        <w:t xml:space="preserve"> million adults</w:t>
      </w:r>
      <w:r w:rsidRPr="00F85C69">
        <w:t xml:space="preserve"> in England still smoke, with approximately </w:t>
      </w:r>
      <w:r w:rsidR="0015223F">
        <w:t>64</w:t>
      </w:r>
      <w:r w:rsidRPr="00C86F45">
        <w:t>,000 dying</w:t>
      </w:r>
      <w:r w:rsidRPr="00F85C69">
        <w:t xml:space="preserve"> each year as a result</w:t>
      </w:r>
      <w:r w:rsidR="006C687E" w:rsidRPr="006C687E">
        <w:rPr>
          <w:vertAlign w:val="superscript"/>
        </w:rPr>
        <w:t>1</w:t>
      </w:r>
      <w:r w:rsidRPr="00F85C69">
        <w:t>.</w:t>
      </w:r>
    </w:p>
    <w:p w14:paraId="30230E07" w14:textId="77777777" w:rsidR="00EB4118" w:rsidRPr="00EB4118" w:rsidRDefault="00EB4118" w:rsidP="00EB4118">
      <w:pPr>
        <w:pStyle w:val="StyleHeading2"/>
        <w:ind w:left="360"/>
        <w:rPr>
          <w:rFonts w:eastAsia="Calibri"/>
          <w:szCs w:val="24"/>
          <w:u w:val="single"/>
          <w:lang w:eastAsia="en-GB"/>
        </w:rPr>
      </w:pPr>
    </w:p>
    <w:p w14:paraId="01B8D312" w14:textId="77777777" w:rsidR="00CC748B" w:rsidRPr="00CC748B" w:rsidRDefault="00AC41CA" w:rsidP="00CC748B">
      <w:pPr>
        <w:pStyle w:val="StyleHeading2"/>
        <w:numPr>
          <w:ilvl w:val="1"/>
          <w:numId w:val="52"/>
        </w:numPr>
        <w:rPr>
          <w:rFonts w:eastAsia="Calibri"/>
          <w:szCs w:val="24"/>
          <w:u w:val="single"/>
          <w:lang w:eastAsia="en-GB"/>
        </w:rPr>
      </w:pPr>
      <w:r w:rsidRPr="00454166">
        <w:t>The burden of smoking is experienced across the health and care system. Costs to the NHS are estimated at £2.4 billion each year, with a further £</w:t>
      </w:r>
      <w:r w:rsidR="00454166" w:rsidRPr="00454166">
        <w:t>1.2 billion</w:t>
      </w:r>
      <w:r w:rsidRPr="00454166">
        <w:t xml:space="preserve"> for social care and </w:t>
      </w:r>
      <w:r w:rsidR="00454166" w:rsidRPr="00454166">
        <w:t xml:space="preserve">substantial further costs </w:t>
      </w:r>
      <w:r w:rsidRPr="00454166">
        <w:t>across society associated with lost productivity, fires, litter etc.</w:t>
      </w:r>
      <w:r w:rsidRPr="00EB4118">
        <w:rPr>
          <w:vertAlign w:val="superscript"/>
        </w:rPr>
        <w:t>2</w:t>
      </w:r>
      <w:r w:rsidRPr="00746847">
        <w:t xml:space="preserve"> </w:t>
      </w:r>
      <w:bookmarkStart w:id="9" w:name="_Hlk27489484"/>
    </w:p>
    <w:p w14:paraId="2A860F6A" w14:textId="77777777" w:rsidR="00CC748B" w:rsidRDefault="00CC748B" w:rsidP="00CC748B">
      <w:pPr>
        <w:pStyle w:val="ListParagraph"/>
      </w:pPr>
    </w:p>
    <w:p w14:paraId="032619DE" w14:textId="77777777" w:rsidR="00CC748B" w:rsidRPr="00CC748B" w:rsidRDefault="00A1242F" w:rsidP="00CC748B">
      <w:pPr>
        <w:pStyle w:val="StyleHeading2"/>
        <w:numPr>
          <w:ilvl w:val="1"/>
          <w:numId w:val="52"/>
        </w:numPr>
        <w:rPr>
          <w:rFonts w:eastAsia="Calibri"/>
          <w:szCs w:val="24"/>
          <w:u w:val="single"/>
          <w:lang w:eastAsia="en-GB"/>
        </w:rPr>
      </w:pPr>
      <w:r w:rsidRPr="00572582">
        <w:t xml:space="preserve">Local </w:t>
      </w:r>
      <w:r>
        <w:t>s</w:t>
      </w:r>
      <w:r w:rsidRPr="00572582">
        <w:t xml:space="preserve">top </w:t>
      </w:r>
      <w:r>
        <w:t>s</w:t>
      </w:r>
      <w:r w:rsidRPr="00572582">
        <w:t xml:space="preserve">moking </w:t>
      </w:r>
      <w:r>
        <w:t>s</w:t>
      </w:r>
      <w:r w:rsidRPr="00572582">
        <w:t>ervices (</w:t>
      </w:r>
      <w:r>
        <w:t>L</w:t>
      </w:r>
      <w:r w:rsidRPr="00572582">
        <w:t>SSS) were established in England in 1999/2000 and rolled out universally in 2002</w:t>
      </w:r>
      <w:r>
        <w:t>-</w:t>
      </w:r>
      <w:r w:rsidRPr="00572582">
        <w:t xml:space="preserve">03. </w:t>
      </w:r>
      <w:bookmarkEnd w:id="9"/>
    </w:p>
    <w:p w14:paraId="67BB15D0" w14:textId="77777777" w:rsidR="00CC748B" w:rsidRDefault="00CC748B" w:rsidP="00CC748B">
      <w:pPr>
        <w:pStyle w:val="ListParagraph"/>
      </w:pPr>
    </w:p>
    <w:p w14:paraId="1B7CF59C" w14:textId="77777777" w:rsidR="00CC748B" w:rsidRPr="00CC748B" w:rsidRDefault="00A1242F" w:rsidP="00CC748B">
      <w:pPr>
        <w:pStyle w:val="StyleHeading2"/>
        <w:numPr>
          <w:ilvl w:val="1"/>
          <w:numId w:val="52"/>
        </w:numPr>
        <w:rPr>
          <w:rFonts w:eastAsia="Calibri"/>
          <w:szCs w:val="24"/>
          <w:u w:val="single"/>
          <w:lang w:eastAsia="en-GB"/>
        </w:rPr>
      </w:pPr>
      <w:r>
        <w:t>LSSS</w:t>
      </w:r>
      <w:r w:rsidRPr="006963E6">
        <w:t xml:space="preserve"> provide evidence</w:t>
      </w:r>
      <w:r>
        <w:t>-</w:t>
      </w:r>
      <w:r w:rsidRPr="006963E6">
        <w:t>based intervention</w:t>
      </w:r>
      <w:r>
        <w:t>s</w:t>
      </w:r>
      <w:r w:rsidRPr="006963E6">
        <w:t xml:space="preserve"> to support smokers to </w:t>
      </w:r>
      <w:r>
        <w:t>stop smoking</w:t>
      </w:r>
      <w:r w:rsidRPr="006963E6">
        <w:t xml:space="preserve"> and have been shown to be </w:t>
      </w:r>
      <w:r w:rsidRPr="007D13DC">
        <w:t>effective in reducing health inequalities</w:t>
      </w:r>
      <w:r w:rsidRPr="00CC748B">
        <w:rPr>
          <w:i/>
        </w:rPr>
        <w:t>.</w:t>
      </w:r>
      <w:r w:rsidRPr="00CC748B">
        <w:rPr>
          <w:vertAlign w:val="superscript"/>
        </w:rPr>
        <w:t>3</w:t>
      </w:r>
      <w:r w:rsidRPr="00CC748B">
        <w:rPr>
          <w:i/>
        </w:rPr>
        <w:t xml:space="preserve"> </w:t>
      </w:r>
      <w:r>
        <w:t>Smokers are up to three times more likely to quit successfully with support from LSSS</w:t>
      </w:r>
      <w:r w:rsidR="00C645DF" w:rsidRPr="00CC748B">
        <w:rPr>
          <w:vertAlign w:val="superscript"/>
        </w:rPr>
        <w:t>4</w:t>
      </w:r>
      <w:r>
        <w:t>.</w:t>
      </w:r>
    </w:p>
    <w:p w14:paraId="23E727BB" w14:textId="77777777" w:rsidR="00CC748B" w:rsidRDefault="00CC748B" w:rsidP="00CC748B">
      <w:pPr>
        <w:pStyle w:val="ListParagraph"/>
      </w:pPr>
    </w:p>
    <w:p w14:paraId="68B4739A" w14:textId="77777777" w:rsidR="00CC748B" w:rsidRPr="00CC748B" w:rsidRDefault="00A1242F" w:rsidP="00CC748B">
      <w:pPr>
        <w:pStyle w:val="StyleHeading2"/>
        <w:numPr>
          <w:ilvl w:val="1"/>
          <w:numId w:val="52"/>
        </w:numPr>
        <w:rPr>
          <w:rFonts w:eastAsia="Calibri"/>
          <w:szCs w:val="24"/>
          <w:u w:val="single"/>
          <w:lang w:eastAsia="en-GB"/>
        </w:rPr>
      </w:pPr>
      <w:r w:rsidRPr="00572582">
        <w:t xml:space="preserve">Ensuring that smokers attending </w:t>
      </w:r>
      <w:r>
        <w:t>LSSS</w:t>
      </w:r>
      <w:r w:rsidRPr="00572582">
        <w:t xml:space="preserve"> have the best possible chance of quitting is vital for improving individual and public health </w:t>
      </w:r>
      <w:r w:rsidR="004F40E1" w:rsidRPr="00572582">
        <w:t>outcomes and</w:t>
      </w:r>
      <w:r w:rsidRPr="00572582">
        <w:t xml:space="preserve"> reducing health inequalities. </w:t>
      </w:r>
      <w:r>
        <w:t>The continued provision of t</w:t>
      </w:r>
      <w:r w:rsidRPr="00572582">
        <w:t xml:space="preserve">raining </w:t>
      </w:r>
      <w:r>
        <w:t xml:space="preserve">for </w:t>
      </w:r>
      <w:r w:rsidRPr="00572582">
        <w:t xml:space="preserve">stop smoking practitioners to deliver evidence-based and effective behavioural support is </w:t>
      </w:r>
      <w:r>
        <w:t>essential</w:t>
      </w:r>
      <w:r w:rsidRPr="00572582">
        <w:t xml:space="preserve"> to achieving this aim.</w:t>
      </w:r>
    </w:p>
    <w:p w14:paraId="6DC3B861" w14:textId="77777777" w:rsidR="00CC748B" w:rsidRDefault="00CC748B" w:rsidP="00CC748B">
      <w:pPr>
        <w:pStyle w:val="ListParagraph"/>
        <w:rPr>
          <w:rFonts w:cstheme="minorBidi"/>
          <w:szCs w:val="22"/>
        </w:rPr>
      </w:pPr>
    </w:p>
    <w:p w14:paraId="58F60667" w14:textId="044DDB18" w:rsidR="00CC748B" w:rsidRPr="00CC748B" w:rsidRDefault="00A1242F" w:rsidP="00CC748B">
      <w:pPr>
        <w:pStyle w:val="StyleHeading2"/>
        <w:numPr>
          <w:ilvl w:val="1"/>
          <w:numId w:val="52"/>
        </w:numPr>
        <w:rPr>
          <w:rStyle w:val="Hyperlink"/>
          <w:rFonts w:eastAsia="Calibri"/>
          <w:color w:val="auto"/>
          <w:szCs w:val="24"/>
          <w:lang w:eastAsia="en-GB"/>
        </w:rPr>
      </w:pPr>
      <w:r w:rsidRPr="00CC748B">
        <w:rPr>
          <w:rFonts w:cstheme="minorBidi"/>
          <w:szCs w:val="22"/>
        </w:rPr>
        <w:t>NICE Guidance (NG209)</w:t>
      </w:r>
      <w:r w:rsidR="00C645DF" w:rsidRPr="00CC748B">
        <w:rPr>
          <w:rFonts w:cstheme="minorBidi"/>
          <w:szCs w:val="22"/>
          <w:vertAlign w:val="superscript"/>
        </w:rPr>
        <w:t>5</w:t>
      </w:r>
      <w:r w:rsidRPr="00CC748B">
        <w:rPr>
          <w:rFonts w:cstheme="minorBidi"/>
          <w:szCs w:val="22"/>
        </w:rPr>
        <w:t xml:space="preserve"> states that those providing stop smoking advice and support should meet the published training standards to ensure they are able to provide effective behavioural support and advice on medications to support smokers to stop. The National Training Function is essential to ensuring local services and practitioners meet this requirement. </w:t>
      </w:r>
    </w:p>
    <w:p w14:paraId="71608EC8" w14:textId="77777777" w:rsidR="00CC748B" w:rsidRDefault="00CC748B" w:rsidP="00CC748B">
      <w:pPr>
        <w:pStyle w:val="ListParagraph"/>
      </w:pPr>
    </w:p>
    <w:p w14:paraId="44EA97D3" w14:textId="77777777" w:rsidR="00CC748B" w:rsidRPr="00CC748B" w:rsidRDefault="00EE68BB" w:rsidP="00CC748B">
      <w:pPr>
        <w:pStyle w:val="StyleHeading2"/>
        <w:numPr>
          <w:ilvl w:val="1"/>
          <w:numId w:val="52"/>
        </w:numPr>
        <w:rPr>
          <w:rFonts w:eastAsia="Calibri"/>
          <w:szCs w:val="24"/>
          <w:u w:val="single"/>
          <w:lang w:eastAsia="en-GB"/>
        </w:rPr>
      </w:pPr>
      <w:r>
        <w:t xml:space="preserve">The National Training Function for stop smoking services was established by the Department of </w:t>
      </w:r>
      <w:r w:rsidR="00276BAC">
        <w:t>H</w:t>
      </w:r>
      <w:r>
        <w:t xml:space="preserve">ealth in 2009 with the remit to </w:t>
      </w:r>
      <w:r w:rsidR="00276BAC">
        <w:t xml:space="preserve">improve and maintain standards of stop smoking services across England. </w:t>
      </w:r>
      <w:r w:rsidR="00CB13A9">
        <w:t>Initially</w:t>
      </w:r>
      <w:r w:rsidR="00276BAC">
        <w:t xml:space="preserve"> carrying out detailed research to identify the competencies (knowledge and skills) required to effectively help smokers to stop, developing training standards and</w:t>
      </w:r>
      <w:r w:rsidR="000A7898">
        <w:t xml:space="preserve"> setting out</w:t>
      </w:r>
      <w:r w:rsidR="00276BAC">
        <w:t xml:space="preserve"> standard treatment programmes to inform the provision of local stop smoking services and </w:t>
      </w:r>
      <w:r w:rsidR="000A7898">
        <w:t>treatment interventions</w:t>
      </w:r>
      <w:r w:rsidR="00276BAC">
        <w:t xml:space="preserve">. This function now provides </w:t>
      </w:r>
      <w:r w:rsidR="000A7898">
        <w:t xml:space="preserve">a range of on-line </w:t>
      </w:r>
      <w:r w:rsidR="00276BAC">
        <w:t>training</w:t>
      </w:r>
      <w:r w:rsidR="000A7898">
        <w:t xml:space="preserve"> and </w:t>
      </w:r>
      <w:r w:rsidR="00276BAC">
        <w:t xml:space="preserve">assessment </w:t>
      </w:r>
      <w:r w:rsidR="000A7898">
        <w:t xml:space="preserve">programmes, </w:t>
      </w:r>
      <w:r w:rsidR="000A7898" w:rsidRPr="000A7898">
        <w:t>resources for commissioners, managers and practitioners in stop smoking services and clinical expertise to DHSC, the NHS and Local Authorities.</w:t>
      </w:r>
    </w:p>
    <w:p w14:paraId="76CF549D" w14:textId="77777777" w:rsidR="00CC748B" w:rsidRDefault="00CC748B" w:rsidP="00CC748B">
      <w:pPr>
        <w:pStyle w:val="ListParagraph"/>
      </w:pPr>
    </w:p>
    <w:p w14:paraId="08B8812A" w14:textId="350611EE" w:rsidR="00BD6349" w:rsidRPr="00CC748B" w:rsidRDefault="0035384F" w:rsidP="00CC748B">
      <w:pPr>
        <w:pStyle w:val="StyleHeading2"/>
        <w:numPr>
          <w:ilvl w:val="1"/>
          <w:numId w:val="52"/>
        </w:numPr>
        <w:rPr>
          <w:rFonts w:eastAsia="Calibri"/>
          <w:szCs w:val="24"/>
          <w:u w:val="single"/>
          <w:lang w:eastAsia="en-GB"/>
        </w:rPr>
      </w:pPr>
      <w:r>
        <w:t>The Authority</w:t>
      </w:r>
      <w:r w:rsidRPr="00746847">
        <w:t xml:space="preserve"> </w:t>
      </w:r>
      <w:r>
        <w:t>continues to require</w:t>
      </w:r>
      <w:r w:rsidRPr="00746847">
        <w:t xml:space="preserve"> a national training function to enhance and maintain the quality and consistency of stop smoking interventions delivered across the country, providing specialist practitioners with the knowledge and skills to deliver effective evidence</w:t>
      </w:r>
      <w:r>
        <w:t>-</w:t>
      </w:r>
      <w:r w:rsidRPr="00746847">
        <w:t xml:space="preserve">based interventions. </w:t>
      </w:r>
    </w:p>
    <w:p w14:paraId="49994B4F" w14:textId="0DEC6CBB" w:rsidR="0035384F" w:rsidRDefault="004A3441" w:rsidP="002C50B8">
      <w:pPr>
        <w:pStyle w:val="Sch1"/>
        <w:numPr>
          <w:ilvl w:val="0"/>
          <w:numId w:val="65"/>
        </w:numPr>
        <w:ind w:left="567" w:hanging="567"/>
        <w:rPr>
          <w:rFonts w:ascii="Arial" w:hAnsi="Arial"/>
          <w:sz w:val="24"/>
          <w:szCs w:val="24"/>
        </w:rPr>
      </w:pPr>
      <w:bookmarkStart w:id="10" w:name="_Toc519998890"/>
      <w:bookmarkStart w:id="11" w:name="_Toc118380632"/>
      <w:r>
        <w:rPr>
          <w:rFonts w:ascii="Arial" w:hAnsi="Arial"/>
          <w:sz w:val="24"/>
          <w:szCs w:val="24"/>
        </w:rPr>
        <w:lastRenderedPageBreak/>
        <w:t>Service</w:t>
      </w:r>
      <w:r w:rsidR="00993DCE" w:rsidRPr="00B07531">
        <w:rPr>
          <w:rFonts w:ascii="Arial" w:hAnsi="Arial"/>
          <w:sz w:val="24"/>
          <w:szCs w:val="24"/>
        </w:rPr>
        <w:t xml:space="preserve"> Requirement</w:t>
      </w:r>
      <w:bookmarkEnd w:id="10"/>
      <w:r w:rsidR="0035384F">
        <w:rPr>
          <w:rFonts w:ascii="Arial" w:hAnsi="Arial"/>
          <w:sz w:val="24"/>
          <w:szCs w:val="24"/>
        </w:rPr>
        <w:t>s</w:t>
      </w:r>
      <w:bookmarkEnd w:id="11"/>
    </w:p>
    <w:p w14:paraId="38B8FBEC" w14:textId="4F4722D2" w:rsidR="00CC748B" w:rsidRDefault="0035384F" w:rsidP="00172ADE">
      <w:pPr>
        <w:pStyle w:val="ListParagraph"/>
        <w:numPr>
          <w:ilvl w:val="1"/>
          <w:numId w:val="67"/>
        </w:numPr>
        <w:tabs>
          <w:tab w:val="left" w:pos="851"/>
        </w:tabs>
        <w:autoSpaceDE w:val="0"/>
        <w:autoSpaceDN w:val="0"/>
        <w:spacing w:before="240" w:after="200" w:line="276" w:lineRule="auto"/>
      </w:pPr>
      <w:r w:rsidRPr="005C4F89">
        <w:t xml:space="preserve">The successful </w:t>
      </w:r>
      <w:r w:rsidR="00746DDF">
        <w:t>service provider</w:t>
      </w:r>
      <w:r w:rsidRPr="005C4F89">
        <w:t xml:space="preserve"> will lead and manage a national </w:t>
      </w:r>
      <w:r>
        <w:t xml:space="preserve">training </w:t>
      </w:r>
      <w:r w:rsidRPr="005C4F89">
        <w:t xml:space="preserve">programme </w:t>
      </w:r>
      <w:r>
        <w:t xml:space="preserve">for stop smoking practitioners and the provision of evidence-based </w:t>
      </w:r>
      <w:r w:rsidRPr="005C4F89">
        <w:t xml:space="preserve">information </w:t>
      </w:r>
      <w:r>
        <w:t xml:space="preserve">related to smoking cessation </w:t>
      </w:r>
      <w:r w:rsidRPr="005C4F89">
        <w:t xml:space="preserve">across England on behalf of </w:t>
      </w:r>
      <w:r>
        <w:t xml:space="preserve">the Authority, helping to ensure the continuation of high quality and effective stop smoking interventions.  </w:t>
      </w:r>
    </w:p>
    <w:p w14:paraId="036E264D" w14:textId="77777777" w:rsidR="00CC748B" w:rsidRDefault="00CC748B" w:rsidP="00CC748B">
      <w:pPr>
        <w:pStyle w:val="ListParagraph"/>
        <w:tabs>
          <w:tab w:val="left" w:pos="851"/>
        </w:tabs>
        <w:autoSpaceDE w:val="0"/>
        <w:autoSpaceDN w:val="0"/>
        <w:spacing w:before="240" w:after="200" w:line="276" w:lineRule="auto"/>
        <w:ind w:left="792"/>
      </w:pPr>
    </w:p>
    <w:p w14:paraId="7C08C43A" w14:textId="3FD59265" w:rsidR="00CC748B" w:rsidRPr="00CC748B" w:rsidRDefault="00CD54FA" w:rsidP="00172ADE">
      <w:pPr>
        <w:pStyle w:val="ListParagraph"/>
        <w:numPr>
          <w:ilvl w:val="1"/>
          <w:numId w:val="67"/>
        </w:numPr>
        <w:tabs>
          <w:tab w:val="left" w:pos="851"/>
        </w:tabs>
        <w:autoSpaceDE w:val="0"/>
        <w:autoSpaceDN w:val="0"/>
        <w:spacing w:before="240" w:after="200" w:line="276" w:lineRule="auto"/>
      </w:pPr>
      <w:r w:rsidRPr="00CC748B">
        <w:rPr>
          <w:rFonts w:cstheme="minorBidi"/>
          <w:szCs w:val="22"/>
        </w:rPr>
        <w:t xml:space="preserve">The </w:t>
      </w:r>
      <w:r w:rsidR="00746DDF">
        <w:rPr>
          <w:rFonts w:cstheme="minorBidi"/>
          <w:szCs w:val="22"/>
        </w:rPr>
        <w:t>service provider</w:t>
      </w:r>
      <w:r w:rsidRPr="00CC748B">
        <w:rPr>
          <w:rFonts w:cstheme="minorBidi"/>
          <w:szCs w:val="22"/>
        </w:rPr>
        <w:t xml:space="preserve"> will provide and host evidence-based online training programmes for stop smoking practitioners and other healthcare professionals, including an assessment and certification system with a robust mechanism for quality assurance </w:t>
      </w:r>
      <w:r w:rsidR="00602E1C">
        <w:rPr>
          <w:rFonts w:cstheme="minorBidi"/>
          <w:szCs w:val="22"/>
        </w:rPr>
        <w:t xml:space="preserve">of </w:t>
      </w:r>
      <w:r w:rsidRPr="00CC748B">
        <w:rPr>
          <w:rFonts w:cstheme="minorBidi"/>
          <w:szCs w:val="22"/>
        </w:rPr>
        <w:t>related learning outcomes.</w:t>
      </w:r>
    </w:p>
    <w:p w14:paraId="775CE917" w14:textId="77777777" w:rsidR="00CC748B" w:rsidRPr="00CC748B" w:rsidRDefault="00CC748B" w:rsidP="00CC748B">
      <w:pPr>
        <w:pStyle w:val="ListParagraph"/>
        <w:rPr>
          <w:rFonts w:cstheme="minorBidi"/>
          <w:szCs w:val="22"/>
        </w:rPr>
      </w:pPr>
    </w:p>
    <w:p w14:paraId="289493CE" w14:textId="33736DC6" w:rsidR="00CC748B" w:rsidRPr="00CC748B" w:rsidRDefault="00172ADE" w:rsidP="00172ADE">
      <w:pPr>
        <w:pStyle w:val="ListParagraph"/>
        <w:numPr>
          <w:ilvl w:val="1"/>
          <w:numId w:val="67"/>
        </w:numPr>
        <w:tabs>
          <w:tab w:val="left" w:pos="851"/>
        </w:tabs>
        <w:autoSpaceDE w:val="0"/>
        <w:autoSpaceDN w:val="0"/>
        <w:spacing w:before="240" w:after="200" w:line="276" w:lineRule="auto"/>
      </w:pPr>
      <w:r w:rsidRPr="00CC748B">
        <w:rPr>
          <w:rFonts w:cstheme="minorBidi"/>
          <w:szCs w:val="22"/>
        </w:rPr>
        <w:t xml:space="preserve">The </w:t>
      </w:r>
      <w:r w:rsidR="00746DDF">
        <w:rPr>
          <w:rFonts w:cstheme="minorBidi"/>
          <w:szCs w:val="22"/>
        </w:rPr>
        <w:t>service provider</w:t>
      </w:r>
      <w:r w:rsidRPr="00CC748B">
        <w:rPr>
          <w:rFonts w:cstheme="minorBidi"/>
          <w:szCs w:val="22"/>
        </w:rPr>
        <w:t xml:space="preserve"> will provide and host specialty modules to support practitioners’ in developing the knowledge and skills required to deliver evidence-based interventions for certain high risk and priority groups, e.g. pregnant women and those with mental health problem</w:t>
      </w:r>
      <w:r w:rsidR="00CC748B">
        <w:rPr>
          <w:rFonts w:cstheme="minorBidi"/>
          <w:szCs w:val="22"/>
        </w:rPr>
        <w:t>.</w:t>
      </w:r>
    </w:p>
    <w:p w14:paraId="66F705BF" w14:textId="77777777" w:rsidR="00CC748B" w:rsidRPr="00CC748B" w:rsidRDefault="00CC748B" w:rsidP="00CC748B">
      <w:pPr>
        <w:pStyle w:val="ListParagraph"/>
        <w:rPr>
          <w:rFonts w:cstheme="minorBidi"/>
          <w:szCs w:val="22"/>
        </w:rPr>
      </w:pPr>
    </w:p>
    <w:p w14:paraId="3A53AB95" w14:textId="3ADB267F" w:rsidR="00553B91" w:rsidRPr="00553B91" w:rsidRDefault="00172ADE" w:rsidP="00100DB5">
      <w:pPr>
        <w:pStyle w:val="ListParagraph"/>
        <w:numPr>
          <w:ilvl w:val="1"/>
          <w:numId w:val="67"/>
        </w:numPr>
        <w:tabs>
          <w:tab w:val="left" w:pos="851"/>
        </w:tabs>
        <w:autoSpaceDE w:val="0"/>
        <w:autoSpaceDN w:val="0"/>
        <w:spacing w:before="240" w:after="200" w:line="276" w:lineRule="auto"/>
      </w:pPr>
      <w:r w:rsidRPr="00CC748B">
        <w:rPr>
          <w:rFonts w:cstheme="minorBidi"/>
          <w:szCs w:val="22"/>
        </w:rPr>
        <w:t xml:space="preserve">The </w:t>
      </w:r>
      <w:r w:rsidR="00746DDF">
        <w:rPr>
          <w:rFonts w:cstheme="minorBidi"/>
          <w:szCs w:val="22"/>
        </w:rPr>
        <w:t>service provider</w:t>
      </w:r>
      <w:r w:rsidRPr="00CC748B">
        <w:rPr>
          <w:rFonts w:cstheme="minorBidi"/>
          <w:szCs w:val="22"/>
        </w:rPr>
        <w:t xml:space="preserve"> will provide and host training modules to increase the skills and capacity of healthcare professionals to engage with smokers at every opportunity, e.g. very brief advice on smoking and information on </w:t>
      </w:r>
      <w:r w:rsidR="00FB6D60" w:rsidRPr="00CC748B">
        <w:rPr>
          <w:rFonts w:cstheme="minorBidi"/>
          <w:szCs w:val="22"/>
        </w:rPr>
        <w:t>second-hand</w:t>
      </w:r>
      <w:r w:rsidRPr="00CC748B">
        <w:rPr>
          <w:rFonts w:cstheme="minorBidi"/>
          <w:szCs w:val="22"/>
        </w:rPr>
        <w:t xml:space="preserve"> smoke</w:t>
      </w:r>
      <w:r w:rsidR="00FB6D60">
        <w:rPr>
          <w:rFonts w:cstheme="minorBidi"/>
          <w:szCs w:val="22"/>
        </w:rPr>
        <w:t>.</w:t>
      </w:r>
    </w:p>
    <w:p w14:paraId="36EA40AE" w14:textId="77777777" w:rsidR="00553B91" w:rsidRPr="00553B91" w:rsidRDefault="00553B91" w:rsidP="00553B91">
      <w:pPr>
        <w:pStyle w:val="ListParagraph"/>
        <w:rPr>
          <w:rFonts w:cstheme="minorBidi"/>
          <w:szCs w:val="22"/>
        </w:rPr>
      </w:pPr>
    </w:p>
    <w:p w14:paraId="7199E0C3" w14:textId="4ECDEFB2" w:rsidR="00553B91" w:rsidRPr="00553B91" w:rsidRDefault="00172ADE" w:rsidP="00100DB5">
      <w:pPr>
        <w:pStyle w:val="ListParagraph"/>
        <w:numPr>
          <w:ilvl w:val="1"/>
          <w:numId w:val="67"/>
        </w:numPr>
        <w:tabs>
          <w:tab w:val="left" w:pos="851"/>
        </w:tabs>
        <w:autoSpaceDE w:val="0"/>
        <w:autoSpaceDN w:val="0"/>
        <w:spacing w:before="240" w:after="200" w:line="276" w:lineRule="auto"/>
      </w:pPr>
      <w:r w:rsidRPr="00553B91">
        <w:rPr>
          <w:rFonts w:cstheme="minorBidi"/>
          <w:szCs w:val="22"/>
        </w:rPr>
        <w:t xml:space="preserve">The </w:t>
      </w:r>
      <w:r w:rsidR="00746DDF">
        <w:rPr>
          <w:rFonts w:cstheme="minorBidi"/>
          <w:szCs w:val="22"/>
        </w:rPr>
        <w:t>service provider</w:t>
      </w:r>
      <w:r w:rsidRPr="00553B91">
        <w:rPr>
          <w:rFonts w:cstheme="minorBidi"/>
          <w:szCs w:val="22"/>
        </w:rPr>
        <w:t xml:space="preserve"> will provide an enquiry service to respond to requests from commissioners, managers and practitioners, related to clinical and service delivery aspects of stop smoking interventions as well as providing technical support with training and accessing resources. </w:t>
      </w:r>
    </w:p>
    <w:p w14:paraId="37508410" w14:textId="77777777" w:rsidR="00553B91" w:rsidRPr="00553B91" w:rsidRDefault="00553B91" w:rsidP="00553B91">
      <w:pPr>
        <w:pStyle w:val="ListParagraph"/>
        <w:rPr>
          <w:rFonts w:cstheme="minorBidi"/>
          <w:szCs w:val="22"/>
        </w:rPr>
      </w:pPr>
    </w:p>
    <w:p w14:paraId="1F4200EB" w14:textId="12A5B15A" w:rsidR="00553B91" w:rsidRPr="00553B91" w:rsidRDefault="00100DB5" w:rsidP="00172ADE">
      <w:pPr>
        <w:pStyle w:val="ListParagraph"/>
        <w:numPr>
          <w:ilvl w:val="1"/>
          <w:numId w:val="67"/>
        </w:numPr>
        <w:tabs>
          <w:tab w:val="left" w:pos="851"/>
        </w:tabs>
        <w:autoSpaceDE w:val="0"/>
        <w:autoSpaceDN w:val="0"/>
        <w:spacing w:before="240" w:after="200" w:line="276" w:lineRule="auto"/>
      </w:pPr>
      <w:r w:rsidRPr="00553B91">
        <w:rPr>
          <w:rFonts w:cstheme="minorBidi"/>
          <w:szCs w:val="22"/>
        </w:rPr>
        <w:t xml:space="preserve">The </w:t>
      </w:r>
      <w:r w:rsidR="00746DDF">
        <w:rPr>
          <w:rFonts w:cstheme="minorBidi"/>
          <w:szCs w:val="22"/>
        </w:rPr>
        <w:t>service provider</w:t>
      </w:r>
      <w:r w:rsidRPr="00553B91">
        <w:rPr>
          <w:rFonts w:cstheme="minorBidi"/>
          <w:szCs w:val="22"/>
        </w:rPr>
        <w:t xml:space="preserve"> will provide written materials which will include training standards, standard treatment programmes, practice guidance for local stop smoking services, clinical briefings on a wide range of topics as agreed with the Authority, information on stop smoking aids and relevant research summaries.</w:t>
      </w:r>
    </w:p>
    <w:p w14:paraId="422A01ED" w14:textId="77777777" w:rsidR="00553B91" w:rsidRPr="00553B91" w:rsidRDefault="00553B91" w:rsidP="00553B91">
      <w:pPr>
        <w:pStyle w:val="ListParagraph"/>
        <w:rPr>
          <w:rFonts w:cstheme="minorBidi"/>
          <w:szCs w:val="22"/>
        </w:rPr>
      </w:pPr>
    </w:p>
    <w:p w14:paraId="0741A30E" w14:textId="6016B4A7" w:rsidR="00B22AC6" w:rsidRPr="00B22AC6" w:rsidRDefault="007A64B1" w:rsidP="00B22AC6">
      <w:pPr>
        <w:pStyle w:val="ListParagraph"/>
        <w:numPr>
          <w:ilvl w:val="1"/>
          <w:numId w:val="67"/>
        </w:numPr>
        <w:tabs>
          <w:tab w:val="left" w:pos="851"/>
        </w:tabs>
        <w:autoSpaceDE w:val="0"/>
        <w:autoSpaceDN w:val="0"/>
        <w:spacing w:before="240" w:after="200" w:line="276" w:lineRule="auto"/>
      </w:pPr>
      <w:r w:rsidRPr="00553B91">
        <w:rPr>
          <w:rFonts w:cstheme="minorBidi"/>
          <w:szCs w:val="22"/>
        </w:rPr>
        <w:t xml:space="preserve">The </w:t>
      </w:r>
      <w:r w:rsidR="00746DDF">
        <w:rPr>
          <w:rFonts w:cstheme="minorBidi"/>
          <w:szCs w:val="22"/>
        </w:rPr>
        <w:t>service provider</w:t>
      </w:r>
      <w:r w:rsidRPr="00553B91">
        <w:rPr>
          <w:rFonts w:cstheme="minorBidi"/>
          <w:szCs w:val="22"/>
        </w:rPr>
        <w:t xml:space="preserve"> will provide resources, briefings and products, responding to developments in the evidence base and the needs of stop smoking service commissioners, managers and practitioners,</w:t>
      </w:r>
    </w:p>
    <w:p w14:paraId="7C1913BE" w14:textId="77777777" w:rsidR="00B22AC6" w:rsidRDefault="00B22AC6" w:rsidP="00B22AC6">
      <w:pPr>
        <w:pStyle w:val="ListParagraph"/>
      </w:pPr>
    </w:p>
    <w:p w14:paraId="22425A98" w14:textId="49FB16BA" w:rsidR="00F36D5F" w:rsidRPr="00266F98" w:rsidRDefault="0035384F" w:rsidP="00F36D5F">
      <w:pPr>
        <w:pStyle w:val="Sch1"/>
        <w:numPr>
          <w:ilvl w:val="0"/>
          <w:numId w:val="65"/>
        </w:numPr>
        <w:ind w:left="567" w:hanging="567"/>
        <w:rPr>
          <w:rFonts w:ascii="Arial" w:hAnsi="Arial"/>
          <w:sz w:val="24"/>
          <w:szCs w:val="24"/>
        </w:rPr>
      </w:pPr>
      <w:bookmarkStart w:id="12" w:name="_Toc118380633"/>
      <w:r w:rsidRPr="0035384F">
        <w:rPr>
          <w:rFonts w:ascii="Arial" w:hAnsi="Arial"/>
          <w:sz w:val="24"/>
          <w:szCs w:val="24"/>
        </w:rPr>
        <w:t>Deliverables/Outcomes/Outputs</w:t>
      </w:r>
      <w:bookmarkEnd w:id="12"/>
    </w:p>
    <w:p w14:paraId="58D14CE4" w14:textId="77777777" w:rsidR="00CB58B0" w:rsidRPr="00CB58B0" w:rsidRDefault="00AE14C3" w:rsidP="00CB58B0">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CB58B0">
        <w:rPr>
          <w:rFonts w:cstheme="minorBidi"/>
          <w:szCs w:val="22"/>
        </w:rPr>
        <w:t>Supporting stop smoking services to deliver evidence-based and effective interventions to smokers who want to quit.</w:t>
      </w:r>
    </w:p>
    <w:p w14:paraId="13598CA8" w14:textId="77777777" w:rsidR="00CB58B0" w:rsidRDefault="00CB58B0" w:rsidP="00CB58B0">
      <w:pPr>
        <w:pStyle w:val="ListParagraph"/>
        <w:tabs>
          <w:tab w:val="left" w:pos="851"/>
        </w:tabs>
        <w:autoSpaceDE w:val="0"/>
        <w:autoSpaceDN w:val="0"/>
        <w:spacing w:before="240" w:after="200" w:line="276" w:lineRule="auto"/>
        <w:ind w:left="680"/>
        <w:rPr>
          <w:rFonts w:eastAsia="Times New Roman"/>
          <w:b/>
          <w:bCs/>
          <w:smallCaps/>
          <w:lang w:eastAsia="en-US"/>
        </w:rPr>
      </w:pPr>
    </w:p>
    <w:p w14:paraId="15B8DA31" w14:textId="77777777" w:rsidR="00CB58B0" w:rsidRDefault="00AE14C3" w:rsidP="00CB58B0">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A22684">
        <w:t>Providing training and assessment for stop smoking practitioners.</w:t>
      </w:r>
    </w:p>
    <w:p w14:paraId="6F974F68" w14:textId="77777777" w:rsidR="00CB58B0" w:rsidRDefault="00CB58B0" w:rsidP="00CB58B0">
      <w:pPr>
        <w:pStyle w:val="ListParagraph"/>
      </w:pPr>
    </w:p>
    <w:p w14:paraId="658CCA6F" w14:textId="77777777" w:rsidR="00B22AC6" w:rsidRDefault="00AE14C3" w:rsidP="00B22AC6">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DA50E3">
        <w:lastRenderedPageBreak/>
        <w:t xml:space="preserve">Enabling healthcare professionals throughout the healthcare system to engage with smokers and offer very brief advice.  </w:t>
      </w:r>
    </w:p>
    <w:p w14:paraId="653EF6D0" w14:textId="77777777" w:rsidR="00B22AC6" w:rsidRDefault="00B22AC6" w:rsidP="00B22AC6">
      <w:pPr>
        <w:pStyle w:val="ListParagraph"/>
      </w:pPr>
    </w:p>
    <w:p w14:paraId="556D9B6C" w14:textId="77777777" w:rsidR="00B22AC6" w:rsidRDefault="00AE14C3" w:rsidP="00B22AC6">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DA50E3">
        <w:t>Supporting commissioners and managers to configure services in the most effective and cost-effective way.</w:t>
      </w:r>
    </w:p>
    <w:p w14:paraId="68F06376" w14:textId="77777777" w:rsidR="00B22AC6" w:rsidRDefault="00B22AC6" w:rsidP="00B22AC6">
      <w:pPr>
        <w:pStyle w:val="ListParagraph"/>
      </w:pPr>
    </w:p>
    <w:p w14:paraId="711BE4CC" w14:textId="77777777" w:rsidR="00B22AC6" w:rsidRDefault="00FD5299" w:rsidP="00B22AC6">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A4295C">
        <w:t>Being a resource and source of information and advice for practitioners, managers and commissioners of stop smoking services.</w:t>
      </w:r>
    </w:p>
    <w:p w14:paraId="56255B12" w14:textId="77777777" w:rsidR="00B22AC6" w:rsidRDefault="00B22AC6" w:rsidP="00B22AC6">
      <w:pPr>
        <w:pStyle w:val="ListParagraph"/>
      </w:pPr>
    </w:p>
    <w:p w14:paraId="496F2441" w14:textId="0646AEF2" w:rsidR="00B22AC6" w:rsidRDefault="00FD5299" w:rsidP="00B22AC6">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t>Providing</w:t>
      </w:r>
      <w:r w:rsidRPr="00A4295C">
        <w:t xml:space="preserve"> expertise and assistance to </w:t>
      </w:r>
      <w:r>
        <w:t>DHSC</w:t>
      </w:r>
      <w:r w:rsidR="00D9732F">
        <w:t xml:space="preserve"> on issues relating to tobacco dependence and smoking cessation, with support offered to </w:t>
      </w:r>
      <w:r w:rsidRPr="00A4295C">
        <w:t>NHS England</w:t>
      </w:r>
      <w:r>
        <w:t xml:space="preserve"> </w:t>
      </w:r>
      <w:r w:rsidR="00270170">
        <w:t>and</w:t>
      </w:r>
      <w:r>
        <w:t xml:space="preserve"> </w:t>
      </w:r>
      <w:r w:rsidRPr="00A4295C">
        <w:t xml:space="preserve">other stakeholders </w:t>
      </w:r>
      <w:r w:rsidR="00B12F81">
        <w:t xml:space="preserve">as agreed with </w:t>
      </w:r>
      <w:r w:rsidR="00434020">
        <w:t>t</w:t>
      </w:r>
      <w:r w:rsidR="00B12F81">
        <w:t>he Authority</w:t>
      </w:r>
      <w:r w:rsidRPr="00A4295C">
        <w:t>.</w:t>
      </w:r>
    </w:p>
    <w:p w14:paraId="47CEBEEF" w14:textId="77777777" w:rsidR="00B22AC6" w:rsidRDefault="00B22AC6" w:rsidP="00B22AC6">
      <w:pPr>
        <w:pStyle w:val="ListParagraph"/>
      </w:pPr>
    </w:p>
    <w:p w14:paraId="487D89DE" w14:textId="2AE4BCE9" w:rsidR="00B22AC6" w:rsidRPr="00B22AC6" w:rsidRDefault="00AE14C3" w:rsidP="00B22AC6">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DA50E3">
        <w:t>Work</w:t>
      </w:r>
      <w:r w:rsidR="00FB6D60">
        <w:t>ing</w:t>
      </w:r>
      <w:r w:rsidRPr="00DA50E3">
        <w:t xml:space="preserve"> to address inequalities in smoking prevalence and the variation in uptake of services across the country. </w:t>
      </w:r>
    </w:p>
    <w:p w14:paraId="04B78E37" w14:textId="77777777" w:rsidR="00FD2D4E" w:rsidRPr="00FD2D4E" w:rsidRDefault="00FD2D4E" w:rsidP="00FD2D4E">
      <w:pPr>
        <w:pStyle w:val="ListParagraph"/>
        <w:spacing w:after="160" w:line="259" w:lineRule="auto"/>
        <w:ind w:left="1080"/>
        <w:rPr>
          <w:rFonts w:eastAsiaTheme="minorHAnsi" w:cstheme="minorBidi"/>
          <w:szCs w:val="22"/>
          <w:lang w:eastAsia="en-US"/>
        </w:rPr>
      </w:pPr>
    </w:p>
    <w:p w14:paraId="6CDDDD0B" w14:textId="1A7C5098" w:rsidR="00F13C51" w:rsidRPr="00F13C51" w:rsidRDefault="00F36D5F" w:rsidP="00F13C51">
      <w:pPr>
        <w:pStyle w:val="Sch1"/>
        <w:numPr>
          <w:ilvl w:val="0"/>
          <w:numId w:val="65"/>
        </w:numPr>
        <w:ind w:left="567" w:hanging="567"/>
        <w:rPr>
          <w:rFonts w:ascii="Arial" w:hAnsi="Arial"/>
          <w:sz w:val="24"/>
          <w:szCs w:val="24"/>
        </w:rPr>
      </w:pPr>
      <w:bookmarkStart w:id="13" w:name="_Toc118380634"/>
      <w:r w:rsidRPr="00FB6D60">
        <w:rPr>
          <w:rFonts w:ascii="Arial" w:hAnsi="Arial"/>
          <w:sz w:val="24"/>
          <w:szCs w:val="24"/>
        </w:rPr>
        <w:t>Service Delivery Principles</w:t>
      </w:r>
      <w:bookmarkEnd w:id="13"/>
    </w:p>
    <w:p w14:paraId="43AE145B" w14:textId="53CEB7E0" w:rsidR="00F36D5F" w:rsidRDefault="00F36D5F" w:rsidP="00F36D5F">
      <w:pPr>
        <w:pStyle w:val="Default"/>
        <w:adjustRightInd/>
        <w:ind w:left="720"/>
        <w:rPr>
          <w:rFonts w:ascii="Arial" w:hAnsi="Arial" w:cstheme="minorBidi"/>
          <w:color w:val="auto"/>
          <w:szCs w:val="22"/>
        </w:rPr>
      </w:pPr>
    </w:p>
    <w:p w14:paraId="20CA6D91" w14:textId="3AB8DA92" w:rsidR="00F13C51" w:rsidRPr="00F13C51" w:rsidRDefault="00F13C51" w:rsidP="00F13C51">
      <w:pPr>
        <w:pStyle w:val="ListParagraph"/>
        <w:numPr>
          <w:ilvl w:val="1"/>
          <w:numId w:val="75"/>
        </w:numPr>
        <w:contextualSpacing w:val="0"/>
        <w:rPr>
          <w:rFonts w:eastAsiaTheme="minorHAnsi" w:cstheme="minorBidi"/>
          <w:szCs w:val="22"/>
          <w:lang w:eastAsia="en-US"/>
        </w:rPr>
      </w:pPr>
      <w:r w:rsidRPr="00F13C51">
        <w:rPr>
          <w:rFonts w:eastAsiaTheme="minorHAnsi" w:cstheme="minorBidi"/>
          <w:szCs w:val="22"/>
          <w:lang w:eastAsia="en-US"/>
        </w:rPr>
        <w:t>The Supplier shall deliver all the Services</w:t>
      </w:r>
      <w:r>
        <w:rPr>
          <w:rFonts w:eastAsiaTheme="minorHAnsi" w:cstheme="minorBidi"/>
          <w:szCs w:val="22"/>
          <w:lang w:eastAsia="en-US"/>
        </w:rPr>
        <w:t xml:space="preserve"> </w:t>
      </w:r>
      <w:r w:rsidR="00521089">
        <w:rPr>
          <w:rFonts w:eastAsiaTheme="minorHAnsi" w:cstheme="minorBidi"/>
          <w:szCs w:val="22"/>
          <w:lang w:eastAsia="en-US"/>
        </w:rPr>
        <w:t>requirements</w:t>
      </w:r>
      <w:r w:rsidRPr="00F13C51">
        <w:rPr>
          <w:rFonts w:eastAsiaTheme="minorHAnsi" w:cstheme="minorBidi"/>
          <w:szCs w:val="22"/>
          <w:lang w:eastAsia="en-US"/>
        </w:rPr>
        <w:t xml:space="preserve"> in accordance with the following principles: </w:t>
      </w:r>
    </w:p>
    <w:p w14:paraId="703943BE" w14:textId="1C13FE02" w:rsidR="00F36D5F" w:rsidRDefault="00F36D5F" w:rsidP="00F13C51">
      <w:pPr>
        <w:pStyle w:val="Default"/>
        <w:adjustRightInd/>
        <w:ind w:left="709"/>
        <w:rPr>
          <w:rFonts w:ascii="Arial" w:hAnsi="Arial" w:cstheme="minorBidi"/>
          <w:color w:val="auto"/>
          <w:szCs w:val="22"/>
        </w:rPr>
      </w:pPr>
    </w:p>
    <w:p w14:paraId="2DC07A90" w14:textId="25118602" w:rsidR="00F13C51" w:rsidRPr="00F13C51" w:rsidRDefault="00F13C51" w:rsidP="00F13C51">
      <w:pPr>
        <w:pStyle w:val="Default"/>
        <w:numPr>
          <w:ilvl w:val="1"/>
          <w:numId w:val="75"/>
        </w:numPr>
        <w:adjustRightInd/>
        <w:ind w:left="709" w:hanging="709"/>
        <w:rPr>
          <w:rFonts w:ascii="Arial" w:hAnsi="Arial" w:cstheme="minorBidi"/>
          <w:color w:val="auto"/>
          <w:szCs w:val="22"/>
        </w:rPr>
      </w:pPr>
      <w:r w:rsidRPr="003A2FF1">
        <w:rPr>
          <w:rFonts w:ascii="Arial" w:hAnsi="Arial" w:cstheme="minorBidi"/>
          <w:color w:val="auto"/>
          <w:szCs w:val="22"/>
        </w:rPr>
        <w:t xml:space="preserve">On-line training will be </w:t>
      </w:r>
      <w:r w:rsidRPr="0018467F">
        <w:rPr>
          <w:rFonts w:ascii="Arial" w:hAnsi="Arial" w:cstheme="minorBidi"/>
          <w:color w:val="auto"/>
          <w:szCs w:val="22"/>
        </w:rPr>
        <w:t xml:space="preserve">provided on a bespoke </w:t>
      </w:r>
      <w:r w:rsidRPr="00087ED6">
        <w:rPr>
          <w:rFonts w:ascii="Arial" w:hAnsi="Arial" w:cstheme="minorBidi"/>
          <w:color w:val="auto"/>
          <w:szCs w:val="22"/>
        </w:rPr>
        <w:t>accessible website in both</w:t>
      </w:r>
      <w:r>
        <w:rPr>
          <w:rFonts w:ascii="Arial" w:hAnsi="Arial" w:cstheme="minorBidi"/>
          <w:color w:val="auto"/>
          <w:szCs w:val="22"/>
        </w:rPr>
        <w:t xml:space="preserve"> </w:t>
      </w:r>
      <w:r w:rsidRPr="003A2FF1">
        <w:rPr>
          <w:rFonts w:ascii="Arial" w:hAnsi="Arial" w:cstheme="minorBidi"/>
          <w:color w:val="auto"/>
          <w:szCs w:val="22"/>
        </w:rPr>
        <w:t>desktop and mobile optimised formats</w:t>
      </w:r>
      <w:r>
        <w:rPr>
          <w:rFonts w:ascii="Arial" w:hAnsi="Arial" w:cstheme="minorBidi"/>
          <w:color w:val="auto"/>
          <w:szCs w:val="22"/>
        </w:rPr>
        <w:t>, which will be</w:t>
      </w:r>
      <w:r w:rsidRPr="003A2FF1">
        <w:rPr>
          <w:rFonts w:ascii="Arial" w:hAnsi="Arial" w:cstheme="minorBidi"/>
          <w:color w:val="auto"/>
          <w:szCs w:val="22"/>
        </w:rPr>
        <w:t xml:space="preserve"> available 24 hours a day 365 days a year. </w:t>
      </w:r>
    </w:p>
    <w:p w14:paraId="003E819E" w14:textId="77777777" w:rsidR="00F36D5F" w:rsidRDefault="00F36D5F" w:rsidP="00F36D5F">
      <w:pPr>
        <w:pStyle w:val="Default"/>
        <w:adjustRightInd/>
        <w:ind w:left="1080"/>
        <w:rPr>
          <w:rFonts w:ascii="Arial" w:hAnsi="Arial" w:cstheme="minorBidi"/>
          <w:color w:val="auto"/>
          <w:szCs w:val="22"/>
        </w:rPr>
      </w:pPr>
    </w:p>
    <w:p w14:paraId="6C170A99" w14:textId="412733BB" w:rsidR="00F82FB0" w:rsidRDefault="00617628" w:rsidP="001401C4">
      <w:pPr>
        <w:pStyle w:val="Default"/>
        <w:numPr>
          <w:ilvl w:val="1"/>
          <w:numId w:val="75"/>
        </w:numPr>
        <w:adjustRightInd/>
        <w:ind w:left="709" w:hanging="709"/>
        <w:rPr>
          <w:rFonts w:ascii="Arial" w:hAnsi="Arial" w:cstheme="minorBidi"/>
          <w:color w:val="auto"/>
          <w:szCs w:val="22"/>
        </w:rPr>
      </w:pPr>
      <w:r w:rsidRPr="00F36D5F">
        <w:rPr>
          <w:rFonts w:ascii="Arial" w:hAnsi="Arial" w:cstheme="minorBidi"/>
          <w:color w:val="auto"/>
          <w:szCs w:val="22"/>
        </w:rPr>
        <w:t xml:space="preserve">The </w:t>
      </w:r>
      <w:r w:rsidR="00746DDF">
        <w:rPr>
          <w:rFonts w:ascii="Arial" w:hAnsi="Arial" w:cstheme="minorBidi"/>
          <w:color w:val="auto"/>
          <w:szCs w:val="22"/>
        </w:rPr>
        <w:t>service provider</w:t>
      </w:r>
      <w:r w:rsidRPr="00F36D5F">
        <w:rPr>
          <w:rFonts w:ascii="Arial" w:hAnsi="Arial" w:cstheme="minorBidi"/>
          <w:color w:val="auto"/>
          <w:szCs w:val="22"/>
        </w:rPr>
        <w:t xml:space="preserve"> shall ensure that notification of scheduled maintenance and/or system upgrades is provided to all the Authority led contacts. A message shall be placed on the website at least 2 (two) weeks in advance of the action taking place, which will remain visible on the website throughout the 2 (two) week period.</w:t>
      </w:r>
    </w:p>
    <w:p w14:paraId="45E1C663" w14:textId="77777777" w:rsidR="00F82FB0" w:rsidRDefault="00F82FB0" w:rsidP="00F82FB0">
      <w:pPr>
        <w:pStyle w:val="ListParagraph"/>
        <w:rPr>
          <w:rFonts w:cstheme="minorBidi"/>
          <w:szCs w:val="22"/>
        </w:rPr>
      </w:pPr>
    </w:p>
    <w:p w14:paraId="01848BD3" w14:textId="77777777" w:rsidR="00F82FB0" w:rsidRPr="00B22AC6" w:rsidRDefault="00F82FB0" w:rsidP="00F82FB0">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sidRPr="00B22AC6">
        <w:rPr>
          <w:rFonts w:cstheme="minorBidi"/>
          <w:szCs w:val="22"/>
        </w:rPr>
        <w:t>The range of online training modules must include as a minimum:</w:t>
      </w:r>
    </w:p>
    <w:p w14:paraId="54F4D88C" w14:textId="77777777" w:rsidR="00F82FB0" w:rsidRPr="00B22AC6" w:rsidRDefault="00F82FB0" w:rsidP="00F82FB0">
      <w:pPr>
        <w:pStyle w:val="ListParagraph"/>
        <w:rPr>
          <w:rFonts w:eastAsia="Times New Roman"/>
          <w:b/>
          <w:bCs/>
          <w:smallCaps/>
          <w:lang w:eastAsia="en-US"/>
        </w:rPr>
      </w:pPr>
    </w:p>
    <w:p w14:paraId="502443DB" w14:textId="77777777" w:rsidR="00F82FB0" w:rsidRPr="00E3715A" w:rsidRDefault="00F82FB0" w:rsidP="00F82FB0">
      <w:pPr>
        <w:pStyle w:val="ListParagraph"/>
        <w:numPr>
          <w:ilvl w:val="0"/>
          <w:numId w:val="61"/>
        </w:numPr>
        <w:spacing w:after="160" w:line="259" w:lineRule="auto"/>
        <w:rPr>
          <w:rFonts w:eastAsiaTheme="minorHAnsi" w:cstheme="minorBidi"/>
          <w:szCs w:val="22"/>
          <w:lang w:eastAsia="en-US"/>
        </w:rPr>
      </w:pPr>
      <w:r w:rsidRPr="00E3715A">
        <w:rPr>
          <w:rFonts w:eastAsiaTheme="minorHAnsi" w:cstheme="minorBidi"/>
          <w:szCs w:val="22"/>
          <w:lang w:eastAsia="en-US"/>
        </w:rPr>
        <w:t>In-depth training for specialist stop smoking practitioners</w:t>
      </w:r>
    </w:p>
    <w:p w14:paraId="1A4C1B6D" w14:textId="77777777" w:rsidR="00F82FB0" w:rsidRPr="00E3715A" w:rsidRDefault="00F82FB0" w:rsidP="00F82FB0">
      <w:pPr>
        <w:pStyle w:val="ListParagraph"/>
        <w:numPr>
          <w:ilvl w:val="0"/>
          <w:numId w:val="61"/>
        </w:numPr>
        <w:spacing w:after="160" w:line="259" w:lineRule="auto"/>
        <w:rPr>
          <w:rFonts w:eastAsiaTheme="minorHAnsi" w:cstheme="minorBidi"/>
          <w:szCs w:val="22"/>
          <w:lang w:eastAsia="en-US"/>
        </w:rPr>
      </w:pPr>
      <w:r w:rsidRPr="00E3715A">
        <w:rPr>
          <w:rFonts w:eastAsiaTheme="minorHAnsi" w:cstheme="minorBidi"/>
          <w:szCs w:val="22"/>
          <w:lang w:eastAsia="en-US"/>
        </w:rPr>
        <w:t>Further specialty training for smoking in pregnancy advisors, mental health advisors and pharmacy staff</w:t>
      </w:r>
    </w:p>
    <w:p w14:paraId="74C4E987" w14:textId="77777777" w:rsidR="00F82FB0" w:rsidRPr="00E3715A" w:rsidRDefault="00F82FB0" w:rsidP="00F82FB0">
      <w:pPr>
        <w:pStyle w:val="ListParagraph"/>
        <w:numPr>
          <w:ilvl w:val="0"/>
          <w:numId w:val="61"/>
        </w:numPr>
        <w:spacing w:after="160" w:line="259" w:lineRule="auto"/>
        <w:rPr>
          <w:rFonts w:eastAsiaTheme="minorHAnsi" w:cstheme="minorBidi"/>
          <w:szCs w:val="22"/>
          <w:lang w:eastAsia="en-US"/>
        </w:rPr>
      </w:pPr>
      <w:r w:rsidRPr="00E3715A">
        <w:rPr>
          <w:rFonts w:eastAsiaTheme="minorHAnsi" w:cstheme="minorBidi"/>
          <w:szCs w:val="22"/>
          <w:lang w:eastAsia="en-US"/>
        </w:rPr>
        <w:t xml:space="preserve">Training on delivering Very brief advice on smoking in primary care, maternity and community settings, including on </w:t>
      </w:r>
      <w:r>
        <w:rPr>
          <w:rFonts w:eastAsiaTheme="minorHAnsi" w:cstheme="minorBidi"/>
          <w:szCs w:val="22"/>
          <w:lang w:eastAsia="en-US"/>
        </w:rPr>
        <w:t>s</w:t>
      </w:r>
      <w:r w:rsidRPr="00E3715A">
        <w:rPr>
          <w:rFonts w:eastAsiaTheme="minorHAnsi" w:cstheme="minorBidi"/>
          <w:szCs w:val="22"/>
          <w:lang w:eastAsia="en-US"/>
        </w:rPr>
        <w:t>econd-hand smoke</w:t>
      </w:r>
    </w:p>
    <w:p w14:paraId="413FE471" w14:textId="77777777" w:rsidR="00F82FB0" w:rsidRPr="00E3715A" w:rsidRDefault="00F82FB0" w:rsidP="00F82FB0">
      <w:pPr>
        <w:pStyle w:val="ListParagraph"/>
        <w:numPr>
          <w:ilvl w:val="0"/>
          <w:numId w:val="61"/>
        </w:numPr>
        <w:spacing w:after="160" w:line="259" w:lineRule="auto"/>
      </w:pPr>
      <w:r w:rsidRPr="00E3715A">
        <w:rPr>
          <w:rFonts w:eastAsiaTheme="minorHAnsi" w:cstheme="minorBidi"/>
          <w:szCs w:val="22"/>
          <w:lang w:eastAsia="en-US"/>
        </w:rPr>
        <w:t>Stop smoking medications</w:t>
      </w:r>
      <w:r>
        <w:rPr>
          <w:rFonts w:eastAsiaTheme="minorHAnsi" w:cstheme="minorBidi"/>
          <w:szCs w:val="22"/>
          <w:lang w:eastAsia="en-US"/>
        </w:rPr>
        <w:t xml:space="preserve"> </w:t>
      </w:r>
    </w:p>
    <w:p w14:paraId="4B2B9B64" w14:textId="77777777" w:rsidR="00F82FB0" w:rsidRPr="00E3715A" w:rsidRDefault="00F82FB0" w:rsidP="00F82FB0">
      <w:pPr>
        <w:pStyle w:val="ListParagraph"/>
        <w:numPr>
          <w:ilvl w:val="0"/>
          <w:numId w:val="61"/>
        </w:numPr>
        <w:spacing w:after="160" w:line="259" w:lineRule="auto"/>
      </w:pPr>
      <w:r w:rsidRPr="00E3715A">
        <w:rPr>
          <w:rFonts w:eastAsiaTheme="minorHAnsi" w:cstheme="minorBidi"/>
          <w:szCs w:val="22"/>
        </w:rPr>
        <w:t>Guidance on vaping for health professionals</w:t>
      </w:r>
    </w:p>
    <w:p w14:paraId="62F52B16" w14:textId="77777777" w:rsidR="00F82FB0" w:rsidRPr="00B22AC6" w:rsidRDefault="00F82FB0" w:rsidP="00F82FB0">
      <w:pPr>
        <w:pStyle w:val="ListParagraph"/>
        <w:rPr>
          <w:rFonts w:eastAsia="Times New Roman"/>
          <w:b/>
          <w:bCs/>
          <w:smallCaps/>
          <w:lang w:eastAsia="en-US"/>
        </w:rPr>
      </w:pPr>
    </w:p>
    <w:p w14:paraId="7282CA13" w14:textId="3026C49F" w:rsidR="00F82FB0" w:rsidRPr="00B22AC6" w:rsidRDefault="00F82FB0" w:rsidP="00F82FB0">
      <w:pPr>
        <w:pStyle w:val="ListParagraph"/>
        <w:numPr>
          <w:ilvl w:val="1"/>
          <w:numId w:val="65"/>
        </w:numPr>
        <w:tabs>
          <w:tab w:val="left" w:pos="851"/>
        </w:tabs>
        <w:autoSpaceDE w:val="0"/>
        <w:autoSpaceDN w:val="0"/>
        <w:spacing w:before="240" w:after="200" w:line="276" w:lineRule="auto"/>
        <w:rPr>
          <w:rFonts w:eastAsia="Times New Roman"/>
          <w:b/>
          <w:bCs/>
          <w:smallCaps/>
          <w:lang w:eastAsia="en-US"/>
        </w:rPr>
      </w:pPr>
      <w:r>
        <w:rPr>
          <w:rFonts w:cstheme="minorBidi"/>
          <w:szCs w:val="22"/>
        </w:rPr>
        <w:t xml:space="preserve">The </w:t>
      </w:r>
      <w:r w:rsidRPr="00B22AC6">
        <w:rPr>
          <w:rFonts w:cstheme="minorBidi"/>
          <w:szCs w:val="22"/>
        </w:rPr>
        <w:t xml:space="preserve">enquiry service offered by the </w:t>
      </w:r>
      <w:r w:rsidR="00746DDF">
        <w:rPr>
          <w:rFonts w:cstheme="minorBidi"/>
          <w:szCs w:val="22"/>
        </w:rPr>
        <w:t>service provider</w:t>
      </w:r>
      <w:r w:rsidRPr="00B22AC6">
        <w:rPr>
          <w:rFonts w:cstheme="minorBidi"/>
          <w:szCs w:val="22"/>
        </w:rPr>
        <w:t xml:space="preserve"> will provide:</w:t>
      </w:r>
    </w:p>
    <w:p w14:paraId="1E8F2800" w14:textId="77777777" w:rsidR="00F82FB0" w:rsidRPr="00B22AC6" w:rsidRDefault="00F82FB0" w:rsidP="00F82FB0">
      <w:pPr>
        <w:pStyle w:val="ListParagraph"/>
        <w:spacing w:after="160" w:line="259" w:lineRule="auto"/>
        <w:ind w:left="1080"/>
        <w:rPr>
          <w:rFonts w:eastAsiaTheme="minorHAnsi" w:cstheme="minorBidi"/>
          <w:szCs w:val="22"/>
          <w:lang w:eastAsia="en-US"/>
        </w:rPr>
      </w:pPr>
    </w:p>
    <w:p w14:paraId="74FE4D75" w14:textId="77777777" w:rsidR="00F82FB0" w:rsidRPr="00B22AC6" w:rsidRDefault="00F82FB0" w:rsidP="00F82FB0">
      <w:pPr>
        <w:pStyle w:val="ListParagraph"/>
        <w:numPr>
          <w:ilvl w:val="0"/>
          <w:numId w:val="61"/>
        </w:numPr>
        <w:spacing w:after="160" w:line="259" w:lineRule="auto"/>
        <w:rPr>
          <w:rFonts w:eastAsiaTheme="minorHAnsi" w:cstheme="minorBidi"/>
          <w:szCs w:val="22"/>
          <w:lang w:eastAsia="en-US"/>
        </w:rPr>
      </w:pPr>
      <w:r w:rsidRPr="00B22AC6">
        <w:rPr>
          <w:rFonts w:eastAsiaTheme="minorHAnsi" w:cstheme="minorBidi"/>
          <w:szCs w:val="22"/>
          <w:lang w:eastAsia="en-US"/>
        </w:rPr>
        <w:t>tech</w:t>
      </w:r>
      <w:r>
        <w:rPr>
          <w:rFonts w:eastAsiaTheme="minorHAnsi" w:cstheme="minorBidi"/>
          <w:szCs w:val="22"/>
          <w:lang w:eastAsia="en-US"/>
        </w:rPr>
        <w:t>n</w:t>
      </w:r>
      <w:r w:rsidRPr="00B22AC6">
        <w:rPr>
          <w:rFonts w:eastAsiaTheme="minorHAnsi" w:cstheme="minorBidi"/>
          <w:szCs w:val="22"/>
          <w:lang w:eastAsia="en-US"/>
        </w:rPr>
        <w:t>ical support to users accessing the training and other material, with queries responded to within 1 working day;</w:t>
      </w:r>
    </w:p>
    <w:p w14:paraId="5AEE69F4" w14:textId="77777777" w:rsidR="00F82FB0" w:rsidRPr="00B22AC6" w:rsidRDefault="00F82FB0" w:rsidP="00F82FB0">
      <w:pPr>
        <w:pStyle w:val="ListParagraph"/>
        <w:numPr>
          <w:ilvl w:val="0"/>
          <w:numId w:val="61"/>
        </w:numPr>
        <w:spacing w:after="160" w:line="259" w:lineRule="auto"/>
        <w:rPr>
          <w:rFonts w:eastAsiaTheme="minorHAnsi" w:cstheme="minorBidi"/>
          <w:szCs w:val="22"/>
          <w:lang w:eastAsia="en-US"/>
        </w:rPr>
      </w:pPr>
      <w:r w:rsidRPr="00B22AC6">
        <w:rPr>
          <w:rFonts w:eastAsiaTheme="minorHAnsi" w:cstheme="minorBidi"/>
          <w:szCs w:val="22"/>
          <w:lang w:eastAsia="en-US"/>
        </w:rPr>
        <w:t>clinical and service delivery support on all aspects of delivering stop smoking interventions, with queries responded to within 2 working days;</w:t>
      </w:r>
    </w:p>
    <w:p w14:paraId="1A90F3B2" w14:textId="67CF1F5E" w:rsidR="00F82FB0" w:rsidRPr="001401C4" w:rsidRDefault="00F82FB0" w:rsidP="001401C4">
      <w:pPr>
        <w:pStyle w:val="ListParagraph"/>
        <w:numPr>
          <w:ilvl w:val="0"/>
          <w:numId w:val="61"/>
        </w:numPr>
        <w:spacing w:after="160" w:line="259" w:lineRule="auto"/>
        <w:rPr>
          <w:rFonts w:eastAsiaTheme="minorHAnsi" w:cstheme="minorBidi"/>
          <w:szCs w:val="22"/>
          <w:lang w:eastAsia="en-US"/>
        </w:rPr>
      </w:pPr>
      <w:r w:rsidRPr="00B22AC6">
        <w:rPr>
          <w:rFonts w:eastAsiaTheme="minorHAnsi" w:cstheme="minorBidi"/>
          <w:szCs w:val="22"/>
          <w:lang w:eastAsia="en-US"/>
        </w:rPr>
        <w:lastRenderedPageBreak/>
        <w:t xml:space="preserve">a telephone helpline and email support address that is monitored 9-5pm Monday to Friday.  </w:t>
      </w:r>
    </w:p>
    <w:p w14:paraId="480B9D8C" w14:textId="77777777" w:rsidR="00F36D5F" w:rsidRDefault="00F36D5F" w:rsidP="00F36D5F">
      <w:pPr>
        <w:pStyle w:val="ListParagraph"/>
        <w:rPr>
          <w:rFonts w:cstheme="minorBidi"/>
          <w:szCs w:val="22"/>
        </w:rPr>
      </w:pPr>
    </w:p>
    <w:p w14:paraId="65E3575F" w14:textId="0D9CD86C" w:rsidR="00F36D5F" w:rsidRDefault="00B22AC6" w:rsidP="00F36D5F">
      <w:pPr>
        <w:pStyle w:val="Default"/>
        <w:numPr>
          <w:ilvl w:val="1"/>
          <w:numId w:val="75"/>
        </w:numPr>
        <w:adjustRightInd/>
        <w:rPr>
          <w:rFonts w:ascii="Arial" w:hAnsi="Arial" w:cstheme="minorBidi"/>
          <w:color w:val="auto"/>
          <w:szCs w:val="22"/>
        </w:rPr>
      </w:pPr>
      <w:r w:rsidRPr="00F36D5F">
        <w:rPr>
          <w:rFonts w:cstheme="minorBidi"/>
          <w:szCs w:val="22"/>
        </w:rPr>
        <w:t>T</w:t>
      </w:r>
      <w:r w:rsidRPr="001401C4">
        <w:rPr>
          <w:rFonts w:ascii="Arial" w:eastAsia="Calibri" w:hAnsi="Arial" w:cstheme="minorBidi"/>
          <w:color w:val="auto"/>
          <w:szCs w:val="22"/>
          <w:lang w:eastAsia="en-GB"/>
        </w:rPr>
        <w:t xml:space="preserve">he </w:t>
      </w:r>
      <w:r w:rsidR="00746DDF">
        <w:rPr>
          <w:rFonts w:ascii="Arial" w:eastAsia="Calibri" w:hAnsi="Arial" w:cstheme="minorBidi"/>
          <w:color w:val="auto"/>
          <w:szCs w:val="22"/>
          <w:lang w:eastAsia="en-GB"/>
        </w:rPr>
        <w:t>service provider</w:t>
      </w:r>
      <w:r w:rsidRPr="001401C4">
        <w:rPr>
          <w:rFonts w:ascii="Arial" w:eastAsia="Calibri" w:hAnsi="Arial" w:cstheme="minorBidi"/>
          <w:color w:val="auto"/>
          <w:szCs w:val="22"/>
          <w:lang w:eastAsia="en-GB"/>
        </w:rPr>
        <w:t xml:space="preserve"> will update guidance for local areas on commissioning and delivering stop smoking services, to reflect new models of service and intervention delivery. This includes a full revision of </w:t>
      </w:r>
      <w:hyperlink r:id="rId11" w:history="1">
        <w:r w:rsidRPr="00F36D5F">
          <w:rPr>
            <w:rStyle w:val="Hyperlink"/>
            <w:rFonts w:cstheme="minorBidi"/>
            <w:szCs w:val="22"/>
          </w:rPr>
          <w:t>Service and Delivery Guidance</w:t>
        </w:r>
      </w:hyperlink>
      <w:r w:rsidRPr="00F36D5F">
        <w:rPr>
          <w:rStyle w:val="Hyperlink"/>
          <w:rFonts w:cstheme="minorBidi"/>
          <w:szCs w:val="22"/>
          <w:vertAlign w:val="superscript"/>
        </w:rPr>
        <w:t>9</w:t>
      </w:r>
      <w:r w:rsidRPr="00F36D5F">
        <w:rPr>
          <w:rFonts w:cstheme="minorBidi"/>
          <w:szCs w:val="22"/>
        </w:rPr>
        <w:t xml:space="preserve"> </w:t>
      </w:r>
      <w:r w:rsidRPr="001401C4">
        <w:rPr>
          <w:rFonts w:ascii="Arial" w:eastAsia="Calibri" w:hAnsi="Arial" w:cstheme="minorBidi"/>
          <w:color w:val="auto"/>
          <w:szCs w:val="22"/>
          <w:lang w:eastAsia="en-GB"/>
        </w:rPr>
        <w:t>to be undertaken during 2023/24</w:t>
      </w:r>
      <w:r w:rsidR="00F36D5F" w:rsidRPr="001401C4">
        <w:rPr>
          <w:rFonts w:ascii="Arial" w:eastAsia="Calibri" w:hAnsi="Arial" w:cstheme="minorBidi"/>
          <w:color w:val="auto"/>
          <w:szCs w:val="22"/>
          <w:lang w:eastAsia="en-GB"/>
        </w:rPr>
        <w:t>.</w:t>
      </w:r>
    </w:p>
    <w:p w14:paraId="5D9BC342" w14:textId="77777777" w:rsidR="00F36D5F" w:rsidRDefault="00F36D5F" w:rsidP="00F36D5F">
      <w:pPr>
        <w:pStyle w:val="ListParagraph"/>
        <w:rPr>
          <w:rFonts w:cstheme="minorBidi"/>
          <w:szCs w:val="22"/>
        </w:rPr>
      </w:pPr>
    </w:p>
    <w:p w14:paraId="794A6C33" w14:textId="1E3EE5F1" w:rsidR="00F36D5F" w:rsidRDefault="00815DA1" w:rsidP="00F36D5F">
      <w:pPr>
        <w:pStyle w:val="Default"/>
        <w:numPr>
          <w:ilvl w:val="1"/>
          <w:numId w:val="75"/>
        </w:numPr>
        <w:adjustRightInd/>
        <w:rPr>
          <w:rFonts w:ascii="Arial" w:hAnsi="Arial" w:cstheme="minorBidi"/>
          <w:color w:val="auto"/>
          <w:szCs w:val="22"/>
        </w:rPr>
      </w:pPr>
      <w:r w:rsidRPr="00F36D5F">
        <w:rPr>
          <w:rFonts w:ascii="Arial" w:hAnsi="Arial" w:cstheme="minorBidi"/>
          <w:color w:val="auto"/>
          <w:szCs w:val="22"/>
        </w:rPr>
        <w:t xml:space="preserve">All </w:t>
      </w:r>
      <w:r w:rsidR="00602E1C">
        <w:rPr>
          <w:rFonts w:ascii="Arial" w:hAnsi="Arial" w:cstheme="minorBidi"/>
          <w:color w:val="auto"/>
          <w:szCs w:val="22"/>
        </w:rPr>
        <w:t>training</w:t>
      </w:r>
      <w:r w:rsidRPr="00F36D5F">
        <w:rPr>
          <w:rFonts w:ascii="Arial" w:hAnsi="Arial" w:cstheme="minorBidi"/>
          <w:color w:val="auto"/>
          <w:szCs w:val="22"/>
        </w:rPr>
        <w:t xml:space="preserve"> will be </w:t>
      </w:r>
      <w:r w:rsidR="006B70F3">
        <w:rPr>
          <w:rFonts w:ascii="Arial" w:hAnsi="Arial" w:cstheme="minorBidi"/>
          <w:color w:val="auto"/>
          <w:szCs w:val="22"/>
        </w:rPr>
        <w:t>O</w:t>
      </w:r>
      <w:r w:rsidR="006F2D3F" w:rsidRPr="00F36D5F">
        <w:rPr>
          <w:rFonts w:ascii="Arial" w:hAnsi="Arial" w:cstheme="minorBidi"/>
          <w:color w:val="auto"/>
          <w:szCs w:val="22"/>
        </w:rPr>
        <w:t>pen</w:t>
      </w:r>
      <w:r w:rsidRPr="00F36D5F">
        <w:rPr>
          <w:rFonts w:ascii="Arial" w:hAnsi="Arial" w:cstheme="minorBidi"/>
          <w:color w:val="auto"/>
          <w:szCs w:val="22"/>
        </w:rPr>
        <w:t xml:space="preserve"> </w:t>
      </w:r>
      <w:r w:rsidR="006B70F3">
        <w:rPr>
          <w:rFonts w:ascii="Arial" w:hAnsi="Arial" w:cstheme="minorBidi"/>
          <w:color w:val="auto"/>
          <w:szCs w:val="22"/>
        </w:rPr>
        <w:t>A</w:t>
      </w:r>
      <w:r w:rsidRPr="00F36D5F">
        <w:rPr>
          <w:rFonts w:ascii="Arial" w:hAnsi="Arial" w:cstheme="minorBidi"/>
          <w:color w:val="auto"/>
          <w:szCs w:val="22"/>
        </w:rPr>
        <w:t>ccess, with a registration process in place for specialist practitioner training, requiring participants to successfully complete this before accessing specialty modules e.g. mental health and smoking in pregnancy.</w:t>
      </w:r>
    </w:p>
    <w:p w14:paraId="3725D172" w14:textId="77777777" w:rsidR="00F36D5F" w:rsidRDefault="00F36D5F" w:rsidP="00F36D5F">
      <w:pPr>
        <w:pStyle w:val="ListParagraph"/>
        <w:rPr>
          <w:rFonts w:cstheme="minorBidi"/>
          <w:szCs w:val="22"/>
        </w:rPr>
      </w:pPr>
    </w:p>
    <w:p w14:paraId="3811F86A" w14:textId="75295E07" w:rsidR="00F36D5F" w:rsidRDefault="00602E1C" w:rsidP="00F36D5F">
      <w:pPr>
        <w:pStyle w:val="Default"/>
        <w:numPr>
          <w:ilvl w:val="1"/>
          <w:numId w:val="75"/>
        </w:numPr>
        <w:adjustRightInd/>
        <w:rPr>
          <w:rFonts w:ascii="Arial" w:hAnsi="Arial" w:cstheme="minorBidi"/>
          <w:color w:val="auto"/>
          <w:szCs w:val="22"/>
        </w:rPr>
      </w:pPr>
      <w:r>
        <w:rPr>
          <w:rFonts w:ascii="Arial" w:hAnsi="Arial" w:cstheme="minorBidi"/>
          <w:color w:val="auto"/>
          <w:szCs w:val="22"/>
        </w:rPr>
        <w:t>R</w:t>
      </w:r>
      <w:r w:rsidR="00617628" w:rsidRPr="00F36D5F">
        <w:rPr>
          <w:rFonts w:ascii="Arial" w:hAnsi="Arial" w:cstheme="minorBidi"/>
          <w:color w:val="auto"/>
          <w:szCs w:val="22"/>
        </w:rPr>
        <w:t xml:space="preserve">esources, briefings and </w:t>
      </w:r>
      <w:r>
        <w:rPr>
          <w:rFonts w:ascii="Arial" w:hAnsi="Arial" w:cstheme="minorBidi"/>
          <w:color w:val="auto"/>
          <w:szCs w:val="22"/>
        </w:rPr>
        <w:t xml:space="preserve">other </w:t>
      </w:r>
      <w:r w:rsidR="00617628" w:rsidRPr="00F36D5F">
        <w:rPr>
          <w:rFonts w:ascii="Arial" w:hAnsi="Arial" w:cstheme="minorBidi"/>
          <w:color w:val="auto"/>
          <w:szCs w:val="22"/>
        </w:rPr>
        <w:t xml:space="preserve">products </w:t>
      </w:r>
      <w:r>
        <w:rPr>
          <w:rFonts w:ascii="Arial" w:hAnsi="Arial" w:cstheme="minorBidi"/>
          <w:color w:val="auto"/>
          <w:szCs w:val="22"/>
        </w:rPr>
        <w:t xml:space="preserve">will be produced in </w:t>
      </w:r>
      <w:r w:rsidR="00617628" w:rsidRPr="00F36D5F">
        <w:rPr>
          <w:rFonts w:ascii="Arial" w:hAnsi="Arial" w:cstheme="minorBidi"/>
          <w:color w:val="auto"/>
          <w:szCs w:val="22"/>
        </w:rPr>
        <w:t>respon</w:t>
      </w:r>
      <w:r>
        <w:rPr>
          <w:rFonts w:ascii="Arial" w:hAnsi="Arial" w:cstheme="minorBidi"/>
          <w:color w:val="auto"/>
          <w:szCs w:val="22"/>
        </w:rPr>
        <w:t xml:space="preserve">se </w:t>
      </w:r>
      <w:r w:rsidR="00617628" w:rsidRPr="00F36D5F">
        <w:rPr>
          <w:rFonts w:ascii="Arial" w:hAnsi="Arial" w:cstheme="minorBidi"/>
          <w:color w:val="auto"/>
          <w:szCs w:val="22"/>
        </w:rPr>
        <w:t>to developments in the evidence base and the needs of stop smoking service commissioners, managers and practitioners,</w:t>
      </w:r>
      <w:r w:rsidR="008A28CB" w:rsidRPr="00F36D5F">
        <w:rPr>
          <w:rFonts w:ascii="Arial" w:hAnsi="Arial" w:cstheme="minorBidi"/>
          <w:color w:val="auto"/>
          <w:szCs w:val="22"/>
        </w:rPr>
        <w:t xml:space="preserve"> </w:t>
      </w:r>
      <w:r>
        <w:rPr>
          <w:rFonts w:ascii="Arial" w:hAnsi="Arial" w:cstheme="minorBidi"/>
          <w:color w:val="auto"/>
          <w:szCs w:val="22"/>
        </w:rPr>
        <w:t>will be open</w:t>
      </w:r>
      <w:r w:rsidR="008A28CB" w:rsidRPr="00F36D5F">
        <w:rPr>
          <w:rFonts w:ascii="Arial" w:hAnsi="Arial" w:cstheme="minorBidi"/>
          <w:color w:val="auto"/>
          <w:szCs w:val="22"/>
        </w:rPr>
        <w:t xml:space="preserve"> access.</w:t>
      </w:r>
      <w:r w:rsidR="00617628" w:rsidRPr="00F36D5F">
        <w:rPr>
          <w:rFonts w:ascii="Arial" w:hAnsi="Arial" w:cstheme="minorBidi"/>
          <w:color w:val="auto"/>
          <w:szCs w:val="22"/>
        </w:rPr>
        <w:t xml:space="preserve"> </w:t>
      </w:r>
      <w:r w:rsidR="008A28CB" w:rsidRPr="00F36D5F">
        <w:rPr>
          <w:rFonts w:ascii="Arial" w:hAnsi="Arial" w:cstheme="minorBidi"/>
          <w:color w:val="auto"/>
          <w:szCs w:val="22"/>
        </w:rPr>
        <w:t>O</w:t>
      </w:r>
      <w:r w:rsidR="00617628" w:rsidRPr="00F36D5F">
        <w:rPr>
          <w:rFonts w:ascii="Arial" w:hAnsi="Arial" w:cstheme="minorBidi"/>
          <w:color w:val="auto"/>
          <w:szCs w:val="22"/>
        </w:rPr>
        <w:t>n average there will be three expert briefings per year, in addition to communications in response to evidence, policy &amp; clinical updates</w:t>
      </w:r>
      <w:r w:rsidR="008A28CB" w:rsidRPr="00F36D5F">
        <w:rPr>
          <w:rFonts w:ascii="Arial" w:hAnsi="Arial" w:cstheme="minorBidi"/>
          <w:color w:val="auto"/>
          <w:szCs w:val="22"/>
        </w:rPr>
        <w:t>.</w:t>
      </w:r>
    </w:p>
    <w:p w14:paraId="2473C9C9" w14:textId="77777777" w:rsidR="00F36D5F" w:rsidRDefault="00F36D5F" w:rsidP="00F36D5F">
      <w:pPr>
        <w:pStyle w:val="ListParagraph"/>
        <w:rPr>
          <w:rFonts w:cstheme="minorBidi"/>
          <w:szCs w:val="22"/>
        </w:rPr>
      </w:pPr>
    </w:p>
    <w:p w14:paraId="17A38C43" w14:textId="77777777" w:rsidR="00F36D5F" w:rsidRDefault="00617628" w:rsidP="00F36D5F">
      <w:pPr>
        <w:pStyle w:val="Default"/>
        <w:numPr>
          <w:ilvl w:val="1"/>
          <w:numId w:val="75"/>
        </w:numPr>
        <w:adjustRightInd/>
        <w:rPr>
          <w:rFonts w:ascii="Arial" w:hAnsi="Arial" w:cstheme="minorBidi"/>
          <w:color w:val="auto"/>
          <w:szCs w:val="22"/>
        </w:rPr>
      </w:pPr>
      <w:r w:rsidRPr="00F36D5F">
        <w:rPr>
          <w:rFonts w:ascii="Arial" w:hAnsi="Arial" w:cstheme="minorBidi"/>
          <w:color w:val="auto"/>
          <w:szCs w:val="22"/>
        </w:rPr>
        <w:t>All training and resources must be developed in collaboration with leading academics to review evidence and set out best clinical practice.</w:t>
      </w:r>
    </w:p>
    <w:p w14:paraId="7848B23D" w14:textId="77777777" w:rsidR="00F36D5F" w:rsidRDefault="00F36D5F" w:rsidP="00F36D5F">
      <w:pPr>
        <w:pStyle w:val="ListParagraph"/>
        <w:rPr>
          <w:rFonts w:cstheme="minorBidi"/>
          <w:szCs w:val="22"/>
        </w:rPr>
      </w:pPr>
    </w:p>
    <w:p w14:paraId="3D414EC9" w14:textId="262E359E" w:rsidR="00F36D5F" w:rsidRDefault="00617628" w:rsidP="00F36D5F">
      <w:pPr>
        <w:pStyle w:val="Default"/>
        <w:numPr>
          <w:ilvl w:val="1"/>
          <w:numId w:val="75"/>
        </w:numPr>
        <w:adjustRightInd/>
        <w:rPr>
          <w:rFonts w:ascii="Arial" w:hAnsi="Arial" w:cstheme="minorBidi"/>
          <w:color w:val="auto"/>
          <w:szCs w:val="22"/>
        </w:rPr>
      </w:pPr>
      <w:r w:rsidRPr="00F36D5F">
        <w:rPr>
          <w:rFonts w:ascii="Arial" w:hAnsi="Arial" w:cstheme="minorBidi"/>
          <w:color w:val="auto"/>
          <w:szCs w:val="22"/>
        </w:rPr>
        <w:t xml:space="preserve">All material </w:t>
      </w:r>
      <w:r w:rsidR="007672A6" w:rsidRPr="00F36D5F">
        <w:rPr>
          <w:rFonts w:ascii="Arial" w:hAnsi="Arial" w:cstheme="minorBidi"/>
          <w:color w:val="auto"/>
          <w:szCs w:val="22"/>
        </w:rPr>
        <w:t xml:space="preserve">will be </w:t>
      </w:r>
      <w:r w:rsidRPr="00F36D5F">
        <w:rPr>
          <w:rFonts w:ascii="Arial" w:hAnsi="Arial" w:cstheme="minorBidi"/>
          <w:color w:val="auto"/>
          <w:szCs w:val="22"/>
        </w:rPr>
        <w:t>regularly reviewed and updated to ensure all content is current</w:t>
      </w:r>
      <w:r w:rsidR="00602E1C">
        <w:rPr>
          <w:rFonts w:ascii="Arial" w:hAnsi="Arial" w:cstheme="minorBidi"/>
          <w:color w:val="auto"/>
          <w:szCs w:val="22"/>
        </w:rPr>
        <w:t>,</w:t>
      </w:r>
      <w:r w:rsidRPr="00F36D5F">
        <w:rPr>
          <w:rFonts w:ascii="Arial" w:hAnsi="Arial" w:cstheme="minorBidi"/>
          <w:color w:val="auto"/>
          <w:szCs w:val="22"/>
        </w:rPr>
        <w:t xml:space="preserve"> reflects the evidence base and responds to service requirements. Minimum annual review of all material, in addition to in-year changes made in response to major policy or research developments. </w:t>
      </w:r>
    </w:p>
    <w:p w14:paraId="0D785AED" w14:textId="77777777" w:rsidR="00F36D5F" w:rsidRDefault="00F36D5F" w:rsidP="00F36D5F">
      <w:pPr>
        <w:pStyle w:val="ListParagraph"/>
        <w:rPr>
          <w:rFonts w:cstheme="minorBidi"/>
          <w:szCs w:val="22"/>
        </w:rPr>
      </w:pPr>
    </w:p>
    <w:p w14:paraId="739D8BB5" w14:textId="77777777" w:rsidR="00F36D5F" w:rsidRDefault="00815DA1" w:rsidP="00F36D5F">
      <w:pPr>
        <w:pStyle w:val="Default"/>
        <w:numPr>
          <w:ilvl w:val="1"/>
          <w:numId w:val="75"/>
        </w:numPr>
        <w:adjustRightInd/>
        <w:rPr>
          <w:rFonts w:ascii="Arial" w:hAnsi="Arial" w:cstheme="minorBidi"/>
          <w:color w:val="auto"/>
          <w:szCs w:val="22"/>
        </w:rPr>
      </w:pPr>
      <w:r w:rsidRPr="00F36D5F">
        <w:rPr>
          <w:rFonts w:ascii="Arial" w:hAnsi="Arial" w:cstheme="minorBidi"/>
          <w:color w:val="auto"/>
          <w:szCs w:val="22"/>
        </w:rPr>
        <w:t>Where updates to training are not possible immediately, communication will be issued within 48 hours of any significant policy or research development impacting on service delivery e.g. email alert or posted on the website.</w:t>
      </w:r>
    </w:p>
    <w:p w14:paraId="7E05980F" w14:textId="77777777" w:rsidR="00F36D5F" w:rsidRPr="008821F4" w:rsidRDefault="00F36D5F" w:rsidP="008821F4">
      <w:pPr>
        <w:pStyle w:val="Default"/>
        <w:adjustRightInd/>
        <w:ind w:left="1080"/>
        <w:rPr>
          <w:rFonts w:ascii="Arial" w:hAnsi="Arial" w:cstheme="minorBidi"/>
          <w:color w:val="auto"/>
          <w:szCs w:val="22"/>
        </w:rPr>
      </w:pPr>
    </w:p>
    <w:p w14:paraId="3B90DAEF" w14:textId="77777777" w:rsidR="00FD2D4E" w:rsidRDefault="002E710B" w:rsidP="00FD2D4E">
      <w:pPr>
        <w:pStyle w:val="Default"/>
        <w:numPr>
          <w:ilvl w:val="1"/>
          <w:numId w:val="75"/>
        </w:numPr>
        <w:adjustRightInd/>
        <w:rPr>
          <w:rFonts w:ascii="Arial" w:hAnsi="Arial" w:cstheme="minorBidi"/>
          <w:color w:val="auto"/>
          <w:szCs w:val="22"/>
        </w:rPr>
      </w:pPr>
      <w:r w:rsidRPr="008821F4">
        <w:rPr>
          <w:rFonts w:ascii="Arial" w:hAnsi="Arial" w:cstheme="minorBidi"/>
          <w:color w:val="auto"/>
          <w:szCs w:val="22"/>
        </w:rPr>
        <w:t>Any publications produced as part of this contract must be subject to a robust quality assurance process, consistent with the DHSC publications standard. All materials must carry the phrase “commissioned and supported by DHSC”.</w:t>
      </w:r>
    </w:p>
    <w:p w14:paraId="3F2BE9B3" w14:textId="77777777" w:rsidR="00FD2D4E" w:rsidRDefault="00FD2D4E" w:rsidP="00FD2D4E">
      <w:pPr>
        <w:pStyle w:val="ListParagraph"/>
        <w:rPr>
          <w:rFonts w:cstheme="minorBidi"/>
          <w:szCs w:val="22"/>
          <w:highlight w:val="yellow"/>
        </w:rPr>
      </w:pPr>
    </w:p>
    <w:p w14:paraId="5299B889" w14:textId="24ABC2FC" w:rsidR="00FD2D4E" w:rsidRPr="000E4B68" w:rsidRDefault="000F1D6E" w:rsidP="00FD2D4E">
      <w:pPr>
        <w:pStyle w:val="Default"/>
        <w:numPr>
          <w:ilvl w:val="1"/>
          <w:numId w:val="75"/>
        </w:numPr>
        <w:adjustRightInd/>
        <w:rPr>
          <w:rFonts w:ascii="Arial" w:hAnsi="Arial" w:cstheme="minorBidi"/>
          <w:color w:val="auto"/>
          <w:szCs w:val="22"/>
        </w:rPr>
      </w:pPr>
      <w:r w:rsidRPr="000E4B68">
        <w:rPr>
          <w:rFonts w:ascii="Arial" w:hAnsi="Arial" w:cstheme="minorBidi"/>
          <w:color w:val="auto"/>
          <w:szCs w:val="22"/>
        </w:rPr>
        <w:t xml:space="preserve">Training and materials developed under this contract are made available to other government departments and where other government departments commission resources from the </w:t>
      </w:r>
      <w:r w:rsidR="00746DDF">
        <w:rPr>
          <w:rFonts w:ascii="Arial" w:hAnsi="Arial" w:cstheme="minorBidi"/>
          <w:color w:val="auto"/>
          <w:szCs w:val="22"/>
        </w:rPr>
        <w:t>service provider</w:t>
      </w:r>
      <w:r w:rsidRPr="000E4B68">
        <w:rPr>
          <w:rFonts w:ascii="Arial" w:hAnsi="Arial" w:cstheme="minorBidi"/>
          <w:color w:val="auto"/>
          <w:szCs w:val="22"/>
        </w:rPr>
        <w:t xml:space="preserve"> they will be made available to </w:t>
      </w:r>
      <w:r w:rsidR="00B67BC0">
        <w:rPr>
          <w:rFonts w:ascii="Arial" w:hAnsi="Arial" w:cstheme="minorBidi"/>
          <w:color w:val="auto"/>
          <w:szCs w:val="22"/>
        </w:rPr>
        <w:t>the Authority</w:t>
      </w:r>
      <w:r w:rsidRPr="000E4B68">
        <w:rPr>
          <w:rFonts w:ascii="Arial" w:hAnsi="Arial" w:cstheme="minorBidi"/>
          <w:color w:val="auto"/>
          <w:szCs w:val="22"/>
        </w:rPr>
        <w:t>, with no additional cost to either funder</w:t>
      </w:r>
      <w:r w:rsidR="00EB714D">
        <w:rPr>
          <w:rFonts w:ascii="Arial" w:hAnsi="Arial" w:cstheme="minorBidi"/>
          <w:color w:val="auto"/>
          <w:szCs w:val="22"/>
        </w:rPr>
        <w:t>.</w:t>
      </w:r>
    </w:p>
    <w:p w14:paraId="6E494033" w14:textId="77777777" w:rsidR="00FD2D4E" w:rsidRPr="000E4B68" w:rsidRDefault="00FD2D4E" w:rsidP="00FD2D4E">
      <w:pPr>
        <w:pStyle w:val="ListParagraph"/>
        <w:rPr>
          <w:rFonts w:cstheme="minorBidi"/>
          <w:szCs w:val="22"/>
        </w:rPr>
      </w:pPr>
    </w:p>
    <w:p w14:paraId="630E6EF5" w14:textId="67562F7E" w:rsidR="00FD2D4E" w:rsidRPr="000E4B68" w:rsidRDefault="000F1D6E" w:rsidP="00FD2D4E">
      <w:pPr>
        <w:pStyle w:val="Default"/>
        <w:numPr>
          <w:ilvl w:val="1"/>
          <w:numId w:val="75"/>
        </w:numPr>
        <w:adjustRightInd/>
        <w:rPr>
          <w:rFonts w:ascii="Arial" w:hAnsi="Arial" w:cstheme="minorBidi"/>
          <w:color w:val="auto"/>
          <w:szCs w:val="22"/>
        </w:rPr>
      </w:pPr>
      <w:r w:rsidRPr="000E4B68">
        <w:rPr>
          <w:rFonts w:ascii="Arial" w:hAnsi="Arial" w:cstheme="minorBidi"/>
          <w:color w:val="auto"/>
          <w:szCs w:val="22"/>
        </w:rPr>
        <w:t xml:space="preserve">The </w:t>
      </w:r>
      <w:r w:rsidR="00746DDF">
        <w:rPr>
          <w:rFonts w:ascii="Arial" w:hAnsi="Arial" w:cstheme="minorBidi"/>
          <w:color w:val="auto"/>
          <w:szCs w:val="22"/>
        </w:rPr>
        <w:t>service provider</w:t>
      </w:r>
      <w:r w:rsidRPr="000E4B68">
        <w:rPr>
          <w:rFonts w:ascii="Arial" w:hAnsi="Arial" w:cstheme="minorBidi"/>
          <w:color w:val="auto"/>
          <w:szCs w:val="22"/>
        </w:rPr>
        <w:t xml:space="preserve"> will be required to explore routes for securing organisational sustainability beyond the programme funded by </w:t>
      </w:r>
      <w:r w:rsidR="00EB714D">
        <w:rPr>
          <w:rFonts w:ascii="Arial" w:hAnsi="Arial" w:cstheme="minorBidi"/>
          <w:color w:val="auto"/>
          <w:szCs w:val="22"/>
        </w:rPr>
        <w:t>the Authority</w:t>
      </w:r>
      <w:r w:rsidRPr="000E4B68">
        <w:rPr>
          <w:rFonts w:ascii="Arial" w:hAnsi="Arial" w:cstheme="minorBidi"/>
          <w:color w:val="auto"/>
          <w:szCs w:val="22"/>
        </w:rPr>
        <w:t>.</w:t>
      </w:r>
    </w:p>
    <w:p w14:paraId="3BC3A5B7" w14:textId="77777777" w:rsidR="00FD2D4E" w:rsidRDefault="00FD2D4E" w:rsidP="00FD2D4E">
      <w:pPr>
        <w:pStyle w:val="ListParagraph"/>
      </w:pPr>
    </w:p>
    <w:p w14:paraId="403CAC62" w14:textId="77777777" w:rsidR="00FD2D4E" w:rsidRPr="00FD2D4E" w:rsidRDefault="00CD54FA" w:rsidP="00FD2D4E">
      <w:pPr>
        <w:pStyle w:val="Default"/>
        <w:numPr>
          <w:ilvl w:val="1"/>
          <w:numId w:val="75"/>
        </w:numPr>
        <w:adjustRightInd/>
        <w:rPr>
          <w:rFonts w:ascii="Arial" w:hAnsi="Arial" w:cstheme="minorBidi"/>
          <w:color w:val="auto"/>
          <w:szCs w:val="22"/>
        </w:rPr>
      </w:pPr>
      <w:r w:rsidRPr="00FD2D4E">
        <w:rPr>
          <w:rFonts w:ascii="Arial" w:hAnsi="Arial" w:cstheme="minorBidi"/>
          <w:color w:val="auto"/>
          <w:szCs w:val="22"/>
        </w:rPr>
        <w:t>There are established standards to which training of stop smoking practitioners should adhere. A taxonomy of behaviour change techniques used in behavioural support for smoking cessation has enabled the competences required to undertake the role of stop smoking specialist to be determined</w:t>
      </w:r>
      <w:r w:rsidRPr="00FD2D4E">
        <w:rPr>
          <w:vertAlign w:val="superscript"/>
        </w:rPr>
        <w:t>6</w:t>
      </w:r>
      <w:r w:rsidRPr="00E84BF0">
        <w:t>;</w:t>
      </w:r>
      <w:r w:rsidRPr="00FD2D4E">
        <w:rPr>
          <w:vertAlign w:val="superscript"/>
        </w:rPr>
        <w:t xml:space="preserve"> </w:t>
      </w:r>
      <w:r w:rsidRPr="00FD2D4E">
        <w:rPr>
          <w:rFonts w:ascii="Arial" w:hAnsi="Arial" w:cstheme="minorBidi"/>
          <w:color w:val="auto"/>
          <w:szCs w:val="22"/>
        </w:rPr>
        <w:t>the specific knowledge and skills required for delivery of effective behavioural support for smoking cessation have been identified</w:t>
      </w:r>
      <w:r w:rsidRPr="00602E1C">
        <w:rPr>
          <w:rFonts w:ascii="Arial" w:hAnsi="Arial" w:cstheme="minorBidi"/>
          <w:color w:val="auto"/>
          <w:szCs w:val="22"/>
          <w:vertAlign w:val="superscript"/>
        </w:rPr>
        <w:t>7</w:t>
      </w:r>
      <w:r w:rsidRPr="00FD2D4E">
        <w:rPr>
          <w:rFonts w:ascii="Arial" w:hAnsi="Arial" w:cstheme="minorBidi"/>
          <w:color w:val="auto"/>
          <w:szCs w:val="22"/>
        </w:rPr>
        <w:t>; and these have been translated into learning objectives which form the current Training Standard</w:t>
      </w:r>
      <w:r w:rsidRPr="00FD2D4E">
        <w:rPr>
          <w:vertAlign w:val="superscript"/>
        </w:rPr>
        <w:t>8</w:t>
      </w:r>
      <w:r w:rsidRPr="00E84BF0">
        <w:t xml:space="preserve">. </w:t>
      </w:r>
    </w:p>
    <w:p w14:paraId="72ADFCAC" w14:textId="77777777" w:rsidR="00FD2D4E" w:rsidRPr="00FD2D4E" w:rsidRDefault="00FD2D4E" w:rsidP="00FD2D4E">
      <w:pPr>
        <w:pStyle w:val="ListParagraph"/>
        <w:rPr>
          <w:rFonts w:eastAsiaTheme="minorHAnsi" w:cstheme="minorBidi"/>
          <w:szCs w:val="22"/>
          <w:lang w:eastAsia="en-US"/>
        </w:rPr>
      </w:pPr>
    </w:p>
    <w:p w14:paraId="1E73C305" w14:textId="04D2F4C6" w:rsidR="00FD2D4E" w:rsidRPr="00FD2D4E" w:rsidRDefault="00CD54FA" w:rsidP="00FD2D4E">
      <w:pPr>
        <w:pStyle w:val="Default"/>
        <w:numPr>
          <w:ilvl w:val="1"/>
          <w:numId w:val="75"/>
        </w:numPr>
        <w:adjustRightInd/>
        <w:rPr>
          <w:rFonts w:ascii="Arial" w:hAnsi="Arial" w:cstheme="minorBidi"/>
          <w:color w:val="auto"/>
          <w:szCs w:val="22"/>
        </w:rPr>
      </w:pPr>
      <w:r w:rsidRPr="00FD2D4E">
        <w:rPr>
          <w:rFonts w:ascii="Arial" w:hAnsi="Arial" w:cstheme="minorBidi"/>
          <w:color w:val="auto"/>
          <w:szCs w:val="22"/>
        </w:rPr>
        <w:lastRenderedPageBreak/>
        <w:t xml:space="preserve">The successful </w:t>
      </w:r>
      <w:r w:rsidR="00746DDF">
        <w:rPr>
          <w:rFonts w:ascii="Arial" w:hAnsi="Arial" w:cstheme="minorBidi"/>
          <w:color w:val="auto"/>
          <w:szCs w:val="22"/>
        </w:rPr>
        <w:t>service provider</w:t>
      </w:r>
      <w:r w:rsidRPr="00FD2D4E">
        <w:rPr>
          <w:rFonts w:ascii="Arial" w:hAnsi="Arial" w:cstheme="minorBidi"/>
          <w:color w:val="auto"/>
          <w:szCs w:val="22"/>
        </w:rPr>
        <w:t xml:space="preserve"> will be expected to ensure that all training in the delivery of behavioural support for smoking cessation adheres to the evidence and standards referred referenced above, focusing on those behaviour change techniques for which there is the most evidence of effectiveness</w:t>
      </w:r>
      <w:r w:rsidRPr="00E84BF0">
        <w:t>.</w:t>
      </w:r>
    </w:p>
    <w:p w14:paraId="5A0D61D2" w14:textId="77777777" w:rsidR="00FD2D4E" w:rsidRDefault="00FD2D4E" w:rsidP="00FD2D4E">
      <w:pPr>
        <w:pStyle w:val="ListParagraph"/>
        <w:rPr>
          <w:rFonts w:cstheme="minorBidi"/>
          <w:szCs w:val="22"/>
        </w:rPr>
      </w:pPr>
    </w:p>
    <w:p w14:paraId="6A79C82C" w14:textId="3AA31BF1" w:rsidR="00FD2D4E" w:rsidRPr="00FD2D4E" w:rsidRDefault="002E24A3" w:rsidP="00FD2D4E">
      <w:pPr>
        <w:pStyle w:val="Default"/>
        <w:numPr>
          <w:ilvl w:val="1"/>
          <w:numId w:val="75"/>
        </w:numPr>
        <w:adjustRightInd/>
        <w:rPr>
          <w:rFonts w:ascii="Arial" w:hAnsi="Arial" w:cstheme="minorBidi"/>
          <w:color w:val="auto"/>
          <w:szCs w:val="22"/>
        </w:rPr>
      </w:pPr>
      <w:r w:rsidRPr="00FD2D4E">
        <w:rPr>
          <w:rFonts w:ascii="Arial" w:hAnsi="Arial" w:cstheme="minorBidi"/>
          <w:color w:val="auto"/>
          <w:szCs w:val="22"/>
        </w:rPr>
        <w:t>The delivery of outputs must be agile and responsive to the needs of local services and the national policy context, for instance with rapid response to emerging clinical or policy issues that will impact on stop smoking service or treatment interventions.</w:t>
      </w:r>
    </w:p>
    <w:p w14:paraId="5D01383E" w14:textId="77777777" w:rsidR="00FD2D4E" w:rsidRDefault="00FD2D4E" w:rsidP="00FD2D4E">
      <w:pPr>
        <w:pStyle w:val="ListParagraph"/>
      </w:pPr>
    </w:p>
    <w:p w14:paraId="388220FC" w14:textId="2D128E8F" w:rsidR="00FD2D4E" w:rsidRPr="00FD2D4E" w:rsidRDefault="002E24A3" w:rsidP="00FD2D4E">
      <w:pPr>
        <w:pStyle w:val="Default"/>
        <w:numPr>
          <w:ilvl w:val="1"/>
          <w:numId w:val="75"/>
        </w:numPr>
        <w:adjustRightInd/>
        <w:rPr>
          <w:rFonts w:ascii="Arial" w:hAnsi="Arial" w:cstheme="minorBidi"/>
          <w:color w:val="auto"/>
          <w:szCs w:val="22"/>
        </w:rPr>
      </w:pPr>
      <w:r w:rsidRPr="00FD2D4E">
        <w:rPr>
          <w:rFonts w:ascii="Arial" w:hAnsi="Arial" w:cstheme="minorBidi"/>
          <w:color w:val="auto"/>
          <w:szCs w:val="22"/>
        </w:rPr>
        <w:t xml:space="preserve">The </w:t>
      </w:r>
      <w:r w:rsidR="00746DDF">
        <w:rPr>
          <w:rFonts w:ascii="Arial" w:hAnsi="Arial" w:cstheme="minorBidi"/>
          <w:color w:val="auto"/>
          <w:szCs w:val="22"/>
        </w:rPr>
        <w:t>service provider</w:t>
      </w:r>
      <w:r w:rsidRPr="00FD2D4E">
        <w:rPr>
          <w:rFonts w:ascii="Arial" w:hAnsi="Arial" w:cstheme="minorBidi"/>
          <w:color w:val="auto"/>
          <w:szCs w:val="22"/>
        </w:rPr>
        <w:t xml:space="preserve"> will work with the latest evidence on behaviour change techniques, online training and evidence-based stop smoking interventions. </w:t>
      </w:r>
    </w:p>
    <w:p w14:paraId="1693F96B" w14:textId="77777777" w:rsidR="00FD2D4E" w:rsidRPr="00602E1C" w:rsidRDefault="00FD2D4E" w:rsidP="00602E1C">
      <w:pPr>
        <w:rPr>
          <w:rFonts w:cstheme="minorBidi"/>
          <w:szCs w:val="22"/>
        </w:rPr>
      </w:pPr>
    </w:p>
    <w:p w14:paraId="082C1A1B" w14:textId="4A06B6B9" w:rsidR="00FD2D4E" w:rsidRDefault="002E24A3" w:rsidP="00FD2D4E">
      <w:pPr>
        <w:pStyle w:val="Default"/>
        <w:numPr>
          <w:ilvl w:val="1"/>
          <w:numId w:val="75"/>
        </w:numPr>
        <w:adjustRightInd/>
        <w:rPr>
          <w:rFonts w:ascii="Arial" w:hAnsi="Arial" w:cstheme="minorBidi"/>
          <w:color w:val="auto"/>
          <w:szCs w:val="22"/>
        </w:rPr>
      </w:pPr>
      <w:r w:rsidRPr="00FD2D4E">
        <w:rPr>
          <w:rFonts w:ascii="Arial" w:hAnsi="Arial" w:cstheme="minorBidi"/>
          <w:color w:val="auto"/>
          <w:szCs w:val="22"/>
        </w:rPr>
        <w:t xml:space="preserve">The </w:t>
      </w:r>
      <w:r w:rsidR="00746DDF">
        <w:rPr>
          <w:rFonts w:ascii="Arial" w:hAnsi="Arial" w:cstheme="minorBidi"/>
          <w:color w:val="auto"/>
          <w:szCs w:val="22"/>
        </w:rPr>
        <w:t>service provider</w:t>
      </w:r>
      <w:r w:rsidRPr="00FD2D4E">
        <w:rPr>
          <w:rFonts w:ascii="Arial" w:hAnsi="Arial" w:cstheme="minorBidi"/>
          <w:color w:val="auto"/>
          <w:szCs w:val="22"/>
        </w:rPr>
        <w:t xml:space="preserve"> will lead and/or participate in research activities to further enhance the evidence base on smoking cessation, tobacco control, behavioural support and other related issues</w:t>
      </w:r>
      <w:r w:rsidRPr="00FD2D4E">
        <w:rPr>
          <w:rFonts w:cstheme="minorBidi"/>
          <w:szCs w:val="22"/>
        </w:rPr>
        <w:t xml:space="preserve">.  </w:t>
      </w:r>
    </w:p>
    <w:p w14:paraId="1EF23868" w14:textId="77777777" w:rsidR="00FD2D4E" w:rsidRDefault="00FD2D4E" w:rsidP="00FD2D4E">
      <w:pPr>
        <w:pStyle w:val="ListParagraph"/>
        <w:rPr>
          <w:rFonts w:cstheme="minorBidi"/>
          <w:szCs w:val="22"/>
        </w:rPr>
      </w:pPr>
    </w:p>
    <w:p w14:paraId="465FA338" w14:textId="5C83080E" w:rsidR="00CD54FA" w:rsidRPr="00FD2D4E" w:rsidRDefault="00C95C5E" w:rsidP="00CD54FA">
      <w:pPr>
        <w:pStyle w:val="Default"/>
        <w:numPr>
          <w:ilvl w:val="1"/>
          <w:numId w:val="75"/>
        </w:numPr>
        <w:adjustRightInd/>
        <w:rPr>
          <w:rFonts w:ascii="Arial" w:hAnsi="Arial" w:cstheme="minorBidi"/>
          <w:color w:val="auto"/>
          <w:szCs w:val="22"/>
        </w:rPr>
      </w:pPr>
      <w:r w:rsidRPr="00FD2D4E">
        <w:rPr>
          <w:rFonts w:ascii="Arial" w:hAnsi="Arial" w:cstheme="minorBidi"/>
          <w:color w:val="auto"/>
          <w:szCs w:val="22"/>
        </w:rPr>
        <w:t xml:space="preserve">The </w:t>
      </w:r>
      <w:r w:rsidR="00746DDF">
        <w:rPr>
          <w:rFonts w:ascii="Arial" w:hAnsi="Arial" w:cstheme="minorBidi"/>
          <w:color w:val="auto"/>
          <w:szCs w:val="22"/>
        </w:rPr>
        <w:t>service provider</w:t>
      </w:r>
      <w:r w:rsidRPr="00FD2D4E">
        <w:rPr>
          <w:rFonts w:ascii="Arial" w:hAnsi="Arial" w:cstheme="minorBidi"/>
          <w:color w:val="auto"/>
          <w:szCs w:val="22"/>
        </w:rPr>
        <w:t xml:space="preserve"> will maintain a contact list of registered practitioners and stakeholders signed up to received communications and alerts.</w:t>
      </w:r>
    </w:p>
    <w:p w14:paraId="76E87F3F" w14:textId="77777777" w:rsidR="000F1D6E" w:rsidRDefault="000F1D6E" w:rsidP="000F1D6E">
      <w:pPr>
        <w:pStyle w:val="Default"/>
        <w:rPr>
          <w:rFonts w:eastAsia="Times New Roman"/>
          <w:strike/>
          <w:sz w:val="22"/>
          <w:szCs w:val="22"/>
        </w:rPr>
      </w:pPr>
    </w:p>
    <w:p w14:paraId="6C6E9CD8" w14:textId="1E93B5CC" w:rsidR="007347A1" w:rsidRPr="00FB6D60" w:rsidRDefault="00571EA0" w:rsidP="00FB6D60">
      <w:pPr>
        <w:pStyle w:val="Sch1"/>
        <w:numPr>
          <w:ilvl w:val="0"/>
          <w:numId w:val="65"/>
        </w:numPr>
        <w:ind w:left="567" w:hanging="567"/>
        <w:rPr>
          <w:rFonts w:ascii="Arial" w:hAnsi="Arial"/>
          <w:sz w:val="24"/>
          <w:szCs w:val="24"/>
        </w:rPr>
      </w:pPr>
      <w:bookmarkStart w:id="14" w:name="_Toc118380635"/>
      <w:r w:rsidRPr="00FB6D60">
        <w:rPr>
          <w:rFonts w:ascii="Arial" w:hAnsi="Arial"/>
          <w:sz w:val="24"/>
          <w:szCs w:val="24"/>
        </w:rPr>
        <w:t>Key Performance Indicators</w:t>
      </w:r>
      <w:bookmarkEnd w:id="14"/>
    </w:p>
    <w:p w14:paraId="5AF84828" w14:textId="1490ED01" w:rsidR="00265162" w:rsidRPr="00572BD4" w:rsidRDefault="00265162" w:rsidP="00571EA0">
      <w:pPr>
        <w:pStyle w:val="InA"/>
        <w:ind w:left="2160"/>
        <w:rPr>
          <w:i w:val="0"/>
          <w:iCs w:val="0"/>
          <w:sz w:val="24"/>
          <w:szCs w:val="24"/>
        </w:rPr>
      </w:pPr>
    </w:p>
    <w:tbl>
      <w:tblPr>
        <w:tblStyle w:val="TableGrid"/>
        <w:tblW w:w="10207" w:type="dxa"/>
        <w:tblInd w:w="-856" w:type="dxa"/>
        <w:tblLayout w:type="fixed"/>
        <w:tblLook w:val="04A0" w:firstRow="1" w:lastRow="0" w:firstColumn="1" w:lastColumn="0" w:noHBand="0" w:noVBand="1"/>
      </w:tblPr>
      <w:tblGrid>
        <w:gridCol w:w="545"/>
        <w:gridCol w:w="1724"/>
        <w:gridCol w:w="1550"/>
        <w:gridCol w:w="1214"/>
        <w:gridCol w:w="1274"/>
        <w:gridCol w:w="1490"/>
        <w:gridCol w:w="1363"/>
        <w:gridCol w:w="1047"/>
      </w:tblGrid>
      <w:tr w:rsidR="00F13C51" w:rsidRPr="00657953" w14:paraId="217F117E" w14:textId="77777777" w:rsidTr="0072567C">
        <w:tc>
          <w:tcPr>
            <w:tcW w:w="545" w:type="dxa"/>
          </w:tcPr>
          <w:p w14:paraId="23767903" w14:textId="77777777" w:rsidR="008C4ECC" w:rsidRPr="00FB6D60" w:rsidRDefault="008C4ECC" w:rsidP="00347283">
            <w:pPr>
              <w:pStyle w:val="InA"/>
              <w:ind w:left="0"/>
              <w:rPr>
                <w:i w:val="0"/>
                <w:iCs w:val="0"/>
                <w:sz w:val="24"/>
              </w:rPr>
            </w:pPr>
            <w:bookmarkStart w:id="15" w:name="_Toc519998891"/>
            <w:r w:rsidRPr="00FB6D60">
              <w:rPr>
                <w:i w:val="0"/>
                <w:iCs w:val="0"/>
                <w:sz w:val="24"/>
              </w:rPr>
              <w:t>No.</w:t>
            </w:r>
          </w:p>
        </w:tc>
        <w:tc>
          <w:tcPr>
            <w:tcW w:w="1724" w:type="dxa"/>
          </w:tcPr>
          <w:p w14:paraId="130D351F" w14:textId="77777777" w:rsidR="008C4ECC" w:rsidRPr="00FB6D60" w:rsidRDefault="008C4ECC" w:rsidP="00347283">
            <w:pPr>
              <w:pStyle w:val="InA"/>
              <w:ind w:left="0"/>
              <w:jc w:val="center"/>
              <w:rPr>
                <w:i w:val="0"/>
                <w:iCs w:val="0"/>
                <w:sz w:val="24"/>
              </w:rPr>
            </w:pPr>
            <w:r w:rsidRPr="00FB6D60">
              <w:rPr>
                <w:i w:val="0"/>
                <w:iCs w:val="0"/>
                <w:sz w:val="24"/>
              </w:rPr>
              <w:t>KPI Name</w:t>
            </w:r>
          </w:p>
        </w:tc>
        <w:tc>
          <w:tcPr>
            <w:tcW w:w="1550" w:type="dxa"/>
          </w:tcPr>
          <w:p w14:paraId="7CBB8F3E" w14:textId="77777777" w:rsidR="008C4ECC" w:rsidRPr="00FB6D60" w:rsidRDefault="008C4ECC" w:rsidP="00347283">
            <w:pPr>
              <w:pStyle w:val="InA"/>
              <w:ind w:left="0"/>
              <w:jc w:val="center"/>
              <w:rPr>
                <w:i w:val="0"/>
                <w:iCs w:val="0"/>
                <w:sz w:val="24"/>
              </w:rPr>
            </w:pPr>
            <w:r w:rsidRPr="00FB6D60">
              <w:rPr>
                <w:i w:val="0"/>
                <w:iCs w:val="0"/>
                <w:sz w:val="24"/>
              </w:rPr>
              <w:t>KPI Description</w:t>
            </w:r>
          </w:p>
        </w:tc>
        <w:tc>
          <w:tcPr>
            <w:tcW w:w="1214" w:type="dxa"/>
          </w:tcPr>
          <w:p w14:paraId="42734B70" w14:textId="77777777" w:rsidR="008C4ECC" w:rsidRPr="00FB6D60" w:rsidRDefault="008C4ECC" w:rsidP="00347283">
            <w:pPr>
              <w:pStyle w:val="InA"/>
              <w:ind w:left="0"/>
              <w:rPr>
                <w:i w:val="0"/>
                <w:iCs w:val="0"/>
                <w:sz w:val="24"/>
              </w:rPr>
            </w:pPr>
            <w:r w:rsidRPr="00FB6D60">
              <w:rPr>
                <w:i w:val="0"/>
                <w:iCs w:val="0"/>
                <w:sz w:val="24"/>
              </w:rPr>
              <w:t xml:space="preserve">Reporting </w:t>
            </w:r>
          </w:p>
          <w:p w14:paraId="5C21E2B9" w14:textId="77777777" w:rsidR="008C4ECC" w:rsidRPr="00FB6D60" w:rsidRDefault="008C4ECC" w:rsidP="00347283">
            <w:pPr>
              <w:pStyle w:val="InA"/>
              <w:ind w:left="0"/>
              <w:rPr>
                <w:i w:val="0"/>
                <w:iCs w:val="0"/>
                <w:sz w:val="24"/>
              </w:rPr>
            </w:pPr>
            <w:r w:rsidRPr="00FB6D60">
              <w:rPr>
                <w:i w:val="0"/>
                <w:iCs w:val="0"/>
                <w:sz w:val="24"/>
              </w:rPr>
              <w:t>Frequency</w:t>
            </w:r>
          </w:p>
        </w:tc>
        <w:tc>
          <w:tcPr>
            <w:tcW w:w="1274" w:type="dxa"/>
          </w:tcPr>
          <w:p w14:paraId="1B03C7A6" w14:textId="77777777" w:rsidR="008C4ECC" w:rsidRPr="00FB6D60" w:rsidRDefault="008C4ECC" w:rsidP="00347283">
            <w:pPr>
              <w:pStyle w:val="InA"/>
              <w:ind w:left="0"/>
              <w:rPr>
                <w:i w:val="0"/>
                <w:iCs w:val="0"/>
                <w:sz w:val="24"/>
              </w:rPr>
            </w:pPr>
            <w:r w:rsidRPr="00FB6D60">
              <w:rPr>
                <w:i w:val="0"/>
                <w:iCs w:val="0"/>
                <w:sz w:val="24"/>
              </w:rPr>
              <w:t>Inadequate</w:t>
            </w:r>
          </w:p>
        </w:tc>
        <w:tc>
          <w:tcPr>
            <w:tcW w:w="1490" w:type="dxa"/>
          </w:tcPr>
          <w:p w14:paraId="7B0EE91E" w14:textId="77777777" w:rsidR="008C4ECC" w:rsidRPr="00FB6D60" w:rsidRDefault="008C4ECC" w:rsidP="00347283">
            <w:pPr>
              <w:pStyle w:val="InA"/>
              <w:ind w:left="0"/>
              <w:rPr>
                <w:i w:val="0"/>
                <w:iCs w:val="0"/>
                <w:sz w:val="24"/>
              </w:rPr>
            </w:pPr>
            <w:r w:rsidRPr="00FB6D60">
              <w:rPr>
                <w:i w:val="0"/>
                <w:iCs w:val="0"/>
                <w:sz w:val="24"/>
              </w:rPr>
              <w:t>Requires Improvement</w:t>
            </w:r>
          </w:p>
        </w:tc>
        <w:tc>
          <w:tcPr>
            <w:tcW w:w="1363" w:type="dxa"/>
          </w:tcPr>
          <w:p w14:paraId="06121E7C" w14:textId="77777777" w:rsidR="008C4ECC" w:rsidRPr="00FB6D60" w:rsidRDefault="008C4ECC" w:rsidP="00347283">
            <w:pPr>
              <w:pStyle w:val="InA"/>
              <w:ind w:left="0"/>
              <w:rPr>
                <w:i w:val="0"/>
                <w:iCs w:val="0"/>
                <w:sz w:val="24"/>
              </w:rPr>
            </w:pPr>
            <w:r w:rsidRPr="00FB6D60">
              <w:rPr>
                <w:i w:val="0"/>
                <w:iCs w:val="0"/>
                <w:sz w:val="24"/>
              </w:rPr>
              <w:t>Approaching target</w:t>
            </w:r>
          </w:p>
        </w:tc>
        <w:tc>
          <w:tcPr>
            <w:tcW w:w="1047" w:type="dxa"/>
          </w:tcPr>
          <w:p w14:paraId="002834D2" w14:textId="77777777" w:rsidR="008C4ECC" w:rsidRPr="00FB6D60" w:rsidRDefault="008C4ECC" w:rsidP="00347283">
            <w:pPr>
              <w:pStyle w:val="InA"/>
              <w:ind w:left="0"/>
              <w:rPr>
                <w:i w:val="0"/>
                <w:iCs w:val="0"/>
                <w:sz w:val="24"/>
              </w:rPr>
            </w:pPr>
            <w:r w:rsidRPr="00FB6D60">
              <w:rPr>
                <w:i w:val="0"/>
                <w:iCs w:val="0"/>
                <w:sz w:val="24"/>
              </w:rPr>
              <w:t>Good</w:t>
            </w:r>
          </w:p>
        </w:tc>
      </w:tr>
      <w:tr w:rsidR="00F13C51" w:rsidRPr="00657953" w14:paraId="6BD8BA74" w14:textId="77777777" w:rsidTr="0072567C">
        <w:tc>
          <w:tcPr>
            <w:tcW w:w="545" w:type="dxa"/>
          </w:tcPr>
          <w:p w14:paraId="22CEC0E7" w14:textId="77777777" w:rsidR="008C4ECC" w:rsidRPr="00FB6D60" w:rsidRDefault="008C4ECC" w:rsidP="00347283">
            <w:pPr>
              <w:pStyle w:val="InA"/>
              <w:ind w:left="0"/>
              <w:rPr>
                <w:i w:val="0"/>
                <w:iCs w:val="0"/>
                <w:sz w:val="24"/>
              </w:rPr>
            </w:pPr>
            <w:r w:rsidRPr="00FB6D60">
              <w:rPr>
                <w:i w:val="0"/>
                <w:iCs w:val="0"/>
                <w:sz w:val="24"/>
              </w:rPr>
              <w:t>1</w:t>
            </w:r>
          </w:p>
        </w:tc>
        <w:tc>
          <w:tcPr>
            <w:tcW w:w="1724" w:type="dxa"/>
          </w:tcPr>
          <w:p w14:paraId="70CB33A2" w14:textId="77777777" w:rsidR="008C4ECC" w:rsidRPr="00FB6D60" w:rsidRDefault="008C4ECC" w:rsidP="00347283">
            <w:pPr>
              <w:pStyle w:val="InA"/>
              <w:ind w:left="0"/>
              <w:jc w:val="center"/>
              <w:rPr>
                <w:i w:val="0"/>
                <w:iCs w:val="0"/>
                <w:sz w:val="24"/>
              </w:rPr>
            </w:pPr>
            <w:r w:rsidRPr="00FB6D60">
              <w:rPr>
                <w:i w:val="0"/>
                <w:iCs w:val="0"/>
                <w:sz w:val="24"/>
              </w:rPr>
              <w:t>% of significant policy or research developments communicated within 48 hours</w:t>
            </w:r>
          </w:p>
        </w:tc>
        <w:tc>
          <w:tcPr>
            <w:tcW w:w="1550" w:type="dxa"/>
          </w:tcPr>
          <w:p w14:paraId="3E88C643" w14:textId="18D48839" w:rsidR="008C4ECC" w:rsidRPr="00FB6D60" w:rsidRDefault="008C4ECC" w:rsidP="00347283">
            <w:pPr>
              <w:pStyle w:val="InA"/>
              <w:ind w:left="0"/>
              <w:jc w:val="center"/>
              <w:rPr>
                <w:i w:val="0"/>
                <w:iCs w:val="0"/>
                <w:sz w:val="24"/>
              </w:rPr>
            </w:pPr>
            <w:r w:rsidRPr="00FB6D60">
              <w:rPr>
                <w:i w:val="0"/>
                <w:iCs w:val="0"/>
                <w:sz w:val="24"/>
              </w:rPr>
              <w:t>Communicate any significant policy or research development impacting on service delivery within 48 hours e.g. email alert or posted on the website</w:t>
            </w:r>
            <w:r w:rsidR="0072567C">
              <w:rPr>
                <w:i w:val="0"/>
                <w:iCs w:val="0"/>
                <w:sz w:val="24"/>
              </w:rPr>
              <w:t>.</w:t>
            </w:r>
          </w:p>
        </w:tc>
        <w:tc>
          <w:tcPr>
            <w:tcW w:w="1214" w:type="dxa"/>
          </w:tcPr>
          <w:p w14:paraId="202ACE49" w14:textId="77777777" w:rsidR="008C4ECC" w:rsidRPr="00FB6D60" w:rsidRDefault="008C4ECC" w:rsidP="00347283">
            <w:pPr>
              <w:pStyle w:val="InA"/>
              <w:ind w:left="0"/>
              <w:rPr>
                <w:i w:val="0"/>
                <w:iCs w:val="0"/>
                <w:sz w:val="24"/>
              </w:rPr>
            </w:pPr>
            <w:r w:rsidRPr="00FB6D60">
              <w:rPr>
                <w:i w:val="0"/>
                <w:iCs w:val="0"/>
                <w:sz w:val="24"/>
              </w:rPr>
              <w:t>Quarterly</w:t>
            </w:r>
          </w:p>
        </w:tc>
        <w:tc>
          <w:tcPr>
            <w:tcW w:w="1274" w:type="dxa"/>
          </w:tcPr>
          <w:p w14:paraId="2538871C" w14:textId="77777777" w:rsidR="008C4ECC" w:rsidRPr="00FB6D60" w:rsidRDefault="008C4ECC" w:rsidP="00347283">
            <w:pPr>
              <w:pStyle w:val="InA"/>
              <w:ind w:left="0"/>
              <w:rPr>
                <w:i w:val="0"/>
                <w:iCs w:val="0"/>
                <w:sz w:val="24"/>
              </w:rPr>
            </w:pPr>
            <w:r w:rsidRPr="00FB6D60">
              <w:rPr>
                <w:i w:val="0"/>
                <w:iCs w:val="0"/>
                <w:sz w:val="24"/>
              </w:rPr>
              <w:t>&lt;90%</w:t>
            </w:r>
          </w:p>
        </w:tc>
        <w:tc>
          <w:tcPr>
            <w:tcW w:w="1490" w:type="dxa"/>
          </w:tcPr>
          <w:p w14:paraId="04A406AE" w14:textId="77777777" w:rsidR="008C4ECC" w:rsidRPr="00FB6D60" w:rsidRDefault="008C4ECC" w:rsidP="00347283">
            <w:pPr>
              <w:pStyle w:val="InA"/>
              <w:ind w:left="0"/>
              <w:rPr>
                <w:i w:val="0"/>
                <w:iCs w:val="0"/>
                <w:sz w:val="24"/>
              </w:rPr>
            </w:pPr>
            <w:r w:rsidRPr="00FB6D60">
              <w:rPr>
                <w:i w:val="0"/>
                <w:iCs w:val="0"/>
                <w:sz w:val="24"/>
              </w:rPr>
              <w:t>91% - 98%</w:t>
            </w:r>
          </w:p>
        </w:tc>
        <w:tc>
          <w:tcPr>
            <w:tcW w:w="1363" w:type="dxa"/>
          </w:tcPr>
          <w:p w14:paraId="23A0FBF5" w14:textId="1AAA9794" w:rsidR="008C4ECC" w:rsidRPr="00FB6D60" w:rsidRDefault="0072567C" w:rsidP="00347283">
            <w:pPr>
              <w:pStyle w:val="InA"/>
              <w:ind w:left="0"/>
              <w:rPr>
                <w:i w:val="0"/>
                <w:iCs w:val="0"/>
                <w:sz w:val="24"/>
              </w:rPr>
            </w:pPr>
            <w:r>
              <w:rPr>
                <w:i w:val="0"/>
                <w:iCs w:val="0"/>
                <w:sz w:val="24"/>
              </w:rPr>
              <w:t>&gt;</w:t>
            </w:r>
            <w:r w:rsidR="008C4ECC" w:rsidRPr="00FB6D60">
              <w:rPr>
                <w:i w:val="0"/>
                <w:iCs w:val="0"/>
                <w:sz w:val="24"/>
              </w:rPr>
              <w:t>99%</w:t>
            </w:r>
          </w:p>
        </w:tc>
        <w:tc>
          <w:tcPr>
            <w:tcW w:w="1047" w:type="dxa"/>
          </w:tcPr>
          <w:p w14:paraId="71EEA910" w14:textId="77777777" w:rsidR="008C4ECC" w:rsidRPr="00FB6D60" w:rsidRDefault="008C4ECC" w:rsidP="00347283">
            <w:pPr>
              <w:pStyle w:val="InA"/>
              <w:ind w:left="0"/>
              <w:rPr>
                <w:i w:val="0"/>
                <w:iCs w:val="0"/>
                <w:sz w:val="24"/>
              </w:rPr>
            </w:pPr>
            <w:r w:rsidRPr="00FB6D60">
              <w:rPr>
                <w:i w:val="0"/>
                <w:iCs w:val="0"/>
                <w:sz w:val="24"/>
              </w:rPr>
              <w:t>100%</w:t>
            </w:r>
          </w:p>
        </w:tc>
      </w:tr>
      <w:tr w:rsidR="00F13C51" w:rsidRPr="00657953" w14:paraId="1B73B0CB" w14:textId="77777777" w:rsidTr="0072567C">
        <w:tc>
          <w:tcPr>
            <w:tcW w:w="545" w:type="dxa"/>
          </w:tcPr>
          <w:p w14:paraId="7475E6DA" w14:textId="77777777" w:rsidR="008C4ECC" w:rsidRPr="00FB6D60" w:rsidRDefault="008C4ECC" w:rsidP="00347283">
            <w:pPr>
              <w:pStyle w:val="InA"/>
              <w:ind w:left="0"/>
              <w:rPr>
                <w:i w:val="0"/>
                <w:iCs w:val="0"/>
                <w:sz w:val="24"/>
              </w:rPr>
            </w:pPr>
            <w:r w:rsidRPr="00FB6D60">
              <w:rPr>
                <w:i w:val="0"/>
                <w:iCs w:val="0"/>
                <w:sz w:val="24"/>
              </w:rPr>
              <w:t>2</w:t>
            </w:r>
          </w:p>
        </w:tc>
        <w:tc>
          <w:tcPr>
            <w:tcW w:w="1724" w:type="dxa"/>
          </w:tcPr>
          <w:p w14:paraId="6A263CFE" w14:textId="77777777" w:rsidR="008C4ECC" w:rsidRPr="00FB6D60" w:rsidRDefault="008C4ECC" w:rsidP="00347283">
            <w:pPr>
              <w:pStyle w:val="InA"/>
              <w:ind w:left="0"/>
              <w:jc w:val="center"/>
              <w:rPr>
                <w:i w:val="0"/>
                <w:iCs w:val="0"/>
                <w:sz w:val="24"/>
              </w:rPr>
            </w:pPr>
            <w:r w:rsidRPr="00FB6D60">
              <w:rPr>
                <w:i w:val="0"/>
                <w:iCs w:val="0"/>
                <w:sz w:val="24"/>
              </w:rPr>
              <w:t>% of technical enquiries answered within 1 working day</w:t>
            </w:r>
          </w:p>
        </w:tc>
        <w:tc>
          <w:tcPr>
            <w:tcW w:w="1550" w:type="dxa"/>
          </w:tcPr>
          <w:p w14:paraId="57FEC998" w14:textId="316207DD" w:rsidR="008C4ECC" w:rsidRPr="00FB6D60" w:rsidRDefault="008C4ECC" w:rsidP="00347283">
            <w:pPr>
              <w:pStyle w:val="Default"/>
              <w:adjustRightInd/>
              <w:rPr>
                <w:rFonts w:ascii="Arial" w:eastAsia="Times New Roman" w:hAnsi="Arial" w:cs="Arial"/>
                <w:color w:val="auto"/>
                <w:szCs w:val="20"/>
              </w:rPr>
            </w:pPr>
            <w:r w:rsidRPr="00FB6D60">
              <w:rPr>
                <w:rFonts w:ascii="Arial" w:eastAsia="Times New Roman" w:hAnsi="Arial" w:cs="Arial"/>
                <w:color w:val="auto"/>
                <w:szCs w:val="20"/>
              </w:rPr>
              <w:t xml:space="preserve">Respond to enquiries requesting technical support with accessing the training </w:t>
            </w:r>
            <w:r w:rsidRPr="00FB6D60">
              <w:rPr>
                <w:rFonts w:ascii="Arial" w:eastAsia="Times New Roman" w:hAnsi="Arial" w:cs="Arial"/>
                <w:color w:val="auto"/>
                <w:szCs w:val="20"/>
              </w:rPr>
              <w:lastRenderedPageBreak/>
              <w:t>and other material on the website within 1 working day</w:t>
            </w:r>
            <w:r w:rsidR="0072567C">
              <w:rPr>
                <w:rFonts w:ascii="Arial" w:eastAsia="Times New Roman" w:hAnsi="Arial" w:cs="Arial"/>
                <w:color w:val="auto"/>
                <w:szCs w:val="20"/>
              </w:rPr>
              <w:t>.</w:t>
            </w:r>
          </w:p>
          <w:p w14:paraId="6488A695" w14:textId="77777777" w:rsidR="008C4ECC" w:rsidRPr="00FB6D60" w:rsidRDefault="008C4ECC" w:rsidP="00347283">
            <w:pPr>
              <w:pStyle w:val="InA"/>
              <w:ind w:left="0"/>
              <w:jc w:val="center"/>
              <w:rPr>
                <w:i w:val="0"/>
                <w:iCs w:val="0"/>
                <w:sz w:val="24"/>
              </w:rPr>
            </w:pPr>
          </w:p>
        </w:tc>
        <w:tc>
          <w:tcPr>
            <w:tcW w:w="1214" w:type="dxa"/>
          </w:tcPr>
          <w:p w14:paraId="696B7E37" w14:textId="77777777" w:rsidR="008C4ECC" w:rsidRPr="00FB6D60" w:rsidRDefault="008C4ECC" w:rsidP="00347283">
            <w:pPr>
              <w:pStyle w:val="InA"/>
              <w:ind w:left="0"/>
              <w:rPr>
                <w:i w:val="0"/>
                <w:iCs w:val="0"/>
                <w:sz w:val="24"/>
              </w:rPr>
            </w:pPr>
            <w:r w:rsidRPr="00FB6D60">
              <w:rPr>
                <w:i w:val="0"/>
                <w:iCs w:val="0"/>
                <w:sz w:val="24"/>
              </w:rPr>
              <w:lastRenderedPageBreak/>
              <w:t>Quarterly</w:t>
            </w:r>
          </w:p>
        </w:tc>
        <w:tc>
          <w:tcPr>
            <w:tcW w:w="1274" w:type="dxa"/>
          </w:tcPr>
          <w:p w14:paraId="5BD5E6E2" w14:textId="77777777" w:rsidR="008C4ECC" w:rsidRPr="00FB6D60" w:rsidRDefault="008C4ECC" w:rsidP="00347283">
            <w:pPr>
              <w:pStyle w:val="InA"/>
              <w:ind w:left="0"/>
              <w:rPr>
                <w:i w:val="0"/>
                <w:iCs w:val="0"/>
                <w:sz w:val="24"/>
              </w:rPr>
            </w:pPr>
            <w:r w:rsidRPr="00FB6D60">
              <w:rPr>
                <w:i w:val="0"/>
                <w:iCs w:val="0"/>
                <w:sz w:val="24"/>
              </w:rPr>
              <w:t>&lt;90%</w:t>
            </w:r>
          </w:p>
        </w:tc>
        <w:tc>
          <w:tcPr>
            <w:tcW w:w="1490" w:type="dxa"/>
          </w:tcPr>
          <w:p w14:paraId="38076350" w14:textId="77777777" w:rsidR="008C4ECC" w:rsidRPr="00FB6D60" w:rsidRDefault="008C4ECC" w:rsidP="00347283">
            <w:pPr>
              <w:pStyle w:val="InA"/>
              <w:ind w:left="0"/>
              <w:rPr>
                <w:i w:val="0"/>
                <w:iCs w:val="0"/>
                <w:sz w:val="24"/>
              </w:rPr>
            </w:pPr>
            <w:r w:rsidRPr="00FB6D60">
              <w:rPr>
                <w:i w:val="0"/>
                <w:iCs w:val="0"/>
                <w:sz w:val="24"/>
              </w:rPr>
              <w:t>91% - 94%</w:t>
            </w:r>
          </w:p>
        </w:tc>
        <w:tc>
          <w:tcPr>
            <w:tcW w:w="1363" w:type="dxa"/>
          </w:tcPr>
          <w:p w14:paraId="0E79CD88" w14:textId="77777777" w:rsidR="008C4ECC" w:rsidRPr="00FB6D60" w:rsidRDefault="008C4ECC" w:rsidP="00347283">
            <w:pPr>
              <w:pStyle w:val="InA"/>
              <w:ind w:left="0"/>
              <w:rPr>
                <w:i w:val="0"/>
                <w:iCs w:val="0"/>
                <w:sz w:val="24"/>
              </w:rPr>
            </w:pPr>
            <w:r w:rsidRPr="00FB6D60">
              <w:rPr>
                <w:i w:val="0"/>
                <w:iCs w:val="0"/>
                <w:sz w:val="24"/>
              </w:rPr>
              <w:t>&gt;95%</w:t>
            </w:r>
          </w:p>
        </w:tc>
        <w:tc>
          <w:tcPr>
            <w:tcW w:w="1047" w:type="dxa"/>
          </w:tcPr>
          <w:p w14:paraId="71CE893C" w14:textId="77777777" w:rsidR="008C4ECC" w:rsidRPr="00FB6D60" w:rsidRDefault="008C4ECC" w:rsidP="00347283">
            <w:pPr>
              <w:pStyle w:val="InA"/>
              <w:ind w:left="0"/>
              <w:rPr>
                <w:i w:val="0"/>
                <w:iCs w:val="0"/>
                <w:sz w:val="24"/>
              </w:rPr>
            </w:pPr>
            <w:r w:rsidRPr="00FB6D60">
              <w:rPr>
                <w:i w:val="0"/>
                <w:iCs w:val="0"/>
                <w:sz w:val="24"/>
              </w:rPr>
              <w:t>100%</w:t>
            </w:r>
          </w:p>
        </w:tc>
      </w:tr>
      <w:tr w:rsidR="00F13C51" w:rsidRPr="00657953" w14:paraId="1379C959" w14:textId="77777777" w:rsidTr="0072567C">
        <w:tc>
          <w:tcPr>
            <w:tcW w:w="545" w:type="dxa"/>
          </w:tcPr>
          <w:p w14:paraId="40522819" w14:textId="77777777" w:rsidR="008C4ECC" w:rsidRPr="00FB6D60" w:rsidRDefault="008C4ECC" w:rsidP="00347283">
            <w:pPr>
              <w:pStyle w:val="InA"/>
              <w:ind w:left="0"/>
              <w:rPr>
                <w:i w:val="0"/>
                <w:iCs w:val="0"/>
                <w:sz w:val="24"/>
              </w:rPr>
            </w:pPr>
            <w:r w:rsidRPr="00FB6D60">
              <w:rPr>
                <w:i w:val="0"/>
                <w:iCs w:val="0"/>
                <w:sz w:val="24"/>
              </w:rPr>
              <w:t>3</w:t>
            </w:r>
          </w:p>
        </w:tc>
        <w:tc>
          <w:tcPr>
            <w:tcW w:w="1724" w:type="dxa"/>
          </w:tcPr>
          <w:p w14:paraId="2AD92472" w14:textId="77777777" w:rsidR="008C4ECC" w:rsidRPr="00FB6D60" w:rsidRDefault="008C4ECC" w:rsidP="00347283">
            <w:pPr>
              <w:pStyle w:val="InA"/>
              <w:ind w:left="0"/>
              <w:jc w:val="center"/>
              <w:rPr>
                <w:i w:val="0"/>
                <w:iCs w:val="0"/>
                <w:sz w:val="24"/>
              </w:rPr>
            </w:pPr>
            <w:r w:rsidRPr="00FB6D60">
              <w:rPr>
                <w:i w:val="0"/>
                <w:iCs w:val="0"/>
                <w:sz w:val="24"/>
              </w:rPr>
              <w:t>% of clinical enquiries answered within 2 working days</w:t>
            </w:r>
          </w:p>
        </w:tc>
        <w:tc>
          <w:tcPr>
            <w:tcW w:w="1550" w:type="dxa"/>
          </w:tcPr>
          <w:p w14:paraId="6757E953" w14:textId="1D85CEFA" w:rsidR="008C4ECC" w:rsidRPr="00FB6D60" w:rsidRDefault="008C4ECC" w:rsidP="00347283">
            <w:pPr>
              <w:pStyle w:val="Default"/>
              <w:adjustRightInd/>
              <w:rPr>
                <w:rFonts w:ascii="Arial" w:eastAsia="Times New Roman" w:hAnsi="Arial" w:cs="Arial"/>
                <w:color w:val="auto"/>
                <w:szCs w:val="20"/>
              </w:rPr>
            </w:pPr>
            <w:r w:rsidRPr="00FB6D60">
              <w:rPr>
                <w:rFonts w:ascii="Arial" w:eastAsia="Times New Roman" w:hAnsi="Arial" w:cs="Arial"/>
                <w:color w:val="auto"/>
                <w:szCs w:val="20"/>
              </w:rPr>
              <w:t>Respond to enquiries regarding clinical or service delivery issues within 2 working days</w:t>
            </w:r>
            <w:r w:rsidR="0072567C">
              <w:rPr>
                <w:rFonts w:ascii="Arial" w:eastAsia="Times New Roman" w:hAnsi="Arial" w:cs="Arial"/>
                <w:color w:val="auto"/>
                <w:szCs w:val="20"/>
              </w:rPr>
              <w:t>.</w:t>
            </w:r>
          </w:p>
          <w:p w14:paraId="329F1308" w14:textId="77777777" w:rsidR="008C4ECC" w:rsidRPr="00FB6D60" w:rsidRDefault="008C4ECC" w:rsidP="00347283">
            <w:pPr>
              <w:pStyle w:val="Default"/>
              <w:adjustRightInd/>
              <w:rPr>
                <w:rFonts w:ascii="Arial" w:eastAsia="Times New Roman" w:hAnsi="Arial" w:cs="Arial"/>
                <w:color w:val="auto"/>
                <w:szCs w:val="20"/>
              </w:rPr>
            </w:pPr>
          </w:p>
        </w:tc>
        <w:tc>
          <w:tcPr>
            <w:tcW w:w="1214" w:type="dxa"/>
          </w:tcPr>
          <w:p w14:paraId="1BA9F9BE" w14:textId="77777777" w:rsidR="008C4ECC" w:rsidRPr="00FB6D60" w:rsidRDefault="008C4ECC" w:rsidP="00347283">
            <w:pPr>
              <w:pStyle w:val="InA"/>
              <w:ind w:left="0"/>
              <w:rPr>
                <w:i w:val="0"/>
                <w:iCs w:val="0"/>
                <w:sz w:val="24"/>
              </w:rPr>
            </w:pPr>
            <w:r w:rsidRPr="00FB6D60">
              <w:rPr>
                <w:i w:val="0"/>
                <w:iCs w:val="0"/>
                <w:sz w:val="24"/>
              </w:rPr>
              <w:t>Quarterly</w:t>
            </w:r>
          </w:p>
        </w:tc>
        <w:tc>
          <w:tcPr>
            <w:tcW w:w="1274" w:type="dxa"/>
          </w:tcPr>
          <w:p w14:paraId="62DEADB6" w14:textId="77777777" w:rsidR="008C4ECC" w:rsidRPr="00FB6D60" w:rsidRDefault="008C4ECC" w:rsidP="00347283">
            <w:pPr>
              <w:pStyle w:val="InA"/>
              <w:ind w:left="0"/>
              <w:rPr>
                <w:i w:val="0"/>
                <w:iCs w:val="0"/>
                <w:sz w:val="24"/>
              </w:rPr>
            </w:pPr>
            <w:r w:rsidRPr="00FB6D60">
              <w:rPr>
                <w:i w:val="0"/>
                <w:iCs w:val="0"/>
                <w:sz w:val="24"/>
              </w:rPr>
              <w:t>&lt;80%</w:t>
            </w:r>
          </w:p>
        </w:tc>
        <w:tc>
          <w:tcPr>
            <w:tcW w:w="1490" w:type="dxa"/>
          </w:tcPr>
          <w:p w14:paraId="13BB0818" w14:textId="77777777" w:rsidR="008C4ECC" w:rsidRPr="00FB6D60" w:rsidRDefault="008C4ECC" w:rsidP="00347283">
            <w:pPr>
              <w:pStyle w:val="InA"/>
              <w:ind w:left="0"/>
              <w:rPr>
                <w:i w:val="0"/>
                <w:iCs w:val="0"/>
                <w:sz w:val="24"/>
              </w:rPr>
            </w:pPr>
            <w:r w:rsidRPr="00FB6D60">
              <w:rPr>
                <w:i w:val="0"/>
                <w:iCs w:val="0"/>
                <w:sz w:val="24"/>
              </w:rPr>
              <w:t>81% - 89%</w:t>
            </w:r>
          </w:p>
        </w:tc>
        <w:tc>
          <w:tcPr>
            <w:tcW w:w="1363" w:type="dxa"/>
          </w:tcPr>
          <w:p w14:paraId="0932468E" w14:textId="77777777" w:rsidR="008C4ECC" w:rsidRPr="00FB6D60" w:rsidRDefault="008C4ECC" w:rsidP="00347283">
            <w:pPr>
              <w:pStyle w:val="InA"/>
              <w:ind w:left="0"/>
              <w:rPr>
                <w:i w:val="0"/>
                <w:iCs w:val="0"/>
                <w:sz w:val="24"/>
              </w:rPr>
            </w:pPr>
            <w:r w:rsidRPr="00FB6D60">
              <w:rPr>
                <w:i w:val="0"/>
                <w:iCs w:val="0"/>
                <w:sz w:val="24"/>
              </w:rPr>
              <w:t>&gt;90%</w:t>
            </w:r>
          </w:p>
        </w:tc>
        <w:tc>
          <w:tcPr>
            <w:tcW w:w="1047" w:type="dxa"/>
          </w:tcPr>
          <w:p w14:paraId="68C97426" w14:textId="77777777" w:rsidR="008C4ECC" w:rsidRPr="00FB6D60" w:rsidRDefault="008C4ECC" w:rsidP="00347283">
            <w:pPr>
              <w:pStyle w:val="InA"/>
              <w:ind w:left="0"/>
              <w:rPr>
                <w:i w:val="0"/>
                <w:iCs w:val="0"/>
                <w:sz w:val="24"/>
              </w:rPr>
            </w:pPr>
            <w:r w:rsidRPr="00FB6D60">
              <w:rPr>
                <w:i w:val="0"/>
                <w:iCs w:val="0"/>
                <w:sz w:val="24"/>
              </w:rPr>
              <w:t>100%</w:t>
            </w:r>
          </w:p>
        </w:tc>
      </w:tr>
      <w:tr w:rsidR="00F13C51" w:rsidRPr="00657953" w14:paraId="191EF5C7" w14:textId="77777777" w:rsidTr="0072567C">
        <w:tc>
          <w:tcPr>
            <w:tcW w:w="545" w:type="dxa"/>
          </w:tcPr>
          <w:p w14:paraId="422E1241" w14:textId="77777777" w:rsidR="008C4ECC" w:rsidRPr="00FB6D60" w:rsidRDefault="008C4ECC" w:rsidP="00347283">
            <w:pPr>
              <w:pStyle w:val="InA"/>
              <w:ind w:left="0"/>
              <w:rPr>
                <w:i w:val="0"/>
                <w:iCs w:val="0"/>
                <w:sz w:val="24"/>
              </w:rPr>
            </w:pPr>
            <w:r w:rsidRPr="00FB6D60">
              <w:rPr>
                <w:i w:val="0"/>
                <w:iCs w:val="0"/>
                <w:sz w:val="24"/>
              </w:rPr>
              <w:t>4</w:t>
            </w:r>
          </w:p>
        </w:tc>
        <w:tc>
          <w:tcPr>
            <w:tcW w:w="1724" w:type="dxa"/>
          </w:tcPr>
          <w:p w14:paraId="7C7F26EB" w14:textId="77777777" w:rsidR="008C4ECC" w:rsidRPr="00FB6D60" w:rsidRDefault="008C4ECC" w:rsidP="00347283">
            <w:pPr>
              <w:pStyle w:val="InA"/>
              <w:ind w:left="0"/>
              <w:jc w:val="center"/>
              <w:rPr>
                <w:i w:val="0"/>
                <w:iCs w:val="0"/>
                <w:sz w:val="24"/>
              </w:rPr>
            </w:pPr>
            <w:r w:rsidRPr="00FB6D60">
              <w:rPr>
                <w:i w:val="0"/>
                <w:iCs w:val="0"/>
                <w:sz w:val="24"/>
              </w:rPr>
              <w:t>% of training programmes and written briefings updated</w:t>
            </w:r>
          </w:p>
        </w:tc>
        <w:tc>
          <w:tcPr>
            <w:tcW w:w="1550" w:type="dxa"/>
          </w:tcPr>
          <w:p w14:paraId="3505075F" w14:textId="77777777" w:rsidR="008C4ECC" w:rsidRPr="00FB6D60" w:rsidRDefault="008C4ECC" w:rsidP="00347283">
            <w:pPr>
              <w:pStyle w:val="Default"/>
              <w:adjustRightInd/>
              <w:rPr>
                <w:rFonts w:ascii="Arial" w:eastAsia="Times New Roman" w:hAnsi="Arial" w:cs="Arial"/>
                <w:color w:val="auto"/>
                <w:szCs w:val="20"/>
              </w:rPr>
            </w:pPr>
            <w:r w:rsidRPr="00FB6D60">
              <w:rPr>
                <w:rFonts w:ascii="Arial" w:eastAsia="Times New Roman" w:hAnsi="Arial" w:cs="Arial"/>
                <w:color w:val="auto"/>
                <w:szCs w:val="20"/>
              </w:rPr>
              <w:t xml:space="preserve">Review and update all content (training and briefings) at least annually. </w:t>
            </w:r>
          </w:p>
          <w:p w14:paraId="1CF8A70C" w14:textId="77777777" w:rsidR="008C4ECC" w:rsidRPr="00FB6D60" w:rsidRDefault="008C4ECC" w:rsidP="00347283">
            <w:pPr>
              <w:pStyle w:val="InA"/>
              <w:ind w:left="0"/>
              <w:jc w:val="center"/>
              <w:rPr>
                <w:i w:val="0"/>
                <w:iCs w:val="0"/>
                <w:sz w:val="24"/>
              </w:rPr>
            </w:pPr>
          </w:p>
        </w:tc>
        <w:tc>
          <w:tcPr>
            <w:tcW w:w="1214" w:type="dxa"/>
          </w:tcPr>
          <w:p w14:paraId="0A2D418B" w14:textId="77777777" w:rsidR="008C4ECC" w:rsidRPr="00FB6D60" w:rsidRDefault="008C4ECC" w:rsidP="00347283">
            <w:pPr>
              <w:pStyle w:val="InA"/>
              <w:ind w:left="0"/>
              <w:rPr>
                <w:i w:val="0"/>
                <w:iCs w:val="0"/>
                <w:sz w:val="24"/>
              </w:rPr>
            </w:pPr>
            <w:r w:rsidRPr="00FB6D60">
              <w:rPr>
                <w:i w:val="0"/>
                <w:iCs w:val="0"/>
                <w:sz w:val="24"/>
              </w:rPr>
              <w:t>Quarterly</w:t>
            </w:r>
          </w:p>
        </w:tc>
        <w:tc>
          <w:tcPr>
            <w:tcW w:w="1274" w:type="dxa"/>
          </w:tcPr>
          <w:p w14:paraId="05381E3B" w14:textId="77777777" w:rsidR="008C4ECC" w:rsidRPr="00FB6D60" w:rsidRDefault="008C4ECC" w:rsidP="00347283">
            <w:pPr>
              <w:pStyle w:val="InA"/>
              <w:ind w:left="0"/>
              <w:rPr>
                <w:i w:val="0"/>
                <w:iCs w:val="0"/>
                <w:sz w:val="24"/>
              </w:rPr>
            </w:pPr>
            <w:r w:rsidRPr="00FB6D60">
              <w:rPr>
                <w:i w:val="0"/>
                <w:iCs w:val="0"/>
                <w:sz w:val="24"/>
              </w:rPr>
              <w:t>&lt;90%</w:t>
            </w:r>
          </w:p>
        </w:tc>
        <w:tc>
          <w:tcPr>
            <w:tcW w:w="1490" w:type="dxa"/>
          </w:tcPr>
          <w:p w14:paraId="54EC81C4" w14:textId="77777777" w:rsidR="008C4ECC" w:rsidRPr="00FB6D60" w:rsidRDefault="008C4ECC" w:rsidP="00347283">
            <w:pPr>
              <w:pStyle w:val="InA"/>
              <w:ind w:left="0"/>
              <w:rPr>
                <w:i w:val="0"/>
                <w:iCs w:val="0"/>
                <w:sz w:val="24"/>
              </w:rPr>
            </w:pPr>
            <w:r w:rsidRPr="00FB6D60">
              <w:rPr>
                <w:i w:val="0"/>
                <w:iCs w:val="0"/>
                <w:sz w:val="24"/>
              </w:rPr>
              <w:t>91% - 94%</w:t>
            </w:r>
          </w:p>
        </w:tc>
        <w:tc>
          <w:tcPr>
            <w:tcW w:w="1363" w:type="dxa"/>
          </w:tcPr>
          <w:p w14:paraId="103B2F39" w14:textId="77777777" w:rsidR="008C4ECC" w:rsidRPr="00FB6D60" w:rsidRDefault="008C4ECC" w:rsidP="00347283">
            <w:pPr>
              <w:pStyle w:val="InA"/>
              <w:ind w:left="0"/>
              <w:rPr>
                <w:i w:val="0"/>
                <w:iCs w:val="0"/>
                <w:sz w:val="24"/>
              </w:rPr>
            </w:pPr>
            <w:r w:rsidRPr="00FB6D60">
              <w:rPr>
                <w:i w:val="0"/>
                <w:iCs w:val="0"/>
                <w:sz w:val="24"/>
              </w:rPr>
              <w:t>&gt;95%</w:t>
            </w:r>
          </w:p>
        </w:tc>
        <w:tc>
          <w:tcPr>
            <w:tcW w:w="1047" w:type="dxa"/>
          </w:tcPr>
          <w:p w14:paraId="498F4A37" w14:textId="77777777" w:rsidR="008C4ECC" w:rsidRPr="00FB6D60" w:rsidRDefault="008C4ECC" w:rsidP="00347283">
            <w:pPr>
              <w:pStyle w:val="InA"/>
              <w:ind w:left="0"/>
              <w:rPr>
                <w:i w:val="0"/>
                <w:iCs w:val="0"/>
                <w:sz w:val="24"/>
              </w:rPr>
            </w:pPr>
            <w:r w:rsidRPr="00FB6D60">
              <w:rPr>
                <w:i w:val="0"/>
                <w:iCs w:val="0"/>
                <w:sz w:val="24"/>
              </w:rPr>
              <w:t>100%</w:t>
            </w:r>
          </w:p>
        </w:tc>
      </w:tr>
      <w:tr w:rsidR="00F13C51" w:rsidRPr="00657953" w14:paraId="1BE2256D" w14:textId="77777777" w:rsidTr="0072567C">
        <w:tc>
          <w:tcPr>
            <w:tcW w:w="545" w:type="dxa"/>
          </w:tcPr>
          <w:p w14:paraId="53C785F2" w14:textId="77777777" w:rsidR="008C4ECC" w:rsidRPr="00FB6D60" w:rsidRDefault="008C4ECC" w:rsidP="00347283">
            <w:pPr>
              <w:pStyle w:val="InA"/>
              <w:ind w:left="0"/>
              <w:rPr>
                <w:i w:val="0"/>
                <w:iCs w:val="0"/>
                <w:sz w:val="24"/>
              </w:rPr>
            </w:pPr>
            <w:bookmarkStart w:id="16" w:name="_Hlk118375074"/>
            <w:r w:rsidRPr="00FB6D60">
              <w:rPr>
                <w:i w:val="0"/>
                <w:iCs w:val="0"/>
                <w:sz w:val="24"/>
              </w:rPr>
              <w:t>5</w:t>
            </w:r>
          </w:p>
        </w:tc>
        <w:tc>
          <w:tcPr>
            <w:tcW w:w="1724" w:type="dxa"/>
          </w:tcPr>
          <w:p w14:paraId="286A66AA" w14:textId="77777777" w:rsidR="008C4ECC" w:rsidRPr="00FB6D60" w:rsidRDefault="008C4ECC" w:rsidP="00347283">
            <w:pPr>
              <w:pStyle w:val="InA"/>
              <w:ind w:left="0"/>
              <w:jc w:val="center"/>
              <w:rPr>
                <w:i w:val="0"/>
                <w:iCs w:val="0"/>
                <w:sz w:val="24"/>
              </w:rPr>
            </w:pPr>
            <w:r w:rsidRPr="00FB6D60">
              <w:rPr>
                <w:i w:val="0"/>
                <w:iCs w:val="0"/>
                <w:sz w:val="24"/>
              </w:rPr>
              <w:t xml:space="preserve">% of reports delivered on time  </w:t>
            </w:r>
          </w:p>
        </w:tc>
        <w:tc>
          <w:tcPr>
            <w:tcW w:w="1550" w:type="dxa"/>
          </w:tcPr>
          <w:p w14:paraId="14F141C1" w14:textId="77777777" w:rsidR="008C4ECC" w:rsidRPr="00FB6D60" w:rsidRDefault="008C4ECC" w:rsidP="00347283">
            <w:pPr>
              <w:pStyle w:val="InA"/>
              <w:ind w:left="0"/>
              <w:jc w:val="center"/>
              <w:rPr>
                <w:i w:val="0"/>
                <w:iCs w:val="0"/>
                <w:sz w:val="24"/>
              </w:rPr>
            </w:pPr>
            <w:r w:rsidRPr="00FB6D60">
              <w:rPr>
                <w:i w:val="0"/>
                <w:iCs w:val="0"/>
                <w:sz w:val="24"/>
              </w:rPr>
              <w:t>Quarterly and annual reports to be provided within 21 days of the end of each quarter.</w:t>
            </w:r>
          </w:p>
        </w:tc>
        <w:tc>
          <w:tcPr>
            <w:tcW w:w="1214" w:type="dxa"/>
          </w:tcPr>
          <w:p w14:paraId="06745339" w14:textId="77777777" w:rsidR="008C4ECC" w:rsidRPr="00FB6D60" w:rsidRDefault="008C4ECC" w:rsidP="00347283">
            <w:pPr>
              <w:pStyle w:val="InA"/>
              <w:ind w:left="0"/>
              <w:rPr>
                <w:i w:val="0"/>
                <w:iCs w:val="0"/>
                <w:sz w:val="24"/>
              </w:rPr>
            </w:pPr>
            <w:r w:rsidRPr="00FB6D60">
              <w:rPr>
                <w:i w:val="0"/>
                <w:iCs w:val="0"/>
                <w:sz w:val="24"/>
              </w:rPr>
              <w:t xml:space="preserve">Quarterly </w:t>
            </w:r>
          </w:p>
        </w:tc>
        <w:tc>
          <w:tcPr>
            <w:tcW w:w="1274" w:type="dxa"/>
          </w:tcPr>
          <w:p w14:paraId="37A95779" w14:textId="77777777" w:rsidR="008C4ECC" w:rsidRPr="00FB6D60" w:rsidRDefault="008C4ECC" w:rsidP="00347283">
            <w:pPr>
              <w:pStyle w:val="InA"/>
              <w:ind w:left="0"/>
              <w:rPr>
                <w:i w:val="0"/>
                <w:iCs w:val="0"/>
                <w:sz w:val="24"/>
              </w:rPr>
            </w:pPr>
            <w:r w:rsidRPr="00FB6D60">
              <w:rPr>
                <w:i w:val="0"/>
                <w:iCs w:val="0"/>
                <w:sz w:val="24"/>
              </w:rPr>
              <w:t>&lt;70%</w:t>
            </w:r>
          </w:p>
          <w:p w14:paraId="768D8569" w14:textId="77777777" w:rsidR="008C4ECC" w:rsidRPr="00FB6D60" w:rsidRDefault="008C4ECC" w:rsidP="00347283">
            <w:pPr>
              <w:pStyle w:val="InA"/>
              <w:ind w:left="0"/>
              <w:rPr>
                <w:i w:val="0"/>
                <w:iCs w:val="0"/>
                <w:sz w:val="24"/>
              </w:rPr>
            </w:pPr>
          </w:p>
        </w:tc>
        <w:tc>
          <w:tcPr>
            <w:tcW w:w="1490" w:type="dxa"/>
          </w:tcPr>
          <w:p w14:paraId="2E43FFC9" w14:textId="77777777" w:rsidR="008C4ECC" w:rsidRPr="00FB6D60" w:rsidRDefault="008C4ECC" w:rsidP="00347283">
            <w:pPr>
              <w:pStyle w:val="InA"/>
              <w:ind w:left="0"/>
              <w:rPr>
                <w:i w:val="0"/>
                <w:iCs w:val="0"/>
                <w:sz w:val="24"/>
              </w:rPr>
            </w:pPr>
            <w:r w:rsidRPr="00FB6D60">
              <w:rPr>
                <w:i w:val="0"/>
                <w:iCs w:val="0"/>
                <w:sz w:val="24"/>
              </w:rPr>
              <w:t>80%</w:t>
            </w:r>
          </w:p>
        </w:tc>
        <w:tc>
          <w:tcPr>
            <w:tcW w:w="1363" w:type="dxa"/>
          </w:tcPr>
          <w:p w14:paraId="01B89891" w14:textId="77777777" w:rsidR="008C4ECC" w:rsidRPr="00FB6D60" w:rsidRDefault="008C4ECC" w:rsidP="00347283">
            <w:pPr>
              <w:pStyle w:val="InA"/>
              <w:ind w:left="0"/>
              <w:rPr>
                <w:i w:val="0"/>
                <w:iCs w:val="0"/>
                <w:sz w:val="24"/>
              </w:rPr>
            </w:pPr>
            <w:r w:rsidRPr="00FB6D60">
              <w:rPr>
                <w:i w:val="0"/>
                <w:iCs w:val="0"/>
                <w:sz w:val="24"/>
              </w:rPr>
              <w:t>90%</w:t>
            </w:r>
          </w:p>
        </w:tc>
        <w:tc>
          <w:tcPr>
            <w:tcW w:w="1047" w:type="dxa"/>
          </w:tcPr>
          <w:p w14:paraId="21C19E49" w14:textId="77777777" w:rsidR="008C4ECC" w:rsidRPr="00FB6D60" w:rsidRDefault="008C4ECC" w:rsidP="00347283">
            <w:pPr>
              <w:pStyle w:val="InA"/>
              <w:ind w:left="0"/>
              <w:rPr>
                <w:i w:val="0"/>
                <w:iCs w:val="0"/>
                <w:sz w:val="24"/>
              </w:rPr>
            </w:pPr>
            <w:r w:rsidRPr="00FB6D60">
              <w:rPr>
                <w:i w:val="0"/>
                <w:iCs w:val="0"/>
                <w:sz w:val="24"/>
              </w:rPr>
              <w:t>100%</w:t>
            </w:r>
          </w:p>
        </w:tc>
      </w:tr>
      <w:bookmarkEnd w:id="16"/>
      <w:tr w:rsidR="00F13C51" w:rsidRPr="00657953" w14:paraId="3493D853" w14:textId="77777777" w:rsidTr="0072567C">
        <w:tc>
          <w:tcPr>
            <w:tcW w:w="545" w:type="dxa"/>
          </w:tcPr>
          <w:p w14:paraId="4DC274FA" w14:textId="77777777" w:rsidR="008C4ECC" w:rsidRPr="00FB6D60" w:rsidRDefault="008C4ECC" w:rsidP="00347283">
            <w:pPr>
              <w:pStyle w:val="InA"/>
              <w:ind w:left="0"/>
              <w:rPr>
                <w:i w:val="0"/>
                <w:iCs w:val="0"/>
                <w:sz w:val="24"/>
              </w:rPr>
            </w:pPr>
            <w:r w:rsidRPr="00FB6D60">
              <w:rPr>
                <w:i w:val="0"/>
                <w:iCs w:val="0"/>
                <w:sz w:val="24"/>
              </w:rPr>
              <w:t>6</w:t>
            </w:r>
          </w:p>
        </w:tc>
        <w:tc>
          <w:tcPr>
            <w:tcW w:w="1724" w:type="dxa"/>
          </w:tcPr>
          <w:p w14:paraId="380E855F" w14:textId="77777777" w:rsidR="008C4ECC" w:rsidRPr="00FB6D60" w:rsidRDefault="008C4ECC" w:rsidP="00347283">
            <w:pPr>
              <w:pStyle w:val="InA"/>
              <w:ind w:left="0"/>
              <w:jc w:val="center"/>
              <w:rPr>
                <w:i w:val="0"/>
                <w:iCs w:val="0"/>
                <w:sz w:val="24"/>
              </w:rPr>
            </w:pPr>
            <w:r w:rsidRPr="00FB6D60">
              <w:rPr>
                <w:i w:val="0"/>
                <w:iCs w:val="0"/>
                <w:sz w:val="24"/>
              </w:rPr>
              <w:t>Number of evidence or policy briefings delivered per year</w:t>
            </w:r>
          </w:p>
        </w:tc>
        <w:tc>
          <w:tcPr>
            <w:tcW w:w="1550" w:type="dxa"/>
          </w:tcPr>
          <w:p w14:paraId="201F4C3B" w14:textId="77777777" w:rsidR="008C4ECC" w:rsidRPr="00FB6D60" w:rsidRDefault="008C4ECC" w:rsidP="00347283">
            <w:pPr>
              <w:pStyle w:val="InA"/>
              <w:ind w:left="0"/>
              <w:jc w:val="center"/>
              <w:rPr>
                <w:i w:val="0"/>
                <w:iCs w:val="0"/>
                <w:sz w:val="24"/>
              </w:rPr>
            </w:pPr>
            <w:r w:rsidRPr="00FB6D60">
              <w:rPr>
                <w:i w:val="0"/>
                <w:iCs w:val="0"/>
                <w:sz w:val="24"/>
              </w:rPr>
              <w:t>Resources, briefings and products responding to developments in the evidence base and the needs of stop smoking service commission</w:t>
            </w:r>
            <w:r w:rsidRPr="00FB6D60">
              <w:rPr>
                <w:i w:val="0"/>
                <w:iCs w:val="0"/>
                <w:sz w:val="24"/>
              </w:rPr>
              <w:lastRenderedPageBreak/>
              <w:t>ers, managers and practitioners.</w:t>
            </w:r>
          </w:p>
        </w:tc>
        <w:tc>
          <w:tcPr>
            <w:tcW w:w="1214" w:type="dxa"/>
          </w:tcPr>
          <w:p w14:paraId="6BBC282E" w14:textId="77777777" w:rsidR="008C4ECC" w:rsidRPr="00FB6D60" w:rsidRDefault="008C4ECC" w:rsidP="00347283">
            <w:pPr>
              <w:pStyle w:val="InA"/>
              <w:ind w:left="0"/>
              <w:rPr>
                <w:i w:val="0"/>
                <w:iCs w:val="0"/>
                <w:sz w:val="24"/>
              </w:rPr>
            </w:pPr>
            <w:r w:rsidRPr="00FB6D60">
              <w:rPr>
                <w:i w:val="0"/>
                <w:iCs w:val="0"/>
                <w:sz w:val="24"/>
              </w:rPr>
              <w:lastRenderedPageBreak/>
              <w:t>Quarterly</w:t>
            </w:r>
          </w:p>
        </w:tc>
        <w:tc>
          <w:tcPr>
            <w:tcW w:w="1274" w:type="dxa"/>
          </w:tcPr>
          <w:p w14:paraId="2C5E681F" w14:textId="77777777" w:rsidR="008C4ECC" w:rsidRPr="00FB6D60" w:rsidRDefault="008C4ECC" w:rsidP="00347283">
            <w:pPr>
              <w:pStyle w:val="InA"/>
              <w:ind w:left="0"/>
              <w:rPr>
                <w:i w:val="0"/>
                <w:iCs w:val="0"/>
                <w:sz w:val="24"/>
              </w:rPr>
            </w:pPr>
            <w:r w:rsidRPr="00FB6D60">
              <w:rPr>
                <w:i w:val="0"/>
                <w:iCs w:val="0"/>
                <w:sz w:val="24"/>
              </w:rPr>
              <w:t>0</w:t>
            </w:r>
          </w:p>
        </w:tc>
        <w:tc>
          <w:tcPr>
            <w:tcW w:w="1490" w:type="dxa"/>
          </w:tcPr>
          <w:p w14:paraId="3CCD2708" w14:textId="77777777" w:rsidR="008C4ECC" w:rsidRPr="00FB6D60" w:rsidRDefault="008C4ECC" w:rsidP="00347283">
            <w:pPr>
              <w:pStyle w:val="InA"/>
              <w:ind w:left="0"/>
              <w:rPr>
                <w:i w:val="0"/>
                <w:iCs w:val="0"/>
                <w:sz w:val="24"/>
              </w:rPr>
            </w:pPr>
            <w:r w:rsidRPr="00FB6D60">
              <w:rPr>
                <w:i w:val="0"/>
                <w:iCs w:val="0"/>
                <w:sz w:val="24"/>
              </w:rPr>
              <w:t>1</w:t>
            </w:r>
          </w:p>
        </w:tc>
        <w:tc>
          <w:tcPr>
            <w:tcW w:w="1363" w:type="dxa"/>
          </w:tcPr>
          <w:p w14:paraId="255F3978" w14:textId="77777777" w:rsidR="008C4ECC" w:rsidRPr="00FB6D60" w:rsidRDefault="008C4ECC" w:rsidP="00347283">
            <w:pPr>
              <w:pStyle w:val="InA"/>
              <w:ind w:left="0"/>
              <w:rPr>
                <w:i w:val="0"/>
                <w:iCs w:val="0"/>
                <w:sz w:val="24"/>
              </w:rPr>
            </w:pPr>
            <w:r w:rsidRPr="00FB6D60">
              <w:rPr>
                <w:i w:val="0"/>
                <w:iCs w:val="0"/>
                <w:sz w:val="24"/>
              </w:rPr>
              <w:t>2</w:t>
            </w:r>
          </w:p>
        </w:tc>
        <w:tc>
          <w:tcPr>
            <w:tcW w:w="1047" w:type="dxa"/>
          </w:tcPr>
          <w:p w14:paraId="512C8915" w14:textId="77777777" w:rsidR="008C4ECC" w:rsidRPr="00FB6D60" w:rsidRDefault="008C4ECC" w:rsidP="00347283">
            <w:pPr>
              <w:pStyle w:val="InA"/>
              <w:ind w:left="0"/>
              <w:rPr>
                <w:i w:val="0"/>
                <w:iCs w:val="0"/>
                <w:sz w:val="24"/>
              </w:rPr>
            </w:pPr>
            <w:r w:rsidRPr="00FB6D60">
              <w:rPr>
                <w:i w:val="0"/>
                <w:iCs w:val="0"/>
                <w:sz w:val="24"/>
              </w:rPr>
              <w:t>3+</w:t>
            </w:r>
          </w:p>
        </w:tc>
      </w:tr>
      <w:tr w:rsidR="00F13C51" w:rsidRPr="00657953" w14:paraId="3C0DA5A0" w14:textId="77777777" w:rsidTr="0072567C">
        <w:tc>
          <w:tcPr>
            <w:tcW w:w="545" w:type="dxa"/>
          </w:tcPr>
          <w:p w14:paraId="26DEBEFF" w14:textId="77777777" w:rsidR="008C4ECC" w:rsidRPr="00FB6D60" w:rsidRDefault="008C4ECC" w:rsidP="00347283">
            <w:pPr>
              <w:pStyle w:val="InA"/>
              <w:ind w:left="0"/>
              <w:rPr>
                <w:i w:val="0"/>
                <w:iCs w:val="0"/>
                <w:sz w:val="24"/>
              </w:rPr>
            </w:pPr>
            <w:r w:rsidRPr="00FB6D60">
              <w:rPr>
                <w:i w:val="0"/>
                <w:iCs w:val="0"/>
                <w:sz w:val="24"/>
              </w:rPr>
              <w:t>7</w:t>
            </w:r>
          </w:p>
        </w:tc>
        <w:tc>
          <w:tcPr>
            <w:tcW w:w="1724" w:type="dxa"/>
          </w:tcPr>
          <w:p w14:paraId="4A52041E" w14:textId="77777777" w:rsidR="008C4ECC" w:rsidRPr="00FB6D60" w:rsidRDefault="008C4ECC" w:rsidP="00347283">
            <w:pPr>
              <w:pStyle w:val="InA"/>
              <w:ind w:left="0"/>
              <w:jc w:val="center"/>
              <w:rPr>
                <w:i w:val="0"/>
                <w:iCs w:val="0"/>
                <w:sz w:val="24"/>
              </w:rPr>
            </w:pPr>
            <w:r w:rsidRPr="00FB6D60">
              <w:rPr>
                <w:i w:val="0"/>
                <w:iCs w:val="0"/>
                <w:sz w:val="24"/>
              </w:rPr>
              <w:t>Website up time</w:t>
            </w:r>
          </w:p>
        </w:tc>
        <w:tc>
          <w:tcPr>
            <w:tcW w:w="1550" w:type="dxa"/>
          </w:tcPr>
          <w:p w14:paraId="4774D7AD" w14:textId="3821B3F1" w:rsidR="008C4ECC" w:rsidRPr="00FB6D60" w:rsidRDefault="008C4ECC" w:rsidP="00347283">
            <w:pPr>
              <w:pStyle w:val="InA"/>
              <w:ind w:left="0"/>
              <w:jc w:val="center"/>
              <w:rPr>
                <w:i w:val="0"/>
                <w:iCs w:val="0"/>
                <w:sz w:val="24"/>
              </w:rPr>
            </w:pPr>
            <w:r w:rsidRPr="00FB6D60">
              <w:rPr>
                <w:i w:val="0"/>
                <w:iCs w:val="0"/>
                <w:sz w:val="24"/>
              </w:rPr>
              <w:t xml:space="preserve">Website uptime excluding </w:t>
            </w:r>
            <w:r w:rsidR="00FB6D60" w:rsidRPr="00FB6D60">
              <w:rPr>
                <w:i w:val="0"/>
                <w:iCs w:val="0"/>
                <w:sz w:val="24"/>
              </w:rPr>
              <w:t>scheduled maintenance</w:t>
            </w:r>
          </w:p>
        </w:tc>
        <w:tc>
          <w:tcPr>
            <w:tcW w:w="1214" w:type="dxa"/>
          </w:tcPr>
          <w:p w14:paraId="6882ED73" w14:textId="77777777" w:rsidR="008C4ECC" w:rsidRPr="00FB6D60" w:rsidRDefault="008C4ECC" w:rsidP="00347283">
            <w:pPr>
              <w:pStyle w:val="InA"/>
              <w:ind w:left="0"/>
              <w:rPr>
                <w:i w:val="0"/>
                <w:iCs w:val="0"/>
                <w:sz w:val="24"/>
              </w:rPr>
            </w:pPr>
            <w:r w:rsidRPr="00FB6D60">
              <w:rPr>
                <w:i w:val="0"/>
                <w:iCs w:val="0"/>
                <w:sz w:val="24"/>
              </w:rPr>
              <w:t>Quarterly</w:t>
            </w:r>
          </w:p>
        </w:tc>
        <w:tc>
          <w:tcPr>
            <w:tcW w:w="1274" w:type="dxa"/>
          </w:tcPr>
          <w:p w14:paraId="01DC3A4F" w14:textId="77777777" w:rsidR="008C4ECC" w:rsidRPr="00FB6D60" w:rsidRDefault="008C4ECC" w:rsidP="00347283">
            <w:pPr>
              <w:pStyle w:val="InA"/>
              <w:ind w:left="0"/>
              <w:rPr>
                <w:i w:val="0"/>
                <w:iCs w:val="0"/>
                <w:sz w:val="24"/>
              </w:rPr>
            </w:pPr>
            <w:r w:rsidRPr="00FB6D60">
              <w:rPr>
                <w:i w:val="0"/>
                <w:iCs w:val="0"/>
                <w:sz w:val="24"/>
              </w:rPr>
              <w:t>&gt;100%</w:t>
            </w:r>
          </w:p>
        </w:tc>
        <w:tc>
          <w:tcPr>
            <w:tcW w:w="1490" w:type="dxa"/>
          </w:tcPr>
          <w:p w14:paraId="78B5A0E4" w14:textId="67634634" w:rsidR="008C4ECC" w:rsidRPr="00FB6D60" w:rsidRDefault="00FB6D60" w:rsidP="00347283">
            <w:pPr>
              <w:pStyle w:val="InA"/>
              <w:ind w:left="0"/>
              <w:rPr>
                <w:i w:val="0"/>
                <w:iCs w:val="0"/>
                <w:sz w:val="24"/>
              </w:rPr>
            </w:pPr>
            <w:r w:rsidRPr="00FB6D60">
              <w:rPr>
                <w:i w:val="0"/>
                <w:iCs w:val="0"/>
                <w:sz w:val="24"/>
              </w:rPr>
              <w:t>n/a</w:t>
            </w:r>
          </w:p>
        </w:tc>
        <w:tc>
          <w:tcPr>
            <w:tcW w:w="1363" w:type="dxa"/>
          </w:tcPr>
          <w:p w14:paraId="6AEA53DF" w14:textId="41DE3BAE" w:rsidR="008C4ECC" w:rsidRPr="00FB6D60" w:rsidRDefault="00FB6D60" w:rsidP="00347283">
            <w:pPr>
              <w:pStyle w:val="InA"/>
              <w:ind w:left="0"/>
              <w:rPr>
                <w:i w:val="0"/>
                <w:iCs w:val="0"/>
                <w:sz w:val="24"/>
              </w:rPr>
            </w:pPr>
            <w:r w:rsidRPr="00FB6D60">
              <w:rPr>
                <w:i w:val="0"/>
                <w:iCs w:val="0"/>
                <w:sz w:val="24"/>
              </w:rPr>
              <w:t>n/a</w:t>
            </w:r>
          </w:p>
        </w:tc>
        <w:tc>
          <w:tcPr>
            <w:tcW w:w="1047" w:type="dxa"/>
          </w:tcPr>
          <w:p w14:paraId="3AA08B52" w14:textId="77777777" w:rsidR="008C4ECC" w:rsidRPr="00FB6D60" w:rsidRDefault="008C4ECC" w:rsidP="00347283">
            <w:pPr>
              <w:pStyle w:val="InA"/>
              <w:ind w:left="0"/>
              <w:rPr>
                <w:i w:val="0"/>
                <w:iCs w:val="0"/>
                <w:sz w:val="24"/>
              </w:rPr>
            </w:pPr>
            <w:r w:rsidRPr="00FB6D60">
              <w:rPr>
                <w:i w:val="0"/>
                <w:iCs w:val="0"/>
                <w:sz w:val="24"/>
              </w:rPr>
              <w:t>100%</w:t>
            </w:r>
          </w:p>
        </w:tc>
      </w:tr>
    </w:tbl>
    <w:p w14:paraId="59E2CA11" w14:textId="77777777" w:rsidR="00571EA0" w:rsidRPr="00D919FF" w:rsidRDefault="00571EA0" w:rsidP="00D919FF">
      <w:pPr>
        <w:pStyle w:val="StyleHeading2"/>
      </w:pPr>
    </w:p>
    <w:p w14:paraId="7D0F9399" w14:textId="386D02E5" w:rsidR="00495872" w:rsidRDefault="00C4063C" w:rsidP="00FB6D60">
      <w:pPr>
        <w:pStyle w:val="Sch1"/>
        <w:numPr>
          <w:ilvl w:val="0"/>
          <w:numId w:val="73"/>
        </w:numPr>
        <w:rPr>
          <w:rFonts w:ascii="Arial" w:hAnsi="Arial"/>
          <w:sz w:val="24"/>
          <w:szCs w:val="24"/>
        </w:rPr>
      </w:pPr>
      <w:bookmarkStart w:id="17" w:name="_Toc118380636"/>
      <w:r>
        <w:rPr>
          <w:rFonts w:ascii="Arial" w:hAnsi="Arial"/>
          <w:sz w:val="24"/>
          <w:szCs w:val="24"/>
        </w:rPr>
        <w:t>B</w:t>
      </w:r>
      <w:r w:rsidR="00831E84" w:rsidRPr="00B07531">
        <w:rPr>
          <w:rFonts w:ascii="Arial" w:hAnsi="Arial"/>
          <w:sz w:val="24"/>
          <w:szCs w:val="24"/>
        </w:rPr>
        <w:t>udget</w:t>
      </w:r>
      <w:r>
        <w:rPr>
          <w:rFonts w:ascii="Arial" w:hAnsi="Arial"/>
          <w:sz w:val="24"/>
          <w:szCs w:val="24"/>
        </w:rPr>
        <w:t>/Payment Schedule</w:t>
      </w:r>
      <w:bookmarkEnd w:id="17"/>
    </w:p>
    <w:p w14:paraId="3CA85093" w14:textId="77777777" w:rsidR="00105AC3" w:rsidRDefault="00105AC3" w:rsidP="00105AC3">
      <w:pPr>
        <w:pStyle w:val="StyleHeading2"/>
        <w:ind w:left="680"/>
      </w:pPr>
    </w:p>
    <w:p w14:paraId="26A64B07" w14:textId="2EF54C61" w:rsidR="00EB714D" w:rsidRDefault="00105AC3" w:rsidP="00EB714D">
      <w:pPr>
        <w:pStyle w:val="StyleHeading2"/>
        <w:numPr>
          <w:ilvl w:val="1"/>
          <w:numId w:val="73"/>
        </w:numPr>
      </w:pPr>
      <w:r>
        <w:t xml:space="preserve">The initial contract period of three years will have a maximum contract value of </w:t>
      </w:r>
      <w:r w:rsidR="00D86923">
        <w:t>£561,000.00</w:t>
      </w:r>
      <w:r w:rsidR="00175B8C">
        <w:t xml:space="preserve"> exclusive of Value Added Tax</w:t>
      </w:r>
      <w:r w:rsidR="00D86923">
        <w:t xml:space="preserve"> with the optional extension </w:t>
      </w:r>
      <w:r w:rsidR="00175B8C">
        <w:t>periods having a maximum of value of £187,000.00 exclusive of Value Added Tax per annum.</w:t>
      </w:r>
    </w:p>
    <w:p w14:paraId="0EE9188F" w14:textId="77777777" w:rsidR="00EB714D" w:rsidRPr="00EB714D" w:rsidRDefault="00EB714D" w:rsidP="00EB714D">
      <w:pPr>
        <w:pStyle w:val="StyleHeading2"/>
        <w:ind w:left="680"/>
      </w:pPr>
    </w:p>
    <w:p w14:paraId="2195A3EA" w14:textId="1FDE8345" w:rsidR="00FD5299" w:rsidRPr="00495872" w:rsidRDefault="00FD5299" w:rsidP="00EB714D">
      <w:pPr>
        <w:pStyle w:val="StyleHeading2"/>
        <w:numPr>
          <w:ilvl w:val="1"/>
          <w:numId w:val="73"/>
        </w:numPr>
      </w:pPr>
      <w:bookmarkStart w:id="18" w:name="_Toc118295347"/>
      <w:r w:rsidRPr="00EB714D">
        <w:t xml:space="preserve">Payment will be made quarterly in arrears once an accurate and timely invoice is </w:t>
      </w:r>
      <w:r w:rsidR="00571EA0" w:rsidRPr="00EB714D">
        <w:t>received,</w:t>
      </w:r>
      <w:r w:rsidRPr="00EB714D">
        <w:t xml:space="preserve"> and the </w:t>
      </w:r>
      <w:r w:rsidR="006B3985" w:rsidRPr="00EB714D">
        <w:t>Authorit</w:t>
      </w:r>
      <w:r w:rsidR="00BE2BAC" w:rsidRPr="00EB714D">
        <w:t>y’s</w:t>
      </w:r>
      <w:r w:rsidR="006B3985" w:rsidRPr="00EB714D">
        <w:t xml:space="preserve"> </w:t>
      </w:r>
      <w:r w:rsidRPr="00EB714D">
        <w:t>project manager is content that the agreed relevant milestones have been completed for the quarter</w:t>
      </w:r>
      <w:r w:rsidRPr="00246041">
        <w:t>.</w:t>
      </w:r>
      <w:bookmarkEnd w:id="18"/>
    </w:p>
    <w:p w14:paraId="50924D3B" w14:textId="77777777" w:rsidR="00E70EE2" w:rsidRPr="0066784D" w:rsidRDefault="00E70EE2" w:rsidP="0066784D">
      <w:pPr>
        <w:pStyle w:val="StyleHeading2"/>
      </w:pPr>
    </w:p>
    <w:p w14:paraId="3B69893A" w14:textId="146BCB9B" w:rsidR="000200A3" w:rsidRDefault="00E55464" w:rsidP="005C20D6">
      <w:pPr>
        <w:pStyle w:val="Sch1"/>
        <w:numPr>
          <w:ilvl w:val="0"/>
          <w:numId w:val="73"/>
        </w:numPr>
        <w:ind w:left="567" w:hanging="567"/>
        <w:rPr>
          <w:rFonts w:ascii="Arial" w:hAnsi="Arial"/>
          <w:sz w:val="24"/>
          <w:szCs w:val="24"/>
        </w:rPr>
      </w:pPr>
      <w:bookmarkStart w:id="19" w:name="_Toc118380637"/>
      <w:r>
        <w:rPr>
          <w:rFonts w:ascii="Arial" w:hAnsi="Arial"/>
          <w:sz w:val="24"/>
          <w:szCs w:val="24"/>
        </w:rPr>
        <w:t>C</w:t>
      </w:r>
      <w:r w:rsidR="00831E84" w:rsidRPr="00B07531">
        <w:rPr>
          <w:rFonts w:ascii="Arial" w:hAnsi="Arial"/>
          <w:sz w:val="24"/>
          <w:szCs w:val="24"/>
        </w:rPr>
        <w:t xml:space="preserve">ontract </w:t>
      </w:r>
      <w:r>
        <w:rPr>
          <w:rFonts w:ascii="Arial" w:hAnsi="Arial"/>
          <w:sz w:val="24"/>
          <w:szCs w:val="24"/>
        </w:rPr>
        <w:t>Term</w:t>
      </w:r>
      <w:bookmarkEnd w:id="19"/>
    </w:p>
    <w:p w14:paraId="4ACD0F2C" w14:textId="3A451AE6" w:rsidR="00E85FF9" w:rsidRDefault="00E85FF9" w:rsidP="00572BD4">
      <w:pPr>
        <w:pStyle w:val="StyleHeading2"/>
        <w:ind w:left="567"/>
      </w:pPr>
    </w:p>
    <w:p w14:paraId="14B4A540" w14:textId="77777777" w:rsidR="008260E6" w:rsidRDefault="00E85FF9" w:rsidP="008260E6">
      <w:pPr>
        <w:pStyle w:val="StyleHeading2"/>
        <w:numPr>
          <w:ilvl w:val="1"/>
          <w:numId w:val="73"/>
        </w:numPr>
      </w:pPr>
      <w:r>
        <w:t>Three years, with the option to extend for a further two</w:t>
      </w:r>
      <w:r w:rsidR="00571EA0">
        <w:t xml:space="preserve"> </w:t>
      </w:r>
      <w:r w:rsidR="000538DA">
        <w:t>one-year</w:t>
      </w:r>
      <w:r w:rsidR="00571EA0">
        <w:t xml:space="preserve"> periods (3+1+1).</w:t>
      </w:r>
    </w:p>
    <w:p w14:paraId="7F849677" w14:textId="77777777" w:rsidR="008260E6" w:rsidRDefault="008260E6" w:rsidP="008260E6">
      <w:pPr>
        <w:pStyle w:val="StyleHeading2"/>
        <w:ind w:left="680"/>
      </w:pPr>
    </w:p>
    <w:p w14:paraId="5472D3FD" w14:textId="6F1A596B" w:rsidR="000200A3" w:rsidRDefault="00571EA0" w:rsidP="00F13C51">
      <w:pPr>
        <w:pStyle w:val="StyleHeading2"/>
        <w:numPr>
          <w:ilvl w:val="1"/>
          <w:numId w:val="73"/>
        </w:numPr>
      </w:pPr>
      <w:r>
        <w:t xml:space="preserve">The initial contract period will begin start on </w:t>
      </w:r>
      <w:r w:rsidR="00E85FF9">
        <w:t>1</w:t>
      </w:r>
      <w:r w:rsidR="00E85FF9" w:rsidRPr="008260E6">
        <w:rPr>
          <w:vertAlign w:val="superscript"/>
        </w:rPr>
        <w:t>st</w:t>
      </w:r>
      <w:r w:rsidR="00E85FF9">
        <w:t xml:space="preserve"> April 2023</w:t>
      </w:r>
      <w:r>
        <w:t xml:space="preserve"> and end on 31</w:t>
      </w:r>
      <w:r w:rsidRPr="008260E6">
        <w:rPr>
          <w:vertAlign w:val="superscript"/>
        </w:rPr>
        <w:t>s</w:t>
      </w:r>
      <w:r w:rsidR="000538DA" w:rsidRPr="008260E6">
        <w:rPr>
          <w:vertAlign w:val="superscript"/>
        </w:rPr>
        <w:t>t</w:t>
      </w:r>
      <w:r w:rsidR="000538DA">
        <w:t xml:space="preserve"> March 2026.</w:t>
      </w:r>
    </w:p>
    <w:p w14:paraId="60E552FB" w14:textId="77777777" w:rsidR="00F13C51" w:rsidRPr="00F13C51" w:rsidRDefault="00F13C51" w:rsidP="00F13C51">
      <w:pPr>
        <w:pStyle w:val="StyleHeading2"/>
        <w:ind w:left="680"/>
      </w:pPr>
    </w:p>
    <w:p w14:paraId="7C0CB596" w14:textId="433FEE5B" w:rsidR="00BC6F90" w:rsidRDefault="00993DCE" w:rsidP="005C20D6">
      <w:pPr>
        <w:pStyle w:val="Sch1"/>
        <w:numPr>
          <w:ilvl w:val="0"/>
          <w:numId w:val="73"/>
        </w:numPr>
        <w:ind w:left="567" w:hanging="567"/>
        <w:rPr>
          <w:rFonts w:ascii="Arial" w:hAnsi="Arial"/>
          <w:sz w:val="22"/>
          <w:szCs w:val="22"/>
        </w:rPr>
      </w:pPr>
      <w:bookmarkStart w:id="20" w:name="_Toc118380638"/>
      <w:r w:rsidRPr="00BC6B8E">
        <w:rPr>
          <w:rFonts w:ascii="Arial" w:hAnsi="Arial"/>
          <w:sz w:val="22"/>
          <w:szCs w:val="22"/>
        </w:rPr>
        <w:t>Authority Responsibilities</w:t>
      </w:r>
      <w:bookmarkEnd w:id="15"/>
      <w:bookmarkEnd w:id="20"/>
      <w:r w:rsidR="00D46E3A">
        <w:rPr>
          <w:rFonts w:ascii="Arial" w:hAnsi="Arial"/>
          <w:sz w:val="22"/>
          <w:szCs w:val="22"/>
        </w:rPr>
        <w:t xml:space="preserve"> </w:t>
      </w:r>
    </w:p>
    <w:p w14:paraId="29E8842F" w14:textId="77777777" w:rsidR="00F673E5" w:rsidRDefault="00F673E5" w:rsidP="00572BD4">
      <w:pPr>
        <w:pStyle w:val="StyleHeading2"/>
        <w:ind w:left="567"/>
      </w:pPr>
    </w:p>
    <w:p w14:paraId="2FCB9FAD" w14:textId="4A5EB994" w:rsidR="00C90F0F" w:rsidRDefault="00E85FF9" w:rsidP="00FA13D0">
      <w:pPr>
        <w:pStyle w:val="StyleHeading2"/>
        <w:numPr>
          <w:ilvl w:val="1"/>
          <w:numId w:val="73"/>
        </w:numPr>
      </w:pPr>
      <w:r>
        <w:t xml:space="preserve">The Authority will nominate a programme manager to be the key point of contact for the </w:t>
      </w:r>
      <w:r w:rsidR="00746DDF">
        <w:t>service provider</w:t>
      </w:r>
      <w:r>
        <w:t xml:space="preserve">. This individual will attend steering group meetings, receive quarterly/annual reports and manage contract/KPI meetings. </w:t>
      </w:r>
    </w:p>
    <w:p w14:paraId="7BF5438F" w14:textId="77777777" w:rsidR="00C90F0F" w:rsidRPr="00D46E3A" w:rsidRDefault="00C90F0F" w:rsidP="00D46E3A">
      <w:pPr>
        <w:pStyle w:val="StyleHeading2"/>
      </w:pPr>
    </w:p>
    <w:p w14:paraId="4CFFA84B" w14:textId="1396DC17" w:rsidR="00EC042A" w:rsidRPr="00EC042A" w:rsidRDefault="00BC6F90" w:rsidP="005C20D6">
      <w:pPr>
        <w:pStyle w:val="Sch1"/>
        <w:numPr>
          <w:ilvl w:val="0"/>
          <w:numId w:val="73"/>
        </w:numPr>
        <w:ind w:left="567" w:hanging="567"/>
        <w:rPr>
          <w:rFonts w:ascii="Arial" w:hAnsi="Arial"/>
          <w:sz w:val="22"/>
          <w:szCs w:val="22"/>
        </w:rPr>
      </w:pPr>
      <w:bookmarkStart w:id="21" w:name="_Toc118380639"/>
      <w:r w:rsidRPr="00BC6B8E">
        <w:rPr>
          <w:rFonts w:ascii="Arial" w:hAnsi="Arial"/>
          <w:sz w:val="22"/>
          <w:szCs w:val="22"/>
        </w:rPr>
        <w:t>C</w:t>
      </w:r>
      <w:r w:rsidR="00993DCE" w:rsidRPr="00BC6B8E">
        <w:rPr>
          <w:rFonts w:ascii="Arial" w:hAnsi="Arial"/>
          <w:sz w:val="22"/>
          <w:szCs w:val="22"/>
        </w:rPr>
        <w:t>ontractor Responsibilitie</w:t>
      </w:r>
      <w:r w:rsidR="00211E1F">
        <w:rPr>
          <w:rFonts w:ascii="Arial" w:hAnsi="Arial"/>
          <w:sz w:val="22"/>
          <w:szCs w:val="22"/>
        </w:rPr>
        <w:t>s</w:t>
      </w:r>
      <w:bookmarkEnd w:id="21"/>
    </w:p>
    <w:p w14:paraId="560FD9FF" w14:textId="77777777" w:rsidR="00F673E5" w:rsidRDefault="00F673E5" w:rsidP="00F673E5">
      <w:pPr>
        <w:pStyle w:val="StyleHeading2"/>
        <w:rPr>
          <w:bCs/>
        </w:rPr>
      </w:pPr>
    </w:p>
    <w:p w14:paraId="1AEAE572" w14:textId="027D27C3" w:rsidR="00FA13D0" w:rsidRDefault="00E85FF9" w:rsidP="00FA13D0">
      <w:pPr>
        <w:pStyle w:val="StyleHeading2"/>
        <w:numPr>
          <w:ilvl w:val="1"/>
          <w:numId w:val="73"/>
        </w:numPr>
      </w:pPr>
      <w:r w:rsidRPr="00F673E5">
        <w:t xml:space="preserve">The </w:t>
      </w:r>
      <w:r w:rsidR="00746DDF">
        <w:t>service provider</w:t>
      </w:r>
      <w:r w:rsidRPr="00F673E5">
        <w:t xml:space="preserve"> will form an external stakeholder steering group</w:t>
      </w:r>
      <w:r w:rsidR="00F673E5">
        <w:t>, that meets at least twice a year,</w:t>
      </w:r>
      <w:r w:rsidRPr="00F673E5">
        <w:t xml:space="preserve"> to provide governance and oversight for the development and running of the programme. </w:t>
      </w:r>
    </w:p>
    <w:p w14:paraId="4BC493C1" w14:textId="77777777" w:rsidR="00FA13D0" w:rsidRDefault="00FA13D0" w:rsidP="00FA13D0">
      <w:pPr>
        <w:pStyle w:val="StyleHeading2"/>
        <w:ind w:left="680"/>
      </w:pPr>
    </w:p>
    <w:p w14:paraId="7747D219" w14:textId="3947E0B6" w:rsidR="00FA13D0" w:rsidRDefault="000C6C45" w:rsidP="00FA13D0">
      <w:pPr>
        <w:pStyle w:val="StyleHeading2"/>
        <w:numPr>
          <w:ilvl w:val="1"/>
          <w:numId w:val="73"/>
        </w:numPr>
      </w:pPr>
      <w:r>
        <w:t xml:space="preserve">Provide the </w:t>
      </w:r>
      <w:r w:rsidR="00F571DD">
        <w:t xml:space="preserve">Authority </w:t>
      </w:r>
      <w:r>
        <w:t>with timely and ongoing evaluation and quality assurance information relating to the programme.</w:t>
      </w:r>
    </w:p>
    <w:p w14:paraId="195401A5" w14:textId="77777777" w:rsidR="00FA13D0" w:rsidRDefault="00FA13D0" w:rsidP="00FA13D0">
      <w:pPr>
        <w:pStyle w:val="ListParagraph"/>
      </w:pPr>
    </w:p>
    <w:p w14:paraId="1588D039" w14:textId="54AFC7B1" w:rsidR="00FA13D0" w:rsidRDefault="000C6C45" w:rsidP="00FA13D0">
      <w:pPr>
        <w:pStyle w:val="StyleHeading2"/>
        <w:numPr>
          <w:ilvl w:val="1"/>
          <w:numId w:val="73"/>
        </w:numPr>
      </w:pPr>
      <w:r>
        <w:t>Provide Business Continuity and Contingency Plan</w:t>
      </w:r>
      <w:r w:rsidR="00E205C2">
        <w:t>,</w:t>
      </w:r>
      <w:r>
        <w:t xml:space="preserve"> and Exit plan in accordance with the contract.</w:t>
      </w:r>
    </w:p>
    <w:p w14:paraId="3CA8DBE5" w14:textId="77777777" w:rsidR="00FA13D0" w:rsidRDefault="00FA13D0" w:rsidP="00FA13D0">
      <w:pPr>
        <w:pStyle w:val="ListParagraph"/>
      </w:pPr>
    </w:p>
    <w:p w14:paraId="0A6F8155" w14:textId="77777777" w:rsidR="00FA13D0" w:rsidRDefault="0004021F" w:rsidP="00FA13D0">
      <w:pPr>
        <w:pStyle w:val="StyleHeading2"/>
        <w:numPr>
          <w:ilvl w:val="1"/>
          <w:numId w:val="73"/>
        </w:numPr>
      </w:pPr>
      <w:r>
        <w:t>Facilitate to the Authority any required information for the completion of the Data Protection Impact Assessment.</w:t>
      </w:r>
    </w:p>
    <w:p w14:paraId="72C1445C" w14:textId="77777777" w:rsidR="00FA13D0" w:rsidRDefault="00FA13D0" w:rsidP="00FA13D0">
      <w:pPr>
        <w:pStyle w:val="ListParagraph"/>
      </w:pPr>
    </w:p>
    <w:p w14:paraId="3F263D1B" w14:textId="19450E37" w:rsidR="00FA13D0" w:rsidRDefault="00E85FF9" w:rsidP="00FA13D0">
      <w:pPr>
        <w:pStyle w:val="StyleHeading2"/>
        <w:numPr>
          <w:ilvl w:val="1"/>
          <w:numId w:val="73"/>
        </w:numPr>
      </w:pPr>
      <w:r w:rsidRPr="00F673E5">
        <w:t xml:space="preserve">The </w:t>
      </w:r>
      <w:r w:rsidR="00746DDF">
        <w:t>service provider</w:t>
      </w:r>
      <w:r w:rsidRPr="00F673E5">
        <w:t xml:space="preserve"> will provide </w:t>
      </w:r>
      <w:r w:rsidR="00F673E5" w:rsidRPr="00F673E5">
        <w:t>quarterly</w:t>
      </w:r>
      <w:r w:rsidRPr="00F673E5">
        <w:t xml:space="preserve"> and annual reports to the </w:t>
      </w:r>
      <w:r w:rsidR="00F571DD">
        <w:t>Authority’s</w:t>
      </w:r>
      <w:r w:rsidRPr="00F673E5">
        <w:t xml:space="preserve"> </w:t>
      </w:r>
      <w:r w:rsidR="00F673E5" w:rsidRPr="00F673E5">
        <w:t>programme manager.</w:t>
      </w:r>
    </w:p>
    <w:p w14:paraId="39031445" w14:textId="77777777" w:rsidR="00FA13D0" w:rsidRDefault="00FA13D0" w:rsidP="00FA13D0">
      <w:pPr>
        <w:pStyle w:val="ListParagraph"/>
      </w:pPr>
    </w:p>
    <w:p w14:paraId="142A6C26" w14:textId="5C803956" w:rsidR="0004021F" w:rsidRDefault="0004021F" w:rsidP="00FA13D0">
      <w:pPr>
        <w:pStyle w:val="StyleHeading2"/>
        <w:numPr>
          <w:ilvl w:val="1"/>
          <w:numId w:val="73"/>
        </w:numPr>
      </w:pPr>
      <w:r>
        <w:t xml:space="preserve">Liaise with the </w:t>
      </w:r>
      <w:r w:rsidR="00E205C2">
        <w:t xml:space="preserve">Authority’s </w:t>
      </w:r>
      <w:r>
        <w:t>representative/ contract manager as may be applicable given the nature and the extent of services required</w:t>
      </w:r>
    </w:p>
    <w:p w14:paraId="05601EFA" w14:textId="77777777" w:rsidR="00EB0DCD" w:rsidRPr="005D4D02" w:rsidRDefault="00EB0DCD" w:rsidP="005D4D02">
      <w:pPr>
        <w:pStyle w:val="StyleHeading2"/>
      </w:pPr>
    </w:p>
    <w:p w14:paraId="274F8AB7" w14:textId="3E9A4113" w:rsidR="00EC042A" w:rsidRDefault="00EC042A" w:rsidP="005C20D6">
      <w:pPr>
        <w:pStyle w:val="Sch1"/>
        <w:numPr>
          <w:ilvl w:val="0"/>
          <w:numId w:val="73"/>
        </w:numPr>
        <w:ind w:left="567" w:hanging="567"/>
        <w:rPr>
          <w:rFonts w:ascii="Arial" w:hAnsi="Arial"/>
          <w:sz w:val="22"/>
          <w:szCs w:val="22"/>
        </w:rPr>
      </w:pPr>
      <w:bookmarkStart w:id="22" w:name="_Toc118380640"/>
      <w:r>
        <w:rPr>
          <w:rFonts w:ascii="Arial" w:hAnsi="Arial"/>
          <w:sz w:val="22"/>
          <w:szCs w:val="22"/>
        </w:rPr>
        <w:t>Reporting Requirements</w:t>
      </w:r>
      <w:bookmarkEnd w:id="22"/>
    </w:p>
    <w:p w14:paraId="0F9726E6" w14:textId="77777777" w:rsidR="00FA13D0" w:rsidRDefault="00FA13D0" w:rsidP="00FD529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szCs w:val="24"/>
        </w:rPr>
      </w:pPr>
    </w:p>
    <w:p w14:paraId="538CDF04" w14:textId="16007A37" w:rsidR="00FA13D0" w:rsidRPr="00FA13D0" w:rsidRDefault="00D54EF0" w:rsidP="00FD5299">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Bidi"/>
          <w:szCs w:val="22"/>
        </w:rPr>
      </w:pPr>
      <w:r w:rsidRPr="00FA13D0">
        <w:t xml:space="preserve">The </w:t>
      </w:r>
      <w:r w:rsidR="00746DDF">
        <w:t>service provider</w:t>
      </w:r>
      <w:r w:rsidRPr="00FA13D0">
        <w:t xml:space="preserve"> will allocate sufficient funds to monitor outputs and processes to demonstrate effective working of the programme in accordance with agreed aims and objectives, and to ensure appropriate monitoring and evaluation against these. </w:t>
      </w:r>
    </w:p>
    <w:p w14:paraId="6967AB9F" w14:textId="77777777" w:rsidR="00FA13D0" w:rsidRPr="00FA13D0" w:rsidRDefault="00FA13D0" w:rsidP="00FA13D0">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80"/>
        <w:rPr>
          <w:rFonts w:cstheme="minorBidi"/>
          <w:szCs w:val="22"/>
        </w:rPr>
      </w:pPr>
    </w:p>
    <w:p w14:paraId="27C0DF81" w14:textId="77777777" w:rsidR="00FA13D0" w:rsidRDefault="00F673E5" w:rsidP="00CB2DE3">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Bidi"/>
          <w:szCs w:val="22"/>
        </w:rPr>
      </w:pPr>
      <w:r w:rsidRPr="00FA13D0">
        <w:rPr>
          <w:rFonts w:cstheme="minorBidi"/>
          <w:szCs w:val="22"/>
        </w:rPr>
        <w:t xml:space="preserve">Specific outputs associated with this contract will be monitored by quarterly and annual reporting of engagement and uptake of training, resources produced or updated and number/type of enquiries dealt with. </w:t>
      </w:r>
      <w:bookmarkStart w:id="23" w:name="_Toc519998894"/>
    </w:p>
    <w:p w14:paraId="2D4B21DB" w14:textId="77777777" w:rsidR="00FA13D0" w:rsidRPr="00FA13D0" w:rsidRDefault="00FA13D0" w:rsidP="00FA13D0">
      <w:pPr>
        <w:pStyle w:val="ListParagraph"/>
        <w:rPr>
          <w:rFonts w:cstheme="minorBidi"/>
          <w:szCs w:val="22"/>
        </w:rPr>
      </w:pPr>
    </w:p>
    <w:p w14:paraId="672C72E7" w14:textId="30E6F7E5" w:rsidR="00D54EF0" w:rsidRPr="00FA13D0" w:rsidRDefault="00D54EF0"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Bidi"/>
          <w:szCs w:val="22"/>
        </w:rPr>
      </w:pPr>
      <w:r w:rsidRPr="00FA13D0">
        <w:rPr>
          <w:rFonts w:cstheme="minorBidi"/>
          <w:szCs w:val="22"/>
        </w:rPr>
        <w:t>The reports will</w:t>
      </w:r>
      <w:r w:rsidR="006B0BD5" w:rsidRPr="00FA13D0">
        <w:rPr>
          <w:rFonts w:cstheme="minorBidi"/>
          <w:szCs w:val="22"/>
        </w:rPr>
        <w:t xml:space="preserve"> set out the following activities:</w:t>
      </w:r>
    </w:p>
    <w:p w14:paraId="6851E7FA" w14:textId="304DAA6D" w:rsidR="006B0BD5" w:rsidRPr="00CB2DE3" w:rsidRDefault="006B0BD5" w:rsidP="00CB2DE3">
      <w:pPr>
        <w:pStyle w:val="ListParagraph"/>
        <w:numPr>
          <w:ilvl w:val="0"/>
          <w:numId w:val="46"/>
        </w:numPr>
        <w:autoSpaceDE w:val="0"/>
        <w:autoSpaceDN w:val="0"/>
        <w:adjustRightInd w:val="0"/>
        <w:spacing w:line="276" w:lineRule="auto"/>
        <w:rPr>
          <w:rFonts w:eastAsia="Times New Roman" w:cstheme="minorBidi"/>
          <w:szCs w:val="22"/>
          <w:lang w:eastAsia="en-US"/>
        </w:rPr>
      </w:pPr>
      <w:r w:rsidRPr="00CB2DE3">
        <w:rPr>
          <w:rFonts w:eastAsia="Times New Roman" w:cstheme="minorBidi"/>
          <w:szCs w:val="22"/>
          <w:lang w:eastAsia="en-US"/>
        </w:rPr>
        <w:t xml:space="preserve">The total number </w:t>
      </w:r>
      <w:r w:rsidR="0071187D" w:rsidRPr="00CB2DE3">
        <w:rPr>
          <w:rFonts w:eastAsia="Times New Roman" w:cstheme="minorBidi"/>
          <w:szCs w:val="22"/>
          <w:lang w:eastAsia="en-US"/>
        </w:rPr>
        <w:t xml:space="preserve">practitioners </w:t>
      </w:r>
      <w:r w:rsidRPr="00CB2DE3">
        <w:rPr>
          <w:rFonts w:eastAsia="Times New Roman" w:cstheme="minorBidi"/>
          <w:szCs w:val="22"/>
          <w:lang w:eastAsia="en-US"/>
        </w:rPr>
        <w:t xml:space="preserve">accessing (DHSC funded) online courses and gaining certificates for successful completion, including recertification for specialist practitioners.  </w:t>
      </w:r>
    </w:p>
    <w:p w14:paraId="02942AB0" w14:textId="6B369600" w:rsidR="006B0BD5" w:rsidRPr="00CB2DE3" w:rsidRDefault="006B0BD5" w:rsidP="00CB2DE3">
      <w:pPr>
        <w:pStyle w:val="ListParagraph"/>
        <w:numPr>
          <w:ilvl w:val="0"/>
          <w:numId w:val="46"/>
        </w:numPr>
        <w:autoSpaceDE w:val="0"/>
        <w:autoSpaceDN w:val="0"/>
        <w:adjustRightInd w:val="0"/>
        <w:spacing w:line="276" w:lineRule="auto"/>
        <w:rPr>
          <w:rFonts w:eastAsia="Times New Roman" w:cstheme="minorBidi"/>
          <w:szCs w:val="22"/>
          <w:lang w:eastAsia="en-US"/>
        </w:rPr>
      </w:pPr>
      <w:r w:rsidRPr="00CB2DE3">
        <w:rPr>
          <w:rFonts w:eastAsia="Times New Roman" w:cstheme="minorBidi"/>
          <w:szCs w:val="22"/>
          <w:lang w:eastAsia="en-US"/>
        </w:rPr>
        <w:t>The number of practitioners from England undertaking and passing the specialty modules in mental health and pregnancy.</w:t>
      </w:r>
    </w:p>
    <w:p w14:paraId="7601A590" w14:textId="3F4D89A6" w:rsidR="006B0BD5" w:rsidRPr="00CB2DE3" w:rsidRDefault="006B0BD5" w:rsidP="00CB2DE3">
      <w:pPr>
        <w:pStyle w:val="ListParagraph"/>
        <w:numPr>
          <w:ilvl w:val="0"/>
          <w:numId w:val="46"/>
        </w:numPr>
        <w:autoSpaceDE w:val="0"/>
        <w:autoSpaceDN w:val="0"/>
        <w:adjustRightInd w:val="0"/>
        <w:spacing w:line="276" w:lineRule="auto"/>
        <w:rPr>
          <w:rFonts w:eastAsia="Times New Roman" w:cstheme="minorBidi"/>
          <w:szCs w:val="22"/>
          <w:lang w:eastAsia="en-US"/>
        </w:rPr>
      </w:pPr>
      <w:r w:rsidRPr="00CB2DE3">
        <w:rPr>
          <w:rFonts w:eastAsia="Times New Roman" w:cstheme="minorBidi"/>
          <w:szCs w:val="22"/>
          <w:lang w:eastAsia="en-US"/>
        </w:rPr>
        <w:t xml:space="preserve">The number of </w:t>
      </w:r>
      <w:r w:rsidR="0071187D" w:rsidRPr="00CB2DE3">
        <w:rPr>
          <w:rFonts w:eastAsia="Times New Roman" w:cstheme="minorBidi"/>
          <w:szCs w:val="22"/>
          <w:lang w:eastAsia="en-US"/>
        </w:rPr>
        <w:t xml:space="preserve">practitioners </w:t>
      </w:r>
      <w:r w:rsidRPr="00CB2DE3">
        <w:rPr>
          <w:rFonts w:eastAsia="Times New Roman" w:cstheme="minorBidi"/>
          <w:szCs w:val="22"/>
          <w:lang w:eastAsia="en-US"/>
        </w:rPr>
        <w:t>from England accessing the V</w:t>
      </w:r>
      <w:r w:rsidR="00CB2DE3">
        <w:rPr>
          <w:rFonts w:eastAsia="Times New Roman" w:cstheme="minorBidi"/>
          <w:szCs w:val="22"/>
          <w:lang w:eastAsia="en-US"/>
        </w:rPr>
        <w:t xml:space="preserve">ery </w:t>
      </w:r>
      <w:r w:rsidRPr="00CB2DE3">
        <w:rPr>
          <w:rFonts w:eastAsia="Times New Roman" w:cstheme="minorBidi"/>
          <w:szCs w:val="22"/>
          <w:lang w:eastAsia="en-US"/>
        </w:rPr>
        <w:t>B</w:t>
      </w:r>
      <w:r w:rsidR="00CB2DE3">
        <w:rPr>
          <w:rFonts w:eastAsia="Times New Roman" w:cstheme="minorBidi"/>
          <w:szCs w:val="22"/>
          <w:lang w:eastAsia="en-US"/>
        </w:rPr>
        <w:t xml:space="preserve">rief </w:t>
      </w:r>
      <w:r w:rsidRPr="00CB2DE3">
        <w:rPr>
          <w:rFonts w:eastAsia="Times New Roman" w:cstheme="minorBidi"/>
          <w:szCs w:val="22"/>
          <w:lang w:eastAsia="en-US"/>
        </w:rPr>
        <w:t>A</w:t>
      </w:r>
      <w:r w:rsidR="00CB2DE3">
        <w:rPr>
          <w:rFonts w:eastAsia="Times New Roman" w:cstheme="minorBidi"/>
          <w:szCs w:val="22"/>
          <w:lang w:eastAsia="en-US"/>
        </w:rPr>
        <w:t>dvice (VBA)</w:t>
      </w:r>
      <w:r w:rsidRPr="00CB2DE3">
        <w:rPr>
          <w:rFonts w:eastAsia="Times New Roman" w:cstheme="minorBidi"/>
          <w:szCs w:val="22"/>
          <w:lang w:eastAsia="en-US"/>
        </w:rPr>
        <w:t xml:space="preserve"> on Smoking, VBA on </w:t>
      </w:r>
      <w:r w:rsidR="00F13C51" w:rsidRPr="00CB2DE3">
        <w:rPr>
          <w:rFonts w:eastAsia="Times New Roman" w:cstheme="minorBidi"/>
          <w:szCs w:val="22"/>
          <w:lang w:eastAsia="en-US"/>
        </w:rPr>
        <w:t>Second-hand</w:t>
      </w:r>
      <w:r w:rsidRPr="00CB2DE3">
        <w:rPr>
          <w:rFonts w:eastAsia="Times New Roman" w:cstheme="minorBidi"/>
          <w:szCs w:val="22"/>
          <w:lang w:eastAsia="en-US"/>
        </w:rPr>
        <w:t xml:space="preserve"> Smoke, VBA on Smoking for Pregnant Women and Stop Smoking Medications training modules.</w:t>
      </w:r>
    </w:p>
    <w:p w14:paraId="5553C510" w14:textId="2DEDAFA3" w:rsidR="00CB1E6F" w:rsidRPr="00CB2DE3" w:rsidRDefault="006B0BD5" w:rsidP="00CB2DE3">
      <w:pPr>
        <w:pStyle w:val="ListParagraph"/>
        <w:numPr>
          <w:ilvl w:val="0"/>
          <w:numId w:val="46"/>
        </w:numPr>
        <w:autoSpaceDE w:val="0"/>
        <w:autoSpaceDN w:val="0"/>
        <w:adjustRightInd w:val="0"/>
        <w:spacing w:line="276" w:lineRule="auto"/>
        <w:rPr>
          <w:rFonts w:eastAsia="Times New Roman" w:cstheme="minorBidi"/>
          <w:szCs w:val="22"/>
          <w:lang w:eastAsia="en-US"/>
        </w:rPr>
      </w:pPr>
      <w:r w:rsidRPr="00CB2DE3">
        <w:rPr>
          <w:rFonts w:eastAsia="Times New Roman" w:cstheme="minorBidi"/>
          <w:szCs w:val="22"/>
          <w:lang w:eastAsia="en-US"/>
        </w:rPr>
        <w:t xml:space="preserve">Publications, briefings and </w:t>
      </w:r>
      <w:r w:rsidR="00CB1E6F" w:rsidRPr="00CB2DE3">
        <w:rPr>
          <w:rFonts w:eastAsia="Times New Roman" w:cstheme="minorBidi"/>
          <w:szCs w:val="22"/>
          <w:lang w:eastAsia="en-US"/>
        </w:rPr>
        <w:t xml:space="preserve">other </w:t>
      </w:r>
      <w:r w:rsidRPr="00CB2DE3">
        <w:rPr>
          <w:rFonts w:eastAsia="Times New Roman" w:cstheme="minorBidi"/>
          <w:szCs w:val="22"/>
          <w:lang w:eastAsia="en-US"/>
        </w:rPr>
        <w:t xml:space="preserve">significant communications </w:t>
      </w:r>
      <w:r w:rsidR="00CB1E6F" w:rsidRPr="00CB2DE3">
        <w:rPr>
          <w:rFonts w:eastAsia="Times New Roman" w:cstheme="minorBidi"/>
          <w:szCs w:val="22"/>
          <w:lang w:eastAsia="en-US"/>
        </w:rPr>
        <w:t>issued.</w:t>
      </w:r>
    </w:p>
    <w:p w14:paraId="2A029BCB" w14:textId="13346448" w:rsidR="006B0BD5" w:rsidRPr="0071187D" w:rsidRDefault="006B0BD5" w:rsidP="00CB2DE3">
      <w:pPr>
        <w:pStyle w:val="ListParagraph"/>
        <w:numPr>
          <w:ilvl w:val="0"/>
          <w:numId w:val="46"/>
        </w:numPr>
        <w:autoSpaceDE w:val="0"/>
        <w:autoSpaceDN w:val="0"/>
        <w:adjustRightInd w:val="0"/>
        <w:spacing w:line="276" w:lineRule="auto"/>
        <w:rPr>
          <w:rFonts w:eastAsia="Times New Roman" w:cstheme="minorBidi"/>
          <w:color w:val="000000" w:themeColor="text1"/>
          <w:szCs w:val="22"/>
          <w:lang w:eastAsia="en-US"/>
        </w:rPr>
      </w:pPr>
      <w:r w:rsidRPr="00CB2DE3">
        <w:rPr>
          <w:rFonts w:eastAsia="Times New Roman" w:cstheme="minorBidi"/>
          <w:szCs w:val="22"/>
          <w:lang w:eastAsia="en-US"/>
        </w:rPr>
        <w:t>Any other significant activities including involvement in research projects and</w:t>
      </w:r>
      <w:r w:rsidR="00CB1E6F" w:rsidRPr="0071187D">
        <w:rPr>
          <w:rFonts w:eastAsia="Times New Roman" w:cstheme="minorBidi"/>
          <w:color w:val="000000" w:themeColor="text1"/>
          <w:szCs w:val="22"/>
          <w:lang w:eastAsia="en-US"/>
        </w:rPr>
        <w:t xml:space="preserve"> </w:t>
      </w:r>
      <w:r w:rsidRPr="0071187D">
        <w:rPr>
          <w:rFonts w:eastAsia="Times New Roman" w:cstheme="minorBidi"/>
          <w:color w:val="000000" w:themeColor="text1"/>
          <w:szCs w:val="22"/>
          <w:lang w:eastAsia="en-US"/>
        </w:rPr>
        <w:t>research outputs</w:t>
      </w:r>
      <w:r w:rsidR="0071187D">
        <w:rPr>
          <w:rFonts w:eastAsia="Times New Roman" w:cstheme="minorBidi"/>
          <w:color w:val="000000" w:themeColor="text1"/>
          <w:szCs w:val="22"/>
          <w:lang w:eastAsia="en-US"/>
        </w:rPr>
        <w:t>.</w:t>
      </w:r>
    </w:p>
    <w:p w14:paraId="09590AD7" w14:textId="6C3E73D8" w:rsidR="00DF0AC1" w:rsidRDefault="00DF0AC1" w:rsidP="00CB2DE3">
      <w:pPr>
        <w:pStyle w:val="ListParagraph"/>
        <w:numPr>
          <w:ilvl w:val="0"/>
          <w:numId w:val="46"/>
        </w:numPr>
        <w:autoSpaceDE w:val="0"/>
        <w:autoSpaceDN w:val="0"/>
        <w:adjustRightInd w:val="0"/>
        <w:spacing w:line="276" w:lineRule="auto"/>
        <w:rPr>
          <w:rFonts w:eastAsia="Times New Roman" w:cstheme="minorBidi"/>
          <w:color w:val="000000" w:themeColor="text1"/>
          <w:szCs w:val="22"/>
          <w:lang w:eastAsia="en-US"/>
        </w:rPr>
      </w:pPr>
      <w:r w:rsidRPr="0071187D">
        <w:rPr>
          <w:rFonts w:eastAsia="Times New Roman" w:cstheme="minorBidi"/>
          <w:color w:val="000000" w:themeColor="text1"/>
          <w:szCs w:val="22"/>
          <w:lang w:eastAsia="en-US"/>
        </w:rPr>
        <w:t>A summary of relevant activity funded through other sources, including other Government Departments, NHS England and local authorities.</w:t>
      </w:r>
    </w:p>
    <w:p w14:paraId="32EF28F8" w14:textId="5C991B4F" w:rsidR="00A80C3F" w:rsidRDefault="00A80C3F" w:rsidP="00CB2DE3">
      <w:pPr>
        <w:pStyle w:val="ListParagraph"/>
        <w:numPr>
          <w:ilvl w:val="0"/>
          <w:numId w:val="46"/>
        </w:numPr>
        <w:autoSpaceDE w:val="0"/>
        <w:autoSpaceDN w:val="0"/>
        <w:adjustRightInd w:val="0"/>
        <w:spacing w:line="276" w:lineRule="auto"/>
        <w:rPr>
          <w:rFonts w:eastAsia="Times New Roman" w:cstheme="minorBidi"/>
          <w:color w:val="000000" w:themeColor="text1"/>
          <w:szCs w:val="22"/>
          <w:lang w:eastAsia="en-US"/>
        </w:rPr>
      </w:pPr>
      <w:r>
        <w:rPr>
          <w:rFonts w:eastAsia="Times New Roman" w:cstheme="minorBidi"/>
          <w:color w:val="000000" w:themeColor="text1"/>
          <w:szCs w:val="22"/>
          <w:lang w:eastAsia="en-US"/>
        </w:rPr>
        <w:t>An</w:t>
      </w:r>
      <w:r w:rsidRPr="00A80C3F">
        <w:rPr>
          <w:rFonts w:eastAsia="Times New Roman" w:cstheme="minorBidi"/>
          <w:color w:val="000000" w:themeColor="text1"/>
          <w:szCs w:val="22"/>
          <w:lang w:eastAsia="en-US"/>
        </w:rPr>
        <w:t xml:space="preserve"> annual statement of income and expenditure against the DHSC contract should also be provided.</w:t>
      </w:r>
    </w:p>
    <w:p w14:paraId="78B98215" w14:textId="1B09AC17" w:rsidR="00850C05" w:rsidRPr="0071187D" w:rsidRDefault="00D54D52" w:rsidP="00CB2DE3">
      <w:pPr>
        <w:pStyle w:val="ListParagraph"/>
        <w:numPr>
          <w:ilvl w:val="0"/>
          <w:numId w:val="46"/>
        </w:numPr>
        <w:autoSpaceDE w:val="0"/>
        <w:autoSpaceDN w:val="0"/>
        <w:adjustRightInd w:val="0"/>
        <w:spacing w:line="276" w:lineRule="auto"/>
        <w:rPr>
          <w:rFonts w:eastAsia="Times New Roman" w:cstheme="minorBidi"/>
          <w:color w:val="000000" w:themeColor="text1"/>
          <w:szCs w:val="22"/>
          <w:lang w:eastAsia="en-US"/>
        </w:rPr>
      </w:pPr>
      <w:r>
        <w:rPr>
          <w:rFonts w:eastAsia="Times New Roman" w:cstheme="minorBidi"/>
          <w:color w:val="000000" w:themeColor="text1"/>
          <w:szCs w:val="22"/>
          <w:lang w:eastAsia="en-US"/>
        </w:rPr>
        <w:t>An update on all</w:t>
      </w:r>
      <w:r w:rsidR="00850C05">
        <w:rPr>
          <w:rFonts w:eastAsia="Times New Roman" w:cstheme="minorBidi"/>
          <w:color w:val="000000" w:themeColor="text1"/>
          <w:szCs w:val="22"/>
          <w:lang w:eastAsia="en-US"/>
        </w:rPr>
        <w:t xml:space="preserve"> KPI’s</w:t>
      </w:r>
    </w:p>
    <w:p w14:paraId="2B95F80B" w14:textId="77777777" w:rsidR="00CB1E6F" w:rsidRDefault="00CB1E6F" w:rsidP="006B0BD5">
      <w:pPr>
        <w:autoSpaceDE w:val="0"/>
        <w:autoSpaceDN w:val="0"/>
        <w:adjustRightInd w:val="0"/>
        <w:rPr>
          <w:rFonts w:ascii="Calibri" w:hAnsi="Calibri" w:cs="Calibri"/>
          <w:sz w:val="22"/>
          <w:szCs w:val="22"/>
          <w:lang w:eastAsia="en-GB"/>
        </w:rPr>
      </w:pPr>
    </w:p>
    <w:p w14:paraId="663E49B1" w14:textId="190B0C5A" w:rsidR="00FA13D0" w:rsidRDefault="00FD5299"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rsidRPr="00A22684">
        <w:t xml:space="preserve">Quarterly meetings will be held </w:t>
      </w:r>
      <w:r w:rsidR="00A80C3F">
        <w:t xml:space="preserve">between </w:t>
      </w:r>
      <w:r w:rsidR="00E205C2">
        <w:t>t</w:t>
      </w:r>
      <w:r w:rsidR="00A80C3F">
        <w:t xml:space="preserve">he Authority and the </w:t>
      </w:r>
      <w:r w:rsidR="00746DDF">
        <w:t>service provider</w:t>
      </w:r>
      <w:r w:rsidR="00A80C3F">
        <w:t xml:space="preserve"> </w:t>
      </w:r>
      <w:r w:rsidRPr="00A22684">
        <w:t>to discuss progress on the activity and delivery against aims and objective</w:t>
      </w:r>
      <w:r>
        <w:t>s</w:t>
      </w:r>
      <w:r w:rsidRPr="00A22684">
        <w:t xml:space="preserve"> for the national training function.</w:t>
      </w:r>
    </w:p>
    <w:p w14:paraId="0EA53720" w14:textId="77777777" w:rsidR="00FA13D0" w:rsidRDefault="00FA13D0" w:rsidP="00FA13D0">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80"/>
      </w:pPr>
    </w:p>
    <w:p w14:paraId="69B0F346" w14:textId="0798DF4D" w:rsidR="00FA13D0" w:rsidRDefault="00FD5299"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rsidRPr="00A22684">
        <w:t xml:space="preserve">The </w:t>
      </w:r>
      <w:r w:rsidR="00746DDF">
        <w:t>service provider</w:t>
      </w:r>
      <w:r w:rsidR="00A80C3F" w:rsidRPr="00A22684">
        <w:t xml:space="preserve"> </w:t>
      </w:r>
      <w:r w:rsidRPr="00A22684">
        <w:t>will attend meetings at either</w:t>
      </w:r>
      <w:r w:rsidR="00EE0FFD">
        <w:t xml:space="preserve"> the Authori</w:t>
      </w:r>
      <w:r w:rsidR="00BE2BAC">
        <w:t>ty’s</w:t>
      </w:r>
      <w:r w:rsidR="00EE0FFD" w:rsidRPr="00A22684">
        <w:t xml:space="preserve"> </w:t>
      </w:r>
      <w:r w:rsidRPr="00A22684">
        <w:t>or the</w:t>
      </w:r>
      <w:r>
        <w:t>ir own offices</w:t>
      </w:r>
      <w:r w:rsidRPr="00A22684">
        <w:t xml:space="preserve"> to discuss progress, as required by </w:t>
      </w:r>
      <w:r w:rsidR="00EE0FFD">
        <w:t>the Authority</w:t>
      </w:r>
      <w:r w:rsidRPr="00A22684">
        <w:t>.</w:t>
      </w:r>
      <w:r w:rsidR="00F673E5">
        <w:t xml:space="preserve"> Some meetings may </w:t>
      </w:r>
      <w:r w:rsidR="00F673E5">
        <w:lastRenderedPageBreak/>
        <w:t>be held remotely via video conferencing if both parties are in agreement.</w:t>
      </w:r>
    </w:p>
    <w:p w14:paraId="4471B86B" w14:textId="77777777" w:rsidR="00FA13D0" w:rsidRDefault="00FA13D0" w:rsidP="00FA13D0">
      <w:pPr>
        <w:pStyle w:val="ListParagraph"/>
      </w:pPr>
    </w:p>
    <w:p w14:paraId="5B8AAF11" w14:textId="2D9935C8" w:rsidR="00FD5299" w:rsidRPr="00FD5299" w:rsidRDefault="00FD5299"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pPr>
      <w:r w:rsidRPr="00A22684">
        <w:t xml:space="preserve">There will be a post contract review to </w:t>
      </w:r>
      <w:r>
        <w:t xml:space="preserve">evaluate performance against </w:t>
      </w:r>
      <w:r w:rsidRPr="00A22684">
        <w:t>the objectives of the contract.</w:t>
      </w:r>
    </w:p>
    <w:p w14:paraId="0C44F30A" w14:textId="77777777" w:rsidR="00247BAD" w:rsidRPr="00EC042A" w:rsidRDefault="00247BAD" w:rsidP="00247BAD">
      <w:pPr>
        <w:pStyle w:val="StyleHeading2"/>
        <w:ind w:left="720"/>
      </w:pPr>
    </w:p>
    <w:p w14:paraId="05A00B68" w14:textId="157F0554" w:rsidR="00E60875" w:rsidRDefault="0058744C" w:rsidP="005C20D6">
      <w:pPr>
        <w:pStyle w:val="Sch1"/>
        <w:numPr>
          <w:ilvl w:val="0"/>
          <w:numId w:val="73"/>
        </w:numPr>
        <w:ind w:left="567" w:hanging="567"/>
        <w:rPr>
          <w:rFonts w:ascii="Arial" w:hAnsi="Arial"/>
          <w:sz w:val="22"/>
          <w:szCs w:val="22"/>
        </w:rPr>
      </w:pPr>
      <w:bookmarkStart w:id="24" w:name="_Toc118380641"/>
      <w:r>
        <w:rPr>
          <w:rFonts w:ascii="Arial" w:hAnsi="Arial"/>
          <w:sz w:val="22"/>
          <w:szCs w:val="22"/>
        </w:rPr>
        <w:t>Location</w:t>
      </w:r>
      <w:bookmarkEnd w:id="24"/>
    </w:p>
    <w:p w14:paraId="0AF83262" w14:textId="77777777" w:rsidR="00FA13D0" w:rsidRDefault="00FA13D0" w:rsidP="00FA13D0">
      <w:pPr>
        <w:pStyle w:val="StyleHeading2"/>
        <w:ind w:left="720"/>
      </w:pPr>
    </w:p>
    <w:p w14:paraId="3FA3CD35" w14:textId="43FDBEA3" w:rsidR="0058744C" w:rsidRDefault="00D54EF0" w:rsidP="00FA13D0">
      <w:pPr>
        <w:pStyle w:val="StyleHeading2"/>
        <w:numPr>
          <w:ilvl w:val="1"/>
          <w:numId w:val="73"/>
        </w:numPr>
      </w:pPr>
      <w:r>
        <w:t>The service will</w:t>
      </w:r>
      <w:r w:rsidR="00175B8C">
        <w:t xml:space="preserve"> be</w:t>
      </w:r>
      <w:r>
        <w:t xml:space="preserve"> carried out from the </w:t>
      </w:r>
      <w:r w:rsidR="00746DDF">
        <w:t>service provider</w:t>
      </w:r>
      <w:r>
        <w:t xml:space="preserve">s premises, with the function delivered on-line or remotely. </w:t>
      </w:r>
    </w:p>
    <w:p w14:paraId="03F14CA6" w14:textId="77777777" w:rsidR="00D54EF0" w:rsidRDefault="00D54EF0" w:rsidP="00D54EF0">
      <w:pPr>
        <w:pStyle w:val="StyleHeading2"/>
        <w:ind w:left="720"/>
      </w:pPr>
    </w:p>
    <w:p w14:paraId="0241A0EC" w14:textId="6D165776" w:rsidR="00FA13D0" w:rsidRDefault="00BC2A61" w:rsidP="00FA13D0">
      <w:pPr>
        <w:pStyle w:val="Sch1"/>
        <w:numPr>
          <w:ilvl w:val="0"/>
          <w:numId w:val="73"/>
        </w:numPr>
        <w:ind w:left="567" w:hanging="567"/>
        <w:rPr>
          <w:rFonts w:ascii="Arial" w:hAnsi="Arial"/>
          <w:sz w:val="22"/>
          <w:szCs w:val="22"/>
        </w:rPr>
      </w:pPr>
      <w:bookmarkStart w:id="25" w:name="_Toc118380642"/>
      <w:r w:rsidRPr="00BC2A61">
        <w:rPr>
          <w:rFonts w:ascii="Arial" w:hAnsi="Arial"/>
          <w:sz w:val="22"/>
          <w:szCs w:val="22"/>
        </w:rPr>
        <w:t xml:space="preserve">Staff </w:t>
      </w:r>
      <w:r w:rsidR="00982C78">
        <w:rPr>
          <w:rFonts w:ascii="Arial" w:hAnsi="Arial"/>
          <w:sz w:val="22"/>
          <w:szCs w:val="22"/>
        </w:rPr>
        <w:t>Q</w:t>
      </w:r>
      <w:r w:rsidRPr="00BC2A61">
        <w:rPr>
          <w:rFonts w:ascii="Arial" w:hAnsi="Arial"/>
          <w:sz w:val="22"/>
          <w:szCs w:val="22"/>
        </w:rPr>
        <w:t xml:space="preserve">ualifications and </w:t>
      </w:r>
      <w:r w:rsidR="00982C78">
        <w:rPr>
          <w:rFonts w:ascii="Arial" w:hAnsi="Arial"/>
          <w:sz w:val="22"/>
          <w:szCs w:val="22"/>
        </w:rPr>
        <w:t>T</w:t>
      </w:r>
      <w:r w:rsidRPr="00BC2A61">
        <w:rPr>
          <w:rFonts w:ascii="Arial" w:hAnsi="Arial"/>
          <w:sz w:val="22"/>
          <w:szCs w:val="22"/>
        </w:rPr>
        <w:t>raining</w:t>
      </w:r>
      <w:bookmarkEnd w:id="25"/>
    </w:p>
    <w:p w14:paraId="73AB160B" w14:textId="77777777" w:rsidR="00FA13D0" w:rsidRPr="00FA13D0" w:rsidRDefault="00FA13D0" w:rsidP="00FA13D0">
      <w:pPr>
        <w:pStyle w:val="StyleHeading2"/>
      </w:pPr>
    </w:p>
    <w:p w14:paraId="3FCFDA1A" w14:textId="797E8570" w:rsidR="00FA13D0" w:rsidRDefault="00561563"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t>The</w:t>
      </w:r>
      <w:r w:rsidRPr="006B144E">
        <w:t xml:space="preserve"> successful </w:t>
      </w:r>
      <w:r w:rsidR="00746DDF">
        <w:t>service provider</w:t>
      </w:r>
      <w:r w:rsidRPr="006B144E">
        <w:t xml:space="preserve"> </w:t>
      </w:r>
      <w:r w:rsidRPr="000C7FAA">
        <w:t>must have an existing positive reputation and credibility with commissioners, providers and practitioners of stop smoking services and extensive experience within the field of tobacco control and smoking cessation.</w:t>
      </w:r>
      <w:r w:rsidRPr="006B144E">
        <w:t xml:space="preserve"> </w:t>
      </w:r>
    </w:p>
    <w:p w14:paraId="1F7D7CC6" w14:textId="77777777" w:rsidR="00FA13D0" w:rsidRDefault="00FA13D0" w:rsidP="00FA13D0">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680"/>
      </w:pPr>
    </w:p>
    <w:p w14:paraId="360A80F8" w14:textId="77777777" w:rsidR="00FA13D0" w:rsidRDefault="00561563"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6B144E">
        <w:t xml:space="preserve">They will have proven knowledge of delivering </w:t>
      </w:r>
      <w:r>
        <w:t xml:space="preserve">training </w:t>
      </w:r>
      <w:r w:rsidRPr="006B144E">
        <w:t xml:space="preserve">programmes on a national scale and an understanding of working </w:t>
      </w:r>
      <w:r>
        <w:t xml:space="preserve">locally and nationally </w:t>
      </w:r>
      <w:r w:rsidRPr="006B144E">
        <w:t xml:space="preserve">with other </w:t>
      </w:r>
      <w:r>
        <w:t xml:space="preserve">relevant </w:t>
      </w:r>
      <w:r w:rsidRPr="006B144E">
        <w:t>organisations.</w:t>
      </w:r>
    </w:p>
    <w:p w14:paraId="4C028821" w14:textId="77777777" w:rsidR="00FA13D0" w:rsidRDefault="00FA13D0" w:rsidP="00FA13D0">
      <w:pPr>
        <w:pStyle w:val="ListParagraph"/>
      </w:pPr>
    </w:p>
    <w:p w14:paraId="352DB37F" w14:textId="1F9D9EDC" w:rsidR="00561563" w:rsidRPr="000C7FAA" w:rsidRDefault="00561563" w:rsidP="00FA13D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0C7FAA">
        <w:t xml:space="preserve">Stop smoking services in England are viewed from abroad as a world-class example of good practice, therefore </w:t>
      </w:r>
      <w:r>
        <w:t xml:space="preserve">the </w:t>
      </w:r>
      <w:r w:rsidR="00746DDF">
        <w:t>service provider</w:t>
      </w:r>
      <w:r w:rsidRPr="000C7FAA">
        <w:t xml:space="preserve"> should also have an international reach and reputation to support continuation of these </w:t>
      </w:r>
      <w:r w:rsidR="00E205C2" w:rsidRPr="000C7FAA">
        <w:t>high-profile</w:t>
      </w:r>
      <w:r w:rsidRPr="000C7FAA">
        <w:t xml:space="preserve"> activities.</w:t>
      </w:r>
    </w:p>
    <w:p w14:paraId="71C221F3" w14:textId="77777777" w:rsidR="008B4950" w:rsidRDefault="008B4950" w:rsidP="005C20D6">
      <w:pPr>
        <w:pStyle w:val="Sch1"/>
        <w:numPr>
          <w:ilvl w:val="0"/>
          <w:numId w:val="73"/>
        </w:numPr>
        <w:ind w:left="567" w:hanging="567"/>
        <w:rPr>
          <w:rFonts w:ascii="Arial" w:hAnsi="Arial"/>
          <w:sz w:val="22"/>
          <w:szCs w:val="22"/>
        </w:rPr>
      </w:pPr>
      <w:bookmarkStart w:id="26" w:name="_Toc118380643"/>
      <w:r w:rsidRPr="003D07A1">
        <w:rPr>
          <w:rFonts w:ascii="Arial" w:hAnsi="Arial"/>
          <w:sz w:val="22"/>
          <w:szCs w:val="22"/>
        </w:rPr>
        <w:t>Data</w:t>
      </w:r>
      <w:bookmarkEnd w:id="26"/>
      <w:r w:rsidRPr="003D07A1">
        <w:rPr>
          <w:rFonts w:ascii="Arial" w:hAnsi="Arial"/>
          <w:sz w:val="22"/>
          <w:szCs w:val="22"/>
        </w:rPr>
        <w:t xml:space="preserve"> </w:t>
      </w:r>
    </w:p>
    <w:p w14:paraId="4AA5631B" w14:textId="77777777" w:rsidR="005F0C78" w:rsidRPr="005F0C78" w:rsidRDefault="005F0C78" w:rsidP="005F0C78">
      <w:pPr>
        <w:pStyle w:val="StyleHeading2"/>
      </w:pPr>
    </w:p>
    <w:p w14:paraId="23BB7808" w14:textId="6C789FC5" w:rsidR="008B4950" w:rsidRDefault="008B4950" w:rsidP="005F0C78">
      <w:pPr>
        <w:pStyle w:val="Heading2"/>
        <w:ind w:left="360"/>
        <w:rPr>
          <w:rFonts w:eastAsia="Verdana"/>
          <w:i w:val="0"/>
          <w:iCs w:val="0"/>
          <w:position w:val="-1"/>
        </w:rPr>
      </w:pPr>
      <w:bookmarkStart w:id="27" w:name="_Toc106015129"/>
      <w:bookmarkStart w:id="28" w:name="_Toc118295355"/>
      <w:bookmarkStart w:id="29" w:name="_Toc118296670"/>
      <w:bookmarkStart w:id="30" w:name="_Toc118380482"/>
      <w:bookmarkStart w:id="31" w:name="_Toc118380644"/>
      <w:r>
        <w:rPr>
          <w:i w:val="0"/>
          <w:iCs w:val="0"/>
          <w:sz w:val="28"/>
          <w:szCs w:val="28"/>
        </w:rPr>
        <w:t>Security</w:t>
      </w:r>
      <w:bookmarkEnd w:id="27"/>
      <w:bookmarkEnd w:id="28"/>
      <w:bookmarkEnd w:id="29"/>
      <w:bookmarkEnd w:id="30"/>
      <w:bookmarkEnd w:id="31"/>
    </w:p>
    <w:p w14:paraId="40D27250" w14:textId="0119E748" w:rsidR="00211E1F" w:rsidRPr="00FB6D60" w:rsidRDefault="008B4950" w:rsidP="00FB6D6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FB6D60">
        <w:t xml:space="preserve">The </w:t>
      </w:r>
      <w:r w:rsidR="00746DDF">
        <w:t>service provider</w:t>
      </w:r>
      <w:r w:rsidRPr="00FB6D60">
        <w:t xml:space="preserve"> shall deliver the service in accordance with the HMG Security Policy Framework. </w:t>
      </w:r>
      <w:hyperlink r:id="rId12" w:history="1">
        <w:r w:rsidR="00942763" w:rsidRPr="00211E1F">
          <w:t>https://www.gov.uk/government/publications/security-policy-framework</w:t>
        </w:r>
      </w:hyperlink>
      <w:r w:rsidRPr="00FB6D60">
        <w:t> </w:t>
      </w:r>
    </w:p>
    <w:p w14:paraId="14DFAA17" w14:textId="77777777" w:rsidR="00211E1F" w:rsidRPr="00FB6D60" w:rsidRDefault="00211E1F" w:rsidP="00FB6D60">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680"/>
      </w:pPr>
    </w:p>
    <w:p w14:paraId="6669B42F" w14:textId="420C23D5" w:rsidR="005F0C78" w:rsidRDefault="008B4950" w:rsidP="005F0C78">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FB6D60">
        <w:t xml:space="preserve">The </w:t>
      </w:r>
      <w:r w:rsidR="00746DDF">
        <w:t>service provider</w:t>
      </w:r>
      <w:r w:rsidRPr="00FB6D60">
        <w:t xml:space="preserve"> shall have a Cyber Essentials Scheme Basic Certificate or equivalent at the commencement date of the contract. Cyber Essential Scheme requirements can be located at: </w:t>
      </w:r>
      <w:hyperlink r:id="rId13" w:history="1">
        <w:r w:rsidR="00942763" w:rsidRPr="005F0C78">
          <w:t>https://www.ncsc.gov.uk/cyberessentials/overview</w:t>
        </w:r>
      </w:hyperlink>
      <w:r w:rsidRPr="005F0C78">
        <w:t>.</w:t>
      </w:r>
    </w:p>
    <w:p w14:paraId="68FC71F9" w14:textId="77777777" w:rsidR="005F0C78" w:rsidRPr="005F0C78" w:rsidRDefault="005F0C78" w:rsidP="005F0C78">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680"/>
      </w:pPr>
    </w:p>
    <w:p w14:paraId="38D79ACC" w14:textId="0BBC1BA0" w:rsidR="005F0C78" w:rsidRDefault="008B4950" w:rsidP="008B495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5F0C78">
        <w:t xml:space="preserve">The </w:t>
      </w:r>
      <w:r w:rsidR="00746DDF">
        <w:t>service provider</w:t>
      </w:r>
      <w:r w:rsidRPr="005F0C78">
        <w:t xml:space="preserve"> shall ensure that Customer’s and Service Users information and Data is secured in a manner that complies with the Government Security Classification Policy rating of OFFICIAL-SENSITIVE.  </w:t>
      </w:r>
      <w:hyperlink r:id="rId14" w:history="1">
        <w:r w:rsidRPr="005F0C78">
          <w:t>May-2018_Government-Security-Classifications-2.pdf (publishing.service.gov.uk)</w:t>
        </w:r>
      </w:hyperlink>
    </w:p>
    <w:p w14:paraId="425A6631" w14:textId="77777777" w:rsidR="005F0C78" w:rsidRPr="005F0C78" w:rsidRDefault="005F0C78" w:rsidP="005F0C78">
      <w:pPr>
        <w:pStyle w:val="ListParagraph"/>
        <w:rPr>
          <w:szCs w:val="20"/>
          <w:lang w:eastAsia="en-US"/>
        </w:rPr>
      </w:pPr>
    </w:p>
    <w:p w14:paraId="00521E54" w14:textId="2640608C" w:rsidR="005F0C78" w:rsidRDefault="008B4950" w:rsidP="005F0C78">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5F0C78">
        <w:rPr>
          <w:szCs w:val="20"/>
          <w:lang w:eastAsia="en-US"/>
        </w:rPr>
        <w:t xml:space="preserve">The </w:t>
      </w:r>
      <w:r w:rsidR="00746DDF">
        <w:rPr>
          <w:szCs w:val="20"/>
          <w:lang w:eastAsia="en-US"/>
        </w:rPr>
        <w:t>service provider</w:t>
      </w:r>
      <w:r w:rsidRPr="005F0C78">
        <w:rPr>
          <w:szCs w:val="20"/>
          <w:lang w:eastAsia="en-US"/>
        </w:rPr>
        <w:t xml:space="preserve"> shall ensure that the Government Security Classification </w:t>
      </w:r>
      <w:r w:rsidRPr="005F0C78">
        <w:rPr>
          <w:szCs w:val="20"/>
          <w:lang w:eastAsia="en-US"/>
        </w:rPr>
        <w:lastRenderedPageBreak/>
        <w:t>Policy rating is also applied when information and Data is transmitted across all applicable networks and/or in line with the Authority’s requirements.</w:t>
      </w:r>
    </w:p>
    <w:p w14:paraId="69622054" w14:textId="77777777" w:rsidR="005F0C78" w:rsidRPr="005F0C78" w:rsidRDefault="005F0C78" w:rsidP="005F0C78">
      <w:pPr>
        <w:pStyle w:val="ListParagraph"/>
        <w:rPr>
          <w:szCs w:val="20"/>
          <w:lang w:eastAsia="en-US"/>
        </w:rPr>
      </w:pPr>
    </w:p>
    <w:p w14:paraId="3ABC9F8E" w14:textId="5D82E739" w:rsidR="005F0C78" w:rsidRDefault="005F0C78" w:rsidP="005F0C78">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Pr>
          <w:szCs w:val="20"/>
          <w:lang w:eastAsia="en-US"/>
        </w:rPr>
        <w:t xml:space="preserve">The </w:t>
      </w:r>
      <w:r w:rsidR="00746DDF">
        <w:rPr>
          <w:szCs w:val="20"/>
          <w:lang w:eastAsia="en-US"/>
        </w:rPr>
        <w:t>service provider</w:t>
      </w:r>
      <w:r w:rsidR="008B4950" w:rsidRPr="005F0C78">
        <w:rPr>
          <w:szCs w:val="20"/>
          <w:lang w:eastAsia="en-US"/>
        </w:rPr>
        <w:t xml:space="preserve"> shall, where required, have the capability to employ encryption to information / Data which shall be sent across a network or extracted by electronic means. The </w:t>
      </w:r>
      <w:r w:rsidR="00746DDF">
        <w:rPr>
          <w:szCs w:val="20"/>
          <w:lang w:eastAsia="en-US"/>
        </w:rPr>
        <w:t>service provider</w:t>
      </w:r>
      <w:r w:rsidR="008B4950" w:rsidRPr="005F0C78">
        <w:rPr>
          <w:szCs w:val="20"/>
          <w:lang w:eastAsia="en-US"/>
        </w:rPr>
        <w:t xml:space="preserve"> shall ensure that the level of encryption complies in full with the Government Security Classification Policy rating of OFFICIAL-SENSITIVE and/or in line with the Authority’ requirements.</w:t>
      </w:r>
    </w:p>
    <w:p w14:paraId="7141D0DE" w14:textId="77777777" w:rsidR="005F0C78" w:rsidRPr="005F0C78" w:rsidRDefault="005F0C78" w:rsidP="005F0C78">
      <w:pPr>
        <w:pStyle w:val="ListParagraph"/>
        <w:rPr>
          <w:szCs w:val="20"/>
          <w:lang w:eastAsia="en-US"/>
        </w:rPr>
      </w:pPr>
    </w:p>
    <w:p w14:paraId="292B5BC1" w14:textId="0BAF15E4" w:rsidR="005F0C78" w:rsidRPr="005F0C78" w:rsidRDefault="008B4950" w:rsidP="008B495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pPr>
      <w:r w:rsidRPr="005F0C78">
        <w:rPr>
          <w:szCs w:val="20"/>
          <w:lang w:eastAsia="en-US"/>
        </w:rPr>
        <w:t xml:space="preserve">The </w:t>
      </w:r>
      <w:r w:rsidR="00746DDF">
        <w:rPr>
          <w:szCs w:val="20"/>
          <w:lang w:eastAsia="en-US"/>
        </w:rPr>
        <w:t>service provider</w:t>
      </w:r>
      <w:r w:rsidRPr="005F0C78">
        <w:rPr>
          <w:szCs w:val="20"/>
          <w:lang w:eastAsia="en-US"/>
        </w:rPr>
        <w:t xml:space="preserve"> shall ensure that any suspected or actual security breaches are reported to the Customer’s representative immediately and depending on the impact of the breach, shall be included in monthly/quarterly performance reporting to the Authority.</w:t>
      </w:r>
    </w:p>
    <w:p w14:paraId="7F6BC630" w14:textId="77777777" w:rsidR="005F0C78" w:rsidRPr="005F0C78" w:rsidRDefault="005F0C78" w:rsidP="005F0C78">
      <w:pPr>
        <w:pStyle w:val="ListParagraph"/>
        <w:rPr>
          <w:szCs w:val="20"/>
          <w:lang w:eastAsia="en-US"/>
        </w:rPr>
      </w:pPr>
    </w:p>
    <w:p w14:paraId="1B1F710F" w14:textId="0C56219F" w:rsidR="008B4950" w:rsidRPr="005F0C78" w:rsidRDefault="008B4950" w:rsidP="008B4950">
      <w:pPr>
        <w:pStyle w:val="ListParagraph"/>
        <w:widowControl w:val="0"/>
        <w:numPr>
          <w:ilvl w:val="1"/>
          <w:numId w:val="73"/>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eastAsia="Times New Roman"/>
          <w:szCs w:val="20"/>
          <w:lang w:eastAsia="en-US"/>
        </w:rPr>
      </w:pPr>
      <w:r w:rsidRPr="005F0C78">
        <w:rPr>
          <w:szCs w:val="20"/>
          <w:lang w:eastAsia="en-US"/>
        </w:rPr>
        <w:t xml:space="preserve">The </w:t>
      </w:r>
      <w:r w:rsidR="00746DDF">
        <w:rPr>
          <w:szCs w:val="20"/>
          <w:lang w:eastAsia="en-US"/>
        </w:rPr>
        <w:t>service provider</w:t>
      </w:r>
      <w:r w:rsidRPr="005F0C78">
        <w:rPr>
          <w:szCs w:val="20"/>
          <w:lang w:eastAsia="en-US"/>
        </w:rPr>
        <w:t xml:space="preserve"> shall comply with all relevant legislation, organisational and cross Government policy and guidelines in relation to Data and asset </w:t>
      </w:r>
      <w:r w:rsidRPr="005F0C78">
        <w:rPr>
          <w:rFonts w:eastAsia="Times New Roman"/>
          <w:szCs w:val="20"/>
          <w:lang w:eastAsia="en-US"/>
        </w:rPr>
        <w:t>security. </w:t>
      </w:r>
    </w:p>
    <w:p w14:paraId="204118CE" w14:textId="77777777" w:rsidR="008B4950" w:rsidRPr="003D07A1" w:rsidRDefault="008B4950" w:rsidP="005F0C78">
      <w:pPr>
        <w:pStyle w:val="Heading2"/>
        <w:ind w:left="360"/>
        <w:rPr>
          <w:i w:val="0"/>
          <w:iCs w:val="0"/>
          <w:szCs w:val="20"/>
        </w:rPr>
      </w:pPr>
      <w:bookmarkStart w:id="32" w:name="_Toc103336833"/>
      <w:bookmarkStart w:id="33" w:name="_Toc106015130"/>
      <w:bookmarkStart w:id="34" w:name="_Toc118295356"/>
      <w:bookmarkStart w:id="35" w:name="_Toc118296671"/>
      <w:bookmarkStart w:id="36" w:name="_Toc118380483"/>
      <w:bookmarkStart w:id="37" w:name="_Toc118380645"/>
      <w:r w:rsidRPr="00942763">
        <w:rPr>
          <w:i w:val="0"/>
          <w:iCs w:val="0"/>
          <w:sz w:val="28"/>
          <w:szCs w:val="28"/>
        </w:rPr>
        <w:t>Standards</w:t>
      </w:r>
      <w:bookmarkEnd w:id="32"/>
      <w:bookmarkEnd w:id="33"/>
      <w:bookmarkEnd w:id="34"/>
      <w:bookmarkEnd w:id="35"/>
      <w:bookmarkEnd w:id="36"/>
      <w:bookmarkEnd w:id="37"/>
    </w:p>
    <w:p w14:paraId="7C614DD4" w14:textId="4AE8ACBC" w:rsidR="008B4950" w:rsidRPr="003D07A1" w:rsidRDefault="008B4950" w:rsidP="005F0C78">
      <w:pPr>
        <w:pStyle w:val="NormalWeb"/>
        <w:numPr>
          <w:ilvl w:val="1"/>
          <w:numId w:val="73"/>
        </w:numPr>
        <w:rPr>
          <w:rFonts w:ascii="Arial" w:hAnsi="Arial" w:cs="Arial"/>
          <w:szCs w:val="20"/>
          <w:lang w:eastAsia="en-US"/>
        </w:rPr>
      </w:pPr>
      <w:r w:rsidRPr="003D07A1">
        <w:rPr>
          <w:rFonts w:ascii="Arial" w:hAnsi="Arial" w:cs="Arial"/>
          <w:szCs w:val="20"/>
          <w:lang w:eastAsia="en-US"/>
        </w:rPr>
        <w:t xml:space="preserve">The </w:t>
      </w:r>
      <w:r w:rsidR="00746DDF">
        <w:rPr>
          <w:rFonts w:ascii="Arial" w:hAnsi="Arial" w:cs="Arial"/>
          <w:szCs w:val="20"/>
          <w:lang w:eastAsia="en-US"/>
        </w:rPr>
        <w:t>service provider</w:t>
      </w:r>
      <w:r w:rsidRPr="003D07A1">
        <w:rPr>
          <w:rFonts w:ascii="Arial" w:hAnsi="Arial" w:cs="Arial"/>
          <w:szCs w:val="20"/>
          <w:lang w:eastAsia="en-US"/>
        </w:rPr>
        <w:t xml:space="preserve"> shall provide secure solutions that comply with any restrictions or requirements arising out of Customer’s security policies. This shall include, but not be limited to:</w:t>
      </w:r>
    </w:p>
    <w:p w14:paraId="3BF3CAA8" w14:textId="2FAD00AF" w:rsidR="008B4950" w:rsidRPr="003D07A1" w:rsidRDefault="00897DCF" w:rsidP="008B4950">
      <w:pPr>
        <w:suppressAutoHyphens/>
        <w:autoSpaceDN w:val="0"/>
        <w:spacing w:before="120" w:after="120"/>
        <w:textAlignment w:val="baseline"/>
      </w:pPr>
      <w:r>
        <w:tab/>
      </w:r>
      <w:r w:rsidR="008B4950" w:rsidRPr="003D07A1">
        <w:t>Cyber Essentials Scheme Basic Certificate; or</w:t>
      </w:r>
    </w:p>
    <w:p w14:paraId="12B266A0" w14:textId="1AFFFE23" w:rsidR="008B4950" w:rsidRPr="003D07A1" w:rsidRDefault="00897DCF" w:rsidP="008B4950">
      <w:pPr>
        <w:suppressAutoHyphens/>
        <w:autoSpaceDN w:val="0"/>
        <w:spacing w:before="120" w:after="120"/>
        <w:textAlignment w:val="baseline"/>
      </w:pPr>
      <w:r>
        <w:tab/>
      </w:r>
      <w:r w:rsidR="008B4950" w:rsidRPr="003D07A1">
        <w:t>NHS Data Security and Protection Toolkit; or</w:t>
      </w:r>
    </w:p>
    <w:p w14:paraId="7A6E29A2" w14:textId="1FC9A66A" w:rsidR="005F0C78" w:rsidRPr="00211E1F" w:rsidRDefault="00897DCF" w:rsidP="00211E1F">
      <w:pPr>
        <w:suppressAutoHyphens/>
        <w:autoSpaceDN w:val="0"/>
        <w:spacing w:before="120" w:after="120"/>
        <w:textAlignment w:val="baseline"/>
      </w:pPr>
      <w:r>
        <w:tab/>
      </w:r>
      <w:r w:rsidR="008B4950" w:rsidRPr="003D07A1">
        <w:t xml:space="preserve">ISO 27001 Information Security Management as agreed; </w:t>
      </w:r>
    </w:p>
    <w:p w14:paraId="3E4E1BEB" w14:textId="7F6EDD73" w:rsidR="00F542A9" w:rsidRPr="00211E1F" w:rsidRDefault="008B4950" w:rsidP="00211E1F">
      <w:pPr>
        <w:pStyle w:val="Sch3"/>
        <w:numPr>
          <w:ilvl w:val="1"/>
          <w:numId w:val="73"/>
        </w:numPr>
        <w:tabs>
          <w:tab w:val="left" w:pos="720"/>
        </w:tabs>
        <w:rPr>
          <w:rFonts w:ascii="Arial" w:hAnsi="Arial"/>
          <w:b w:val="0"/>
          <w:smallCaps w:val="0"/>
          <w:sz w:val="24"/>
        </w:rPr>
      </w:pPr>
      <w:r w:rsidRPr="00897DCF">
        <w:rPr>
          <w:rFonts w:ascii="Arial" w:hAnsi="Arial"/>
          <w:b w:val="0"/>
          <w:smallCaps w:val="0"/>
          <w:sz w:val="24"/>
        </w:rPr>
        <w:t xml:space="preserve">The </w:t>
      </w:r>
      <w:r w:rsidR="00746DDF">
        <w:rPr>
          <w:rFonts w:ascii="Arial" w:hAnsi="Arial"/>
          <w:b w:val="0"/>
          <w:smallCaps w:val="0"/>
          <w:sz w:val="24"/>
        </w:rPr>
        <w:t>service provider</w:t>
      </w:r>
      <w:r w:rsidRPr="00897DCF">
        <w:rPr>
          <w:rFonts w:ascii="Arial" w:hAnsi="Arial"/>
          <w:b w:val="0"/>
          <w:smallCaps w:val="0"/>
          <w:sz w:val="24"/>
        </w:rPr>
        <w:t xml:space="preserve"> shall not charge a premium to </w:t>
      </w:r>
      <w:r w:rsidR="003D07A1" w:rsidRPr="00897DCF">
        <w:rPr>
          <w:rFonts w:ascii="Arial" w:hAnsi="Arial"/>
          <w:b w:val="0"/>
          <w:smallCaps w:val="0"/>
          <w:sz w:val="24"/>
        </w:rPr>
        <w:t>the Authority</w:t>
      </w:r>
      <w:r w:rsidRPr="00897DCF">
        <w:rPr>
          <w:rFonts w:ascii="Arial" w:hAnsi="Arial"/>
          <w:b w:val="0"/>
          <w:smallCaps w:val="0"/>
          <w:sz w:val="24"/>
        </w:rPr>
        <w:t xml:space="preserve"> for any additional standards and/or security compliance applicable to the contract, unless otherwise agreed in advance by </w:t>
      </w:r>
      <w:r w:rsidR="003D07A1" w:rsidRPr="00897DCF">
        <w:rPr>
          <w:rFonts w:ascii="Arial" w:hAnsi="Arial"/>
          <w:b w:val="0"/>
          <w:smallCaps w:val="0"/>
          <w:sz w:val="24"/>
        </w:rPr>
        <w:t>the Authority</w:t>
      </w:r>
    </w:p>
    <w:p w14:paraId="46E1D6D6" w14:textId="77777777" w:rsidR="00F542A9" w:rsidRDefault="00F542A9" w:rsidP="00F542A9">
      <w:pPr>
        <w:tabs>
          <w:tab w:val="left" w:pos="460"/>
        </w:tabs>
        <w:spacing w:before="60" w:line="260" w:lineRule="exact"/>
        <w:ind w:right="74"/>
        <w:rPr>
          <w:rFonts w:eastAsia="Verdana"/>
          <w:sz w:val="22"/>
          <w:szCs w:val="22"/>
        </w:rPr>
      </w:pPr>
    </w:p>
    <w:p w14:paraId="60FBA8AE" w14:textId="77777777" w:rsidR="00F542A9" w:rsidRDefault="00F542A9" w:rsidP="005C20D6">
      <w:pPr>
        <w:pStyle w:val="Sch1"/>
        <w:numPr>
          <w:ilvl w:val="0"/>
          <w:numId w:val="73"/>
        </w:numPr>
        <w:ind w:left="567" w:hanging="567"/>
        <w:rPr>
          <w:rFonts w:ascii="Arial" w:hAnsi="Arial"/>
          <w:sz w:val="22"/>
          <w:szCs w:val="22"/>
        </w:rPr>
      </w:pPr>
      <w:bookmarkStart w:id="38" w:name="_Toc107033261"/>
      <w:bookmarkStart w:id="39" w:name="_Toc118380646"/>
      <w:r w:rsidRPr="00F542A9">
        <w:rPr>
          <w:rFonts w:ascii="Arial" w:hAnsi="Arial"/>
          <w:sz w:val="22"/>
          <w:szCs w:val="22"/>
        </w:rPr>
        <w:t>Social Value</w:t>
      </w:r>
      <w:bookmarkEnd w:id="38"/>
      <w:bookmarkEnd w:id="39"/>
      <w:r w:rsidRPr="00F542A9">
        <w:rPr>
          <w:rFonts w:ascii="Arial" w:hAnsi="Arial"/>
          <w:sz w:val="22"/>
          <w:szCs w:val="22"/>
        </w:rPr>
        <w:t xml:space="preserve"> </w:t>
      </w:r>
    </w:p>
    <w:p w14:paraId="2EF83A33" w14:textId="77777777" w:rsidR="00D877F7" w:rsidRDefault="00D877F7" w:rsidP="00D877F7">
      <w:pPr>
        <w:pStyle w:val="StyleHeading2"/>
      </w:pPr>
    </w:p>
    <w:p w14:paraId="656B5E28" w14:textId="7BF3B218" w:rsidR="00D877F7" w:rsidRPr="00D877F7" w:rsidRDefault="00D877F7" w:rsidP="00D877F7">
      <w:pPr>
        <w:pStyle w:val="StyleHeading2"/>
      </w:pPr>
      <w:r>
        <w:t>The DHSC follows the Social Value model created by the Government and that include 5 themes and 8 policy outcomes</w:t>
      </w:r>
      <w:r w:rsidR="007E2138">
        <w:t>. This contract supports:</w:t>
      </w:r>
    </w:p>
    <w:p w14:paraId="4DFF8010" w14:textId="77777777" w:rsidR="000057C3" w:rsidRDefault="000057C3" w:rsidP="000057C3">
      <w:pPr>
        <w:pStyle w:val="StyleHeading2"/>
      </w:pPr>
    </w:p>
    <w:p w14:paraId="43421DA3" w14:textId="77777777" w:rsidR="000057C3" w:rsidRPr="00D877F7" w:rsidRDefault="000057C3" w:rsidP="000057C3">
      <w:pPr>
        <w:autoSpaceDE w:val="0"/>
        <w:autoSpaceDN w:val="0"/>
        <w:adjustRightInd w:val="0"/>
        <w:rPr>
          <w:b/>
          <w:bCs/>
          <w:szCs w:val="24"/>
        </w:rPr>
      </w:pPr>
      <w:bookmarkStart w:id="40" w:name="_Hlk118385008"/>
      <w:r w:rsidRPr="00D877F7">
        <w:rPr>
          <w:b/>
          <w:bCs/>
          <w:szCs w:val="24"/>
        </w:rPr>
        <w:t xml:space="preserve">Theme 5 Wellbeing: Improve health and wellbeing. </w:t>
      </w:r>
    </w:p>
    <w:p w14:paraId="5A77BED2" w14:textId="77777777" w:rsidR="000057C3" w:rsidRPr="00D877F7" w:rsidRDefault="000057C3" w:rsidP="000057C3">
      <w:pPr>
        <w:autoSpaceDE w:val="0"/>
        <w:autoSpaceDN w:val="0"/>
        <w:adjustRightInd w:val="0"/>
      </w:pPr>
    </w:p>
    <w:p w14:paraId="3EE05881" w14:textId="7A7CF669" w:rsidR="000057C3" w:rsidRPr="00D877F7" w:rsidRDefault="000057C3" w:rsidP="000057C3">
      <w:pPr>
        <w:autoSpaceDE w:val="0"/>
        <w:autoSpaceDN w:val="0"/>
        <w:adjustRightInd w:val="0"/>
        <w:rPr>
          <w:szCs w:val="24"/>
        </w:rPr>
      </w:pPr>
      <w:r w:rsidRPr="00D877F7">
        <w:rPr>
          <w:szCs w:val="24"/>
        </w:rPr>
        <w:t xml:space="preserve">Model Award Criteria (MAC) 7.2: Influence staff, </w:t>
      </w:r>
      <w:r w:rsidR="00746DDF">
        <w:rPr>
          <w:szCs w:val="24"/>
        </w:rPr>
        <w:t>service provider</w:t>
      </w:r>
      <w:r w:rsidRPr="00D877F7">
        <w:rPr>
          <w:szCs w:val="24"/>
        </w:rPr>
        <w:t>s, customers and communities through the delivery of the contract to support health and wellbeing, including physical and mental health.</w:t>
      </w:r>
    </w:p>
    <w:p w14:paraId="3FB01B04" w14:textId="77777777" w:rsidR="000057C3" w:rsidRDefault="000057C3" w:rsidP="000057C3">
      <w:pPr>
        <w:autoSpaceDE w:val="0"/>
        <w:autoSpaceDN w:val="0"/>
        <w:adjustRightInd w:val="0"/>
        <w:rPr>
          <w:szCs w:val="24"/>
          <w:highlight w:val="yellow"/>
        </w:rPr>
      </w:pPr>
    </w:p>
    <w:p w14:paraId="62092D3C" w14:textId="77777777" w:rsidR="000057C3" w:rsidRPr="00772E12" w:rsidRDefault="000057C3" w:rsidP="000057C3">
      <w:pPr>
        <w:autoSpaceDE w:val="0"/>
        <w:autoSpaceDN w:val="0"/>
        <w:adjustRightInd w:val="0"/>
        <w:rPr>
          <w:szCs w:val="24"/>
        </w:rPr>
      </w:pPr>
      <w:r w:rsidRPr="00772E12">
        <w:rPr>
          <w:szCs w:val="24"/>
        </w:rPr>
        <w:t>Sub-criteria for MAC 7.2: Influencing support for health and wellbeing</w:t>
      </w:r>
    </w:p>
    <w:p w14:paraId="15194D43" w14:textId="77777777" w:rsidR="000057C3" w:rsidRDefault="000057C3" w:rsidP="000057C3">
      <w:pPr>
        <w:autoSpaceDE w:val="0"/>
        <w:autoSpaceDN w:val="0"/>
        <w:adjustRightInd w:val="0"/>
        <w:rPr>
          <w:szCs w:val="24"/>
        </w:rPr>
      </w:pPr>
      <w:r w:rsidRPr="00772E12">
        <w:rPr>
          <w:szCs w:val="24"/>
        </w:rPr>
        <w:t>Activities that demonstrate and describe the tenderer</w:t>
      </w:r>
      <w:r w:rsidRPr="00772E12">
        <w:rPr>
          <w:rFonts w:hint="eastAsia"/>
          <w:szCs w:val="24"/>
        </w:rPr>
        <w:t>’</w:t>
      </w:r>
      <w:r w:rsidRPr="00772E12">
        <w:rPr>
          <w:szCs w:val="24"/>
        </w:rPr>
        <w:t>s existing or planned:</w:t>
      </w:r>
    </w:p>
    <w:p w14:paraId="06B5BD7D" w14:textId="77777777" w:rsidR="000057C3" w:rsidRPr="00772E12" w:rsidRDefault="000057C3" w:rsidP="000057C3">
      <w:pPr>
        <w:autoSpaceDE w:val="0"/>
        <w:autoSpaceDN w:val="0"/>
        <w:adjustRightInd w:val="0"/>
        <w:rPr>
          <w:szCs w:val="24"/>
        </w:rPr>
      </w:pPr>
    </w:p>
    <w:p w14:paraId="05331617" w14:textId="300DFB6E" w:rsidR="000057C3" w:rsidRDefault="000057C3" w:rsidP="000057C3">
      <w:pPr>
        <w:autoSpaceDE w:val="0"/>
        <w:autoSpaceDN w:val="0"/>
        <w:adjustRightInd w:val="0"/>
        <w:rPr>
          <w:szCs w:val="24"/>
        </w:rPr>
      </w:pPr>
      <w:r w:rsidRPr="00772E12">
        <w:rPr>
          <w:szCs w:val="24"/>
        </w:rPr>
        <w:lastRenderedPageBreak/>
        <w:t xml:space="preserve">● Measures to raise awareness or increase the influence of staff, </w:t>
      </w:r>
      <w:r w:rsidR="00746DDF">
        <w:rPr>
          <w:szCs w:val="24"/>
        </w:rPr>
        <w:t>service provider</w:t>
      </w:r>
      <w:r w:rsidRPr="00772E12">
        <w:rPr>
          <w:szCs w:val="24"/>
        </w:rPr>
        <w:t>s, customers, communities and/or any other appropriate stakeholders to promote health and wellbeing, including physical and mental health, through its performance of the contract, e.g. through engagement; co-design/creation; training and education; partnering/collaborating; and volunteering.</w:t>
      </w:r>
    </w:p>
    <w:p w14:paraId="5FC7862A" w14:textId="348A6CB9" w:rsidR="000057C3" w:rsidRDefault="000057C3" w:rsidP="000057C3">
      <w:pPr>
        <w:autoSpaceDE w:val="0"/>
        <w:autoSpaceDN w:val="0"/>
        <w:adjustRightInd w:val="0"/>
        <w:rPr>
          <w:szCs w:val="24"/>
        </w:rPr>
      </w:pPr>
    </w:p>
    <w:p w14:paraId="059B6A71" w14:textId="057C5613" w:rsidR="00853010" w:rsidRDefault="00853010" w:rsidP="000057C3">
      <w:pPr>
        <w:autoSpaceDE w:val="0"/>
        <w:autoSpaceDN w:val="0"/>
        <w:adjustRightInd w:val="0"/>
        <w:rPr>
          <w:szCs w:val="24"/>
        </w:rPr>
      </w:pPr>
      <w:r>
        <w:t>To this effect we will require A time-bound action plan and process, including how you will implement your commitment and by when.</w:t>
      </w:r>
    </w:p>
    <w:bookmarkEnd w:id="40"/>
    <w:p w14:paraId="52610694" w14:textId="77777777" w:rsidR="00C65516" w:rsidRPr="00C65516" w:rsidRDefault="00C65516" w:rsidP="00C65516">
      <w:pPr>
        <w:pStyle w:val="StyleHeading2"/>
      </w:pPr>
    </w:p>
    <w:p w14:paraId="692A4487" w14:textId="0A58D86A" w:rsidR="00EC042A" w:rsidRDefault="00D9732F" w:rsidP="005C20D6">
      <w:pPr>
        <w:pStyle w:val="Sch1"/>
        <w:numPr>
          <w:ilvl w:val="0"/>
          <w:numId w:val="73"/>
        </w:numPr>
        <w:rPr>
          <w:rFonts w:ascii="Arial" w:hAnsi="Arial"/>
          <w:sz w:val="22"/>
          <w:szCs w:val="22"/>
        </w:rPr>
      </w:pPr>
      <w:bookmarkStart w:id="41" w:name="_Toc118380647"/>
      <w:bookmarkEnd w:id="23"/>
      <w:r>
        <w:rPr>
          <w:rFonts w:ascii="Arial" w:hAnsi="Arial"/>
          <w:sz w:val="22"/>
          <w:szCs w:val="22"/>
        </w:rPr>
        <w:t>References</w:t>
      </w:r>
      <w:bookmarkEnd w:id="41"/>
    </w:p>
    <w:p w14:paraId="04081C53" w14:textId="6EBB2FC4" w:rsidR="00D9732F" w:rsidRDefault="00D9732F" w:rsidP="00D9732F">
      <w:pPr>
        <w:pStyle w:val="StyleHeading2"/>
      </w:pPr>
    </w:p>
    <w:p w14:paraId="1E245A5B" w14:textId="127071D4" w:rsidR="00D9732F" w:rsidRPr="00D54D52" w:rsidRDefault="0015223F" w:rsidP="00D9732F">
      <w:pPr>
        <w:pStyle w:val="StyleHeading2"/>
        <w:numPr>
          <w:ilvl w:val="0"/>
          <w:numId w:val="59"/>
        </w:numPr>
        <w:rPr>
          <w:szCs w:val="24"/>
        </w:rPr>
      </w:pPr>
      <w:r w:rsidRPr="00BC4769">
        <w:rPr>
          <w:rFonts w:eastAsia="Calibri"/>
          <w:szCs w:val="24"/>
          <w:lang w:eastAsia="en-GB"/>
        </w:rPr>
        <w:t>OHID analysis. 2022. Based on smoking attributable mortality (new method) 2017-</w:t>
      </w:r>
      <w:r w:rsidRPr="00D54D52">
        <w:rPr>
          <w:rFonts w:eastAsia="Calibri"/>
          <w:szCs w:val="24"/>
          <w:lang w:eastAsia="en-GB"/>
        </w:rPr>
        <w:t>2019</w:t>
      </w:r>
      <w:r w:rsidRPr="00D54D52">
        <w:rPr>
          <w:szCs w:val="24"/>
        </w:rPr>
        <w:t xml:space="preserve">. </w:t>
      </w:r>
      <w:hyperlink r:id="rId15" w:anchor="page/4/gid/1938132885/pat/159/par/K02000001/ati/15/are/E92000001/iid/93748/age/202/sex/4/cat/-1/ctp/-1/yrr/3/cid/4/tbm/1/page-options/car-do-0.%202021" w:history="1">
        <w:r w:rsidRPr="00D54D52">
          <w:rPr>
            <w:rStyle w:val="Hyperlink"/>
            <w:szCs w:val="24"/>
          </w:rPr>
          <w:t>Local Tobacco Control Profiles - Data - OHID (phe.org.uk)</w:t>
        </w:r>
      </w:hyperlink>
    </w:p>
    <w:p w14:paraId="32E1C534" w14:textId="77777777" w:rsidR="00D9732F" w:rsidRPr="00D54D52" w:rsidRDefault="00D9732F" w:rsidP="00D9732F">
      <w:pPr>
        <w:pStyle w:val="StyleHeading2"/>
        <w:ind w:left="720"/>
        <w:rPr>
          <w:szCs w:val="24"/>
        </w:rPr>
      </w:pPr>
    </w:p>
    <w:p w14:paraId="594678CD" w14:textId="2387E12A" w:rsidR="00C645DF" w:rsidRPr="00D54D52" w:rsidRDefault="00454166" w:rsidP="00454166">
      <w:pPr>
        <w:pStyle w:val="ListParagraph"/>
        <w:numPr>
          <w:ilvl w:val="0"/>
          <w:numId w:val="59"/>
        </w:numPr>
        <w:rPr>
          <w:rFonts w:eastAsia="Times New Roman"/>
          <w:lang w:eastAsia="en-US"/>
        </w:rPr>
      </w:pPr>
      <w:r w:rsidRPr="00D54D52">
        <w:t>Action on Smoking and Health (2022)</w:t>
      </w:r>
      <w:r w:rsidRPr="00FB6D60">
        <w:t xml:space="preserve">. </w:t>
      </w:r>
      <w:hyperlink r:id="rId16" w:history="1">
        <w:r w:rsidRPr="00D54D52">
          <w:rPr>
            <w:rStyle w:val="Hyperlink"/>
          </w:rPr>
          <w:t>Smoking costs society £17bn – £5bn more than previously estimated - Action on Smoking and Health (ash.org.uk)</w:t>
        </w:r>
      </w:hyperlink>
    </w:p>
    <w:p w14:paraId="26ACDC90" w14:textId="77777777" w:rsidR="00454166" w:rsidRPr="00D54D52" w:rsidRDefault="00454166" w:rsidP="00C645DF">
      <w:pPr>
        <w:pStyle w:val="ListParagraph"/>
      </w:pPr>
    </w:p>
    <w:p w14:paraId="21A02A54" w14:textId="2F41D1BC" w:rsidR="00D54D52" w:rsidRPr="00D54D52" w:rsidRDefault="00BC4769" w:rsidP="00D54D52">
      <w:pPr>
        <w:pStyle w:val="ListParagraph"/>
        <w:numPr>
          <w:ilvl w:val="0"/>
          <w:numId w:val="59"/>
        </w:numPr>
        <w:autoSpaceDE w:val="0"/>
        <w:autoSpaceDN w:val="0"/>
        <w:adjustRightInd w:val="0"/>
      </w:pPr>
      <w:r w:rsidRPr="00D54D52">
        <w:t xml:space="preserve">Bauld L, Judge K, Platt S. (2007). Assessing the impact of smoking cessation services on reducing health inequalities in England: observational study. Tobacco Control. 16:400–4. </w:t>
      </w:r>
    </w:p>
    <w:p w14:paraId="18848ADF" w14:textId="77777777" w:rsidR="00D54D52" w:rsidRPr="00D54D52" w:rsidRDefault="00D54D52" w:rsidP="00D54D52">
      <w:pPr>
        <w:pStyle w:val="ListParagraph"/>
        <w:rPr>
          <w:rFonts w:eastAsia="Times New Roman"/>
          <w:lang w:eastAsia="en-US"/>
        </w:rPr>
      </w:pPr>
    </w:p>
    <w:p w14:paraId="6ADEC862" w14:textId="268D9BD6" w:rsidR="00C645DF" w:rsidRPr="00D54D52" w:rsidRDefault="0015223F" w:rsidP="00D54D52">
      <w:pPr>
        <w:pStyle w:val="ListParagraph"/>
        <w:numPr>
          <w:ilvl w:val="0"/>
          <w:numId w:val="59"/>
        </w:numPr>
        <w:autoSpaceDE w:val="0"/>
        <w:autoSpaceDN w:val="0"/>
        <w:adjustRightInd w:val="0"/>
        <w:rPr>
          <w:rStyle w:val="Hyperlink"/>
          <w:color w:val="auto"/>
          <w:u w:val="none"/>
        </w:rPr>
      </w:pPr>
      <w:r w:rsidRPr="00D54D52">
        <w:rPr>
          <w:rFonts w:eastAsia="Times New Roman"/>
          <w:lang w:eastAsia="en-US"/>
        </w:rPr>
        <w:t>National Centre for smoking cessation and training</w:t>
      </w:r>
      <w:r w:rsidR="00BC4769" w:rsidRPr="00D54D52">
        <w:rPr>
          <w:rFonts w:eastAsia="Times New Roman"/>
          <w:lang w:eastAsia="en-US"/>
        </w:rPr>
        <w:t xml:space="preserve"> (</w:t>
      </w:r>
      <w:r w:rsidRPr="00D54D52">
        <w:rPr>
          <w:rFonts w:eastAsia="Times New Roman"/>
          <w:lang w:eastAsia="en-US"/>
        </w:rPr>
        <w:t>2019</w:t>
      </w:r>
      <w:r w:rsidR="00BC4769" w:rsidRPr="00D54D52">
        <w:rPr>
          <w:rFonts w:eastAsia="Times New Roman"/>
          <w:lang w:eastAsia="en-US"/>
        </w:rPr>
        <w:t>)</w:t>
      </w:r>
      <w:r w:rsidRPr="00D54D52">
        <w:rPr>
          <w:rFonts w:eastAsia="Times New Roman"/>
          <w:lang w:eastAsia="en-US"/>
        </w:rPr>
        <w:t>. Stop smoking services: increased chances of quitting.</w:t>
      </w:r>
      <w:r w:rsidRPr="00D54D52">
        <w:t xml:space="preserve"> </w:t>
      </w:r>
      <w:hyperlink r:id="rId17" w:history="1">
        <w:r w:rsidRPr="00D54D52">
          <w:rPr>
            <w:rStyle w:val="Hyperlink"/>
          </w:rPr>
          <w:t>8. stop smoking services v7 (ncsct.co.uk)</w:t>
        </w:r>
      </w:hyperlink>
    </w:p>
    <w:p w14:paraId="3EAF562B" w14:textId="77777777" w:rsidR="00600EDA" w:rsidRDefault="00600EDA" w:rsidP="00600EDA">
      <w:pPr>
        <w:pStyle w:val="ListParagraph"/>
        <w:rPr>
          <w:rStyle w:val="Hyperlink"/>
          <w:sz w:val="18"/>
          <w:szCs w:val="18"/>
        </w:rPr>
      </w:pPr>
    </w:p>
    <w:p w14:paraId="76FA2864" w14:textId="5A737B7E" w:rsidR="00C645DF" w:rsidRPr="00C645DF" w:rsidRDefault="00600EDA" w:rsidP="00600EDA">
      <w:pPr>
        <w:pStyle w:val="ListParagraph"/>
        <w:numPr>
          <w:ilvl w:val="0"/>
          <w:numId w:val="59"/>
        </w:numPr>
      </w:pPr>
      <w:r w:rsidRPr="00D54D52">
        <w:rPr>
          <w:rFonts w:eastAsia="Times New Roman"/>
          <w:lang w:eastAsia="en-US"/>
        </w:rPr>
        <w:t xml:space="preserve">NICE Guidance (NG209). Tobacco: Preventing uptake, promoting quitting and treating dependence. </w:t>
      </w:r>
      <w:hyperlink r:id="rId18" w:history="1">
        <w:r w:rsidR="00D54D52" w:rsidRPr="00E719F1">
          <w:rPr>
            <w:rStyle w:val="Hyperlink"/>
            <w:rFonts w:cstheme="minorBidi"/>
            <w:szCs w:val="22"/>
          </w:rPr>
          <w:t>https://www.nice.org.uk/guidance/ng209</w:t>
        </w:r>
      </w:hyperlink>
      <w:r w:rsidR="00D54D52">
        <w:rPr>
          <w:rFonts w:cstheme="minorBidi"/>
          <w:szCs w:val="22"/>
        </w:rPr>
        <w:t xml:space="preserve"> </w:t>
      </w:r>
    </w:p>
    <w:p w14:paraId="6675068C" w14:textId="77777777" w:rsidR="00C645DF" w:rsidRPr="00C645DF" w:rsidRDefault="00C645DF" w:rsidP="00C645DF">
      <w:pPr>
        <w:pStyle w:val="StyleHeading2"/>
        <w:ind w:left="720"/>
      </w:pPr>
    </w:p>
    <w:p w14:paraId="0C84DDB3" w14:textId="05DDD85A" w:rsidR="00600EDA" w:rsidRPr="00BC4769" w:rsidRDefault="00600EDA" w:rsidP="00BC4769">
      <w:pPr>
        <w:pStyle w:val="ListParagraph"/>
        <w:numPr>
          <w:ilvl w:val="0"/>
          <w:numId w:val="59"/>
        </w:numPr>
        <w:autoSpaceDE w:val="0"/>
        <w:autoSpaceDN w:val="0"/>
        <w:adjustRightInd w:val="0"/>
      </w:pPr>
      <w:r w:rsidRPr="00600EDA">
        <w:t>Michie S, Hyder N, Walia A, West R (2011). Development of a taxonomy of behaviour change techniques used in individual behavioural support for smoking cessation. Addictive Behaviors, 36 (4), 315-319.</w:t>
      </w:r>
    </w:p>
    <w:p w14:paraId="79ACF426" w14:textId="77777777" w:rsidR="00C645DF" w:rsidRPr="00C645DF" w:rsidRDefault="00C645DF" w:rsidP="00C645DF">
      <w:pPr>
        <w:pStyle w:val="StyleHeading2"/>
        <w:ind w:left="720"/>
      </w:pPr>
    </w:p>
    <w:p w14:paraId="4E88C5AB" w14:textId="509BCCA7" w:rsidR="00600EDA" w:rsidRDefault="00600EDA" w:rsidP="00600EDA">
      <w:pPr>
        <w:pStyle w:val="ListParagraph"/>
        <w:numPr>
          <w:ilvl w:val="0"/>
          <w:numId w:val="59"/>
        </w:numPr>
        <w:spacing w:after="200" w:line="252" w:lineRule="auto"/>
      </w:pPr>
      <w:r w:rsidRPr="00600EDA">
        <w:t>Michie S, Churchill S, West R (2011). Identifying evidence-based competences required to deliver behavioural support for smoking cessation. Annals of Behavioral Medicine, 41(1), 59-70</w:t>
      </w:r>
    </w:p>
    <w:p w14:paraId="1E8CF0CF" w14:textId="77777777" w:rsidR="00600EDA" w:rsidRDefault="00600EDA" w:rsidP="00BC4769">
      <w:pPr>
        <w:pStyle w:val="ListParagraph"/>
      </w:pPr>
    </w:p>
    <w:p w14:paraId="6640C116" w14:textId="362ED611" w:rsidR="00C645DF" w:rsidRDefault="00600EDA" w:rsidP="00BC4769">
      <w:pPr>
        <w:pStyle w:val="ListParagraph"/>
        <w:numPr>
          <w:ilvl w:val="0"/>
          <w:numId w:val="59"/>
        </w:numPr>
        <w:spacing w:after="200" w:line="252" w:lineRule="auto"/>
      </w:pPr>
      <w:r w:rsidRPr="00A113EB">
        <w:t xml:space="preserve">NCSCT Training Standard: Learning Outcomes for Training Stop Smoking Practitioners. </w:t>
      </w:r>
      <w:hyperlink r:id="rId19" w:history="1">
        <w:r w:rsidRPr="00A113EB">
          <w:rPr>
            <w:rStyle w:val="Hyperlink"/>
          </w:rPr>
          <w:t>http://www.ncsct.co.uk/usr/pub/NCSCT_training_standard.pdf</w:t>
        </w:r>
      </w:hyperlink>
      <w:r>
        <w:t xml:space="preserve"> </w:t>
      </w:r>
      <w:r w:rsidRPr="00A113EB">
        <w:t xml:space="preserve"> </w:t>
      </w:r>
    </w:p>
    <w:p w14:paraId="5D3C6632" w14:textId="77777777" w:rsidR="00C645DF" w:rsidRDefault="00C645DF" w:rsidP="00C645DF">
      <w:pPr>
        <w:pStyle w:val="ListParagraph"/>
      </w:pPr>
    </w:p>
    <w:p w14:paraId="675BD0B8" w14:textId="787BDCE0" w:rsidR="00C645DF" w:rsidRPr="00C645DF" w:rsidRDefault="00BC4769" w:rsidP="00D9732F">
      <w:pPr>
        <w:pStyle w:val="StyleHeading2"/>
        <w:numPr>
          <w:ilvl w:val="0"/>
          <w:numId w:val="59"/>
        </w:numPr>
      </w:pPr>
      <w:r>
        <w:t xml:space="preserve">NCSCT </w:t>
      </w:r>
      <w:hyperlink r:id="rId20" w:history="1">
        <w:r w:rsidR="00C645DF" w:rsidRPr="00374B53">
          <w:rPr>
            <w:rStyle w:val="Hyperlink"/>
            <w:rFonts w:cstheme="minorBidi"/>
            <w:szCs w:val="22"/>
          </w:rPr>
          <w:t>Service and Delivery Guidance</w:t>
        </w:r>
      </w:hyperlink>
      <w:r>
        <w:rPr>
          <w:rStyle w:val="Hyperlink"/>
          <w:rFonts w:cstheme="minorBidi"/>
          <w:szCs w:val="22"/>
        </w:rPr>
        <w:t xml:space="preserve">: </w:t>
      </w:r>
      <w:hyperlink r:id="rId21" w:history="1">
        <w:r>
          <w:rPr>
            <w:rStyle w:val="Hyperlink"/>
          </w:rPr>
          <w:t>Local Stop Smoking Services: Service and delivery guidance 2014 (ncsct.co.uk)</w:t>
        </w:r>
      </w:hyperlink>
    </w:p>
    <w:p w14:paraId="3583E08B" w14:textId="77777777" w:rsidR="00600EDA" w:rsidRDefault="00600EDA" w:rsidP="00600EDA">
      <w:pPr>
        <w:pStyle w:val="ListParagraph"/>
      </w:pPr>
    </w:p>
    <w:sectPr w:rsidR="00600EDA" w:rsidSect="00E22EDC">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134" w:left="1701"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D8937" w14:textId="77777777" w:rsidR="004D7E63" w:rsidRDefault="004D7E63">
      <w:r>
        <w:separator/>
      </w:r>
    </w:p>
    <w:p w14:paraId="0F85F09B" w14:textId="77777777" w:rsidR="004D7E63" w:rsidRDefault="004D7E63"/>
  </w:endnote>
  <w:endnote w:type="continuationSeparator" w:id="0">
    <w:p w14:paraId="6D440AC3" w14:textId="77777777" w:rsidR="004D7E63" w:rsidRDefault="004D7E63">
      <w:r>
        <w:continuationSeparator/>
      </w:r>
    </w:p>
    <w:p w14:paraId="665DBB1F" w14:textId="77777777" w:rsidR="004D7E63" w:rsidRDefault="004D7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C688" w14:textId="77777777" w:rsidR="00E22EDC" w:rsidRDefault="00E22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E" w14:textId="28EFD731" w:rsidR="00476B4E" w:rsidRPr="009E526D" w:rsidRDefault="00476B4E" w:rsidP="00F75195">
    <w:pPr>
      <w:pStyle w:val="Footer"/>
      <w:tabs>
        <w:tab w:val="clear" w:pos="8306"/>
        <w:tab w:val="right" w:pos="9072"/>
      </w:tabs>
      <w:rPr>
        <w:color w:val="808080"/>
        <w:sz w:val="18"/>
        <w:szCs w:val="18"/>
      </w:rPr>
    </w:pP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6308C7">
      <w:rPr>
        <w:rStyle w:val="PageNumber"/>
        <w:noProof/>
        <w:color w:val="808080"/>
        <w:sz w:val="18"/>
        <w:szCs w:val="18"/>
      </w:rPr>
      <w:t>4</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6308C7">
      <w:rPr>
        <w:rStyle w:val="PageNumber"/>
        <w:noProof/>
        <w:color w:val="808080"/>
        <w:sz w:val="18"/>
        <w:szCs w:val="18"/>
      </w:rPr>
      <w:t>8</w:t>
    </w:r>
    <w:r w:rsidRPr="009E526D">
      <w:rPr>
        <w:rStyle w:val="PageNumber"/>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EC7A" w14:textId="77777777" w:rsidR="00E22EDC" w:rsidRDefault="00E22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5771" w14:textId="77777777" w:rsidR="004D7E63" w:rsidRDefault="004D7E63">
      <w:r>
        <w:separator/>
      </w:r>
    </w:p>
    <w:p w14:paraId="5CE584DB" w14:textId="77777777" w:rsidR="004D7E63" w:rsidRDefault="004D7E63"/>
  </w:footnote>
  <w:footnote w:type="continuationSeparator" w:id="0">
    <w:p w14:paraId="24D42EA7" w14:textId="77777777" w:rsidR="004D7E63" w:rsidRDefault="004D7E63">
      <w:r>
        <w:continuationSeparator/>
      </w:r>
    </w:p>
    <w:p w14:paraId="7B0E924F" w14:textId="77777777" w:rsidR="004D7E63" w:rsidRDefault="004D7E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C772" w14:textId="77777777" w:rsidR="00E22EDC" w:rsidRDefault="00E22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D" w14:textId="1B86BC96" w:rsidR="00476B4E" w:rsidRPr="00040159" w:rsidRDefault="00476B4E" w:rsidP="004A02AF">
    <w:pPr>
      <w:pStyle w:val="Header"/>
      <w:tabs>
        <w:tab w:val="clear" w:pos="8306"/>
        <w:tab w:val="right" w:pos="9072"/>
      </w:tabs>
      <w:rPr>
        <w:color w:val="002060"/>
      </w:rPr>
    </w:pPr>
    <w:r>
      <w:rPr>
        <w:color w:val="002060"/>
      </w:rPr>
      <w:tab/>
    </w:r>
    <w:r>
      <w:rPr>
        <w:color w:val="00206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F" w14:textId="4B57CAC5" w:rsidR="00476B4E" w:rsidRDefault="006660CF">
    <w:pPr>
      <w:pStyle w:val="Header"/>
      <w:rPr>
        <w:noProof/>
        <w:lang w:eastAsia="en-GB"/>
      </w:rPr>
    </w:pPr>
    <w:r>
      <w:rPr>
        <w:noProof/>
      </w:rPr>
      <w:drawing>
        <wp:inline distT="0" distB="0" distL="0" distR="0" wp14:anchorId="020AC502" wp14:editId="72347E3E">
          <wp:extent cx="1200785" cy="1073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073150"/>
                  </a:xfrm>
                  <a:prstGeom prst="rect">
                    <a:avLst/>
                  </a:prstGeom>
                  <a:noFill/>
                </pic:spPr>
              </pic:pic>
            </a:graphicData>
          </a:graphic>
        </wp:inline>
      </w:drawing>
    </w:r>
  </w:p>
  <w:p w14:paraId="7C0CB620" w14:textId="77777777" w:rsidR="00476B4E" w:rsidRDefault="00476B4E">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C50333"/>
    <w:multiLevelType w:val="multilevel"/>
    <w:tmpl w:val="49C458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202CBF"/>
    <w:multiLevelType w:val="hybridMultilevel"/>
    <w:tmpl w:val="BCAEF6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0460F6"/>
    <w:multiLevelType w:val="hybridMultilevel"/>
    <w:tmpl w:val="F5FC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C794A"/>
    <w:multiLevelType w:val="multilevel"/>
    <w:tmpl w:val="D814215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bCs w:val="0"/>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6" w15:restartNumberingAfterBreak="0">
    <w:nsid w:val="0B8759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35426B"/>
    <w:multiLevelType w:val="multilevel"/>
    <w:tmpl w:val="EA4635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FC42AF"/>
    <w:multiLevelType w:val="multilevel"/>
    <w:tmpl w:val="9BDA9A20"/>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0851E7"/>
    <w:multiLevelType w:val="hybridMultilevel"/>
    <w:tmpl w:val="4CE0A7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44DE8"/>
    <w:multiLevelType w:val="hybridMultilevel"/>
    <w:tmpl w:val="0D8E7096"/>
    <w:lvl w:ilvl="0" w:tplc="E5C43BA2">
      <w:start w:val="1"/>
      <w:numFmt w:val="bullet"/>
      <w:lvlText w:val="-"/>
      <w:lvlJc w:val="left"/>
      <w:pPr>
        <w:ind w:left="1400" w:hanging="360"/>
      </w:pPr>
      <w:rPr>
        <w:rFonts w:ascii="Calibri" w:eastAsiaTheme="minorHAnsi"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2" w15:restartNumberingAfterBreak="0">
    <w:nsid w:val="13F14052"/>
    <w:multiLevelType w:val="multilevel"/>
    <w:tmpl w:val="DA72D096"/>
    <w:lvl w:ilvl="0">
      <w:start w:val="1"/>
      <w:numFmt w:val="decimal"/>
      <w:lvlText w:val="%1."/>
      <w:lvlJc w:val="left"/>
      <w:pPr>
        <w:ind w:left="284" w:hanging="284"/>
      </w:pPr>
      <w:rPr>
        <w:rFonts w:hint="default"/>
        <w:b/>
        <w:bCs w:val="0"/>
      </w:rPr>
    </w:lvl>
    <w:lvl w:ilvl="1">
      <w:start w:val="1"/>
      <w:numFmt w:val="decimal"/>
      <w:isLgl/>
      <w:lvlText w:val="%1.%2"/>
      <w:lvlJc w:val="left"/>
      <w:pPr>
        <w:ind w:left="993" w:hanging="567"/>
      </w:pPr>
      <w:rPr>
        <w:rFonts w:ascii="Arial" w:hAnsi="Arial" w:cs="Arial" w:hint="default"/>
        <w:b w:val="0"/>
        <w:bCs w:val="0"/>
        <w:sz w:val="20"/>
        <w:szCs w:val="20"/>
      </w:rPr>
    </w:lvl>
    <w:lvl w:ilvl="2">
      <w:start w:val="1"/>
      <w:numFmt w:val="decimal"/>
      <w:isLgl/>
      <w:lvlText w:val="%1.%2.%3"/>
      <w:lvlJc w:val="left"/>
      <w:pPr>
        <w:ind w:left="998" w:firstLine="73"/>
      </w:pPr>
      <w:rPr>
        <w:rFonts w:hint="default"/>
      </w:rPr>
    </w:lvl>
    <w:lvl w:ilvl="3">
      <w:start w:val="1"/>
      <w:numFmt w:val="decimal"/>
      <w:isLgl/>
      <w:lvlText w:val="%1.%2.%3.%4"/>
      <w:lvlJc w:val="left"/>
      <w:pPr>
        <w:ind w:left="1355" w:firstLine="73"/>
      </w:pPr>
      <w:rPr>
        <w:rFonts w:hint="default"/>
      </w:rPr>
    </w:lvl>
    <w:lvl w:ilvl="4">
      <w:start w:val="1"/>
      <w:numFmt w:val="decimal"/>
      <w:isLgl/>
      <w:lvlText w:val="%1.%2.%3.%4.%5"/>
      <w:lvlJc w:val="left"/>
      <w:pPr>
        <w:ind w:left="1712" w:firstLine="73"/>
      </w:pPr>
      <w:rPr>
        <w:rFonts w:hint="default"/>
      </w:rPr>
    </w:lvl>
    <w:lvl w:ilvl="5">
      <w:start w:val="1"/>
      <w:numFmt w:val="decimal"/>
      <w:isLgl/>
      <w:lvlText w:val="%1.%2.%3.%4.%5.%6"/>
      <w:lvlJc w:val="left"/>
      <w:pPr>
        <w:ind w:left="2069" w:firstLine="73"/>
      </w:pPr>
      <w:rPr>
        <w:rFonts w:hint="default"/>
      </w:rPr>
    </w:lvl>
    <w:lvl w:ilvl="6">
      <w:start w:val="1"/>
      <w:numFmt w:val="decimal"/>
      <w:isLgl/>
      <w:lvlText w:val="%1.%2.%3.%4.%5.%6.%7"/>
      <w:lvlJc w:val="left"/>
      <w:pPr>
        <w:ind w:left="2426" w:firstLine="73"/>
      </w:pPr>
      <w:rPr>
        <w:rFonts w:hint="default"/>
      </w:rPr>
    </w:lvl>
    <w:lvl w:ilvl="7">
      <w:start w:val="1"/>
      <w:numFmt w:val="decimal"/>
      <w:isLgl/>
      <w:lvlText w:val="%1.%2.%3.%4.%5.%6.%7.%8"/>
      <w:lvlJc w:val="left"/>
      <w:pPr>
        <w:ind w:left="2783" w:firstLine="73"/>
      </w:pPr>
      <w:rPr>
        <w:rFonts w:hint="default"/>
      </w:rPr>
    </w:lvl>
    <w:lvl w:ilvl="8">
      <w:start w:val="1"/>
      <w:numFmt w:val="decimal"/>
      <w:isLgl/>
      <w:lvlText w:val="%1.%2.%3.%4.%5.%6.%7.%8.%9"/>
      <w:lvlJc w:val="left"/>
      <w:pPr>
        <w:ind w:left="3140" w:firstLine="73"/>
      </w:pPr>
      <w:rPr>
        <w:rFonts w:hint="default"/>
      </w:rPr>
    </w:lvl>
  </w:abstractNum>
  <w:abstractNum w:abstractNumId="13" w15:restartNumberingAfterBreak="0">
    <w:nsid w:val="153C4EA6"/>
    <w:multiLevelType w:val="multilevel"/>
    <w:tmpl w:val="0809001F"/>
    <w:numStyleLink w:val="Style2"/>
  </w:abstractNum>
  <w:abstractNum w:abstractNumId="14" w15:restartNumberingAfterBreak="0">
    <w:nsid w:val="15BA40E0"/>
    <w:multiLevelType w:val="multilevel"/>
    <w:tmpl w:val="2488E770"/>
    <w:lvl w:ilvl="0">
      <w:start w:val="8"/>
      <w:numFmt w:val="decimal"/>
      <w:lvlText w:val="%1."/>
      <w:lvlJc w:val="left"/>
      <w:pPr>
        <w:ind w:left="680" w:hanging="680"/>
      </w:pPr>
      <w:rPr>
        <w:rFonts w:hint="default"/>
      </w:rPr>
    </w:lvl>
    <w:lvl w:ilvl="1">
      <w:start w:val="1"/>
      <w:numFmt w:val="decimal"/>
      <w:lvlText w:val="%1.%2."/>
      <w:lvlJc w:val="left"/>
      <w:pPr>
        <w:ind w:left="680" w:hanging="680"/>
      </w:pPr>
      <w:rPr>
        <w:rFonts w:hint="default"/>
        <w:b w:val="0"/>
        <w:bCs/>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5" w15:restartNumberingAfterBreak="0">
    <w:nsid w:val="18B46325"/>
    <w:multiLevelType w:val="multilevel"/>
    <w:tmpl w:val="4A865038"/>
    <w:lvl w:ilvl="0">
      <w:start w:val="3"/>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6" w15:restartNumberingAfterBreak="0">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15:restartNumberingAfterBreak="0">
    <w:nsid w:val="19DA034A"/>
    <w:multiLevelType w:val="hybridMultilevel"/>
    <w:tmpl w:val="C718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54037"/>
    <w:multiLevelType w:val="multilevel"/>
    <w:tmpl w:val="DA0A32AE"/>
    <w:lvl w:ilvl="0">
      <w:start w:val="6"/>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9" w15:restartNumberingAfterBreak="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15:restartNumberingAfterBreak="0">
    <w:nsid w:val="234F53C3"/>
    <w:multiLevelType w:val="multilevel"/>
    <w:tmpl w:val="FDF40DBA"/>
    <w:lvl w:ilvl="0">
      <w:start w:val="7"/>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4" w15:restartNumberingAfterBreak="0">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5" w15:restartNumberingAfterBreak="0">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26" w15:restartNumberingAfterBreak="0">
    <w:nsid w:val="25DF177C"/>
    <w:multiLevelType w:val="multilevel"/>
    <w:tmpl w:val="0809001F"/>
    <w:numStyleLink w:val="Style2"/>
  </w:abstractNum>
  <w:abstractNum w:abstractNumId="27" w15:restartNumberingAfterBreak="0">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29" w15:restartNumberingAfterBreak="0">
    <w:nsid w:val="310B2845"/>
    <w:multiLevelType w:val="hybridMultilevel"/>
    <w:tmpl w:val="6C1CD020"/>
    <w:lvl w:ilvl="0" w:tplc="EDEC1866">
      <w:start w:val="1"/>
      <w:numFmt w:val="lowerLetter"/>
      <w:lvlText w:val="%1."/>
      <w:lvlJc w:val="left"/>
      <w:pPr>
        <w:ind w:left="502" w:hanging="360"/>
      </w:pPr>
      <w:rPr>
        <w:rFonts w:eastAsia="Times New Roman"/>
        <w:i w:val="0"/>
        <w:iCs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33F90814"/>
    <w:multiLevelType w:val="multilevel"/>
    <w:tmpl w:val="0809001F"/>
    <w:numStyleLink w:val="Style2"/>
  </w:abstractNum>
  <w:abstractNum w:abstractNumId="33"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34" w15:restartNumberingAfterBreak="0">
    <w:nsid w:val="36D01078"/>
    <w:multiLevelType w:val="hybridMultilevel"/>
    <w:tmpl w:val="2B7A3A9C"/>
    <w:lvl w:ilvl="0" w:tplc="E5C43BA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36" w15:restartNumberingAfterBreak="0">
    <w:nsid w:val="37C010D7"/>
    <w:multiLevelType w:val="hybridMultilevel"/>
    <w:tmpl w:val="519052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8106B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812484A"/>
    <w:multiLevelType w:val="hybridMultilevel"/>
    <w:tmpl w:val="FC481A34"/>
    <w:lvl w:ilvl="0" w:tplc="0480F9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1F4867"/>
    <w:multiLevelType w:val="hybridMultilevel"/>
    <w:tmpl w:val="3FE6B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15:restartNumberingAfterBreak="0">
    <w:nsid w:val="3A3E2325"/>
    <w:multiLevelType w:val="hybridMultilevel"/>
    <w:tmpl w:val="3CB2EEC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15:restartNumberingAfterBreak="0">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3F7D63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0F41EF8"/>
    <w:multiLevelType w:val="hybridMultilevel"/>
    <w:tmpl w:val="C026F98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7" w15:restartNumberingAfterBreak="0">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15:restartNumberingAfterBreak="0">
    <w:nsid w:val="44193D04"/>
    <w:multiLevelType w:val="multilevel"/>
    <w:tmpl w:val="0809001F"/>
    <w:numStyleLink w:val="Style2"/>
  </w:abstractNum>
  <w:abstractNum w:abstractNumId="49" w15:restartNumberingAfterBreak="0">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0" w15:restartNumberingAfterBreak="0">
    <w:nsid w:val="468105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B00DAC"/>
    <w:multiLevelType w:val="hybridMultilevel"/>
    <w:tmpl w:val="F61C2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F54390"/>
    <w:multiLevelType w:val="hybridMultilevel"/>
    <w:tmpl w:val="1BE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2557B9"/>
    <w:multiLevelType w:val="multilevel"/>
    <w:tmpl w:val="575A704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4E3F0034"/>
    <w:multiLevelType w:val="multilevel"/>
    <w:tmpl w:val="FDF40DBA"/>
    <w:lvl w:ilvl="0">
      <w:start w:val="7"/>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5" w15:restartNumberingAfterBreak="0">
    <w:nsid w:val="4E4C0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7" w15:restartNumberingAfterBreak="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8" w15:restartNumberingAfterBreak="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60" w15:restartNumberingAfterBreak="0">
    <w:nsid w:val="54A90FF1"/>
    <w:multiLevelType w:val="multilevel"/>
    <w:tmpl w:val="B436F4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680" w:hanging="6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55E20C62"/>
    <w:multiLevelType w:val="hybridMultilevel"/>
    <w:tmpl w:val="5E847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66" w15:restartNumberingAfterBreak="0">
    <w:nsid w:val="5C284591"/>
    <w:multiLevelType w:val="multilevel"/>
    <w:tmpl w:val="0809001F"/>
    <w:numStyleLink w:val="Style2"/>
  </w:abstractNum>
  <w:abstractNum w:abstractNumId="67" w15:restartNumberingAfterBreak="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68" w15:restartNumberingAfterBreak="0">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9" w15:restartNumberingAfterBreak="0">
    <w:nsid w:val="60415AB0"/>
    <w:multiLevelType w:val="multilevel"/>
    <w:tmpl w:val="FDF40DBA"/>
    <w:lvl w:ilvl="0">
      <w:start w:val="7"/>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70"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3" w15:restartNumberingAfterBreak="0">
    <w:nsid w:val="69B76003"/>
    <w:multiLevelType w:val="multilevel"/>
    <w:tmpl w:val="3B32502C"/>
    <w:styleLink w:val="WWNum1"/>
    <w:lvl w:ilvl="0">
      <w:start w:val="1"/>
      <w:numFmt w:val="decimal"/>
      <w:lvlText w:val="%1."/>
      <w:lvlJc w:val="left"/>
      <w:pPr>
        <w:ind w:left="720" w:hanging="720"/>
      </w:pPr>
      <w:rPr>
        <w:caps w:val="0"/>
        <w:smallCaps w:val="0"/>
        <w:sz w:val="32"/>
      </w:rPr>
    </w:lvl>
    <w:lvl w:ilvl="1">
      <w:start w:val="1"/>
      <w:numFmt w:val="decimal"/>
      <w:lvlText w:val="%1.%2"/>
      <w:lvlJc w:val="left"/>
      <w:pPr>
        <w:ind w:left="720" w:hanging="720"/>
      </w:pPr>
      <w:rPr>
        <w:caps w:val="0"/>
        <w:smallCaps w:val="0"/>
        <w:sz w:val="24"/>
      </w:rPr>
    </w:lvl>
    <w:lvl w:ilvl="2">
      <w:start w:val="1"/>
      <w:numFmt w:val="decimal"/>
      <w:lvlText w:val="%1.%2.%3"/>
      <w:lvlJc w:val="left"/>
      <w:pPr>
        <w:ind w:left="1800" w:hanging="1080"/>
      </w:pPr>
      <w:rPr>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4" w15:restartNumberingAfterBreak="0">
    <w:nsid w:val="6D680DDA"/>
    <w:multiLevelType w:val="multilevel"/>
    <w:tmpl w:val="42343D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6F9441C3"/>
    <w:multiLevelType w:val="multilevel"/>
    <w:tmpl w:val="9BDA9A20"/>
    <w:lvl w:ilvl="0">
      <w:start w:val="1"/>
      <w:numFmt w:val="decimal"/>
      <w:lvlText w:val="%1."/>
      <w:lvlJc w:val="left"/>
      <w:pPr>
        <w:ind w:left="360" w:hanging="360"/>
      </w:pPr>
      <w:rPr>
        <w:rFonts w:hint="default"/>
        <w:b/>
        <w:sz w:val="24"/>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8" w15:restartNumberingAfterBreak="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732813C9"/>
    <w:multiLevelType w:val="multilevel"/>
    <w:tmpl w:val="0809001F"/>
    <w:numStyleLink w:val="Style2"/>
  </w:abstractNum>
  <w:abstractNum w:abstractNumId="80" w15:restartNumberingAfterBreak="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82" w15:restartNumberingAfterBreak="0">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3" w15:restartNumberingAfterBreak="0">
    <w:nsid w:val="7AD50740"/>
    <w:multiLevelType w:val="hybridMultilevel"/>
    <w:tmpl w:val="FF10B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6" w15:restartNumberingAfterBreak="0">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7" w15:restartNumberingAfterBreak="0">
    <w:nsid w:val="7FDF54AD"/>
    <w:multiLevelType w:val="multilevel"/>
    <w:tmpl w:val="0809001F"/>
    <w:numStyleLink w:val="111111"/>
  </w:abstractNum>
  <w:num w:numId="1">
    <w:abstractNumId w:val="11"/>
  </w:num>
  <w:num w:numId="2">
    <w:abstractNumId w:val="24"/>
  </w:num>
  <w:num w:numId="3">
    <w:abstractNumId w:val="47"/>
  </w:num>
  <w:num w:numId="4">
    <w:abstractNumId w:val="31"/>
  </w:num>
  <w:num w:numId="5">
    <w:abstractNumId w:val="64"/>
  </w:num>
  <w:num w:numId="6">
    <w:abstractNumId w:val="75"/>
  </w:num>
  <w:num w:numId="7">
    <w:abstractNumId w:val="49"/>
  </w:num>
  <w:num w:numId="8">
    <w:abstractNumId w:val="3"/>
  </w:num>
  <w:num w:numId="9">
    <w:abstractNumId w:val="85"/>
  </w:num>
  <w:num w:numId="10">
    <w:abstractNumId w:val="81"/>
  </w:num>
  <w:num w:numId="11">
    <w:abstractNumId w:val="16"/>
  </w:num>
  <w:num w:numId="12">
    <w:abstractNumId w:val="67"/>
  </w:num>
  <w:num w:numId="13">
    <w:abstractNumId w:val="56"/>
  </w:num>
  <w:num w:numId="14">
    <w:abstractNumId w:val="77"/>
  </w:num>
  <w:num w:numId="15">
    <w:abstractNumId w:val="72"/>
  </w:num>
  <w:num w:numId="16">
    <w:abstractNumId w:val="40"/>
  </w:num>
  <w:num w:numId="17">
    <w:abstractNumId w:val="71"/>
  </w:num>
  <w:num w:numId="18">
    <w:abstractNumId w:val="33"/>
  </w:num>
  <w:num w:numId="19">
    <w:abstractNumId w:val="65"/>
  </w:num>
  <w:num w:numId="20">
    <w:abstractNumId w:val="0"/>
  </w:num>
  <w:num w:numId="21">
    <w:abstractNumId w:val="78"/>
  </w:num>
  <w:num w:numId="22">
    <w:abstractNumId w:val="70"/>
  </w:num>
  <w:num w:numId="23">
    <w:abstractNumId w:val="19"/>
  </w:num>
  <w:num w:numId="24">
    <w:abstractNumId w:val="58"/>
  </w:num>
  <w:num w:numId="25">
    <w:abstractNumId w:val="63"/>
  </w:num>
  <w:num w:numId="26">
    <w:abstractNumId w:val="28"/>
  </w:num>
  <w:num w:numId="27">
    <w:abstractNumId w:val="86"/>
  </w:num>
  <w:num w:numId="28">
    <w:abstractNumId w:val="45"/>
  </w:num>
  <w:num w:numId="29">
    <w:abstractNumId w:val="84"/>
  </w:num>
  <w:num w:numId="30">
    <w:abstractNumId w:val="27"/>
  </w:num>
  <w:num w:numId="31">
    <w:abstractNumId w:val="35"/>
  </w:num>
  <w:num w:numId="32">
    <w:abstractNumId w:val="59"/>
  </w:num>
  <w:num w:numId="33">
    <w:abstractNumId w:val="43"/>
  </w:num>
  <w:num w:numId="34">
    <w:abstractNumId w:val="25"/>
  </w:num>
  <w:num w:numId="35">
    <w:abstractNumId w:val="57"/>
  </w:num>
  <w:num w:numId="36">
    <w:abstractNumId w:val="20"/>
  </w:num>
  <w:num w:numId="37">
    <w:abstractNumId w:val="80"/>
  </w:num>
  <w:num w:numId="38">
    <w:abstractNumId w:val="61"/>
  </w:num>
  <w:num w:numId="39">
    <w:abstractNumId w:val="21"/>
  </w:num>
  <w:num w:numId="40">
    <w:abstractNumId w:val="68"/>
  </w:num>
  <w:num w:numId="41">
    <w:abstractNumId w:val="30"/>
  </w:num>
  <w:num w:numId="42">
    <w:abstractNumId w:val="82"/>
  </w:num>
  <w:num w:numId="43">
    <w:abstractNumId w:val="42"/>
  </w:num>
  <w:num w:numId="44">
    <w:abstractNumId w:val="22"/>
  </w:num>
  <w:num w:numId="45">
    <w:abstractNumId w:val="36"/>
  </w:num>
  <w:num w:numId="46">
    <w:abstractNumId w:val="39"/>
  </w:num>
  <w:num w:numId="47">
    <w:abstractNumId w:val="52"/>
  </w:num>
  <w:num w:numId="48">
    <w:abstractNumId w:val="73"/>
  </w:num>
  <w:num w:numId="49">
    <w:abstractNumId w:val="4"/>
  </w:num>
  <w:num w:numId="50">
    <w:abstractNumId w:val="62"/>
  </w:num>
  <w:num w:numId="51">
    <w:abstractNumId w:val="8"/>
  </w:num>
  <w:num w:numId="52">
    <w:abstractNumId w:val="15"/>
  </w:num>
  <w:num w:numId="53">
    <w:abstractNumId w:val="17"/>
  </w:num>
  <w:num w:numId="54">
    <w:abstractNumId w:val="83"/>
  </w:num>
  <w:num w:numId="55">
    <w:abstractNumId w:val="46"/>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num>
  <w:num w:numId="58">
    <w:abstractNumId w:val="41"/>
  </w:num>
  <w:num w:numId="59">
    <w:abstractNumId w:val="9"/>
  </w:num>
  <w:num w:numId="60">
    <w:abstractNumId w:val="2"/>
  </w:num>
  <w:num w:numId="61">
    <w:abstractNumId w:val="34"/>
  </w:num>
  <w:num w:numId="62">
    <w:abstractNumId w:val="38"/>
  </w:num>
  <w:num w:numId="63">
    <w:abstractNumId w:val="51"/>
  </w:num>
  <w:num w:numId="64">
    <w:abstractNumId w:val="87"/>
  </w:num>
  <w:num w:numId="65">
    <w:abstractNumId w:val="5"/>
  </w:num>
  <w:num w:numId="66">
    <w:abstractNumId w:val="60"/>
  </w:num>
  <w:num w:numId="67">
    <w:abstractNumId w:val="1"/>
  </w:num>
  <w:num w:numId="68">
    <w:abstractNumId w:val="13"/>
  </w:num>
  <w:num w:numId="69">
    <w:abstractNumId w:val="50"/>
  </w:num>
  <w:num w:numId="70">
    <w:abstractNumId w:val="44"/>
  </w:num>
  <w:num w:numId="71">
    <w:abstractNumId w:val="55"/>
  </w:num>
  <w:num w:numId="72">
    <w:abstractNumId w:val="7"/>
  </w:num>
  <w:num w:numId="73">
    <w:abstractNumId w:val="14"/>
  </w:num>
  <w:num w:numId="74">
    <w:abstractNumId w:val="10"/>
  </w:num>
  <w:num w:numId="75">
    <w:abstractNumId w:val="18"/>
  </w:num>
  <w:num w:numId="76">
    <w:abstractNumId w:val="48"/>
  </w:num>
  <w:num w:numId="77">
    <w:abstractNumId w:val="6"/>
  </w:num>
  <w:num w:numId="78">
    <w:abstractNumId w:val="74"/>
  </w:num>
  <w:num w:numId="79">
    <w:abstractNumId w:val="79"/>
  </w:num>
  <w:num w:numId="80">
    <w:abstractNumId w:val="53"/>
  </w:num>
  <w:num w:numId="81">
    <w:abstractNumId w:val="37"/>
  </w:num>
  <w:num w:numId="82">
    <w:abstractNumId w:val="32"/>
  </w:num>
  <w:num w:numId="83">
    <w:abstractNumId w:val="66"/>
  </w:num>
  <w:num w:numId="84">
    <w:abstractNumId w:val="26"/>
  </w:num>
  <w:num w:numId="85">
    <w:abstractNumId w:val="54"/>
  </w:num>
  <w:num w:numId="86">
    <w:abstractNumId w:val="23"/>
  </w:num>
  <w:num w:numId="87">
    <w:abstractNumId w:val="69"/>
  </w:num>
  <w:num w:numId="88">
    <w:abstractNumId w:val="68"/>
  </w:num>
  <w:num w:numId="89">
    <w:abstractNumId w:val="68"/>
  </w:num>
  <w:num w:numId="90">
    <w:abstractNumId w:val="1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00A06"/>
    <w:rsid w:val="00002181"/>
    <w:rsid w:val="000057C3"/>
    <w:rsid w:val="0001328F"/>
    <w:rsid w:val="000151C8"/>
    <w:rsid w:val="000200A3"/>
    <w:rsid w:val="00021451"/>
    <w:rsid w:val="00022157"/>
    <w:rsid w:val="00026C87"/>
    <w:rsid w:val="000273EF"/>
    <w:rsid w:val="0003231B"/>
    <w:rsid w:val="0003291E"/>
    <w:rsid w:val="00035BC4"/>
    <w:rsid w:val="00040159"/>
    <w:rsid w:val="0004021F"/>
    <w:rsid w:val="00050E96"/>
    <w:rsid w:val="00053088"/>
    <w:rsid w:val="000538DA"/>
    <w:rsid w:val="000552F3"/>
    <w:rsid w:val="0006133C"/>
    <w:rsid w:val="00062A89"/>
    <w:rsid w:val="000635A4"/>
    <w:rsid w:val="00064163"/>
    <w:rsid w:val="000759C3"/>
    <w:rsid w:val="000814EB"/>
    <w:rsid w:val="00087ED6"/>
    <w:rsid w:val="000912FA"/>
    <w:rsid w:val="0009406E"/>
    <w:rsid w:val="000A0524"/>
    <w:rsid w:val="000A175A"/>
    <w:rsid w:val="000A2CD3"/>
    <w:rsid w:val="000A3D02"/>
    <w:rsid w:val="000A7898"/>
    <w:rsid w:val="000B75F2"/>
    <w:rsid w:val="000C1549"/>
    <w:rsid w:val="000C1605"/>
    <w:rsid w:val="000C188B"/>
    <w:rsid w:val="000C55B3"/>
    <w:rsid w:val="000C5947"/>
    <w:rsid w:val="000C6276"/>
    <w:rsid w:val="000C6C45"/>
    <w:rsid w:val="000C6DE8"/>
    <w:rsid w:val="000D0781"/>
    <w:rsid w:val="000D1683"/>
    <w:rsid w:val="000D4C5A"/>
    <w:rsid w:val="000D635A"/>
    <w:rsid w:val="000D7145"/>
    <w:rsid w:val="000D7F28"/>
    <w:rsid w:val="000E17DA"/>
    <w:rsid w:val="000E4B68"/>
    <w:rsid w:val="000E78E0"/>
    <w:rsid w:val="000E7C4F"/>
    <w:rsid w:val="000F0641"/>
    <w:rsid w:val="000F1D6E"/>
    <w:rsid w:val="000F304E"/>
    <w:rsid w:val="000F6021"/>
    <w:rsid w:val="000F72B1"/>
    <w:rsid w:val="00100DB5"/>
    <w:rsid w:val="001042C6"/>
    <w:rsid w:val="00105AC3"/>
    <w:rsid w:val="00106508"/>
    <w:rsid w:val="00110B0F"/>
    <w:rsid w:val="00112341"/>
    <w:rsid w:val="00113C69"/>
    <w:rsid w:val="00116926"/>
    <w:rsid w:val="00123D61"/>
    <w:rsid w:val="00126945"/>
    <w:rsid w:val="00131AD6"/>
    <w:rsid w:val="00131DDD"/>
    <w:rsid w:val="001336AF"/>
    <w:rsid w:val="0013425D"/>
    <w:rsid w:val="001401C4"/>
    <w:rsid w:val="00142E55"/>
    <w:rsid w:val="001434F0"/>
    <w:rsid w:val="001477BB"/>
    <w:rsid w:val="00150621"/>
    <w:rsid w:val="001514FC"/>
    <w:rsid w:val="0015223F"/>
    <w:rsid w:val="00157ADD"/>
    <w:rsid w:val="00161F06"/>
    <w:rsid w:val="001638BE"/>
    <w:rsid w:val="00163C78"/>
    <w:rsid w:val="001661C4"/>
    <w:rsid w:val="0016777C"/>
    <w:rsid w:val="00167E19"/>
    <w:rsid w:val="00170832"/>
    <w:rsid w:val="00170B4D"/>
    <w:rsid w:val="00172291"/>
    <w:rsid w:val="00172ADE"/>
    <w:rsid w:val="001757E4"/>
    <w:rsid w:val="00175B8C"/>
    <w:rsid w:val="00180097"/>
    <w:rsid w:val="0018203D"/>
    <w:rsid w:val="0018467F"/>
    <w:rsid w:val="0018511D"/>
    <w:rsid w:val="00187211"/>
    <w:rsid w:val="001872E1"/>
    <w:rsid w:val="0019230B"/>
    <w:rsid w:val="00192D67"/>
    <w:rsid w:val="001A063E"/>
    <w:rsid w:val="001B15D8"/>
    <w:rsid w:val="001B3B43"/>
    <w:rsid w:val="001B4BE2"/>
    <w:rsid w:val="001B5011"/>
    <w:rsid w:val="001B5F83"/>
    <w:rsid w:val="001B6406"/>
    <w:rsid w:val="001B6789"/>
    <w:rsid w:val="001C07C0"/>
    <w:rsid w:val="001C0ECB"/>
    <w:rsid w:val="001C1A35"/>
    <w:rsid w:val="001C6FE0"/>
    <w:rsid w:val="001D041B"/>
    <w:rsid w:val="001D08E8"/>
    <w:rsid w:val="001D1F72"/>
    <w:rsid w:val="001D5212"/>
    <w:rsid w:val="001D5F92"/>
    <w:rsid w:val="001D7058"/>
    <w:rsid w:val="001F282E"/>
    <w:rsid w:val="001F4ECD"/>
    <w:rsid w:val="001F7FA3"/>
    <w:rsid w:val="00203B45"/>
    <w:rsid w:val="00203E24"/>
    <w:rsid w:val="00211E1F"/>
    <w:rsid w:val="00215250"/>
    <w:rsid w:val="00215643"/>
    <w:rsid w:val="002159A6"/>
    <w:rsid w:val="00215E3E"/>
    <w:rsid w:val="0021770D"/>
    <w:rsid w:val="0022292E"/>
    <w:rsid w:val="00222B0D"/>
    <w:rsid w:val="00225115"/>
    <w:rsid w:val="00230763"/>
    <w:rsid w:val="00232466"/>
    <w:rsid w:val="00232BA1"/>
    <w:rsid w:val="00233EE0"/>
    <w:rsid w:val="00234394"/>
    <w:rsid w:val="0023700B"/>
    <w:rsid w:val="0024009B"/>
    <w:rsid w:val="002465E9"/>
    <w:rsid w:val="00247BAD"/>
    <w:rsid w:val="00250DA6"/>
    <w:rsid w:val="00253303"/>
    <w:rsid w:val="00257D52"/>
    <w:rsid w:val="00260D6E"/>
    <w:rsid w:val="00264FBC"/>
    <w:rsid w:val="00265162"/>
    <w:rsid w:val="00266F98"/>
    <w:rsid w:val="00267F8A"/>
    <w:rsid w:val="00270170"/>
    <w:rsid w:val="00273E58"/>
    <w:rsid w:val="00276BAC"/>
    <w:rsid w:val="002831C1"/>
    <w:rsid w:val="00287164"/>
    <w:rsid w:val="00291F1C"/>
    <w:rsid w:val="00295E0D"/>
    <w:rsid w:val="00296137"/>
    <w:rsid w:val="002A27E9"/>
    <w:rsid w:val="002A2D18"/>
    <w:rsid w:val="002B00A6"/>
    <w:rsid w:val="002B0FBF"/>
    <w:rsid w:val="002B3C85"/>
    <w:rsid w:val="002C09E0"/>
    <w:rsid w:val="002C13C0"/>
    <w:rsid w:val="002C50B8"/>
    <w:rsid w:val="002D3A7B"/>
    <w:rsid w:val="002D3E04"/>
    <w:rsid w:val="002D49A6"/>
    <w:rsid w:val="002D7F0F"/>
    <w:rsid w:val="002E24A3"/>
    <w:rsid w:val="002E3600"/>
    <w:rsid w:val="002E710B"/>
    <w:rsid w:val="002F23B0"/>
    <w:rsid w:val="002F3990"/>
    <w:rsid w:val="002F3D5C"/>
    <w:rsid w:val="002F3DF9"/>
    <w:rsid w:val="002F5AC9"/>
    <w:rsid w:val="002F63BD"/>
    <w:rsid w:val="003034F3"/>
    <w:rsid w:val="00305B67"/>
    <w:rsid w:val="00306A82"/>
    <w:rsid w:val="00315986"/>
    <w:rsid w:val="003162D0"/>
    <w:rsid w:val="00317A93"/>
    <w:rsid w:val="00324C7C"/>
    <w:rsid w:val="00331F22"/>
    <w:rsid w:val="003358EB"/>
    <w:rsid w:val="00336432"/>
    <w:rsid w:val="00337442"/>
    <w:rsid w:val="0033795D"/>
    <w:rsid w:val="00337DF4"/>
    <w:rsid w:val="003434E2"/>
    <w:rsid w:val="003457E3"/>
    <w:rsid w:val="00352AAB"/>
    <w:rsid w:val="0035372C"/>
    <w:rsid w:val="0035384F"/>
    <w:rsid w:val="00355414"/>
    <w:rsid w:val="003621AC"/>
    <w:rsid w:val="00363A47"/>
    <w:rsid w:val="00372817"/>
    <w:rsid w:val="0037696F"/>
    <w:rsid w:val="00387F0E"/>
    <w:rsid w:val="00393DB4"/>
    <w:rsid w:val="003A02AB"/>
    <w:rsid w:val="003A2FF1"/>
    <w:rsid w:val="003A588F"/>
    <w:rsid w:val="003B147C"/>
    <w:rsid w:val="003B6F97"/>
    <w:rsid w:val="003B79E6"/>
    <w:rsid w:val="003C0C6E"/>
    <w:rsid w:val="003C15F5"/>
    <w:rsid w:val="003C1FD3"/>
    <w:rsid w:val="003C350D"/>
    <w:rsid w:val="003C3E5C"/>
    <w:rsid w:val="003C422E"/>
    <w:rsid w:val="003C76D6"/>
    <w:rsid w:val="003C7A11"/>
    <w:rsid w:val="003D07A1"/>
    <w:rsid w:val="003D1A67"/>
    <w:rsid w:val="003D7D51"/>
    <w:rsid w:val="003E0E35"/>
    <w:rsid w:val="003E2814"/>
    <w:rsid w:val="003E545F"/>
    <w:rsid w:val="003F2920"/>
    <w:rsid w:val="003F6ACD"/>
    <w:rsid w:val="00403681"/>
    <w:rsid w:val="00404ED3"/>
    <w:rsid w:val="004059BA"/>
    <w:rsid w:val="00407101"/>
    <w:rsid w:val="0041080E"/>
    <w:rsid w:val="0041404D"/>
    <w:rsid w:val="00416047"/>
    <w:rsid w:val="004201ED"/>
    <w:rsid w:val="00421606"/>
    <w:rsid w:val="00422A7E"/>
    <w:rsid w:val="00426DDD"/>
    <w:rsid w:val="00430B38"/>
    <w:rsid w:val="00433DD2"/>
    <w:rsid w:val="00434020"/>
    <w:rsid w:val="00434049"/>
    <w:rsid w:val="00435194"/>
    <w:rsid w:val="004354B2"/>
    <w:rsid w:val="004379EF"/>
    <w:rsid w:val="00441043"/>
    <w:rsid w:val="00442455"/>
    <w:rsid w:val="00447E1A"/>
    <w:rsid w:val="00453976"/>
    <w:rsid w:val="00454166"/>
    <w:rsid w:val="00454CB8"/>
    <w:rsid w:val="0045551E"/>
    <w:rsid w:val="004555AC"/>
    <w:rsid w:val="004632F9"/>
    <w:rsid w:val="004641BE"/>
    <w:rsid w:val="00465C4F"/>
    <w:rsid w:val="00467AD7"/>
    <w:rsid w:val="00470901"/>
    <w:rsid w:val="00472A20"/>
    <w:rsid w:val="004750A3"/>
    <w:rsid w:val="00476380"/>
    <w:rsid w:val="00476B4E"/>
    <w:rsid w:val="0047722B"/>
    <w:rsid w:val="00477E94"/>
    <w:rsid w:val="004819EC"/>
    <w:rsid w:val="00482349"/>
    <w:rsid w:val="00485435"/>
    <w:rsid w:val="004913B5"/>
    <w:rsid w:val="00494562"/>
    <w:rsid w:val="00494669"/>
    <w:rsid w:val="00495872"/>
    <w:rsid w:val="004A02AF"/>
    <w:rsid w:val="004A3441"/>
    <w:rsid w:val="004A435B"/>
    <w:rsid w:val="004A796F"/>
    <w:rsid w:val="004B28FE"/>
    <w:rsid w:val="004B3D4E"/>
    <w:rsid w:val="004B6CD9"/>
    <w:rsid w:val="004C2950"/>
    <w:rsid w:val="004C317D"/>
    <w:rsid w:val="004C345E"/>
    <w:rsid w:val="004C3B1F"/>
    <w:rsid w:val="004D0A43"/>
    <w:rsid w:val="004D203C"/>
    <w:rsid w:val="004D318D"/>
    <w:rsid w:val="004D3C02"/>
    <w:rsid w:val="004D401C"/>
    <w:rsid w:val="004D40C6"/>
    <w:rsid w:val="004D506C"/>
    <w:rsid w:val="004D7E63"/>
    <w:rsid w:val="004E2977"/>
    <w:rsid w:val="004E38E3"/>
    <w:rsid w:val="004E3C44"/>
    <w:rsid w:val="004F1474"/>
    <w:rsid w:val="004F40E1"/>
    <w:rsid w:val="004F4249"/>
    <w:rsid w:val="00500825"/>
    <w:rsid w:val="005056D9"/>
    <w:rsid w:val="00516D9F"/>
    <w:rsid w:val="00516F72"/>
    <w:rsid w:val="00521089"/>
    <w:rsid w:val="00523152"/>
    <w:rsid w:val="00524B46"/>
    <w:rsid w:val="00527745"/>
    <w:rsid w:val="005302E7"/>
    <w:rsid w:val="00532162"/>
    <w:rsid w:val="00536B66"/>
    <w:rsid w:val="00541D90"/>
    <w:rsid w:val="00543916"/>
    <w:rsid w:val="00550EC7"/>
    <w:rsid w:val="00553B91"/>
    <w:rsid w:val="00557A7D"/>
    <w:rsid w:val="00560EC7"/>
    <w:rsid w:val="00561563"/>
    <w:rsid w:val="00561FA6"/>
    <w:rsid w:val="00563A91"/>
    <w:rsid w:val="0056445A"/>
    <w:rsid w:val="00571EA0"/>
    <w:rsid w:val="0057285D"/>
    <w:rsid w:val="00572BD4"/>
    <w:rsid w:val="00583608"/>
    <w:rsid w:val="00583AF2"/>
    <w:rsid w:val="0058534B"/>
    <w:rsid w:val="00585F39"/>
    <w:rsid w:val="00586B2C"/>
    <w:rsid w:val="0058744C"/>
    <w:rsid w:val="00594751"/>
    <w:rsid w:val="005A4D2A"/>
    <w:rsid w:val="005A56DC"/>
    <w:rsid w:val="005A6E32"/>
    <w:rsid w:val="005A766D"/>
    <w:rsid w:val="005B61C2"/>
    <w:rsid w:val="005B7544"/>
    <w:rsid w:val="005C1DAA"/>
    <w:rsid w:val="005C20D6"/>
    <w:rsid w:val="005C4B2A"/>
    <w:rsid w:val="005D0250"/>
    <w:rsid w:val="005D3CD7"/>
    <w:rsid w:val="005D4D02"/>
    <w:rsid w:val="005E5771"/>
    <w:rsid w:val="005E5973"/>
    <w:rsid w:val="005E7B40"/>
    <w:rsid w:val="005F0C78"/>
    <w:rsid w:val="005F1FA1"/>
    <w:rsid w:val="005F2706"/>
    <w:rsid w:val="005F2CC2"/>
    <w:rsid w:val="005F3646"/>
    <w:rsid w:val="005F40D0"/>
    <w:rsid w:val="005F44D6"/>
    <w:rsid w:val="005F5D0A"/>
    <w:rsid w:val="005F691F"/>
    <w:rsid w:val="005F758C"/>
    <w:rsid w:val="0060091B"/>
    <w:rsid w:val="00600EDA"/>
    <w:rsid w:val="00601E6F"/>
    <w:rsid w:val="00602561"/>
    <w:rsid w:val="00602E1C"/>
    <w:rsid w:val="00602E50"/>
    <w:rsid w:val="006146A1"/>
    <w:rsid w:val="00616765"/>
    <w:rsid w:val="00617628"/>
    <w:rsid w:val="0062087E"/>
    <w:rsid w:val="00624DB4"/>
    <w:rsid w:val="00625151"/>
    <w:rsid w:val="006308C7"/>
    <w:rsid w:val="006327A7"/>
    <w:rsid w:val="00635AEB"/>
    <w:rsid w:val="00642378"/>
    <w:rsid w:val="006427FA"/>
    <w:rsid w:val="006450D5"/>
    <w:rsid w:val="006515DE"/>
    <w:rsid w:val="00656605"/>
    <w:rsid w:val="006579E3"/>
    <w:rsid w:val="0066010E"/>
    <w:rsid w:val="006605EA"/>
    <w:rsid w:val="006637D9"/>
    <w:rsid w:val="00665D0D"/>
    <w:rsid w:val="006660CF"/>
    <w:rsid w:val="00666E0F"/>
    <w:rsid w:val="0066784D"/>
    <w:rsid w:val="00677564"/>
    <w:rsid w:val="0068226E"/>
    <w:rsid w:val="00683A51"/>
    <w:rsid w:val="006847CF"/>
    <w:rsid w:val="00690CD2"/>
    <w:rsid w:val="00693C0B"/>
    <w:rsid w:val="00694775"/>
    <w:rsid w:val="00694F27"/>
    <w:rsid w:val="00696161"/>
    <w:rsid w:val="00696D30"/>
    <w:rsid w:val="006A0BEA"/>
    <w:rsid w:val="006A275B"/>
    <w:rsid w:val="006A5217"/>
    <w:rsid w:val="006B0BD5"/>
    <w:rsid w:val="006B1655"/>
    <w:rsid w:val="006B16F9"/>
    <w:rsid w:val="006B1C54"/>
    <w:rsid w:val="006B3850"/>
    <w:rsid w:val="006B3985"/>
    <w:rsid w:val="006B568B"/>
    <w:rsid w:val="006B6A9F"/>
    <w:rsid w:val="006B70F3"/>
    <w:rsid w:val="006C5BA9"/>
    <w:rsid w:val="006C687E"/>
    <w:rsid w:val="006D408B"/>
    <w:rsid w:val="006E1129"/>
    <w:rsid w:val="006E5B1B"/>
    <w:rsid w:val="006E775E"/>
    <w:rsid w:val="006F2D3F"/>
    <w:rsid w:val="006F3508"/>
    <w:rsid w:val="006F4F74"/>
    <w:rsid w:val="006F6FD3"/>
    <w:rsid w:val="00701628"/>
    <w:rsid w:val="00706D30"/>
    <w:rsid w:val="0071187D"/>
    <w:rsid w:val="00713E82"/>
    <w:rsid w:val="00717739"/>
    <w:rsid w:val="0072269A"/>
    <w:rsid w:val="0072567C"/>
    <w:rsid w:val="00725878"/>
    <w:rsid w:val="0072776B"/>
    <w:rsid w:val="007345B4"/>
    <w:rsid w:val="007347A1"/>
    <w:rsid w:val="00736F21"/>
    <w:rsid w:val="007379BE"/>
    <w:rsid w:val="00742B49"/>
    <w:rsid w:val="00744591"/>
    <w:rsid w:val="00746DDF"/>
    <w:rsid w:val="00746ED8"/>
    <w:rsid w:val="00756DE7"/>
    <w:rsid w:val="0076193C"/>
    <w:rsid w:val="00763266"/>
    <w:rsid w:val="007633E3"/>
    <w:rsid w:val="0076622A"/>
    <w:rsid w:val="007672A6"/>
    <w:rsid w:val="007747C0"/>
    <w:rsid w:val="00782E98"/>
    <w:rsid w:val="007840CE"/>
    <w:rsid w:val="00785F4A"/>
    <w:rsid w:val="00790A04"/>
    <w:rsid w:val="00792C03"/>
    <w:rsid w:val="007950A2"/>
    <w:rsid w:val="00795342"/>
    <w:rsid w:val="007A046E"/>
    <w:rsid w:val="007A0BC0"/>
    <w:rsid w:val="007A2AB8"/>
    <w:rsid w:val="007A6080"/>
    <w:rsid w:val="007A64B1"/>
    <w:rsid w:val="007B6E64"/>
    <w:rsid w:val="007B7D76"/>
    <w:rsid w:val="007C1B16"/>
    <w:rsid w:val="007C3999"/>
    <w:rsid w:val="007D0257"/>
    <w:rsid w:val="007D0F23"/>
    <w:rsid w:val="007D3975"/>
    <w:rsid w:val="007D4A50"/>
    <w:rsid w:val="007D7810"/>
    <w:rsid w:val="007E2138"/>
    <w:rsid w:val="007E65CC"/>
    <w:rsid w:val="007F051C"/>
    <w:rsid w:val="007F0828"/>
    <w:rsid w:val="007F3504"/>
    <w:rsid w:val="00801937"/>
    <w:rsid w:val="00804136"/>
    <w:rsid w:val="00804719"/>
    <w:rsid w:val="00810E45"/>
    <w:rsid w:val="00811BEF"/>
    <w:rsid w:val="00814D7E"/>
    <w:rsid w:val="00815DA1"/>
    <w:rsid w:val="00816FF3"/>
    <w:rsid w:val="00822CF7"/>
    <w:rsid w:val="00823108"/>
    <w:rsid w:val="008260E6"/>
    <w:rsid w:val="00831E84"/>
    <w:rsid w:val="0083626F"/>
    <w:rsid w:val="00836986"/>
    <w:rsid w:val="00836E0A"/>
    <w:rsid w:val="0084593E"/>
    <w:rsid w:val="00847396"/>
    <w:rsid w:val="00847FEF"/>
    <w:rsid w:val="00850A67"/>
    <w:rsid w:val="00850C05"/>
    <w:rsid w:val="00851FB3"/>
    <w:rsid w:val="00853010"/>
    <w:rsid w:val="00857497"/>
    <w:rsid w:val="008600D9"/>
    <w:rsid w:val="00860DD5"/>
    <w:rsid w:val="008701A6"/>
    <w:rsid w:val="00874AB8"/>
    <w:rsid w:val="008821F4"/>
    <w:rsid w:val="00883101"/>
    <w:rsid w:val="00885CC9"/>
    <w:rsid w:val="008865D2"/>
    <w:rsid w:val="00887231"/>
    <w:rsid w:val="00892A4D"/>
    <w:rsid w:val="008947EA"/>
    <w:rsid w:val="00897DCF"/>
    <w:rsid w:val="008A0905"/>
    <w:rsid w:val="008A24EE"/>
    <w:rsid w:val="008A2531"/>
    <w:rsid w:val="008A28CB"/>
    <w:rsid w:val="008A2BD2"/>
    <w:rsid w:val="008A3459"/>
    <w:rsid w:val="008A497D"/>
    <w:rsid w:val="008A5771"/>
    <w:rsid w:val="008A5C83"/>
    <w:rsid w:val="008A7562"/>
    <w:rsid w:val="008B12AD"/>
    <w:rsid w:val="008B2A81"/>
    <w:rsid w:val="008B360F"/>
    <w:rsid w:val="008B4950"/>
    <w:rsid w:val="008C0C81"/>
    <w:rsid w:val="008C36BF"/>
    <w:rsid w:val="008C4052"/>
    <w:rsid w:val="008C4ECC"/>
    <w:rsid w:val="008C50B2"/>
    <w:rsid w:val="008D08A1"/>
    <w:rsid w:val="008D1657"/>
    <w:rsid w:val="008D1C6C"/>
    <w:rsid w:val="008E00DE"/>
    <w:rsid w:val="008E0284"/>
    <w:rsid w:val="008E1383"/>
    <w:rsid w:val="008E279B"/>
    <w:rsid w:val="008E4419"/>
    <w:rsid w:val="008E4BDC"/>
    <w:rsid w:val="008E7FD9"/>
    <w:rsid w:val="008F230A"/>
    <w:rsid w:val="008F308E"/>
    <w:rsid w:val="008F3E90"/>
    <w:rsid w:val="008F68B8"/>
    <w:rsid w:val="009032DB"/>
    <w:rsid w:val="00905394"/>
    <w:rsid w:val="00905E73"/>
    <w:rsid w:val="00906122"/>
    <w:rsid w:val="009122EF"/>
    <w:rsid w:val="00915E71"/>
    <w:rsid w:val="009175BA"/>
    <w:rsid w:val="00923131"/>
    <w:rsid w:val="00923913"/>
    <w:rsid w:val="00924B34"/>
    <w:rsid w:val="0092521C"/>
    <w:rsid w:val="0092582F"/>
    <w:rsid w:val="00926CEC"/>
    <w:rsid w:val="00935FE9"/>
    <w:rsid w:val="00942763"/>
    <w:rsid w:val="00942AD3"/>
    <w:rsid w:val="00942E39"/>
    <w:rsid w:val="00943423"/>
    <w:rsid w:val="009456E4"/>
    <w:rsid w:val="009461D4"/>
    <w:rsid w:val="00950EEC"/>
    <w:rsid w:val="00950F8E"/>
    <w:rsid w:val="0096099E"/>
    <w:rsid w:val="00961A54"/>
    <w:rsid w:val="00964A0E"/>
    <w:rsid w:val="00967FB4"/>
    <w:rsid w:val="009721B8"/>
    <w:rsid w:val="00974920"/>
    <w:rsid w:val="009777C8"/>
    <w:rsid w:val="00982C78"/>
    <w:rsid w:val="00984149"/>
    <w:rsid w:val="0098527A"/>
    <w:rsid w:val="00986D31"/>
    <w:rsid w:val="00990CF8"/>
    <w:rsid w:val="009921DA"/>
    <w:rsid w:val="00993D27"/>
    <w:rsid w:val="00993DCE"/>
    <w:rsid w:val="00997782"/>
    <w:rsid w:val="009A067A"/>
    <w:rsid w:val="009A1FC6"/>
    <w:rsid w:val="009A2423"/>
    <w:rsid w:val="009A2456"/>
    <w:rsid w:val="009A2A3E"/>
    <w:rsid w:val="009A345C"/>
    <w:rsid w:val="009A3E91"/>
    <w:rsid w:val="009A7B83"/>
    <w:rsid w:val="009B06A9"/>
    <w:rsid w:val="009B13A7"/>
    <w:rsid w:val="009B4245"/>
    <w:rsid w:val="009B493A"/>
    <w:rsid w:val="009B61E0"/>
    <w:rsid w:val="009C07E3"/>
    <w:rsid w:val="009C1B6A"/>
    <w:rsid w:val="009C2EA4"/>
    <w:rsid w:val="009C36F6"/>
    <w:rsid w:val="009C428A"/>
    <w:rsid w:val="009D0324"/>
    <w:rsid w:val="009D5FD9"/>
    <w:rsid w:val="009D682C"/>
    <w:rsid w:val="009E352E"/>
    <w:rsid w:val="009E526D"/>
    <w:rsid w:val="009F14F6"/>
    <w:rsid w:val="009F1FB9"/>
    <w:rsid w:val="009F20B9"/>
    <w:rsid w:val="009F4EFA"/>
    <w:rsid w:val="009F5A60"/>
    <w:rsid w:val="009F5AFE"/>
    <w:rsid w:val="009F6462"/>
    <w:rsid w:val="009F66AB"/>
    <w:rsid w:val="009F6FD4"/>
    <w:rsid w:val="00A0120A"/>
    <w:rsid w:val="00A10A08"/>
    <w:rsid w:val="00A1242F"/>
    <w:rsid w:val="00A2172E"/>
    <w:rsid w:val="00A23A07"/>
    <w:rsid w:val="00A25A33"/>
    <w:rsid w:val="00A316E3"/>
    <w:rsid w:val="00A32E4E"/>
    <w:rsid w:val="00A330E8"/>
    <w:rsid w:val="00A36EF9"/>
    <w:rsid w:val="00A37B57"/>
    <w:rsid w:val="00A45B34"/>
    <w:rsid w:val="00A465F1"/>
    <w:rsid w:val="00A46825"/>
    <w:rsid w:val="00A47767"/>
    <w:rsid w:val="00A51F0B"/>
    <w:rsid w:val="00A52279"/>
    <w:rsid w:val="00A53B9D"/>
    <w:rsid w:val="00A54C73"/>
    <w:rsid w:val="00A57B88"/>
    <w:rsid w:val="00A635A9"/>
    <w:rsid w:val="00A672C4"/>
    <w:rsid w:val="00A7032B"/>
    <w:rsid w:val="00A73208"/>
    <w:rsid w:val="00A737E6"/>
    <w:rsid w:val="00A74C4D"/>
    <w:rsid w:val="00A80C3F"/>
    <w:rsid w:val="00A85BDC"/>
    <w:rsid w:val="00A92176"/>
    <w:rsid w:val="00A94E6A"/>
    <w:rsid w:val="00A95F76"/>
    <w:rsid w:val="00AA3D35"/>
    <w:rsid w:val="00AB14DC"/>
    <w:rsid w:val="00AB20A2"/>
    <w:rsid w:val="00AB2125"/>
    <w:rsid w:val="00AB36FF"/>
    <w:rsid w:val="00AC37CE"/>
    <w:rsid w:val="00AC41CA"/>
    <w:rsid w:val="00AC4228"/>
    <w:rsid w:val="00AC4DE1"/>
    <w:rsid w:val="00AD4602"/>
    <w:rsid w:val="00AD6022"/>
    <w:rsid w:val="00AE14C3"/>
    <w:rsid w:val="00AE22A2"/>
    <w:rsid w:val="00AE3C14"/>
    <w:rsid w:val="00AF5F90"/>
    <w:rsid w:val="00AF67EA"/>
    <w:rsid w:val="00B010A7"/>
    <w:rsid w:val="00B01D06"/>
    <w:rsid w:val="00B03799"/>
    <w:rsid w:val="00B04F51"/>
    <w:rsid w:val="00B06CF7"/>
    <w:rsid w:val="00B07531"/>
    <w:rsid w:val="00B119F6"/>
    <w:rsid w:val="00B12F81"/>
    <w:rsid w:val="00B15498"/>
    <w:rsid w:val="00B16E09"/>
    <w:rsid w:val="00B21595"/>
    <w:rsid w:val="00B22AC6"/>
    <w:rsid w:val="00B22FC7"/>
    <w:rsid w:val="00B26A69"/>
    <w:rsid w:val="00B27418"/>
    <w:rsid w:val="00B315C8"/>
    <w:rsid w:val="00B3163A"/>
    <w:rsid w:val="00B45C35"/>
    <w:rsid w:val="00B47365"/>
    <w:rsid w:val="00B508AD"/>
    <w:rsid w:val="00B512AB"/>
    <w:rsid w:val="00B55605"/>
    <w:rsid w:val="00B60220"/>
    <w:rsid w:val="00B649CC"/>
    <w:rsid w:val="00B66264"/>
    <w:rsid w:val="00B66DF9"/>
    <w:rsid w:val="00B67BC0"/>
    <w:rsid w:val="00B70222"/>
    <w:rsid w:val="00B719B3"/>
    <w:rsid w:val="00B734BF"/>
    <w:rsid w:val="00B73B1C"/>
    <w:rsid w:val="00B774D6"/>
    <w:rsid w:val="00B778E0"/>
    <w:rsid w:val="00B80394"/>
    <w:rsid w:val="00B8088B"/>
    <w:rsid w:val="00B811AD"/>
    <w:rsid w:val="00B8169F"/>
    <w:rsid w:val="00B96248"/>
    <w:rsid w:val="00B96BFB"/>
    <w:rsid w:val="00BA5FCC"/>
    <w:rsid w:val="00BA6AFD"/>
    <w:rsid w:val="00BA7F35"/>
    <w:rsid w:val="00BB075D"/>
    <w:rsid w:val="00BB3710"/>
    <w:rsid w:val="00BB4D3C"/>
    <w:rsid w:val="00BB5791"/>
    <w:rsid w:val="00BC016B"/>
    <w:rsid w:val="00BC2A61"/>
    <w:rsid w:val="00BC4769"/>
    <w:rsid w:val="00BC513D"/>
    <w:rsid w:val="00BC5D78"/>
    <w:rsid w:val="00BC6B8E"/>
    <w:rsid w:val="00BC6F90"/>
    <w:rsid w:val="00BD4E1D"/>
    <w:rsid w:val="00BD6349"/>
    <w:rsid w:val="00BE1DBA"/>
    <w:rsid w:val="00BE2BAC"/>
    <w:rsid w:val="00BE50F3"/>
    <w:rsid w:val="00BE5BB7"/>
    <w:rsid w:val="00BF3630"/>
    <w:rsid w:val="00BF3C9A"/>
    <w:rsid w:val="00BF6FDA"/>
    <w:rsid w:val="00BF7E09"/>
    <w:rsid w:val="00C0147D"/>
    <w:rsid w:val="00C016BA"/>
    <w:rsid w:val="00C04FEB"/>
    <w:rsid w:val="00C05C2D"/>
    <w:rsid w:val="00C206CA"/>
    <w:rsid w:val="00C2597B"/>
    <w:rsid w:val="00C31052"/>
    <w:rsid w:val="00C310F3"/>
    <w:rsid w:val="00C33DB5"/>
    <w:rsid w:val="00C35277"/>
    <w:rsid w:val="00C37519"/>
    <w:rsid w:val="00C4063C"/>
    <w:rsid w:val="00C5073D"/>
    <w:rsid w:val="00C507CF"/>
    <w:rsid w:val="00C5485A"/>
    <w:rsid w:val="00C54AB6"/>
    <w:rsid w:val="00C55EB0"/>
    <w:rsid w:val="00C6039A"/>
    <w:rsid w:val="00C61A42"/>
    <w:rsid w:val="00C645DF"/>
    <w:rsid w:val="00C64606"/>
    <w:rsid w:val="00C64C0D"/>
    <w:rsid w:val="00C65516"/>
    <w:rsid w:val="00C6781A"/>
    <w:rsid w:val="00C73BEA"/>
    <w:rsid w:val="00C74599"/>
    <w:rsid w:val="00C77FCF"/>
    <w:rsid w:val="00C820A2"/>
    <w:rsid w:val="00C8245C"/>
    <w:rsid w:val="00C858E5"/>
    <w:rsid w:val="00C8715E"/>
    <w:rsid w:val="00C90F0F"/>
    <w:rsid w:val="00C92B47"/>
    <w:rsid w:val="00C956DE"/>
    <w:rsid w:val="00C95C5E"/>
    <w:rsid w:val="00C96493"/>
    <w:rsid w:val="00C96B04"/>
    <w:rsid w:val="00CA526B"/>
    <w:rsid w:val="00CA747E"/>
    <w:rsid w:val="00CA7B5B"/>
    <w:rsid w:val="00CB10FF"/>
    <w:rsid w:val="00CB13A9"/>
    <w:rsid w:val="00CB1E6F"/>
    <w:rsid w:val="00CB2DE3"/>
    <w:rsid w:val="00CB3078"/>
    <w:rsid w:val="00CB3FBF"/>
    <w:rsid w:val="00CB58B0"/>
    <w:rsid w:val="00CB767F"/>
    <w:rsid w:val="00CC1BE2"/>
    <w:rsid w:val="00CC1F46"/>
    <w:rsid w:val="00CC6078"/>
    <w:rsid w:val="00CC748B"/>
    <w:rsid w:val="00CC7D1E"/>
    <w:rsid w:val="00CD54FA"/>
    <w:rsid w:val="00CE2133"/>
    <w:rsid w:val="00CE5436"/>
    <w:rsid w:val="00CF7631"/>
    <w:rsid w:val="00D02445"/>
    <w:rsid w:val="00D02D9A"/>
    <w:rsid w:val="00D047D3"/>
    <w:rsid w:val="00D05693"/>
    <w:rsid w:val="00D073F2"/>
    <w:rsid w:val="00D11702"/>
    <w:rsid w:val="00D1249C"/>
    <w:rsid w:val="00D13DA1"/>
    <w:rsid w:val="00D15562"/>
    <w:rsid w:val="00D271C1"/>
    <w:rsid w:val="00D35A8A"/>
    <w:rsid w:val="00D417D3"/>
    <w:rsid w:val="00D42E72"/>
    <w:rsid w:val="00D4357F"/>
    <w:rsid w:val="00D4522D"/>
    <w:rsid w:val="00D46E3A"/>
    <w:rsid w:val="00D518F9"/>
    <w:rsid w:val="00D54D52"/>
    <w:rsid w:val="00D54EF0"/>
    <w:rsid w:val="00D55338"/>
    <w:rsid w:val="00D55B96"/>
    <w:rsid w:val="00D57157"/>
    <w:rsid w:val="00D5750A"/>
    <w:rsid w:val="00D6005A"/>
    <w:rsid w:val="00D60AAD"/>
    <w:rsid w:val="00D703B6"/>
    <w:rsid w:val="00D70F8E"/>
    <w:rsid w:val="00D76EF6"/>
    <w:rsid w:val="00D775B7"/>
    <w:rsid w:val="00D80EA3"/>
    <w:rsid w:val="00D81203"/>
    <w:rsid w:val="00D83249"/>
    <w:rsid w:val="00D86923"/>
    <w:rsid w:val="00D877F7"/>
    <w:rsid w:val="00D879CB"/>
    <w:rsid w:val="00D91488"/>
    <w:rsid w:val="00D919FF"/>
    <w:rsid w:val="00D9732F"/>
    <w:rsid w:val="00D976D7"/>
    <w:rsid w:val="00DC356C"/>
    <w:rsid w:val="00DC4192"/>
    <w:rsid w:val="00DC66FE"/>
    <w:rsid w:val="00DD0530"/>
    <w:rsid w:val="00DD0E2C"/>
    <w:rsid w:val="00DD267A"/>
    <w:rsid w:val="00DD4911"/>
    <w:rsid w:val="00DD5DC8"/>
    <w:rsid w:val="00DE115A"/>
    <w:rsid w:val="00DE5764"/>
    <w:rsid w:val="00DE618B"/>
    <w:rsid w:val="00DE7813"/>
    <w:rsid w:val="00DF0AC1"/>
    <w:rsid w:val="00DF0F02"/>
    <w:rsid w:val="00DF2AE5"/>
    <w:rsid w:val="00E00BD1"/>
    <w:rsid w:val="00E01802"/>
    <w:rsid w:val="00E062A2"/>
    <w:rsid w:val="00E078DA"/>
    <w:rsid w:val="00E10649"/>
    <w:rsid w:val="00E1628E"/>
    <w:rsid w:val="00E174F1"/>
    <w:rsid w:val="00E17BD7"/>
    <w:rsid w:val="00E201F0"/>
    <w:rsid w:val="00E205C2"/>
    <w:rsid w:val="00E22EDC"/>
    <w:rsid w:val="00E23675"/>
    <w:rsid w:val="00E26A8F"/>
    <w:rsid w:val="00E302DF"/>
    <w:rsid w:val="00E30B02"/>
    <w:rsid w:val="00E3221A"/>
    <w:rsid w:val="00E32410"/>
    <w:rsid w:val="00E336D4"/>
    <w:rsid w:val="00E3482E"/>
    <w:rsid w:val="00E3715A"/>
    <w:rsid w:val="00E43335"/>
    <w:rsid w:val="00E4425D"/>
    <w:rsid w:val="00E45340"/>
    <w:rsid w:val="00E5332D"/>
    <w:rsid w:val="00E53ACA"/>
    <w:rsid w:val="00E54381"/>
    <w:rsid w:val="00E55464"/>
    <w:rsid w:val="00E60875"/>
    <w:rsid w:val="00E60B47"/>
    <w:rsid w:val="00E615A9"/>
    <w:rsid w:val="00E625B4"/>
    <w:rsid w:val="00E62F25"/>
    <w:rsid w:val="00E64043"/>
    <w:rsid w:val="00E6660F"/>
    <w:rsid w:val="00E7070A"/>
    <w:rsid w:val="00E70EE2"/>
    <w:rsid w:val="00E71DD4"/>
    <w:rsid w:val="00E73008"/>
    <w:rsid w:val="00E737E7"/>
    <w:rsid w:val="00E75CA2"/>
    <w:rsid w:val="00E819D6"/>
    <w:rsid w:val="00E84DFE"/>
    <w:rsid w:val="00E859CC"/>
    <w:rsid w:val="00E85FF9"/>
    <w:rsid w:val="00E93314"/>
    <w:rsid w:val="00E97C73"/>
    <w:rsid w:val="00EA277F"/>
    <w:rsid w:val="00EA599B"/>
    <w:rsid w:val="00EB0684"/>
    <w:rsid w:val="00EB0D44"/>
    <w:rsid w:val="00EB0DCD"/>
    <w:rsid w:val="00EB4118"/>
    <w:rsid w:val="00EB4876"/>
    <w:rsid w:val="00EB714D"/>
    <w:rsid w:val="00EB71F4"/>
    <w:rsid w:val="00EB7E1B"/>
    <w:rsid w:val="00EC042A"/>
    <w:rsid w:val="00EC0717"/>
    <w:rsid w:val="00EC403E"/>
    <w:rsid w:val="00ED06ED"/>
    <w:rsid w:val="00ED57F0"/>
    <w:rsid w:val="00ED7041"/>
    <w:rsid w:val="00ED7D65"/>
    <w:rsid w:val="00EE0747"/>
    <w:rsid w:val="00EE0FFD"/>
    <w:rsid w:val="00EE1105"/>
    <w:rsid w:val="00EE2590"/>
    <w:rsid w:val="00EE4208"/>
    <w:rsid w:val="00EE46A2"/>
    <w:rsid w:val="00EE59AD"/>
    <w:rsid w:val="00EE68BB"/>
    <w:rsid w:val="00EF0817"/>
    <w:rsid w:val="00EF5A21"/>
    <w:rsid w:val="00F03979"/>
    <w:rsid w:val="00F03DF2"/>
    <w:rsid w:val="00F06BA7"/>
    <w:rsid w:val="00F13C51"/>
    <w:rsid w:val="00F16032"/>
    <w:rsid w:val="00F232CF"/>
    <w:rsid w:val="00F2443E"/>
    <w:rsid w:val="00F25E6E"/>
    <w:rsid w:val="00F36D5F"/>
    <w:rsid w:val="00F4090B"/>
    <w:rsid w:val="00F42657"/>
    <w:rsid w:val="00F537B9"/>
    <w:rsid w:val="00F542A9"/>
    <w:rsid w:val="00F571DD"/>
    <w:rsid w:val="00F60162"/>
    <w:rsid w:val="00F64BF9"/>
    <w:rsid w:val="00F65EF3"/>
    <w:rsid w:val="00F66C9B"/>
    <w:rsid w:val="00F673E5"/>
    <w:rsid w:val="00F71470"/>
    <w:rsid w:val="00F72E8A"/>
    <w:rsid w:val="00F733F4"/>
    <w:rsid w:val="00F740A7"/>
    <w:rsid w:val="00F75195"/>
    <w:rsid w:val="00F7683A"/>
    <w:rsid w:val="00F76FBC"/>
    <w:rsid w:val="00F77C3D"/>
    <w:rsid w:val="00F8166A"/>
    <w:rsid w:val="00F82D1D"/>
    <w:rsid w:val="00F82FB0"/>
    <w:rsid w:val="00F9118E"/>
    <w:rsid w:val="00F92E72"/>
    <w:rsid w:val="00F94566"/>
    <w:rsid w:val="00F952E7"/>
    <w:rsid w:val="00F95F4F"/>
    <w:rsid w:val="00FA13D0"/>
    <w:rsid w:val="00FA29EE"/>
    <w:rsid w:val="00FA516A"/>
    <w:rsid w:val="00FA55E3"/>
    <w:rsid w:val="00FB275D"/>
    <w:rsid w:val="00FB3684"/>
    <w:rsid w:val="00FB5FD5"/>
    <w:rsid w:val="00FB6D60"/>
    <w:rsid w:val="00FC099A"/>
    <w:rsid w:val="00FC193B"/>
    <w:rsid w:val="00FC522F"/>
    <w:rsid w:val="00FD2717"/>
    <w:rsid w:val="00FD2D4E"/>
    <w:rsid w:val="00FD3786"/>
    <w:rsid w:val="00FD5299"/>
    <w:rsid w:val="00FD52EC"/>
    <w:rsid w:val="00FE0B38"/>
    <w:rsid w:val="00FE5F4D"/>
    <w:rsid w:val="00FE7DE9"/>
    <w:rsid w:val="00FF1FCF"/>
    <w:rsid w:val="00FF3BE2"/>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CB577"/>
  <w15:docId w15:val="{BA9FA7BE-85A8-42F3-98B7-59C0649F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link w:val="Heading2Char"/>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rsid w:val="00FB6D60"/>
    <w:pPr>
      <w:tabs>
        <w:tab w:val="left" w:pos="567"/>
        <w:tab w:val="right" w:leader="dot" w:pos="9061"/>
      </w:tabs>
    </w:p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Dot pt,F5 List Paragraph,List Paragraph1,Numbered Para 1,No Spacing1,List Paragraph Char Char Char,Indicator Text,Bullet Points,MAIN CONTENT,Bullet 1,Colorful List - Accent 11,List Paragraph12,Bullet Style,Normal numbered,List Paragraph2"/>
    <w:basedOn w:val="Normal"/>
    <w:link w:val="ListParagraphChar"/>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0"/>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uiPriority w:val="99"/>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3"/>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4"/>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5"/>
      </w:numPr>
    </w:pPr>
  </w:style>
  <w:style w:type="paragraph" w:customStyle="1" w:styleId="LevelE1">
    <w:name w:val="Level E1"/>
    <w:basedOn w:val="Normal"/>
    <w:next w:val="Textindent"/>
    <w:rsid w:val="00F740A7"/>
    <w:pPr>
      <w:numPr>
        <w:numId w:val="36"/>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7"/>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9"/>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8"/>
      </w:numPr>
      <w:tabs>
        <w:tab w:val="clear" w:pos="541"/>
        <w:tab w:val="num" w:pos="900"/>
      </w:tabs>
      <w:ind w:left="900" w:hanging="719"/>
    </w:pPr>
  </w:style>
  <w:style w:type="character" w:customStyle="1" w:styleId="NINEH2Char">
    <w:name w:val="NINE_H2 Char"/>
    <w:basedOn w:val="DefaultParagraphFont"/>
    <w:link w:val="NINEH2"/>
    <w:uiPriority w:val="99"/>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2"/>
      </w:numPr>
    </w:pPr>
    <w:rPr>
      <w:b/>
      <w:smallCaps/>
      <w:sz w:val="28"/>
    </w:rPr>
  </w:style>
  <w:style w:type="paragraph" w:customStyle="1" w:styleId="Sch2H2">
    <w:name w:val="Sch2H2"/>
    <w:basedOn w:val="Normal"/>
    <w:rsid w:val="00857497"/>
    <w:pPr>
      <w:numPr>
        <w:ilvl w:val="1"/>
        <w:numId w:val="42"/>
      </w:numPr>
      <w:spacing w:before="60" w:after="60"/>
    </w:pPr>
    <w:rPr>
      <w:sz w:val="22"/>
    </w:rPr>
  </w:style>
  <w:style w:type="paragraph" w:customStyle="1" w:styleId="Sch3">
    <w:name w:val="Sch3"/>
    <w:basedOn w:val="NINEH1"/>
    <w:uiPriority w:val="99"/>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3"/>
      </w:numPr>
      <w:spacing w:before="120" w:after="60"/>
      <w:ind w:left="709" w:hanging="709"/>
    </w:pPr>
    <w:rPr>
      <w:b/>
      <w:sz w:val="28"/>
    </w:rPr>
  </w:style>
  <w:style w:type="paragraph" w:customStyle="1" w:styleId="Sch4H2">
    <w:name w:val="Sch4H2"/>
    <w:basedOn w:val="THREEH2"/>
    <w:rsid w:val="0076193C"/>
    <w:pPr>
      <w:numPr>
        <w:ilvl w:val="1"/>
        <w:numId w:val="43"/>
      </w:numPr>
      <w:tabs>
        <w:tab w:val="clear" w:pos="1222"/>
        <w:tab w:val="num" w:pos="851"/>
      </w:tabs>
      <w:ind w:left="851" w:hanging="709"/>
    </w:pPr>
  </w:style>
  <w:style w:type="paragraph" w:customStyle="1" w:styleId="Sch5">
    <w:name w:val="Sch5"/>
    <w:basedOn w:val="Normal"/>
    <w:rsid w:val="000C5947"/>
    <w:pPr>
      <w:numPr>
        <w:numId w:val="44"/>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4"/>
      </w:numPr>
      <w:tabs>
        <w:tab w:val="clear" w:pos="1222"/>
        <w:tab w:val="num" w:pos="851"/>
      </w:tabs>
      <w:spacing w:before="60" w:after="60"/>
      <w:ind w:left="851" w:hanging="709"/>
    </w:pPr>
    <w:rPr>
      <w:sz w:val="22"/>
      <w:szCs w:val="22"/>
    </w:rPr>
  </w:style>
  <w:style w:type="numbering" w:customStyle="1" w:styleId="WWNum1">
    <w:name w:val="WWNum1"/>
    <w:basedOn w:val="NoList"/>
    <w:rsid w:val="00E336D4"/>
    <w:pPr>
      <w:numPr>
        <w:numId w:val="48"/>
      </w:numPr>
    </w:pPr>
  </w:style>
  <w:style w:type="paragraph" w:styleId="NoSpacing">
    <w:name w:val="No Spacing"/>
    <w:basedOn w:val="Normal"/>
    <w:link w:val="NoSpacingChar"/>
    <w:uiPriority w:val="1"/>
    <w:qFormat/>
    <w:rsid w:val="00942AD3"/>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942AD3"/>
    <w:rPr>
      <w:rFonts w:asciiTheme="majorHAnsi" w:eastAsiaTheme="majorEastAsia" w:hAnsiTheme="majorHAnsi" w:cstheme="majorBidi"/>
      <w:sz w:val="22"/>
      <w:szCs w:val="22"/>
      <w:lang w:eastAsia="en-US"/>
    </w:rPr>
  </w:style>
  <w:style w:type="paragraph" w:customStyle="1" w:styleId="Default">
    <w:name w:val="Default"/>
    <w:rsid w:val="00FD5299"/>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24009B"/>
    <w:pPr>
      <w:spacing w:before="100" w:beforeAutospacing="1" w:after="100" w:afterAutospacing="1"/>
    </w:pPr>
    <w:rPr>
      <w:rFonts w:ascii="Times New Roman" w:hAnsi="Times New Roman" w:cs="Times New Roman"/>
      <w:szCs w:val="24"/>
      <w:lang w:eastAsia="en-GB"/>
    </w:rPr>
  </w:style>
  <w:style w:type="character" w:customStyle="1" w:styleId="Heading2Char">
    <w:name w:val="Heading 2 Char"/>
    <w:basedOn w:val="DefaultParagraphFont"/>
    <w:link w:val="Heading2"/>
    <w:rsid w:val="008B4950"/>
    <w:rPr>
      <w:rFonts w:ascii="Arial" w:hAnsi="Arial" w:cs="Arial"/>
      <w:i/>
      <w:iCs/>
      <w:sz w:val="24"/>
      <w:szCs w:val="24"/>
      <w:lang w:eastAsia="en-US"/>
    </w:rPr>
  </w:style>
  <w:style w:type="paragraph" w:styleId="TOCHeading">
    <w:name w:val="TOC Heading"/>
    <w:basedOn w:val="Heading1"/>
    <w:next w:val="Normal"/>
    <w:uiPriority w:val="39"/>
    <w:unhideWhenUsed/>
    <w:qFormat/>
    <w:rsid w:val="0009406E"/>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942763"/>
    <w:rPr>
      <w:color w:val="605E5C"/>
      <w:shd w:val="clear" w:color="auto" w:fill="E1DFDD"/>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CB2DE3"/>
    <w:rPr>
      <w:rFonts w:ascii="Arial" w:eastAsia="Calibri" w:hAnsi="Arial" w:cs="Arial"/>
      <w:sz w:val="24"/>
      <w:szCs w:val="24"/>
    </w:rPr>
  </w:style>
  <w:style w:type="character" w:customStyle="1" w:styleId="paratextblue">
    <w:name w:val="paratextblue"/>
    <w:basedOn w:val="DefaultParagraphFont"/>
    <w:rsid w:val="00276BAC"/>
  </w:style>
  <w:style w:type="character" w:styleId="EndnoteReference">
    <w:name w:val="endnote reference"/>
    <w:basedOn w:val="DefaultParagraphFont"/>
    <w:uiPriority w:val="99"/>
    <w:semiHidden/>
    <w:unhideWhenUsed/>
    <w:rsid w:val="00FB6D60"/>
    <w:rPr>
      <w:vertAlign w:val="superscript"/>
    </w:rPr>
  </w:style>
  <w:style w:type="paragraph" w:styleId="Revision">
    <w:name w:val="Revision"/>
    <w:hidden/>
    <w:uiPriority w:val="99"/>
    <w:semiHidden/>
    <w:rsid w:val="00982C78"/>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126706698">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821778211">
      <w:bodyDiv w:val="1"/>
      <w:marLeft w:val="0"/>
      <w:marRight w:val="0"/>
      <w:marTop w:val="0"/>
      <w:marBottom w:val="0"/>
      <w:divBdr>
        <w:top w:val="none" w:sz="0" w:space="0" w:color="auto"/>
        <w:left w:val="none" w:sz="0" w:space="0" w:color="auto"/>
        <w:bottom w:val="none" w:sz="0" w:space="0" w:color="auto"/>
        <w:right w:val="none" w:sz="0" w:space="0" w:color="auto"/>
      </w:divBdr>
    </w:div>
    <w:div w:id="849223508">
      <w:bodyDiv w:val="1"/>
      <w:marLeft w:val="0"/>
      <w:marRight w:val="0"/>
      <w:marTop w:val="0"/>
      <w:marBottom w:val="0"/>
      <w:divBdr>
        <w:top w:val="none" w:sz="0" w:space="0" w:color="auto"/>
        <w:left w:val="none" w:sz="0" w:space="0" w:color="auto"/>
        <w:bottom w:val="none" w:sz="0" w:space="0" w:color="auto"/>
        <w:right w:val="none" w:sz="0" w:space="0" w:color="auto"/>
      </w:divBdr>
    </w:div>
    <w:div w:id="850991934">
      <w:bodyDiv w:val="1"/>
      <w:marLeft w:val="0"/>
      <w:marRight w:val="0"/>
      <w:marTop w:val="0"/>
      <w:marBottom w:val="0"/>
      <w:divBdr>
        <w:top w:val="none" w:sz="0" w:space="0" w:color="auto"/>
        <w:left w:val="none" w:sz="0" w:space="0" w:color="auto"/>
        <w:bottom w:val="none" w:sz="0" w:space="0" w:color="auto"/>
        <w:right w:val="none" w:sz="0" w:space="0" w:color="auto"/>
      </w:divBdr>
    </w:div>
    <w:div w:id="864174062">
      <w:bodyDiv w:val="1"/>
      <w:marLeft w:val="0"/>
      <w:marRight w:val="0"/>
      <w:marTop w:val="0"/>
      <w:marBottom w:val="0"/>
      <w:divBdr>
        <w:top w:val="none" w:sz="0" w:space="0" w:color="auto"/>
        <w:left w:val="none" w:sz="0" w:space="0" w:color="auto"/>
        <w:bottom w:val="none" w:sz="0" w:space="0" w:color="auto"/>
        <w:right w:val="none" w:sz="0" w:space="0" w:color="auto"/>
      </w:divBdr>
    </w:div>
    <w:div w:id="879246872">
      <w:bodyDiv w:val="1"/>
      <w:marLeft w:val="0"/>
      <w:marRight w:val="0"/>
      <w:marTop w:val="0"/>
      <w:marBottom w:val="0"/>
      <w:divBdr>
        <w:top w:val="none" w:sz="0" w:space="0" w:color="auto"/>
        <w:left w:val="none" w:sz="0" w:space="0" w:color="auto"/>
        <w:bottom w:val="none" w:sz="0" w:space="0" w:color="auto"/>
        <w:right w:val="none" w:sz="0" w:space="0" w:color="auto"/>
      </w:divBdr>
    </w:div>
    <w:div w:id="929699181">
      <w:bodyDiv w:val="1"/>
      <w:marLeft w:val="0"/>
      <w:marRight w:val="0"/>
      <w:marTop w:val="0"/>
      <w:marBottom w:val="0"/>
      <w:divBdr>
        <w:top w:val="none" w:sz="0" w:space="0" w:color="auto"/>
        <w:left w:val="none" w:sz="0" w:space="0" w:color="auto"/>
        <w:bottom w:val="none" w:sz="0" w:space="0" w:color="auto"/>
        <w:right w:val="none" w:sz="0" w:space="0" w:color="auto"/>
      </w:divBdr>
    </w:div>
    <w:div w:id="965044026">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684015387">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 w:id="21252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cyberessentials/overview" TargetMode="External"/><Relationship Id="rId18" Type="http://schemas.openxmlformats.org/officeDocument/2006/relationships/hyperlink" Target="https://www.nice.org.uk/guidance/ng209"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ncsct.co.uk/publication_service_and_delivery_guidance_2014.php"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t.co.uk/usr/pub/Stop%20smoking%20services%20effectivenes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h.org.uk/media-and-news/press-releases-media-and-news/smoking-costs-society-17bn-5bn-more-than-previously-estimated/" TargetMode="External"/><Relationship Id="rId20" Type="http://schemas.openxmlformats.org/officeDocument/2006/relationships/hyperlink" Target="https://www.ncsct.co.uk/publication_service_and_delivery_guidance_2014.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t.co.uk/publication_service_and_delivery_guidance_2014.ph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ingertips.phe.org.uk/profile/tobacco-control/dat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csct.co.uk/usr/pub/NCSCT_training_standar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15778/May-2018_Government-Security-Classifications-2.pdf"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543e32-2670-4792-a823-ef6c9cad50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2.xml><?xml version="1.0" encoding="utf-8"?>
<ds:datastoreItem xmlns:ds="http://schemas.openxmlformats.org/officeDocument/2006/customXml" ds:itemID="{DC253271-5611-4D6B-9F47-2806BF47E979}">
  <ds:schemaRefs>
    <ds:schemaRef ds:uri="http://schemas.microsoft.com/office/2006/metadata/properties"/>
    <ds:schemaRef ds:uri="http://schemas.microsoft.com/office/infopath/2007/PartnerControls"/>
    <ds:schemaRef ds:uri="d7543e32-2670-4792-a823-ef6c9cad508d"/>
  </ds:schemaRefs>
</ds:datastoreItem>
</file>

<file path=customXml/itemProps3.xml><?xml version="1.0" encoding="utf-8"?>
<ds:datastoreItem xmlns:ds="http://schemas.openxmlformats.org/officeDocument/2006/customXml" ds:itemID="{F23B095D-CAD7-425F-BFA5-9CFFBAE46EFE}">
  <ds:schemaRefs>
    <ds:schemaRef ds:uri="http://schemas.openxmlformats.org/officeDocument/2006/bibliography"/>
  </ds:schemaRefs>
</ds:datastoreItem>
</file>

<file path=customXml/itemProps4.xml><?xml version="1.0" encoding="utf-8"?>
<ds:datastoreItem xmlns:ds="http://schemas.openxmlformats.org/officeDocument/2006/customXml" ds:itemID="{27738A34-1B5E-49D3-B130-86D8F8B80C03}"/>
</file>

<file path=docProps/app.xml><?xml version="1.0" encoding="utf-8"?>
<Properties xmlns="http://schemas.openxmlformats.org/officeDocument/2006/extended-properties" xmlns:vt="http://schemas.openxmlformats.org/officeDocument/2006/docPropsVTypes">
  <Template>Normal.dotm</Template>
  <TotalTime>27</TotalTime>
  <Pages>13</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Bywater, Paul</dc:creator>
  <cp:lastModifiedBy>Murphy, Michael</cp:lastModifiedBy>
  <cp:revision>12</cp:revision>
  <cp:lastPrinted>2012-06-08T12:47:00Z</cp:lastPrinted>
  <dcterms:created xsi:type="dcterms:W3CDTF">2022-11-03T19:15:00Z</dcterms:created>
  <dcterms:modified xsi:type="dcterms:W3CDTF">2022-11-04T11:31:00Z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_dlc_DocIdItemGuid">
    <vt:lpwstr>b9338eec-cc48-423f-805f-a35c9dafe990</vt:lpwstr>
  </property>
  <property fmtid="{D5CDD505-2E9C-101B-9397-08002B2CF9AE}" pid="4" name="MediaServiceImageTags">
    <vt:lpwstr/>
  </property>
  <property fmtid="{D5CDD505-2E9C-101B-9397-08002B2CF9AE}" pid="5" name="TaxCatchAll">
    <vt:lpwstr/>
  </property>
</Properties>
</file>