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23BF9" w14:textId="77777777" w:rsidR="0006355D" w:rsidRDefault="0006355D" w:rsidP="000C1FAC">
      <w:pPr>
        <w:jc w:val="center"/>
      </w:pPr>
      <w:bookmarkStart w:id="0" w:name="_Toc343591381"/>
      <w:bookmarkStart w:id="1" w:name="_GoBack"/>
      <w:bookmarkEnd w:id="1"/>
      <w:r w:rsidRPr="00EF5820">
        <w:rPr>
          <w:noProof/>
          <w:lang w:val="en-GB" w:eastAsia="en-GB"/>
        </w:rPr>
        <w:drawing>
          <wp:anchor distT="0" distB="0" distL="114300" distR="114300" simplePos="0" relativeHeight="251659264" behindDoc="0" locked="0" layoutInCell="1" allowOverlap="1" wp14:anchorId="328674C4" wp14:editId="6B3A5BD7">
            <wp:simplePos x="0" y="0"/>
            <wp:positionH relativeFrom="page">
              <wp:posOffset>4622272</wp:posOffset>
            </wp:positionH>
            <wp:positionV relativeFrom="topMargin">
              <wp:posOffset>297060</wp:posOffset>
            </wp:positionV>
            <wp:extent cx="2636344" cy="681487"/>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344" cy="6814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3793B" w14:textId="77777777" w:rsidR="0006355D" w:rsidRDefault="0006355D" w:rsidP="0006355D">
      <w:pPr>
        <w:pStyle w:val="Heading1"/>
        <w:numPr>
          <w:ilvl w:val="0"/>
          <w:numId w:val="0"/>
        </w:numPr>
        <w:ind w:left="432" w:hanging="432"/>
      </w:pPr>
    </w:p>
    <w:p w14:paraId="1D1E81A3" w14:textId="77777777" w:rsidR="000C1FAC" w:rsidRPr="0006355D" w:rsidRDefault="000C1FAC" w:rsidP="0006355D">
      <w:pPr>
        <w:jc w:val="center"/>
        <w:rPr>
          <w:b/>
        </w:rPr>
      </w:pPr>
      <w:r w:rsidRPr="0006355D">
        <w:rPr>
          <w:b/>
        </w:rPr>
        <w:t>SCHEDULE 2 – THE SERVICES</w:t>
      </w:r>
      <w:bookmarkEnd w:id="0"/>
    </w:p>
    <w:p w14:paraId="365FFC58" w14:textId="77777777" w:rsidR="000C1FAC" w:rsidRPr="006E67E3" w:rsidRDefault="000C1FAC" w:rsidP="000C1FAC">
      <w:pPr>
        <w:spacing w:after="0"/>
        <w:jc w:val="center"/>
        <w:rPr>
          <w:rFonts w:cs="Arial"/>
          <w:b/>
        </w:rPr>
      </w:pPr>
    </w:p>
    <w:p w14:paraId="1B609A4E" w14:textId="77777777" w:rsidR="000C1FAC" w:rsidRPr="0006355D" w:rsidRDefault="0006355D" w:rsidP="0006355D">
      <w:pPr>
        <w:jc w:val="center"/>
        <w:rPr>
          <w:b/>
        </w:rPr>
      </w:pPr>
      <w:bookmarkStart w:id="2" w:name="_Toc343591382"/>
      <w:r w:rsidRPr="0006355D">
        <w:rPr>
          <w:b/>
        </w:rPr>
        <w:t xml:space="preserve">A.  </w:t>
      </w:r>
      <w:r w:rsidR="000C1FAC" w:rsidRPr="0006355D">
        <w:rPr>
          <w:b/>
        </w:rPr>
        <w:t>Service Specifications</w:t>
      </w:r>
      <w:bookmarkEnd w:id="2"/>
    </w:p>
    <w:p w14:paraId="640C701C" w14:textId="77777777" w:rsidR="000C1FAC" w:rsidRDefault="000C1FAC" w:rsidP="000C1FAC">
      <w:pPr>
        <w:shd w:val="clear" w:color="auto" w:fill="FFFFFF" w:themeFill="background1"/>
        <w:spacing w:after="0"/>
        <w:jc w:val="both"/>
        <w:rPr>
          <w:rFonts w:cs="Arial"/>
          <w:sz w:val="20"/>
        </w:rPr>
      </w:pPr>
    </w:p>
    <w:p w14:paraId="4C35D0D7" w14:textId="77777777" w:rsidR="000C1FAC" w:rsidRDefault="003C5D91" w:rsidP="000C1FAC">
      <w:pPr>
        <w:spacing w:after="0"/>
        <w:jc w:val="both"/>
        <w:rPr>
          <w:i/>
        </w:rPr>
      </w:pPr>
      <w:r>
        <w:rPr>
          <w:rFonts w:cs="Arial"/>
          <w:noProof/>
          <w:sz w:val="20"/>
          <w:lang w:val="en-GB" w:eastAsia="en-GB"/>
        </w:rPr>
        <mc:AlternateContent>
          <mc:Choice Requires="wps">
            <w:drawing>
              <wp:anchor distT="0" distB="0" distL="114300" distR="114300" simplePos="0" relativeHeight="251660288" behindDoc="0" locked="0" layoutInCell="1" allowOverlap="1" wp14:anchorId="38E242BD" wp14:editId="5B271B69">
                <wp:simplePos x="0" y="0"/>
                <wp:positionH relativeFrom="margin">
                  <wp:align>center</wp:align>
                </wp:positionH>
                <wp:positionV relativeFrom="paragraph">
                  <wp:posOffset>158750</wp:posOffset>
                </wp:positionV>
                <wp:extent cx="6496050" cy="86677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6496050" cy="866775"/>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44F29" w14:textId="77777777" w:rsidR="00462760" w:rsidRPr="00462760" w:rsidRDefault="00462760" w:rsidP="00462760">
                            <w:pPr>
                              <w:spacing w:after="0"/>
                              <w:jc w:val="center"/>
                              <w:rPr>
                                <w:color w:val="FF0000"/>
                                <w:sz w:val="48"/>
                              </w:rPr>
                            </w:pPr>
                            <w:r w:rsidRPr="00462760">
                              <w:rPr>
                                <w:color w:val="FF0000"/>
                                <w:sz w:val="48"/>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42BD" id="Rectangle 2" o:spid="_x0000_s1026" style="position:absolute;left:0;text-align:left;margin-left:0;margin-top:12.5pt;width:511.5pt;height:68.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" filled="f" strokecolor="red" strokeweight="2.5pt">
                <v:textbox>
                  <w:txbxContent>
                    <w:p w14:paraId="0D844F29" w14:textId="77777777" w:rsidR="00462760" w:rsidRPr="00462760" w:rsidRDefault="00462760" w:rsidP="00462760">
                      <w:pPr>
                        <w:spacing w:after="0"/>
                        <w:jc w:val="center"/>
                        <w:rPr>
                          <w:color w:val="FF0000"/>
                          <w:sz w:val="48"/>
                        </w:rPr>
                      </w:pPr>
                      <w:r w:rsidRPr="00462760">
                        <w:rPr>
                          <w:color w:val="FF0000"/>
                          <w:sz w:val="48"/>
                        </w:rPr>
                        <w:t>DRAFT</w:t>
                      </w:r>
                    </w:p>
                  </w:txbxContent>
                </v:textbox>
                <w10:wrap anchorx="margin"/>
              </v:rect>
            </w:pict>
          </mc:Fallback>
        </mc:AlternateContent>
      </w:r>
    </w:p>
    <w:p w14:paraId="4799ACCF" w14:textId="77777777" w:rsidR="003C5D91" w:rsidRDefault="003C5D91" w:rsidP="000C1FAC">
      <w:pPr>
        <w:spacing w:after="0"/>
        <w:jc w:val="both"/>
        <w:rPr>
          <w:i/>
        </w:rPr>
      </w:pPr>
    </w:p>
    <w:p w14:paraId="6D875FD5" w14:textId="77777777" w:rsidR="003C5D91" w:rsidRDefault="003C5D91" w:rsidP="000C1FAC">
      <w:pPr>
        <w:spacing w:after="0"/>
        <w:jc w:val="both"/>
        <w:rPr>
          <w:i/>
        </w:rPr>
      </w:pPr>
    </w:p>
    <w:p w14:paraId="7D745806" w14:textId="77777777" w:rsidR="003C5D91" w:rsidRDefault="003C5D91" w:rsidP="000C1FAC">
      <w:pPr>
        <w:spacing w:after="0"/>
        <w:jc w:val="both"/>
        <w:rPr>
          <w:i/>
        </w:rPr>
      </w:pPr>
    </w:p>
    <w:p w14:paraId="7361E2E0" w14:textId="77777777" w:rsidR="003C5D91" w:rsidRDefault="003C5D91" w:rsidP="000C1FAC">
      <w:pPr>
        <w:spacing w:after="0"/>
        <w:jc w:val="both"/>
        <w:rPr>
          <w:i/>
        </w:rPr>
      </w:pPr>
    </w:p>
    <w:p w14:paraId="0D499F98" w14:textId="77777777" w:rsidR="003C5D91" w:rsidRDefault="003C5D91" w:rsidP="000C1FAC">
      <w:pPr>
        <w:spacing w:after="0"/>
        <w:jc w:val="both"/>
        <w:rPr>
          <w:i/>
        </w:rPr>
      </w:pPr>
    </w:p>
    <w:p w14:paraId="5C7C3334" w14:textId="77777777" w:rsidR="003C5D91" w:rsidRDefault="003C5D91" w:rsidP="000C1FAC">
      <w:pPr>
        <w:spacing w:after="0"/>
        <w:jc w:val="both"/>
        <w:rPr>
          <w:rFonts w:cs="Arial"/>
          <w:sz w:val="20"/>
        </w:rPr>
      </w:pPr>
    </w:p>
    <w:p w14:paraId="23C53972" w14:textId="77777777" w:rsidR="000C1FAC" w:rsidRDefault="000C1FAC" w:rsidP="000C1FAC">
      <w:pPr>
        <w:spacing w:after="0"/>
        <w:jc w:val="both"/>
        <w:rPr>
          <w:rFonts w:cs="Arial"/>
          <w:sz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7"/>
      </w:tblGrid>
      <w:tr w:rsidR="0006355D" w:rsidRPr="0006355D" w14:paraId="3DDF835C" w14:textId="77777777" w:rsidTr="00400EBA">
        <w:trPr>
          <w:trHeight w:val="606"/>
          <w:jc w:val="center"/>
        </w:trPr>
        <w:tc>
          <w:tcPr>
            <w:tcW w:w="3114" w:type="dxa"/>
            <w:shd w:val="clear" w:color="auto" w:fill="BDD6EE" w:themeFill="accent1" w:themeFillTint="66"/>
          </w:tcPr>
          <w:p w14:paraId="60397EF0" w14:textId="77777777" w:rsidR="000C1FAC" w:rsidRPr="00574A66" w:rsidRDefault="000C1FAC" w:rsidP="00574A66">
            <w:pPr>
              <w:rPr>
                <w:b/>
              </w:rPr>
            </w:pPr>
            <w:r w:rsidRPr="00574A66">
              <w:rPr>
                <w:b/>
              </w:rPr>
              <w:t>Service Specification No.</w:t>
            </w:r>
          </w:p>
        </w:tc>
        <w:tc>
          <w:tcPr>
            <w:tcW w:w="7087" w:type="dxa"/>
            <w:shd w:val="clear" w:color="auto" w:fill="auto"/>
          </w:tcPr>
          <w:p w14:paraId="18C7A3B1" w14:textId="506979BC" w:rsidR="000C1FAC" w:rsidRPr="00574A66" w:rsidRDefault="00400EBA" w:rsidP="00574A66">
            <w:r>
              <w:t>---</w:t>
            </w:r>
          </w:p>
        </w:tc>
      </w:tr>
      <w:tr w:rsidR="0006355D" w:rsidRPr="00574A66" w14:paraId="159899C7" w14:textId="77777777" w:rsidTr="00400EBA">
        <w:trPr>
          <w:trHeight w:val="558"/>
          <w:jc w:val="center"/>
        </w:trPr>
        <w:tc>
          <w:tcPr>
            <w:tcW w:w="3114" w:type="dxa"/>
            <w:shd w:val="clear" w:color="auto" w:fill="BDD6EE" w:themeFill="accent1" w:themeFillTint="66"/>
          </w:tcPr>
          <w:p w14:paraId="42BF33E4" w14:textId="77777777" w:rsidR="000C1FAC" w:rsidRPr="00574A66" w:rsidRDefault="000C1FAC" w:rsidP="00574A66">
            <w:pPr>
              <w:rPr>
                <w:b/>
              </w:rPr>
            </w:pPr>
            <w:r w:rsidRPr="00574A66">
              <w:rPr>
                <w:b/>
              </w:rPr>
              <w:t>Service</w:t>
            </w:r>
          </w:p>
        </w:tc>
        <w:tc>
          <w:tcPr>
            <w:tcW w:w="7087" w:type="dxa"/>
            <w:shd w:val="clear" w:color="auto" w:fill="auto"/>
          </w:tcPr>
          <w:p w14:paraId="3C369901" w14:textId="77777777" w:rsidR="000C1FAC" w:rsidRPr="00574A66" w:rsidRDefault="000C1FAC" w:rsidP="00574A66">
            <w:pPr>
              <w:rPr>
                <w:b/>
              </w:rPr>
            </w:pPr>
            <w:r w:rsidRPr="00574A66">
              <w:rPr>
                <w:b/>
              </w:rPr>
              <w:t>Health Inequalities Hub</w:t>
            </w:r>
          </w:p>
        </w:tc>
      </w:tr>
      <w:tr w:rsidR="0006355D" w:rsidRPr="0006355D" w14:paraId="29C3E1FC" w14:textId="77777777" w:rsidTr="00400EBA">
        <w:trPr>
          <w:trHeight w:val="621"/>
          <w:jc w:val="center"/>
        </w:trPr>
        <w:tc>
          <w:tcPr>
            <w:tcW w:w="3114" w:type="dxa"/>
            <w:shd w:val="clear" w:color="auto" w:fill="BDD6EE" w:themeFill="accent1" w:themeFillTint="66"/>
          </w:tcPr>
          <w:p w14:paraId="1A5015AD" w14:textId="77777777" w:rsidR="000C1FAC" w:rsidRPr="00574A66" w:rsidRDefault="000C1FAC" w:rsidP="00574A66">
            <w:pPr>
              <w:rPr>
                <w:b/>
              </w:rPr>
            </w:pPr>
            <w:r w:rsidRPr="00574A66">
              <w:rPr>
                <w:b/>
              </w:rPr>
              <w:t>Commissioner Lead</w:t>
            </w:r>
          </w:p>
        </w:tc>
        <w:tc>
          <w:tcPr>
            <w:tcW w:w="7087" w:type="dxa"/>
            <w:shd w:val="clear" w:color="auto" w:fill="auto"/>
          </w:tcPr>
          <w:p w14:paraId="0D5C5209" w14:textId="77777777" w:rsidR="000C1FAC" w:rsidRPr="00574A66" w:rsidRDefault="000C1FAC" w:rsidP="00574A66">
            <w:r w:rsidRPr="00574A66">
              <w:t>Camden Clinical Commissioning Group</w:t>
            </w:r>
          </w:p>
        </w:tc>
      </w:tr>
      <w:tr w:rsidR="0006355D" w:rsidRPr="0006355D" w14:paraId="08E9A3C0" w14:textId="77777777" w:rsidTr="00400EBA">
        <w:trPr>
          <w:trHeight w:val="570"/>
          <w:jc w:val="center"/>
        </w:trPr>
        <w:tc>
          <w:tcPr>
            <w:tcW w:w="3114" w:type="dxa"/>
            <w:shd w:val="clear" w:color="auto" w:fill="BDD6EE" w:themeFill="accent1" w:themeFillTint="66"/>
          </w:tcPr>
          <w:p w14:paraId="5AC15BA9" w14:textId="77777777" w:rsidR="000C1FAC" w:rsidRPr="00574A66" w:rsidRDefault="000C1FAC" w:rsidP="00574A66">
            <w:pPr>
              <w:rPr>
                <w:b/>
              </w:rPr>
            </w:pPr>
            <w:r w:rsidRPr="00574A66">
              <w:rPr>
                <w:b/>
              </w:rPr>
              <w:t>Provider Lead</w:t>
            </w:r>
          </w:p>
        </w:tc>
        <w:tc>
          <w:tcPr>
            <w:tcW w:w="7087" w:type="dxa"/>
            <w:shd w:val="clear" w:color="auto" w:fill="auto"/>
          </w:tcPr>
          <w:p w14:paraId="46E63770" w14:textId="79700A31" w:rsidR="000C1FAC" w:rsidRPr="00574A66" w:rsidRDefault="00400EBA" w:rsidP="00574A66">
            <w:r>
              <w:t>---</w:t>
            </w:r>
          </w:p>
        </w:tc>
      </w:tr>
      <w:tr w:rsidR="0006355D" w:rsidRPr="0006355D" w14:paraId="41D1C811" w14:textId="77777777" w:rsidTr="00400EBA">
        <w:trPr>
          <w:trHeight w:val="634"/>
          <w:jc w:val="center"/>
        </w:trPr>
        <w:tc>
          <w:tcPr>
            <w:tcW w:w="3114" w:type="dxa"/>
            <w:shd w:val="clear" w:color="auto" w:fill="BDD6EE" w:themeFill="accent1" w:themeFillTint="66"/>
          </w:tcPr>
          <w:p w14:paraId="063BAAFC" w14:textId="77777777" w:rsidR="000C1FAC" w:rsidRPr="00574A66" w:rsidRDefault="000C1FAC" w:rsidP="00574A66">
            <w:pPr>
              <w:rPr>
                <w:b/>
              </w:rPr>
            </w:pPr>
            <w:r w:rsidRPr="00574A66">
              <w:rPr>
                <w:b/>
              </w:rPr>
              <w:t>Period</w:t>
            </w:r>
          </w:p>
        </w:tc>
        <w:tc>
          <w:tcPr>
            <w:tcW w:w="7087" w:type="dxa"/>
            <w:shd w:val="clear" w:color="auto" w:fill="auto"/>
          </w:tcPr>
          <w:p w14:paraId="3A1B3BCC" w14:textId="77777777" w:rsidR="000C1FAC" w:rsidRPr="00574A66" w:rsidRDefault="00574A66" w:rsidP="00574A66">
            <w:r w:rsidRPr="00574A66">
              <w:t>1 April 2017 to 31 March 2019</w:t>
            </w:r>
          </w:p>
        </w:tc>
      </w:tr>
      <w:tr w:rsidR="0006355D" w:rsidRPr="0006355D" w14:paraId="2D7E6740" w14:textId="77777777" w:rsidTr="00400EBA">
        <w:trPr>
          <w:trHeight w:val="584"/>
          <w:jc w:val="center"/>
        </w:trPr>
        <w:tc>
          <w:tcPr>
            <w:tcW w:w="3114" w:type="dxa"/>
            <w:shd w:val="clear" w:color="auto" w:fill="BDD6EE" w:themeFill="accent1" w:themeFillTint="66"/>
          </w:tcPr>
          <w:p w14:paraId="27F50E8B" w14:textId="77777777" w:rsidR="000C1FAC" w:rsidRPr="00574A66" w:rsidRDefault="000C1FAC" w:rsidP="00574A66">
            <w:pPr>
              <w:rPr>
                <w:b/>
              </w:rPr>
            </w:pPr>
            <w:r w:rsidRPr="00574A66">
              <w:rPr>
                <w:b/>
              </w:rPr>
              <w:t>Date of Review</w:t>
            </w:r>
          </w:p>
        </w:tc>
        <w:tc>
          <w:tcPr>
            <w:tcW w:w="7087" w:type="dxa"/>
            <w:shd w:val="clear" w:color="auto" w:fill="auto"/>
          </w:tcPr>
          <w:p w14:paraId="7F3BA037" w14:textId="77777777" w:rsidR="000C1FAC" w:rsidRPr="00574A66" w:rsidRDefault="00574A66" w:rsidP="00574A66">
            <w:r w:rsidRPr="00574A66">
              <w:t>1 April 2018</w:t>
            </w:r>
          </w:p>
        </w:tc>
      </w:tr>
      <w:tr w:rsidR="00400EBA" w:rsidRPr="0006355D" w14:paraId="119455F6" w14:textId="77777777" w:rsidTr="00574A66">
        <w:trPr>
          <w:jc w:val="center"/>
        </w:trPr>
        <w:tc>
          <w:tcPr>
            <w:tcW w:w="3114" w:type="dxa"/>
            <w:shd w:val="clear" w:color="auto" w:fill="BDD6EE" w:themeFill="accent1" w:themeFillTint="66"/>
          </w:tcPr>
          <w:p w14:paraId="50B573B6" w14:textId="02B26A94" w:rsidR="00400EBA" w:rsidRPr="00574A66" w:rsidRDefault="00400EBA" w:rsidP="00574A66">
            <w:pPr>
              <w:rPr>
                <w:b/>
              </w:rPr>
            </w:pPr>
            <w:r>
              <w:rPr>
                <w:b/>
              </w:rPr>
              <w:t>Author(s)</w:t>
            </w:r>
          </w:p>
        </w:tc>
        <w:tc>
          <w:tcPr>
            <w:tcW w:w="7087" w:type="dxa"/>
            <w:shd w:val="clear" w:color="auto" w:fill="auto"/>
          </w:tcPr>
          <w:p w14:paraId="5C24F9E9" w14:textId="199D9BC1" w:rsidR="00400EBA" w:rsidRPr="00574A66" w:rsidRDefault="00400EBA" w:rsidP="00400EBA">
            <w:r>
              <w:t>Matthew Black (</w:t>
            </w:r>
            <w:r w:rsidRPr="00400EBA">
              <w:t>matthew.black@camdenccg.nhs.uk</w:t>
            </w:r>
            <w:r>
              <w:t>) and</w:t>
            </w:r>
            <w:r>
              <w:br/>
              <w:t>Martin Emery (martin.emery@camdenccg.nhs.uk)</w:t>
            </w:r>
          </w:p>
        </w:tc>
      </w:tr>
    </w:tbl>
    <w:p w14:paraId="654BD318" w14:textId="11764814" w:rsidR="00574A66" w:rsidRDefault="00574A66" w:rsidP="000C1FAC">
      <w:pPr>
        <w:spacing w:after="0"/>
        <w:jc w:val="center"/>
        <w:rPr>
          <w:rFonts w:cs="Arial"/>
          <w:sz w:val="20"/>
        </w:rPr>
        <w:sectPr w:rsidR="00574A66" w:rsidSect="00673BC0">
          <w:pgSz w:w="11906" w:h="16838" w:code="9"/>
          <w:pgMar w:top="1440" w:right="1440" w:bottom="1440" w:left="1440" w:header="709" w:footer="709" w:gutter="0"/>
          <w:cols w:space="708"/>
          <w:titlePg/>
          <w:docGrid w:linePitch="360"/>
        </w:sectPr>
      </w:pPr>
    </w:p>
    <w:p w14:paraId="28EE3F8C" w14:textId="77777777" w:rsidR="00574A66" w:rsidRPr="00B5552C" w:rsidRDefault="00574A66" w:rsidP="00D45AD0">
      <w:pPr>
        <w:pStyle w:val="Heading1"/>
      </w:pPr>
      <w:r w:rsidRPr="00D45AD0">
        <w:lastRenderedPageBreak/>
        <w:t>Population</w:t>
      </w:r>
      <w:r w:rsidRPr="00B5552C">
        <w:t xml:space="preserve"> Needs</w:t>
      </w:r>
    </w:p>
    <w:p w14:paraId="5708B30D" w14:textId="77777777" w:rsidR="00574A66" w:rsidRDefault="00574A66" w:rsidP="006871BA">
      <w:pPr>
        <w:pStyle w:val="Heading2"/>
      </w:pPr>
      <w:r w:rsidRPr="00F47C01">
        <w:t>National/local context and evidence base</w:t>
      </w:r>
    </w:p>
    <w:p w14:paraId="03C9E7B9" w14:textId="77777777" w:rsidR="00574A66" w:rsidRDefault="00574A66" w:rsidP="006871BA">
      <w:pPr>
        <w:keepNext/>
        <w:keepLines/>
      </w:pPr>
      <w:r>
        <w:t xml:space="preserve">Camden Clinical Commissioning Group’s (CCG) vision is to </w:t>
      </w:r>
      <w:r w:rsidRPr="00574A66">
        <w:rPr>
          <w:b/>
        </w:rPr>
        <w:t>work with the people of Camden to achieve the best health for all</w:t>
      </w:r>
      <w:r>
        <w:t>.  In accordance with that vision, this service specification has been developed with involvement from the Camden public and patients, as well as with clinical expertise, and local provider networks.</w:t>
      </w:r>
    </w:p>
    <w:p w14:paraId="73CB4A31" w14:textId="77777777" w:rsidR="00574A66" w:rsidRDefault="00574A66" w:rsidP="006871BA">
      <w:pPr>
        <w:keepNext/>
        <w:keepLines/>
      </w:pPr>
      <w:r>
        <w:t>The CCG’s objectives are to:</w:t>
      </w:r>
    </w:p>
    <w:p w14:paraId="58EA3D86" w14:textId="77777777" w:rsidR="00574A66" w:rsidRPr="006871BA" w:rsidRDefault="00574A66" w:rsidP="00D45AD0">
      <w:pPr>
        <w:spacing w:after="0"/>
        <w:ind w:hanging="567"/>
      </w:pPr>
      <w:r>
        <w:t xml:space="preserve">(A) </w:t>
      </w:r>
      <w:r>
        <w:tab/>
      </w:r>
      <w:r w:rsidRPr="006871BA">
        <w:t>Commission the delivery of NHS constitutional rights and pledges</w:t>
      </w:r>
    </w:p>
    <w:p w14:paraId="2D47241C" w14:textId="77777777" w:rsidR="00574A66" w:rsidRPr="006871BA" w:rsidRDefault="00574A66" w:rsidP="00D45AD0">
      <w:pPr>
        <w:spacing w:after="0"/>
        <w:ind w:hanging="567"/>
      </w:pPr>
      <w:r>
        <w:t>(</w:t>
      </w:r>
      <w:r w:rsidRPr="006871BA">
        <w:t>B</w:t>
      </w:r>
      <w:r>
        <w:t>)</w:t>
      </w:r>
      <w:r w:rsidRPr="006871BA">
        <w:t xml:space="preserve"> </w:t>
      </w:r>
      <w:r>
        <w:tab/>
      </w:r>
      <w:r w:rsidRPr="006871BA">
        <w:t>Improve the quality and safety of commissioned services</w:t>
      </w:r>
    </w:p>
    <w:p w14:paraId="1D410544" w14:textId="77777777" w:rsidR="00574A66" w:rsidRPr="006871BA" w:rsidRDefault="00574A66" w:rsidP="00D45AD0">
      <w:pPr>
        <w:spacing w:after="0"/>
        <w:ind w:hanging="567"/>
      </w:pPr>
      <w:r>
        <w:t>(</w:t>
      </w:r>
      <w:r w:rsidRPr="006871BA">
        <w:t>C</w:t>
      </w:r>
      <w:r>
        <w:t>)</w:t>
      </w:r>
      <w:r w:rsidRPr="006871BA">
        <w:t xml:space="preserve"> </w:t>
      </w:r>
      <w:r>
        <w:tab/>
      </w:r>
      <w:r w:rsidRPr="006871BA">
        <w:t>Improve health outcomes, address inequalities and achieve parity of esteem</w:t>
      </w:r>
    </w:p>
    <w:p w14:paraId="6273B2EE" w14:textId="77777777" w:rsidR="00574A66" w:rsidRPr="006871BA" w:rsidRDefault="00574A66" w:rsidP="00D45AD0">
      <w:pPr>
        <w:spacing w:after="0"/>
        <w:ind w:hanging="567"/>
      </w:pPr>
      <w:r>
        <w:t>(</w:t>
      </w:r>
      <w:r w:rsidRPr="006871BA">
        <w:t>D</w:t>
      </w:r>
      <w:r>
        <w:t>)</w:t>
      </w:r>
      <w:r w:rsidRPr="006871BA">
        <w:t xml:space="preserve"> </w:t>
      </w:r>
      <w:r>
        <w:tab/>
      </w:r>
      <w:r w:rsidRPr="006871BA">
        <w:t>Integrated and enable local services to deliver the right care in the right setting at the right time</w:t>
      </w:r>
    </w:p>
    <w:p w14:paraId="0BA43B44" w14:textId="77777777" w:rsidR="00574A66" w:rsidRPr="006871BA" w:rsidRDefault="00574A66" w:rsidP="00D45AD0">
      <w:pPr>
        <w:spacing w:after="0"/>
        <w:ind w:hanging="567"/>
      </w:pPr>
      <w:r>
        <w:t>(</w:t>
      </w:r>
      <w:r w:rsidRPr="006871BA">
        <w:t>E</w:t>
      </w:r>
      <w:r>
        <w:t>)</w:t>
      </w:r>
      <w:r w:rsidRPr="006871BA">
        <w:t xml:space="preserve"> </w:t>
      </w:r>
      <w:r>
        <w:tab/>
      </w:r>
      <w:r w:rsidRPr="006871BA">
        <w:t>Work jointly with the people and patients of Camden to shape the services we commission</w:t>
      </w:r>
    </w:p>
    <w:p w14:paraId="36825B46" w14:textId="77777777" w:rsidR="00574A66" w:rsidRPr="006871BA" w:rsidRDefault="00574A66" w:rsidP="00D45AD0">
      <w:pPr>
        <w:spacing w:after="0"/>
        <w:ind w:hanging="567"/>
      </w:pPr>
      <w:r>
        <w:t>(</w:t>
      </w:r>
      <w:r w:rsidRPr="006871BA">
        <w:t>F</w:t>
      </w:r>
      <w:r>
        <w:t>)</w:t>
      </w:r>
      <w:r w:rsidRPr="006871BA">
        <w:t xml:space="preserve"> </w:t>
      </w:r>
      <w:r>
        <w:tab/>
      </w:r>
      <w:r w:rsidRPr="006871BA">
        <w:t>Involve member practices and commissioning partners in key commissioning decisions</w:t>
      </w:r>
    </w:p>
    <w:p w14:paraId="41F44F6A" w14:textId="77777777" w:rsidR="00574A66" w:rsidRPr="006871BA" w:rsidRDefault="00574A66" w:rsidP="00D45AD0">
      <w:pPr>
        <w:spacing w:after="0"/>
        <w:ind w:hanging="567"/>
      </w:pPr>
      <w:r>
        <w:t>(</w:t>
      </w:r>
      <w:r w:rsidRPr="006871BA">
        <w:t>G</w:t>
      </w:r>
      <w:r>
        <w:t>)</w:t>
      </w:r>
      <w:r w:rsidRPr="006871BA">
        <w:t xml:space="preserve"> </w:t>
      </w:r>
      <w:r>
        <w:tab/>
      </w:r>
      <w:r w:rsidRPr="006871BA">
        <w:t>Maintain financial stability and ensure sustainability through robust planning and commissioning of value for money services</w:t>
      </w:r>
    </w:p>
    <w:p w14:paraId="54977E2F" w14:textId="77777777" w:rsidR="00574A66" w:rsidRDefault="00574A66" w:rsidP="00D45AD0">
      <w:pPr>
        <w:spacing w:after="0"/>
        <w:ind w:hanging="567"/>
      </w:pPr>
      <w:r>
        <w:t>(</w:t>
      </w:r>
      <w:r w:rsidRPr="006871BA">
        <w:t>H</w:t>
      </w:r>
      <w:r>
        <w:t>)</w:t>
      </w:r>
      <w:r w:rsidRPr="006871BA">
        <w:t xml:space="preserve"> </w:t>
      </w:r>
      <w:r>
        <w:tab/>
      </w:r>
      <w:r w:rsidRPr="006871BA">
        <w:t>Bu</w:t>
      </w:r>
      <w:r w:rsidRPr="004C7228">
        <w:t>ild a high performing organisation that attracts, develops and retains a skilled and motivated workforce</w:t>
      </w:r>
    </w:p>
    <w:p w14:paraId="52D0A166" w14:textId="77777777" w:rsidR="00574A66" w:rsidRDefault="00574A66" w:rsidP="006871BA">
      <w:pPr>
        <w:keepNext/>
        <w:keepLines/>
        <w:ind w:left="360"/>
      </w:pPr>
    </w:p>
    <w:p w14:paraId="28CC951B" w14:textId="77777777" w:rsidR="00574A66" w:rsidRDefault="00574A66" w:rsidP="006871BA">
      <w:pPr>
        <w:keepNext/>
        <w:keepLines/>
      </w:pPr>
      <w:r>
        <w:t xml:space="preserve">The </w:t>
      </w:r>
      <w:r w:rsidRPr="00574A66">
        <w:rPr>
          <w:b/>
        </w:rPr>
        <w:t>Health Inequalities Hub</w:t>
      </w:r>
      <w:r>
        <w:t xml:space="preserve"> will support Camden CCG in achievin</w:t>
      </w:r>
      <w:r w:rsidR="007F4296">
        <w:t>g objectives (A), (C) and (H)</w:t>
      </w:r>
      <w:r>
        <w:t>.</w:t>
      </w:r>
    </w:p>
    <w:p w14:paraId="4B80F87C" w14:textId="77777777" w:rsidR="00574A66" w:rsidRPr="004C7228" w:rsidRDefault="00574A66" w:rsidP="006871BA">
      <w:pPr>
        <w:keepNext/>
        <w:keepLines/>
      </w:pPr>
    </w:p>
    <w:p w14:paraId="2DC9986C" w14:textId="77777777" w:rsidR="00574A66" w:rsidRPr="00B5552C" w:rsidRDefault="00574A66" w:rsidP="0006355D">
      <w:pPr>
        <w:pStyle w:val="Heading1"/>
      </w:pPr>
      <w:r w:rsidRPr="00B5552C">
        <w:t>Outcomes</w:t>
      </w:r>
    </w:p>
    <w:p w14:paraId="29E925E0" w14:textId="77777777" w:rsidR="00574A66" w:rsidRPr="00BE4DF3" w:rsidRDefault="00574A66" w:rsidP="0006355D">
      <w:pPr>
        <w:pStyle w:val="Heading2"/>
      </w:pPr>
      <w:r w:rsidRPr="00BE4DF3">
        <w:t>NHS Outcomes Framework Domains &amp; Indicators</w:t>
      </w:r>
    </w:p>
    <w:p w14:paraId="705ED684" w14:textId="77777777" w:rsidR="00574A66" w:rsidRPr="00CC78CB" w:rsidRDefault="00574A66" w:rsidP="00CC78CB">
      <w:r w:rsidRPr="00CC78CB">
        <w:t>The Health Inequalities Hub will help Camden CCG to achieve the domains set out in the NHS Outcomes Framework.  Specifically covering:</w:t>
      </w:r>
      <w:r w:rsidR="007F4296">
        <w:br/>
      </w:r>
    </w:p>
    <w:tbl>
      <w:tblPr>
        <w:tblStyle w:val="TableGrid"/>
        <w:tblW w:w="0" w:type="auto"/>
        <w:tblInd w:w="738" w:type="dxa"/>
        <w:tblLook w:val="04A0" w:firstRow="1" w:lastRow="0" w:firstColumn="1" w:lastColumn="0" w:noHBand="0" w:noVBand="1"/>
      </w:tblPr>
      <w:tblGrid>
        <w:gridCol w:w="1276"/>
        <w:gridCol w:w="5528"/>
        <w:gridCol w:w="641"/>
      </w:tblGrid>
      <w:tr w:rsidR="00574A66" w:rsidRPr="00673BC0" w14:paraId="378D27CD" w14:textId="77777777" w:rsidTr="00B553C9">
        <w:tc>
          <w:tcPr>
            <w:tcW w:w="1276" w:type="dxa"/>
          </w:tcPr>
          <w:p w14:paraId="0158857C" w14:textId="77777777" w:rsidR="00574A66" w:rsidRPr="00673BC0" w:rsidRDefault="00574A66" w:rsidP="00B553C9">
            <w:pPr>
              <w:rPr>
                <w:sz w:val="20"/>
              </w:rPr>
            </w:pPr>
            <w:r w:rsidRPr="00673BC0">
              <w:rPr>
                <w:sz w:val="20"/>
              </w:rPr>
              <w:t>Domain 1</w:t>
            </w:r>
          </w:p>
        </w:tc>
        <w:tc>
          <w:tcPr>
            <w:tcW w:w="5528" w:type="dxa"/>
          </w:tcPr>
          <w:p w14:paraId="3C059F84" w14:textId="77777777" w:rsidR="00574A66" w:rsidRPr="00673BC0" w:rsidRDefault="00574A66" w:rsidP="00B553C9">
            <w:pPr>
              <w:rPr>
                <w:sz w:val="20"/>
              </w:rPr>
            </w:pPr>
            <w:r w:rsidRPr="00673BC0">
              <w:rPr>
                <w:sz w:val="20"/>
              </w:rPr>
              <w:t>Preventing people from dying prematurely</w:t>
            </w:r>
          </w:p>
        </w:tc>
        <w:tc>
          <w:tcPr>
            <w:tcW w:w="641" w:type="dxa"/>
          </w:tcPr>
          <w:p w14:paraId="3EC57102" w14:textId="77777777" w:rsidR="00574A66" w:rsidRPr="00673BC0" w:rsidRDefault="00574A66" w:rsidP="00B553C9">
            <w:pPr>
              <w:rPr>
                <w:sz w:val="20"/>
              </w:rPr>
            </w:pPr>
          </w:p>
        </w:tc>
      </w:tr>
      <w:tr w:rsidR="00574A66" w:rsidRPr="00673BC0" w14:paraId="0C56AA26" w14:textId="77777777" w:rsidTr="00B553C9">
        <w:tc>
          <w:tcPr>
            <w:tcW w:w="1276" w:type="dxa"/>
          </w:tcPr>
          <w:p w14:paraId="3D3CC7A7" w14:textId="77777777" w:rsidR="00574A66" w:rsidRPr="00673BC0" w:rsidRDefault="00574A66" w:rsidP="00B553C9">
            <w:pPr>
              <w:rPr>
                <w:sz w:val="20"/>
              </w:rPr>
            </w:pPr>
            <w:r w:rsidRPr="00673BC0">
              <w:rPr>
                <w:sz w:val="20"/>
              </w:rPr>
              <w:t>Domain 2</w:t>
            </w:r>
          </w:p>
        </w:tc>
        <w:tc>
          <w:tcPr>
            <w:tcW w:w="5528" w:type="dxa"/>
          </w:tcPr>
          <w:p w14:paraId="5FC425E3" w14:textId="77777777" w:rsidR="00574A66" w:rsidRPr="00673BC0" w:rsidRDefault="00574A66" w:rsidP="00B553C9">
            <w:pPr>
              <w:rPr>
                <w:sz w:val="20"/>
              </w:rPr>
            </w:pPr>
            <w:r w:rsidRPr="00673BC0">
              <w:rPr>
                <w:sz w:val="20"/>
              </w:rPr>
              <w:t>Enhancing quality of life for people with long-term conditions</w:t>
            </w:r>
          </w:p>
        </w:tc>
        <w:tc>
          <w:tcPr>
            <w:tcW w:w="641" w:type="dxa"/>
          </w:tcPr>
          <w:p w14:paraId="02EE559A" w14:textId="77777777" w:rsidR="00574A66" w:rsidRPr="00673BC0" w:rsidRDefault="00574A66" w:rsidP="00B553C9">
            <w:pPr>
              <w:rPr>
                <w:sz w:val="20"/>
              </w:rPr>
            </w:pPr>
            <w:r w:rsidRPr="00673BC0">
              <w:rPr>
                <w:sz w:val="20"/>
              </w:rPr>
              <w:sym w:font="Wingdings" w:char="F0FC"/>
            </w:r>
          </w:p>
        </w:tc>
      </w:tr>
      <w:tr w:rsidR="00574A66" w:rsidRPr="00673BC0" w14:paraId="3D749779" w14:textId="77777777" w:rsidTr="00B553C9">
        <w:tc>
          <w:tcPr>
            <w:tcW w:w="1276" w:type="dxa"/>
          </w:tcPr>
          <w:p w14:paraId="73CA25EE" w14:textId="77777777" w:rsidR="00574A66" w:rsidRPr="00673BC0" w:rsidRDefault="00574A66" w:rsidP="00B553C9">
            <w:pPr>
              <w:rPr>
                <w:sz w:val="20"/>
              </w:rPr>
            </w:pPr>
            <w:r w:rsidRPr="00673BC0">
              <w:rPr>
                <w:sz w:val="20"/>
              </w:rPr>
              <w:t>Domain 3</w:t>
            </w:r>
          </w:p>
        </w:tc>
        <w:tc>
          <w:tcPr>
            <w:tcW w:w="5528" w:type="dxa"/>
          </w:tcPr>
          <w:p w14:paraId="2D1E2027" w14:textId="77777777" w:rsidR="00574A66" w:rsidRPr="00673BC0" w:rsidRDefault="00574A66" w:rsidP="00B553C9">
            <w:pPr>
              <w:rPr>
                <w:sz w:val="20"/>
              </w:rPr>
            </w:pPr>
            <w:r w:rsidRPr="00673BC0">
              <w:rPr>
                <w:sz w:val="20"/>
              </w:rPr>
              <w:t>Helping people to recover from episodes of ill-health or following injury</w:t>
            </w:r>
          </w:p>
        </w:tc>
        <w:tc>
          <w:tcPr>
            <w:tcW w:w="641" w:type="dxa"/>
          </w:tcPr>
          <w:p w14:paraId="77C436BB" w14:textId="77777777" w:rsidR="00574A66" w:rsidRPr="00673BC0" w:rsidRDefault="00574A66" w:rsidP="00B553C9">
            <w:pPr>
              <w:rPr>
                <w:sz w:val="20"/>
              </w:rPr>
            </w:pPr>
            <w:r w:rsidRPr="00673BC0">
              <w:rPr>
                <w:sz w:val="20"/>
              </w:rPr>
              <w:sym w:font="Wingdings" w:char="F0FC"/>
            </w:r>
          </w:p>
        </w:tc>
      </w:tr>
      <w:tr w:rsidR="00574A66" w:rsidRPr="00673BC0" w14:paraId="3EE2D751" w14:textId="77777777" w:rsidTr="00B553C9">
        <w:tc>
          <w:tcPr>
            <w:tcW w:w="1276" w:type="dxa"/>
          </w:tcPr>
          <w:p w14:paraId="3CE3DA65" w14:textId="77777777" w:rsidR="00574A66" w:rsidRPr="00673BC0" w:rsidRDefault="00574A66" w:rsidP="00B553C9">
            <w:pPr>
              <w:rPr>
                <w:sz w:val="20"/>
              </w:rPr>
            </w:pPr>
            <w:r w:rsidRPr="00673BC0">
              <w:rPr>
                <w:sz w:val="20"/>
              </w:rPr>
              <w:t>Domain 4</w:t>
            </w:r>
          </w:p>
        </w:tc>
        <w:tc>
          <w:tcPr>
            <w:tcW w:w="5528" w:type="dxa"/>
          </w:tcPr>
          <w:p w14:paraId="0C3E1B94" w14:textId="77777777" w:rsidR="00574A66" w:rsidRPr="00673BC0" w:rsidRDefault="00574A66" w:rsidP="00B553C9">
            <w:pPr>
              <w:rPr>
                <w:sz w:val="20"/>
              </w:rPr>
            </w:pPr>
            <w:r w:rsidRPr="00673BC0">
              <w:rPr>
                <w:sz w:val="20"/>
              </w:rPr>
              <w:t>Ensuring people have a positive experience of care</w:t>
            </w:r>
          </w:p>
        </w:tc>
        <w:tc>
          <w:tcPr>
            <w:tcW w:w="641" w:type="dxa"/>
          </w:tcPr>
          <w:p w14:paraId="45B4A9CC" w14:textId="77777777" w:rsidR="00574A66" w:rsidRPr="00673BC0" w:rsidRDefault="00574A66" w:rsidP="00B553C9">
            <w:pPr>
              <w:rPr>
                <w:sz w:val="20"/>
              </w:rPr>
            </w:pPr>
            <w:r w:rsidRPr="00673BC0">
              <w:rPr>
                <w:sz w:val="20"/>
              </w:rPr>
              <w:sym w:font="Wingdings" w:char="F0FC"/>
            </w:r>
          </w:p>
        </w:tc>
      </w:tr>
      <w:tr w:rsidR="00574A66" w:rsidRPr="00673BC0" w14:paraId="4CDA2C86" w14:textId="77777777" w:rsidTr="00B553C9">
        <w:tc>
          <w:tcPr>
            <w:tcW w:w="1276" w:type="dxa"/>
          </w:tcPr>
          <w:p w14:paraId="1F6B20F5" w14:textId="77777777" w:rsidR="00574A66" w:rsidRPr="00673BC0" w:rsidRDefault="00574A66" w:rsidP="00B553C9">
            <w:pPr>
              <w:rPr>
                <w:sz w:val="20"/>
              </w:rPr>
            </w:pPr>
            <w:r w:rsidRPr="00673BC0">
              <w:rPr>
                <w:sz w:val="20"/>
              </w:rPr>
              <w:t>Domain 5</w:t>
            </w:r>
          </w:p>
        </w:tc>
        <w:tc>
          <w:tcPr>
            <w:tcW w:w="5528" w:type="dxa"/>
          </w:tcPr>
          <w:p w14:paraId="6BDC2B5F" w14:textId="77777777" w:rsidR="00574A66" w:rsidRPr="00673BC0" w:rsidRDefault="00574A66" w:rsidP="00B553C9">
            <w:pPr>
              <w:rPr>
                <w:sz w:val="20"/>
              </w:rPr>
            </w:pPr>
            <w:r w:rsidRPr="00673BC0">
              <w:rPr>
                <w:sz w:val="20"/>
              </w:rPr>
              <w:t>Treating and caring for people in safe environment and protecting them from avoidable harm</w:t>
            </w:r>
          </w:p>
        </w:tc>
        <w:tc>
          <w:tcPr>
            <w:tcW w:w="641" w:type="dxa"/>
          </w:tcPr>
          <w:p w14:paraId="7878C994" w14:textId="77777777" w:rsidR="00574A66" w:rsidRPr="00673BC0" w:rsidRDefault="00574A66" w:rsidP="00B553C9">
            <w:pPr>
              <w:rPr>
                <w:sz w:val="20"/>
              </w:rPr>
            </w:pPr>
            <w:r w:rsidRPr="00673BC0">
              <w:rPr>
                <w:sz w:val="20"/>
              </w:rPr>
              <w:sym w:font="Wingdings" w:char="F0FC"/>
            </w:r>
          </w:p>
        </w:tc>
      </w:tr>
    </w:tbl>
    <w:p w14:paraId="68EAF0F6" w14:textId="77777777" w:rsidR="00574A66" w:rsidRPr="00BE4DF3" w:rsidRDefault="00574A66" w:rsidP="0006355D">
      <w:pPr>
        <w:rPr>
          <w:color w:val="00B050"/>
          <w:sz w:val="20"/>
        </w:rPr>
      </w:pPr>
    </w:p>
    <w:p w14:paraId="182AF6DE" w14:textId="77777777" w:rsidR="00574A66" w:rsidRPr="00BE4DF3" w:rsidRDefault="00574A66" w:rsidP="0006355D">
      <w:pPr>
        <w:pStyle w:val="Heading2"/>
      </w:pPr>
      <w:r w:rsidRPr="00BE4DF3">
        <w:t>Local defined outcomes</w:t>
      </w:r>
    </w:p>
    <w:p w14:paraId="434D72E6" w14:textId="77777777" w:rsidR="00673BC0" w:rsidRPr="001E4FDD" w:rsidRDefault="00574A66" w:rsidP="001E4FDD">
      <w:r w:rsidRPr="001E4FDD">
        <w:t>The service will</w:t>
      </w:r>
      <w:r w:rsidR="00AE2D89" w:rsidRPr="001E4FDD">
        <w:t xml:space="preserve"> deliver the six outcomes listed below.  The performance of the measures against targets will be reviewed at a frequency agreed between the provider and commissioner.</w:t>
      </w:r>
    </w:p>
    <w:p w14:paraId="0D3DA9A4" w14:textId="77777777" w:rsidR="00574A66" w:rsidRDefault="00574A66" w:rsidP="0006355D">
      <w:pPr>
        <w:rPr>
          <w:sz w:val="20"/>
        </w:rPr>
      </w:pPr>
    </w:p>
    <w:tbl>
      <w:tblPr>
        <w:tblStyle w:val="TableGrid"/>
        <w:tblW w:w="0" w:type="auto"/>
        <w:tblLook w:val="04A0" w:firstRow="1" w:lastRow="0" w:firstColumn="1" w:lastColumn="0" w:noHBand="0" w:noVBand="1"/>
      </w:tblPr>
      <w:tblGrid>
        <w:gridCol w:w="2122"/>
        <w:gridCol w:w="3402"/>
        <w:gridCol w:w="3492"/>
      </w:tblGrid>
      <w:tr w:rsidR="00673BC0" w14:paraId="3A588CB4" w14:textId="77777777" w:rsidTr="009529E6">
        <w:tc>
          <w:tcPr>
            <w:tcW w:w="2122" w:type="dxa"/>
          </w:tcPr>
          <w:p w14:paraId="11A1A204" w14:textId="77777777" w:rsidR="00673BC0" w:rsidRPr="007F4296" w:rsidRDefault="00673BC0" w:rsidP="0006355D">
            <w:pPr>
              <w:rPr>
                <w:b/>
                <w:sz w:val="20"/>
              </w:rPr>
            </w:pPr>
            <w:r w:rsidRPr="007F4296">
              <w:rPr>
                <w:b/>
                <w:sz w:val="20"/>
              </w:rPr>
              <w:t>Outcome</w:t>
            </w:r>
          </w:p>
        </w:tc>
        <w:tc>
          <w:tcPr>
            <w:tcW w:w="3402" w:type="dxa"/>
          </w:tcPr>
          <w:p w14:paraId="00D13817" w14:textId="77777777" w:rsidR="00673BC0" w:rsidRPr="007F4296" w:rsidRDefault="00673BC0" w:rsidP="0006355D">
            <w:pPr>
              <w:rPr>
                <w:b/>
                <w:sz w:val="20"/>
              </w:rPr>
            </w:pPr>
            <w:r w:rsidRPr="007F4296">
              <w:rPr>
                <w:b/>
                <w:sz w:val="20"/>
              </w:rPr>
              <w:t>Measure</w:t>
            </w:r>
          </w:p>
        </w:tc>
        <w:tc>
          <w:tcPr>
            <w:tcW w:w="3492" w:type="dxa"/>
          </w:tcPr>
          <w:p w14:paraId="75618C84" w14:textId="77777777" w:rsidR="00673BC0" w:rsidRPr="007F4296" w:rsidRDefault="00673BC0" w:rsidP="0006355D">
            <w:pPr>
              <w:rPr>
                <w:b/>
                <w:sz w:val="20"/>
              </w:rPr>
            </w:pPr>
            <w:r w:rsidRPr="007F4296">
              <w:rPr>
                <w:b/>
                <w:sz w:val="20"/>
              </w:rPr>
              <w:t>Target</w:t>
            </w:r>
          </w:p>
        </w:tc>
      </w:tr>
      <w:tr w:rsidR="00462760" w14:paraId="4B70D648" w14:textId="77777777" w:rsidTr="009529E6">
        <w:trPr>
          <w:trHeight w:val="1134"/>
        </w:trPr>
        <w:tc>
          <w:tcPr>
            <w:tcW w:w="2122" w:type="dxa"/>
            <w:vMerge w:val="restart"/>
          </w:tcPr>
          <w:p w14:paraId="721AB838" w14:textId="77777777" w:rsidR="00462760" w:rsidRDefault="00462760" w:rsidP="0006355D">
            <w:pPr>
              <w:rPr>
                <w:sz w:val="20"/>
              </w:rPr>
            </w:pPr>
            <w:r>
              <w:rPr>
                <w:sz w:val="20"/>
              </w:rPr>
              <w:lastRenderedPageBreak/>
              <w:t>1.</w:t>
            </w:r>
          </w:p>
          <w:p w14:paraId="061A2C97" w14:textId="77777777" w:rsidR="00462760" w:rsidRDefault="00462760" w:rsidP="0006355D">
            <w:pPr>
              <w:rPr>
                <w:sz w:val="20"/>
              </w:rPr>
            </w:pPr>
            <w:r w:rsidRPr="004623EF">
              <w:rPr>
                <w:sz w:val="20"/>
              </w:rPr>
              <w:t>Increase access to services for hard to reach, marginalised, and black, minority, ethnic and refugee (BMER) communities to non-acute and health promotion services</w:t>
            </w:r>
            <w:r w:rsidR="001E4FDD">
              <w:rPr>
                <w:sz w:val="20"/>
              </w:rPr>
              <w:t>.</w:t>
            </w:r>
          </w:p>
        </w:tc>
        <w:tc>
          <w:tcPr>
            <w:tcW w:w="3402" w:type="dxa"/>
          </w:tcPr>
          <w:p w14:paraId="352D543A" w14:textId="77777777" w:rsidR="00462760" w:rsidRDefault="00462760" w:rsidP="00994997">
            <w:pPr>
              <w:rPr>
                <w:sz w:val="20"/>
              </w:rPr>
            </w:pPr>
            <w:r>
              <w:rPr>
                <w:sz w:val="20"/>
              </w:rPr>
              <w:t xml:space="preserve">1.1  </w:t>
            </w:r>
          </w:p>
          <w:p w14:paraId="270517D4" w14:textId="77777777" w:rsidR="00462760" w:rsidRDefault="00462760" w:rsidP="00994997">
            <w:pPr>
              <w:rPr>
                <w:sz w:val="20"/>
              </w:rPr>
            </w:pPr>
            <w:r>
              <w:rPr>
                <w:sz w:val="20"/>
              </w:rPr>
              <w:t>Number of people accessing the service</w:t>
            </w:r>
            <w:r w:rsidR="001E4FDD">
              <w:rPr>
                <w:sz w:val="20"/>
              </w:rPr>
              <w:t>.</w:t>
            </w:r>
          </w:p>
        </w:tc>
        <w:tc>
          <w:tcPr>
            <w:tcW w:w="3492" w:type="dxa"/>
          </w:tcPr>
          <w:p w14:paraId="096FE2EE" w14:textId="77777777" w:rsidR="00462760" w:rsidRDefault="00462760" w:rsidP="009529E6">
            <w:pPr>
              <w:rPr>
                <w:sz w:val="20"/>
              </w:rPr>
            </w:pPr>
            <w:r>
              <w:rPr>
                <w:sz w:val="20"/>
              </w:rPr>
              <w:t xml:space="preserve">1.1.a  </w:t>
            </w:r>
          </w:p>
          <w:p w14:paraId="24617FCE" w14:textId="77777777" w:rsidR="00462760" w:rsidRDefault="00462760" w:rsidP="00490787">
            <w:pPr>
              <w:rPr>
                <w:sz w:val="20"/>
              </w:rPr>
            </w:pPr>
            <w:r>
              <w:rPr>
                <w:sz w:val="20"/>
              </w:rPr>
              <w:t>No target for numbers of people accessing the service</w:t>
            </w:r>
            <w:r w:rsidR="00490787">
              <w:rPr>
                <w:sz w:val="20"/>
              </w:rPr>
              <w:t>, however, a target may be set by the commissioner as the service matures</w:t>
            </w:r>
            <w:r w:rsidR="001E4FDD">
              <w:rPr>
                <w:sz w:val="20"/>
              </w:rPr>
              <w:t>.</w:t>
            </w:r>
          </w:p>
        </w:tc>
      </w:tr>
      <w:tr w:rsidR="00462760" w14:paraId="1B600106" w14:textId="77777777" w:rsidTr="00462760">
        <w:trPr>
          <w:trHeight w:val="975"/>
        </w:trPr>
        <w:tc>
          <w:tcPr>
            <w:tcW w:w="2122" w:type="dxa"/>
            <w:vMerge/>
          </w:tcPr>
          <w:p w14:paraId="42D956D5" w14:textId="77777777" w:rsidR="00462760" w:rsidRPr="004623EF" w:rsidRDefault="00462760" w:rsidP="0006355D">
            <w:pPr>
              <w:rPr>
                <w:sz w:val="20"/>
              </w:rPr>
            </w:pPr>
          </w:p>
        </w:tc>
        <w:tc>
          <w:tcPr>
            <w:tcW w:w="3402" w:type="dxa"/>
            <w:vMerge w:val="restart"/>
          </w:tcPr>
          <w:p w14:paraId="26E4F894" w14:textId="77777777" w:rsidR="00462760" w:rsidRDefault="00462760" w:rsidP="0006355D">
            <w:pPr>
              <w:rPr>
                <w:sz w:val="20"/>
              </w:rPr>
            </w:pPr>
            <w:r>
              <w:rPr>
                <w:sz w:val="20"/>
              </w:rPr>
              <w:t xml:space="preserve">1.2  </w:t>
            </w:r>
          </w:p>
          <w:p w14:paraId="39211F61" w14:textId="77777777" w:rsidR="00462760" w:rsidRDefault="00462760" w:rsidP="002D30B8">
            <w:pPr>
              <w:rPr>
                <w:sz w:val="20"/>
              </w:rPr>
            </w:pPr>
            <w:r>
              <w:rPr>
                <w:sz w:val="20"/>
              </w:rPr>
              <w:t>Number of referrals to other healthcare services by type of servic</w:t>
            </w:r>
            <w:r w:rsidR="002D30B8">
              <w:rPr>
                <w:sz w:val="20"/>
              </w:rPr>
              <w:t>e and by ethnicity, age, etc</w:t>
            </w:r>
            <w:r w:rsidR="001E4FDD">
              <w:rPr>
                <w:sz w:val="20"/>
              </w:rPr>
              <w:t>.</w:t>
            </w:r>
          </w:p>
        </w:tc>
        <w:tc>
          <w:tcPr>
            <w:tcW w:w="3492" w:type="dxa"/>
          </w:tcPr>
          <w:p w14:paraId="46BDAF5E" w14:textId="77777777" w:rsidR="00462760" w:rsidRDefault="00462760" w:rsidP="0006355D">
            <w:pPr>
              <w:rPr>
                <w:sz w:val="20"/>
              </w:rPr>
            </w:pPr>
            <w:r>
              <w:rPr>
                <w:sz w:val="20"/>
              </w:rPr>
              <w:t xml:space="preserve">1.2.a  </w:t>
            </w:r>
          </w:p>
          <w:p w14:paraId="75FD8EE6" w14:textId="77777777" w:rsidR="00462760" w:rsidRDefault="00462760" w:rsidP="00490787">
            <w:pPr>
              <w:rPr>
                <w:sz w:val="20"/>
              </w:rPr>
            </w:pPr>
            <w:r>
              <w:rPr>
                <w:sz w:val="20"/>
              </w:rPr>
              <w:t xml:space="preserve">Percentage of those in the BMER group referred to other services should be </w:t>
            </w:r>
            <w:r w:rsidR="00490787" w:rsidRPr="00490787">
              <w:rPr>
                <w:b/>
                <w:sz w:val="20"/>
              </w:rPr>
              <w:t>35</w:t>
            </w:r>
            <w:r w:rsidRPr="00490787">
              <w:rPr>
                <w:b/>
                <w:sz w:val="20"/>
              </w:rPr>
              <w:t>%</w:t>
            </w:r>
            <w:r>
              <w:rPr>
                <w:sz w:val="20"/>
              </w:rPr>
              <w:t xml:space="preserve"> of the total activity</w:t>
            </w:r>
            <w:r w:rsidR="001E4FDD">
              <w:rPr>
                <w:sz w:val="20"/>
              </w:rPr>
              <w:t>.</w:t>
            </w:r>
          </w:p>
        </w:tc>
      </w:tr>
      <w:tr w:rsidR="00462760" w14:paraId="4DF792E1" w14:textId="77777777" w:rsidTr="009529E6">
        <w:trPr>
          <w:trHeight w:val="975"/>
        </w:trPr>
        <w:tc>
          <w:tcPr>
            <w:tcW w:w="2122" w:type="dxa"/>
            <w:vMerge/>
          </w:tcPr>
          <w:p w14:paraId="4D13F335" w14:textId="77777777" w:rsidR="00462760" w:rsidRPr="004623EF" w:rsidRDefault="00462760" w:rsidP="0006355D">
            <w:pPr>
              <w:rPr>
                <w:sz w:val="20"/>
              </w:rPr>
            </w:pPr>
          </w:p>
        </w:tc>
        <w:tc>
          <w:tcPr>
            <w:tcW w:w="3402" w:type="dxa"/>
            <w:vMerge/>
          </w:tcPr>
          <w:p w14:paraId="116622A8" w14:textId="77777777" w:rsidR="00462760" w:rsidRDefault="00462760" w:rsidP="0006355D">
            <w:pPr>
              <w:rPr>
                <w:sz w:val="20"/>
              </w:rPr>
            </w:pPr>
          </w:p>
        </w:tc>
        <w:tc>
          <w:tcPr>
            <w:tcW w:w="3492" w:type="dxa"/>
          </w:tcPr>
          <w:p w14:paraId="164C37D0" w14:textId="77777777" w:rsidR="00462760" w:rsidRDefault="00462760" w:rsidP="0006355D">
            <w:pPr>
              <w:rPr>
                <w:sz w:val="20"/>
              </w:rPr>
            </w:pPr>
            <w:r>
              <w:rPr>
                <w:sz w:val="20"/>
              </w:rPr>
              <w:t>1.2.b</w:t>
            </w:r>
          </w:p>
          <w:p w14:paraId="0505E38F" w14:textId="0449901C" w:rsidR="00462760" w:rsidRDefault="00462760" w:rsidP="00400EBA">
            <w:pPr>
              <w:rPr>
                <w:sz w:val="20"/>
              </w:rPr>
            </w:pPr>
            <w:r>
              <w:rPr>
                <w:sz w:val="20"/>
              </w:rPr>
              <w:t>Percentage of those with a learning disability</w:t>
            </w:r>
            <w:r w:rsidR="00400EBA">
              <w:rPr>
                <w:rStyle w:val="EndnoteReference"/>
                <w:b/>
                <w:sz w:val="20"/>
              </w:rPr>
              <w:endnoteReference w:id="1"/>
            </w:r>
            <w:r>
              <w:rPr>
                <w:sz w:val="20"/>
              </w:rPr>
              <w:t xml:space="preserve"> referred to other services should be </w:t>
            </w:r>
            <w:r w:rsidR="00E6636C" w:rsidRPr="00E6636C">
              <w:rPr>
                <w:b/>
                <w:sz w:val="20"/>
              </w:rPr>
              <w:t>1</w:t>
            </w:r>
            <w:r w:rsidRPr="00E6636C">
              <w:rPr>
                <w:b/>
                <w:sz w:val="20"/>
              </w:rPr>
              <w:t>%</w:t>
            </w:r>
            <w:r>
              <w:rPr>
                <w:sz w:val="20"/>
              </w:rPr>
              <w:t xml:space="preserve"> of the total activity</w:t>
            </w:r>
            <w:r w:rsidR="001E4FDD">
              <w:rPr>
                <w:sz w:val="20"/>
              </w:rPr>
              <w:t>.</w:t>
            </w:r>
          </w:p>
        </w:tc>
      </w:tr>
      <w:tr w:rsidR="0012132A" w14:paraId="05682C17" w14:textId="77777777" w:rsidTr="0012132A">
        <w:trPr>
          <w:trHeight w:val="1704"/>
        </w:trPr>
        <w:tc>
          <w:tcPr>
            <w:tcW w:w="2122" w:type="dxa"/>
            <w:vMerge w:val="restart"/>
          </w:tcPr>
          <w:p w14:paraId="2DCAA8D7" w14:textId="77777777" w:rsidR="0012132A" w:rsidRDefault="0012132A" w:rsidP="007E0C73">
            <w:pPr>
              <w:rPr>
                <w:sz w:val="20"/>
              </w:rPr>
            </w:pPr>
            <w:r>
              <w:rPr>
                <w:sz w:val="20"/>
              </w:rPr>
              <w:t>2.</w:t>
            </w:r>
          </w:p>
          <w:p w14:paraId="52BC178C" w14:textId="77777777" w:rsidR="0012132A" w:rsidRDefault="0012132A" w:rsidP="007E0C73">
            <w:pPr>
              <w:rPr>
                <w:sz w:val="20"/>
              </w:rPr>
            </w:pPr>
            <w:r>
              <w:rPr>
                <w:sz w:val="20"/>
              </w:rPr>
              <w:t>Reduce social isolation and connect people to Camden groups and communities</w:t>
            </w:r>
            <w:r w:rsidR="001E4FDD">
              <w:rPr>
                <w:sz w:val="20"/>
              </w:rPr>
              <w:t>.</w:t>
            </w:r>
          </w:p>
        </w:tc>
        <w:tc>
          <w:tcPr>
            <w:tcW w:w="3402" w:type="dxa"/>
          </w:tcPr>
          <w:p w14:paraId="14E02EBA" w14:textId="77777777" w:rsidR="00462760" w:rsidRDefault="0012132A" w:rsidP="00366196">
            <w:pPr>
              <w:rPr>
                <w:sz w:val="20"/>
              </w:rPr>
            </w:pPr>
            <w:r>
              <w:rPr>
                <w:sz w:val="20"/>
              </w:rPr>
              <w:t xml:space="preserve">2.1  </w:t>
            </w:r>
          </w:p>
          <w:p w14:paraId="776D5961" w14:textId="77777777" w:rsidR="0012132A" w:rsidRDefault="0012132A" w:rsidP="00366196">
            <w:pPr>
              <w:rPr>
                <w:sz w:val="20"/>
              </w:rPr>
            </w:pPr>
            <w:r>
              <w:rPr>
                <w:sz w:val="20"/>
              </w:rPr>
              <w:t xml:space="preserve">Patient reported feedback: ‘Have you joined or accessed any local groups or community activities?’ </w:t>
            </w:r>
          </w:p>
          <w:p w14:paraId="390AC6D7" w14:textId="77777777" w:rsidR="0012132A" w:rsidRDefault="0012132A" w:rsidP="0012132A">
            <w:pPr>
              <w:rPr>
                <w:sz w:val="20"/>
              </w:rPr>
            </w:pPr>
          </w:p>
        </w:tc>
        <w:tc>
          <w:tcPr>
            <w:tcW w:w="3492" w:type="dxa"/>
          </w:tcPr>
          <w:p w14:paraId="6D7AEF75" w14:textId="77777777" w:rsidR="0012132A" w:rsidRDefault="0012132A" w:rsidP="00366196">
            <w:pPr>
              <w:rPr>
                <w:sz w:val="20"/>
              </w:rPr>
            </w:pPr>
            <w:r>
              <w:rPr>
                <w:sz w:val="20"/>
              </w:rPr>
              <w:t xml:space="preserve">2.1.a  </w:t>
            </w:r>
          </w:p>
          <w:p w14:paraId="2041550A" w14:textId="77777777" w:rsidR="0012132A" w:rsidRDefault="0012132A" w:rsidP="0012132A">
            <w:pPr>
              <w:rPr>
                <w:sz w:val="20"/>
              </w:rPr>
            </w:pPr>
            <w:r>
              <w:rPr>
                <w:sz w:val="20"/>
              </w:rPr>
              <w:t xml:space="preserve">Feedback must be obtained from </w:t>
            </w:r>
            <w:r w:rsidRPr="001E4FDD">
              <w:rPr>
                <w:b/>
                <w:sz w:val="20"/>
              </w:rPr>
              <w:t>10%</w:t>
            </w:r>
            <w:r w:rsidR="00462760">
              <w:rPr>
                <w:sz w:val="20"/>
              </w:rPr>
              <w:t xml:space="preserve"> of those using the service.  </w:t>
            </w:r>
            <w:r w:rsidR="00462760" w:rsidRPr="001E4FDD">
              <w:rPr>
                <w:b/>
                <w:sz w:val="20"/>
              </w:rPr>
              <w:t>90</w:t>
            </w:r>
            <w:r w:rsidRPr="001E4FDD">
              <w:rPr>
                <w:b/>
                <w:sz w:val="20"/>
              </w:rPr>
              <w:t>%</w:t>
            </w:r>
            <w:r>
              <w:rPr>
                <w:sz w:val="20"/>
              </w:rPr>
              <w:t xml:space="preserve"> of those accessing the service should answer ‘</w:t>
            </w:r>
            <w:r w:rsidRPr="001E4FDD">
              <w:rPr>
                <w:b/>
                <w:sz w:val="20"/>
              </w:rPr>
              <w:t>yes</w:t>
            </w:r>
            <w:r>
              <w:rPr>
                <w:sz w:val="20"/>
              </w:rPr>
              <w:t>’.</w:t>
            </w:r>
          </w:p>
        </w:tc>
      </w:tr>
      <w:tr w:rsidR="0012132A" w14:paraId="5FCFF068" w14:textId="77777777" w:rsidTr="00923933">
        <w:trPr>
          <w:trHeight w:val="1704"/>
        </w:trPr>
        <w:tc>
          <w:tcPr>
            <w:tcW w:w="2122" w:type="dxa"/>
            <w:vMerge/>
          </w:tcPr>
          <w:p w14:paraId="08701E77" w14:textId="77777777" w:rsidR="0012132A" w:rsidRDefault="0012132A" w:rsidP="007E0C73">
            <w:pPr>
              <w:rPr>
                <w:sz w:val="20"/>
              </w:rPr>
            </w:pPr>
          </w:p>
        </w:tc>
        <w:tc>
          <w:tcPr>
            <w:tcW w:w="3402" w:type="dxa"/>
          </w:tcPr>
          <w:p w14:paraId="504D5FDF" w14:textId="77777777" w:rsidR="0012132A" w:rsidRDefault="0012132A" w:rsidP="0012132A">
            <w:pPr>
              <w:rPr>
                <w:sz w:val="20"/>
              </w:rPr>
            </w:pPr>
            <w:r>
              <w:rPr>
                <w:sz w:val="20"/>
              </w:rPr>
              <w:t xml:space="preserve">2.2  </w:t>
            </w:r>
          </w:p>
          <w:p w14:paraId="4363C108" w14:textId="77777777" w:rsidR="0012132A" w:rsidRDefault="0012132A" w:rsidP="00366196">
            <w:pPr>
              <w:rPr>
                <w:sz w:val="20"/>
              </w:rPr>
            </w:pPr>
            <w:r>
              <w:rPr>
                <w:sz w:val="20"/>
              </w:rPr>
              <w:t xml:space="preserve">Patient reported feedback: ‘Do you feel your circle of friends has widened?’ </w:t>
            </w:r>
          </w:p>
        </w:tc>
        <w:tc>
          <w:tcPr>
            <w:tcW w:w="3492" w:type="dxa"/>
          </w:tcPr>
          <w:p w14:paraId="64F133A2" w14:textId="77777777" w:rsidR="0012132A" w:rsidRDefault="0012132A" w:rsidP="0012132A">
            <w:pPr>
              <w:rPr>
                <w:sz w:val="20"/>
              </w:rPr>
            </w:pPr>
            <w:r>
              <w:rPr>
                <w:sz w:val="20"/>
              </w:rPr>
              <w:t xml:space="preserve">2.2.a  </w:t>
            </w:r>
          </w:p>
          <w:p w14:paraId="1456C4FE" w14:textId="77777777" w:rsidR="0012132A" w:rsidRDefault="0012132A" w:rsidP="00321EA2">
            <w:pPr>
              <w:rPr>
                <w:sz w:val="20"/>
              </w:rPr>
            </w:pPr>
            <w:r>
              <w:rPr>
                <w:sz w:val="20"/>
              </w:rPr>
              <w:t xml:space="preserve">Feedback must be obtained from </w:t>
            </w:r>
            <w:r w:rsidRPr="001E4FDD">
              <w:rPr>
                <w:b/>
                <w:sz w:val="20"/>
              </w:rPr>
              <w:t>10%</w:t>
            </w:r>
            <w:r>
              <w:rPr>
                <w:sz w:val="20"/>
              </w:rPr>
              <w:t xml:space="preserve"> of those using the service. Using the scale, ‘</w:t>
            </w:r>
            <w:r w:rsidR="001E4FDD">
              <w:rPr>
                <w:sz w:val="20"/>
              </w:rPr>
              <w:t>n</w:t>
            </w:r>
            <w:r>
              <w:rPr>
                <w:sz w:val="20"/>
              </w:rPr>
              <w:t>ot at all’, ‘</w:t>
            </w:r>
            <w:r w:rsidR="001E4FDD">
              <w:rPr>
                <w:sz w:val="20"/>
              </w:rPr>
              <w:t>s</w:t>
            </w:r>
            <w:r>
              <w:rPr>
                <w:sz w:val="20"/>
              </w:rPr>
              <w:t>omewhat’ and ‘</w:t>
            </w:r>
            <w:r w:rsidR="001E4FDD">
              <w:rPr>
                <w:sz w:val="20"/>
              </w:rPr>
              <w:t>v</w:t>
            </w:r>
            <w:r>
              <w:rPr>
                <w:sz w:val="20"/>
              </w:rPr>
              <w:t>ery much</w:t>
            </w:r>
            <w:r w:rsidR="00321EA2">
              <w:rPr>
                <w:sz w:val="20"/>
              </w:rPr>
              <w:t>’,</w:t>
            </w:r>
            <w:r>
              <w:rPr>
                <w:sz w:val="20"/>
              </w:rPr>
              <w:t xml:space="preserve"> </w:t>
            </w:r>
            <w:r w:rsidRPr="001E4FDD">
              <w:rPr>
                <w:b/>
                <w:sz w:val="20"/>
              </w:rPr>
              <w:t>9</w:t>
            </w:r>
            <w:r w:rsidR="00A17F66" w:rsidRPr="001E4FDD">
              <w:rPr>
                <w:b/>
                <w:sz w:val="20"/>
              </w:rPr>
              <w:t>0</w:t>
            </w:r>
            <w:r w:rsidRPr="001E4FDD">
              <w:rPr>
                <w:b/>
                <w:sz w:val="20"/>
              </w:rPr>
              <w:t>%</w:t>
            </w:r>
            <w:r>
              <w:rPr>
                <w:sz w:val="20"/>
              </w:rPr>
              <w:t xml:space="preserve"> must be ‘</w:t>
            </w:r>
            <w:r w:rsidRPr="001E4FDD">
              <w:rPr>
                <w:b/>
                <w:sz w:val="20"/>
              </w:rPr>
              <w:t>very much</w:t>
            </w:r>
            <w:r>
              <w:rPr>
                <w:sz w:val="20"/>
              </w:rPr>
              <w:t>’</w:t>
            </w:r>
            <w:r w:rsidR="001E4FDD">
              <w:rPr>
                <w:sz w:val="20"/>
              </w:rPr>
              <w:t>.</w:t>
            </w:r>
          </w:p>
        </w:tc>
      </w:tr>
      <w:tr w:rsidR="0012132A" w14:paraId="75C97EA3" w14:textId="77777777" w:rsidTr="00923933">
        <w:trPr>
          <w:trHeight w:val="1704"/>
        </w:trPr>
        <w:tc>
          <w:tcPr>
            <w:tcW w:w="2122" w:type="dxa"/>
            <w:vMerge/>
          </w:tcPr>
          <w:p w14:paraId="47469F18" w14:textId="77777777" w:rsidR="0012132A" w:rsidRDefault="0012132A" w:rsidP="007E0C73">
            <w:pPr>
              <w:rPr>
                <w:sz w:val="20"/>
              </w:rPr>
            </w:pPr>
          </w:p>
        </w:tc>
        <w:tc>
          <w:tcPr>
            <w:tcW w:w="3402" w:type="dxa"/>
          </w:tcPr>
          <w:p w14:paraId="7B524956" w14:textId="77777777" w:rsidR="0012132A" w:rsidRDefault="0012132A" w:rsidP="0012132A">
            <w:pPr>
              <w:rPr>
                <w:sz w:val="20"/>
              </w:rPr>
            </w:pPr>
            <w:r>
              <w:rPr>
                <w:sz w:val="20"/>
              </w:rPr>
              <w:t xml:space="preserve">2.3  </w:t>
            </w:r>
          </w:p>
          <w:p w14:paraId="1ED45E7B" w14:textId="77777777" w:rsidR="0012132A" w:rsidRDefault="0012132A" w:rsidP="0012132A">
            <w:pPr>
              <w:rPr>
                <w:sz w:val="20"/>
              </w:rPr>
            </w:pPr>
            <w:r>
              <w:rPr>
                <w:sz w:val="20"/>
              </w:rPr>
              <w:t>Patient reported feedback: ‘Do you feel confident or more confident in joining in group activities or social events?’</w:t>
            </w:r>
          </w:p>
        </w:tc>
        <w:tc>
          <w:tcPr>
            <w:tcW w:w="3492" w:type="dxa"/>
          </w:tcPr>
          <w:p w14:paraId="5439606F" w14:textId="77777777" w:rsidR="0012132A" w:rsidRDefault="0012132A" w:rsidP="0012132A">
            <w:pPr>
              <w:rPr>
                <w:sz w:val="20"/>
              </w:rPr>
            </w:pPr>
            <w:r>
              <w:rPr>
                <w:sz w:val="20"/>
              </w:rPr>
              <w:t xml:space="preserve">2.3.a  </w:t>
            </w:r>
          </w:p>
          <w:p w14:paraId="383574AA" w14:textId="77777777" w:rsidR="0012132A" w:rsidRDefault="0012132A" w:rsidP="00321EA2">
            <w:pPr>
              <w:rPr>
                <w:sz w:val="20"/>
              </w:rPr>
            </w:pPr>
            <w:r>
              <w:rPr>
                <w:sz w:val="20"/>
              </w:rPr>
              <w:t xml:space="preserve">Feedback must be obtained from </w:t>
            </w:r>
            <w:r w:rsidRPr="001E4FDD">
              <w:rPr>
                <w:b/>
                <w:sz w:val="20"/>
              </w:rPr>
              <w:t>10%</w:t>
            </w:r>
            <w:r>
              <w:rPr>
                <w:sz w:val="20"/>
              </w:rPr>
              <w:t xml:space="preserve"> of those using the service. Using the scale, ‘</w:t>
            </w:r>
            <w:r w:rsidR="001E4FDD">
              <w:rPr>
                <w:sz w:val="20"/>
              </w:rPr>
              <w:t>n</w:t>
            </w:r>
            <w:r>
              <w:rPr>
                <w:sz w:val="20"/>
              </w:rPr>
              <w:t>ot at all’, ‘</w:t>
            </w:r>
            <w:r w:rsidR="001E4FDD">
              <w:rPr>
                <w:sz w:val="20"/>
              </w:rPr>
              <w:t>s</w:t>
            </w:r>
            <w:r>
              <w:rPr>
                <w:sz w:val="20"/>
              </w:rPr>
              <w:t>omewhat’ and ‘</w:t>
            </w:r>
            <w:r w:rsidR="001E4FDD">
              <w:rPr>
                <w:sz w:val="20"/>
              </w:rPr>
              <w:t>v</w:t>
            </w:r>
            <w:r>
              <w:rPr>
                <w:sz w:val="20"/>
              </w:rPr>
              <w:t xml:space="preserve">ery much’, </w:t>
            </w:r>
            <w:r w:rsidRPr="001E4FDD">
              <w:rPr>
                <w:b/>
                <w:sz w:val="20"/>
              </w:rPr>
              <w:t>9</w:t>
            </w:r>
            <w:r w:rsidR="00A17F66" w:rsidRPr="001E4FDD">
              <w:rPr>
                <w:b/>
                <w:sz w:val="20"/>
              </w:rPr>
              <w:t>0</w:t>
            </w:r>
            <w:r w:rsidRPr="001E4FDD">
              <w:rPr>
                <w:b/>
                <w:sz w:val="20"/>
              </w:rPr>
              <w:t>%</w:t>
            </w:r>
            <w:r>
              <w:rPr>
                <w:sz w:val="20"/>
              </w:rPr>
              <w:t xml:space="preserve"> must be ‘</w:t>
            </w:r>
            <w:r w:rsidRPr="001E4FDD">
              <w:rPr>
                <w:b/>
                <w:sz w:val="20"/>
              </w:rPr>
              <w:t>very much</w:t>
            </w:r>
            <w:r>
              <w:rPr>
                <w:sz w:val="20"/>
              </w:rPr>
              <w:t>’</w:t>
            </w:r>
            <w:r w:rsidR="001E4FDD">
              <w:rPr>
                <w:sz w:val="20"/>
              </w:rPr>
              <w:t>.</w:t>
            </w:r>
          </w:p>
        </w:tc>
      </w:tr>
      <w:tr w:rsidR="0012132A" w14:paraId="7AE71C9E" w14:textId="77777777" w:rsidTr="0012132A">
        <w:trPr>
          <w:trHeight w:val="1119"/>
        </w:trPr>
        <w:tc>
          <w:tcPr>
            <w:tcW w:w="2122" w:type="dxa"/>
            <w:vMerge w:val="restart"/>
          </w:tcPr>
          <w:p w14:paraId="4E0C2E19" w14:textId="77777777" w:rsidR="0012132A" w:rsidRDefault="0012132A" w:rsidP="00392583">
            <w:pPr>
              <w:rPr>
                <w:sz w:val="20"/>
              </w:rPr>
            </w:pPr>
            <w:r>
              <w:rPr>
                <w:sz w:val="20"/>
              </w:rPr>
              <w:t>3.</w:t>
            </w:r>
          </w:p>
          <w:p w14:paraId="44514ABA" w14:textId="77777777" w:rsidR="0012132A" w:rsidRDefault="0012132A" w:rsidP="00392583">
            <w:pPr>
              <w:rPr>
                <w:sz w:val="20"/>
              </w:rPr>
            </w:pPr>
            <w:r>
              <w:rPr>
                <w:sz w:val="20"/>
              </w:rPr>
              <w:t>Enable more people to connect to support services</w:t>
            </w:r>
            <w:r w:rsidR="00A17F66">
              <w:rPr>
                <w:sz w:val="20"/>
              </w:rPr>
              <w:t>, e.g. Citizens’ Advice Bureau, etc</w:t>
            </w:r>
            <w:r>
              <w:rPr>
                <w:sz w:val="20"/>
              </w:rPr>
              <w:t>.</w:t>
            </w:r>
          </w:p>
        </w:tc>
        <w:tc>
          <w:tcPr>
            <w:tcW w:w="3402" w:type="dxa"/>
          </w:tcPr>
          <w:p w14:paraId="7DAC8CA5" w14:textId="77777777" w:rsidR="0012132A" w:rsidRDefault="0012132A" w:rsidP="0012132A">
            <w:pPr>
              <w:rPr>
                <w:sz w:val="20"/>
              </w:rPr>
            </w:pPr>
            <w:r>
              <w:rPr>
                <w:sz w:val="20"/>
              </w:rPr>
              <w:t xml:space="preserve">3.1  </w:t>
            </w:r>
          </w:p>
          <w:p w14:paraId="5F9C964B" w14:textId="77777777" w:rsidR="0012132A" w:rsidRDefault="0012132A" w:rsidP="0012132A">
            <w:pPr>
              <w:rPr>
                <w:sz w:val="20"/>
              </w:rPr>
            </w:pPr>
            <w:r>
              <w:rPr>
                <w:sz w:val="20"/>
              </w:rPr>
              <w:t>Patient reported feedback:  ‘Did you make contact with the service you needed?’</w:t>
            </w:r>
          </w:p>
        </w:tc>
        <w:tc>
          <w:tcPr>
            <w:tcW w:w="3492" w:type="dxa"/>
          </w:tcPr>
          <w:p w14:paraId="153E9AEF" w14:textId="77777777" w:rsidR="0012132A" w:rsidRDefault="0012132A" w:rsidP="0012132A">
            <w:pPr>
              <w:rPr>
                <w:sz w:val="20"/>
              </w:rPr>
            </w:pPr>
            <w:r>
              <w:rPr>
                <w:sz w:val="20"/>
              </w:rPr>
              <w:t xml:space="preserve">3.1.a  </w:t>
            </w:r>
          </w:p>
          <w:p w14:paraId="1DCA7494" w14:textId="77777777" w:rsidR="0012132A" w:rsidRDefault="0012132A" w:rsidP="00A17F66">
            <w:pPr>
              <w:rPr>
                <w:sz w:val="20"/>
              </w:rPr>
            </w:pPr>
            <w:r>
              <w:rPr>
                <w:sz w:val="20"/>
              </w:rPr>
              <w:t xml:space="preserve">Feedback must be obtained from </w:t>
            </w:r>
            <w:r w:rsidRPr="001E4FDD">
              <w:rPr>
                <w:b/>
                <w:sz w:val="20"/>
              </w:rPr>
              <w:t>10%</w:t>
            </w:r>
            <w:r>
              <w:rPr>
                <w:sz w:val="20"/>
              </w:rPr>
              <w:t xml:space="preserve"> of those using the service.  </w:t>
            </w:r>
            <w:r w:rsidRPr="001E4FDD">
              <w:rPr>
                <w:b/>
                <w:sz w:val="20"/>
              </w:rPr>
              <w:t>9</w:t>
            </w:r>
            <w:r w:rsidR="00A17F66" w:rsidRPr="001E4FDD">
              <w:rPr>
                <w:b/>
                <w:sz w:val="20"/>
              </w:rPr>
              <w:t>0</w:t>
            </w:r>
            <w:r w:rsidRPr="001E4FDD">
              <w:rPr>
                <w:b/>
                <w:sz w:val="20"/>
              </w:rPr>
              <w:t>%</w:t>
            </w:r>
            <w:r>
              <w:rPr>
                <w:sz w:val="20"/>
              </w:rPr>
              <w:t xml:space="preserve"> report ‘</w:t>
            </w:r>
            <w:r w:rsidRPr="001E4FDD">
              <w:rPr>
                <w:b/>
                <w:sz w:val="20"/>
              </w:rPr>
              <w:t>yes</w:t>
            </w:r>
            <w:r>
              <w:rPr>
                <w:sz w:val="20"/>
              </w:rPr>
              <w:t>’.</w:t>
            </w:r>
          </w:p>
        </w:tc>
      </w:tr>
      <w:tr w:rsidR="0012132A" w14:paraId="1069AA2D" w14:textId="77777777" w:rsidTr="004642CD">
        <w:trPr>
          <w:trHeight w:val="1119"/>
        </w:trPr>
        <w:tc>
          <w:tcPr>
            <w:tcW w:w="2122" w:type="dxa"/>
            <w:vMerge/>
          </w:tcPr>
          <w:p w14:paraId="0F41C4D9" w14:textId="77777777" w:rsidR="0012132A" w:rsidRDefault="0012132A" w:rsidP="00392583">
            <w:pPr>
              <w:rPr>
                <w:sz w:val="20"/>
              </w:rPr>
            </w:pPr>
          </w:p>
        </w:tc>
        <w:tc>
          <w:tcPr>
            <w:tcW w:w="3402" w:type="dxa"/>
          </w:tcPr>
          <w:p w14:paraId="69297E97" w14:textId="77777777" w:rsidR="0012132A" w:rsidRDefault="0012132A" w:rsidP="00366196">
            <w:pPr>
              <w:rPr>
                <w:sz w:val="20"/>
              </w:rPr>
            </w:pPr>
            <w:r>
              <w:rPr>
                <w:sz w:val="20"/>
              </w:rPr>
              <w:t xml:space="preserve">3.2  </w:t>
            </w:r>
          </w:p>
          <w:p w14:paraId="77EA44D0" w14:textId="77777777" w:rsidR="0012132A" w:rsidRDefault="0012132A" w:rsidP="00366196">
            <w:pPr>
              <w:rPr>
                <w:sz w:val="20"/>
              </w:rPr>
            </w:pPr>
            <w:r>
              <w:rPr>
                <w:sz w:val="20"/>
              </w:rPr>
              <w:t>Patient reported feedback:  ‘Have you made use of non-clinical services and support available to you?’</w:t>
            </w:r>
          </w:p>
        </w:tc>
        <w:tc>
          <w:tcPr>
            <w:tcW w:w="3492" w:type="dxa"/>
          </w:tcPr>
          <w:p w14:paraId="715ED738" w14:textId="77777777" w:rsidR="0012132A" w:rsidRDefault="0012132A" w:rsidP="0006355D">
            <w:pPr>
              <w:rPr>
                <w:sz w:val="20"/>
              </w:rPr>
            </w:pPr>
            <w:r>
              <w:rPr>
                <w:sz w:val="20"/>
              </w:rPr>
              <w:t xml:space="preserve">3.2.a  </w:t>
            </w:r>
          </w:p>
          <w:p w14:paraId="5E7382B1" w14:textId="77777777" w:rsidR="0012132A" w:rsidRDefault="0012132A" w:rsidP="00A17F66">
            <w:pPr>
              <w:rPr>
                <w:sz w:val="20"/>
              </w:rPr>
            </w:pPr>
            <w:r>
              <w:rPr>
                <w:sz w:val="20"/>
              </w:rPr>
              <w:t xml:space="preserve">Feedback must be obtained from </w:t>
            </w:r>
            <w:r w:rsidRPr="001E4FDD">
              <w:rPr>
                <w:b/>
                <w:sz w:val="20"/>
              </w:rPr>
              <w:t>10%</w:t>
            </w:r>
            <w:r w:rsidR="00A17F66">
              <w:rPr>
                <w:sz w:val="20"/>
              </w:rPr>
              <w:t xml:space="preserve"> of those using the service.  </w:t>
            </w:r>
            <w:r w:rsidR="00A17F66" w:rsidRPr="001E4FDD">
              <w:rPr>
                <w:b/>
                <w:sz w:val="20"/>
              </w:rPr>
              <w:t>90</w:t>
            </w:r>
            <w:r w:rsidRPr="001E4FDD">
              <w:rPr>
                <w:b/>
                <w:sz w:val="20"/>
              </w:rPr>
              <w:t>%</w:t>
            </w:r>
            <w:r>
              <w:rPr>
                <w:sz w:val="20"/>
              </w:rPr>
              <w:t xml:space="preserve"> report ‘</w:t>
            </w:r>
            <w:r w:rsidRPr="001E4FDD">
              <w:rPr>
                <w:b/>
                <w:sz w:val="20"/>
              </w:rPr>
              <w:t>yes</w:t>
            </w:r>
            <w:r>
              <w:rPr>
                <w:sz w:val="20"/>
              </w:rPr>
              <w:t>’.</w:t>
            </w:r>
          </w:p>
        </w:tc>
      </w:tr>
      <w:tr w:rsidR="0012132A" w14:paraId="5E457BE7" w14:textId="77777777" w:rsidTr="004642CD">
        <w:trPr>
          <w:trHeight w:val="1119"/>
        </w:trPr>
        <w:tc>
          <w:tcPr>
            <w:tcW w:w="2122" w:type="dxa"/>
            <w:vMerge/>
          </w:tcPr>
          <w:p w14:paraId="40B24D13" w14:textId="77777777" w:rsidR="0012132A" w:rsidRDefault="0012132A" w:rsidP="00392583">
            <w:pPr>
              <w:rPr>
                <w:sz w:val="20"/>
              </w:rPr>
            </w:pPr>
          </w:p>
        </w:tc>
        <w:tc>
          <w:tcPr>
            <w:tcW w:w="3402" w:type="dxa"/>
          </w:tcPr>
          <w:p w14:paraId="1343ABBF" w14:textId="77777777" w:rsidR="0012132A" w:rsidRDefault="0012132A" w:rsidP="0012132A">
            <w:pPr>
              <w:rPr>
                <w:sz w:val="20"/>
              </w:rPr>
            </w:pPr>
            <w:r>
              <w:rPr>
                <w:sz w:val="20"/>
              </w:rPr>
              <w:t xml:space="preserve">3.3  </w:t>
            </w:r>
          </w:p>
          <w:p w14:paraId="262069B2" w14:textId="77777777" w:rsidR="0012132A" w:rsidRDefault="0012132A" w:rsidP="0012132A">
            <w:pPr>
              <w:rPr>
                <w:sz w:val="20"/>
              </w:rPr>
            </w:pPr>
            <w:r>
              <w:rPr>
                <w:sz w:val="20"/>
              </w:rPr>
              <w:t>Patient reported feedback:  ‘Do you feel enabled to manage your own health and wellbeing?’</w:t>
            </w:r>
          </w:p>
          <w:p w14:paraId="4483AB0E" w14:textId="77777777" w:rsidR="0012132A" w:rsidRDefault="0012132A" w:rsidP="00366196">
            <w:pPr>
              <w:rPr>
                <w:sz w:val="20"/>
              </w:rPr>
            </w:pPr>
          </w:p>
        </w:tc>
        <w:tc>
          <w:tcPr>
            <w:tcW w:w="3492" w:type="dxa"/>
          </w:tcPr>
          <w:p w14:paraId="0A460651" w14:textId="77777777" w:rsidR="0012132A" w:rsidRDefault="0012132A" w:rsidP="0006355D">
            <w:pPr>
              <w:rPr>
                <w:sz w:val="20"/>
              </w:rPr>
            </w:pPr>
            <w:r>
              <w:rPr>
                <w:sz w:val="20"/>
              </w:rPr>
              <w:t xml:space="preserve">3.3.a  </w:t>
            </w:r>
          </w:p>
          <w:p w14:paraId="3B6CF6D1" w14:textId="77777777" w:rsidR="0012132A" w:rsidRDefault="0012132A" w:rsidP="001E4FDD">
            <w:pPr>
              <w:rPr>
                <w:sz w:val="20"/>
              </w:rPr>
            </w:pPr>
            <w:r>
              <w:rPr>
                <w:sz w:val="20"/>
              </w:rPr>
              <w:t xml:space="preserve">Feedback must be obtained from </w:t>
            </w:r>
            <w:r w:rsidRPr="001E4FDD">
              <w:rPr>
                <w:b/>
                <w:sz w:val="20"/>
              </w:rPr>
              <w:t>10%</w:t>
            </w:r>
            <w:r>
              <w:rPr>
                <w:sz w:val="20"/>
              </w:rPr>
              <w:t xml:space="preserve"> of those using the service.  Using the scale, ‘</w:t>
            </w:r>
            <w:r w:rsidR="001E4FDD">
              <w:rPr>
                <w:sz w:val="20"/>
              </w:rPr>
              <w:t>n</w:t>
            </w:r>
            <w:r>
              <w:rPr>
                <w:sz w:val="20"/>
              </w:rPr>
              <w:t>ot at all’, ‘</w:t>
            </w:r>
            <w:r w:rsidR="001E4FDD">
              <w:rPr>
                <w:sz w:val="20"/>
              </w:rPr>
              <w:t>s</w:t>
            </w:r>
            <w:r>
              <w:rPr>
                <w:sz w:val="20"/>
              </w:rPr>
              <w:t>omewhat’ and ‘</w:t>
            </w:r>
            <w:r w:rsidR="001E4FDD">
              <w:rPr>
                <w:sz w:val="20"/>
              </w:rPr>
              <w:t>v</w:t>
            </w:r>
            <w:r>
              <w:rPr>
                <w:sz w:val="20"/>
              </w:rPr>
              <w:t xml:space="preserve">ery much’, </w:t>
            </w:r>
            <w:r w:rsidRPr="001E4FDD">
              <w:rPr>
                <w:b/>
                <w:sz w:val="20"/>
              </w:rPr>
              <w:t>9</w:t>
            </w:r>
            <w:r w:rsidR="00A17F66" w:rsidRPr="001E4FDD">
              <w:rPr>
                <w:b/>
                <w:sz w:val="20"/>
              </w:rPr>
              <w:t>0</w:t>
            </w:r>
            <w:r w:rsidRPr="001E4FDD">
              <w:rPr>
                <w:b/>
                <w:sz w:val="20"/>
              </w:rPr>
              <w:t>%</w:t>
            </w:r>
            <w:r>
              <w:rPr>
                <w:sz w:val="20"/>
              </w:rPr>
              <w:t xml:space="preserve"> report ‘very much’.</w:t>
            </w:r>
          </w:p>
        </w:tc>
      </w:tr>
      <w:tr w:rsidR="0012132A" w14:paraId="3161DFD0" w14:textId="77777777" w:rsidTr="004642CD">
        <w:trPr>
          <w:trHeight w:val="1119"/>
        </w:trPr>
        <w:tc>
          <w:tcPr>
            <w:tcW w:w="2122" w:type="dxa"/>
            <w:vMerge/>
          </w:tcPr>
          <w:p w14:paraId="2AAF2DCD" w14:textId="77777777" w:rsidR="0012132A" w:rsidRDefault="0012132A" w:rsidP="00392583">
            <w:pPr>
              <w:rPr>
                <w:sz w:val="20"/>
              </w:rPr>
            </w:pPr>
          </w:p>
        </w:tc>
        <w:tc>
          <w:tcPr>
            <w:tcW w:w="3402" w:type="dxa"/>
          </w:tcPr>
          <w:p w14:paraId="1D7CE5FF" w14:textId="77777777" w:rsidR="0012132A" w:rsidRDefault="0012132A" w:rsidP="00366196">
            <w:pPr>
              <w:rPr>
                <w:sz w:val="20"/>
              </w:rPr>
            </w:pPr>
            <w:r>
              <w:rPr>
                <w:sz w:val="20"/>
              </w:rPr>
              <w:t xml:space="preserve">3.4  </w:t>
            </w:r>
          </w:p>
          <w:p w14:paraId="5B9016EA" w14:textId="77777777" w:rsidR="0012132A" w:rsidRDefault="0012132A" w:rsidP="00366196">
            <w:pPr>
              <w:rPr>
                <w:sz w:val="20"/>
              </w:rPr>
            </w:pPr>
            <w:r>
              <w:rPr>
                <w:sz w:val="20"/>
              </w:rPr>
              <w:t>GP practice feedback: ‘Has access to the signposting service for reduced the call on your practice staffs’ time to deal with non-clinical conditions and enquiries?’</w:t>
            </w:r>
          </w:p>
        </w:tc>
        <w:tc>
          <w:tcPr>
            <w:tcW w:w="3492" w:type="dxa"/>
          </w:tcPr>
          <w:p w14:paraId="41CC0073" w14:textId="77777777" w:rsidR="0012132A" w:rsidRDefault="0012132A" w:rsidP="0006355D">
            <w:pPr>
              <w:rPr>
                <w:sz w:val="20"/>
              </w:rPr>
            </w:pPr>
            <w:r>
              <w:rPr>
                <w:sz w:val="20"/>
              </w:rPr>
              <w:t xml:space="preserve">3.4.a  </w:t>
            </w:r>
          </w:p>
          <w:p w14:paraId="4A3A15C4" w14:textId="77777777" w:rsidR="0012132A" w:rsidRDefault="0012132A" w:rsidP="00321EA2">
            <w:pPr>
              <w:rPr>
                <w:sz w:val="20"/>
              </w:rPr>
            </w:pPr>
            <w:r>
              <w:rPr>
                <w:sz w:val="20"/>
              </w:rPr>
              <w:t xml:space="preserve">Feedback must be obtained from </w:t>
            </w:r>
            <w:r w:rsidRPr="001E4FDD">
              <w:rPr>
                <w:b/>
                <w:sz w:val="20"/>
              </w:rPr>
              <w:t>10%</w:t>
            </w:r>
            <w:r>
              <w:rPr>
                <w:sz w:val="20"/>
              </w:rPr>
              <w:t xml:space="preserve"> of those using the service.  Using the scale, ‘</w:t>
            </w:r>
            <w:r w:rsidR="001E4FDD">
              <w:rPr>
                <w:sz w:val="20"/>
              </w:rPr>
              <w:t>n</w:t>
            </w:r>
            <w:r>
              <w:rPr>
                <w:sz w:val="20"/>
              </w:rPr>
              <w:t>ot at all’, ‘</w:t>
            </w:r>
            <w:r w:rsidR="001E4FDD">
              <w:rPr>
                <w:sz w:val="20"/>
              </w:rPr>
              <w:t>s</w:t>
            </w:r>
            <w:r>
              <w:rPr>
                <w:sz w:val="20"/>
              </w:rPr>
              <w:t>omewhat’ and ‘</w:t>
            </w:r>
            <w:r w:rsidR="001E4FDD">
              <w:rPr>
                <w:sz w:val="20"/>
              </w:rPr>
              <w:t>v</w:t>
            </w:r>
            <w:r>
              <w:rPr>
                <w:sz w:val="20"/>
              </w:rPr>
              <w:t xml:space="preserve">ery much’, </w:t>
            </w:r>
            <w:r w:rsidRPr="001E4FDD">
              <w:rPr>
                <w:b/>
                <w:sz w:val="20"/>
              </w:rPr>
              <w:t>9</w:t>
            </w:r>
            <w:r w:rsidR="007030BF" w:rsidRPr="001E4FDD">
              <w:rPr>
                <w:b/>
                <w:sz w:val="20"/>
              </w:rPr>
              <w:t>0</w:t>
            </w:r>
            <w:r w:rsidRPr="001E4FDD">
              <w:rPr>
                <w:b/>
                <w:sz w:val="20"/>
              </w:rPr>
              <w:t>%</w:t>
            </w:r>
            <w:r>
              <w:rPr>
                <w:sz w:val="20"/>
              </w:rPr>
              <w:t xml:space="preserve"> </w:t>
            </w:r>
            <w:r w:rsidR="00321EA2">
              <w:rPr>
                <w:sz w:val="20"/>
              </w:rPr>
              <w:t>must be</w:t>
            </w:r>
            <w:r>
              <w:rPr>
                <w:sz w:val="20"/>
              </w:rPr>
              <w:t xml:space="preserve"> ‘</w:t>
            </w:r>
            <w:r w:rsidRPr="00321EA2">
              <w:rPr>
                <w:b/>
                <w:sz w:val="20"/>
              </w:rPr>
              <w:t>very much</w:t>
            </w:r>
            <w:r>
              <w:rPr>
                <w:sz w:val="20"/>
              </w:rPr>
              <w:t>’.</w:t>
            </w:r>
          </w:p>
        </w:tc>
      </w:tr>
      <w:tr w:rsidR="0012132A" w14:paraId="75777862" w14:textId="77777777" w:rsidTr="009529E6">
        <w:trPr>
          <w:trHeight w:val="1464"/>
        </w:trPr>
        <w:tc>
          <w:tcPr>
            <w:tcW w:w="2122" w:type="dxa"/>
            <w:vMerge w:val="restart"/>
          </w:tcPr>
          <w:p w14:paraId="12D3FFB7" w14:textId="77777777" w:rsidR="0012132A" w:rsidRDefault="0012132A" w:rsidP="00B8032C">
            <w:pPr>
              <w:rPr>
                <w:sz w:val="20"/>
              </w:rPr>
            </w:pPr>
            <w:r>
              <w:rPr>
                <w:sz w:val="20"/>
              </w:rPr>
              <w:t>4.</w:t>
            </w:r>
          </w:p>
          <w:p w14:paraId="6A05B817" w14:textId="77777777" w:rsidR="0012132A" w:rsidRDefault="0012132A" w:rsidP="00B8032C">
            <w:pPr>
              <w:rPr>
                <w:sz w:val="20"/>
              </w:rPr>
            </w:pPr>
            <w:r>
              <w:rPr>
                <w:sz w:val="20"/>
              </w:rPr>
              <w:t>Enable more people to get into work as a means to improving their confidence, self-esteem and general mental health wellbeing.</w:t>
            </w:r>
          </w:p>
        </w:tc>
        <w:tc>
          <w:tcPr>
            <w:tcW w:w="3402" w:type="dxa"/>
          </w:tcPr>
          <w:p w14:paraId="7874356D" w14:textId="77777777" w:rsidR="0012132A" w:rsidRDefault="0012132A" w:rsidP="00994997">
            <w:pPr>
              <w:rPr>
                <w:sz w:val="20"/>
              </w:rPr>
            </w:pPr>
            <w:r>
              <w:rPr>
                <w:sz w:val="20"/>
              </w:rPr>
              <w:t xml:space="preserve">4.1  </w:t>
            </w:r>
          </w:p>
          <w:p w14:paraId="1D328618" w14:textId="77777777" w:rsidR="0012132A" w:rsidRDefault="007030BF" w:rsidP="00994997">
            <w:pPr>
              <w:rPr>
                <w:sz w:val="20"/>
              </w:rPr>
            </w:pPr>
            <w:r>
              <w:rPr>
                <w:sz w:val="20"/>
              </w:rPr>
              <w:t>Number of</w:t>
            </w:r>
            <w:r w:rsidR="0012132A">
              <w:rPr>
                <w:sz w:val="20"/>
              </w:rPr>
              <w:t xml:space="preserve"> health advocates that have moved on to paid employment after leaving the service</w:t>
            </w:r>
            <w:r w:rsidR="001E4FDD">
              <w:rPr>
                <w:sz w:val="20"/>
              </w:rPr>
              <w:t>.</w:t>
            </w:r>
          </w:p>
        </w:tc>
        <w:tc>
          <w:tcPr>
            <w:tcW w:w="3492" w:type="dxa"/>
          </w:tcPr>
          <w:p w14:paraId="364F04FC" w14:textId="77777777" w:rsidR="0012132A" w:rsidRDefault="0012132A" w:rsidP="00E414AF">
            <w:pPr>
              <w:rPr>
                <w:sz w:val="20"/>
              </w:rPr>
            </w:pPr>
            <w:r>
              <w:rPr>
                <w:sz w:val="20"/>
              </w:rPr>
              <w:t xml:space="preserve">4.1.a  </w:t>
            </w:r>
          </w:p>
          <w:p w14:paraId="107F0F37" w14:textId="77777777" w:rsidR="0012132A" w:rsidRDefault="0012132A" w:rsidP="001E4FDD">
            <w:pPr>
              <w:rPr>
                <w:sz w:val="20"/>
              </w:rPr>
            </w:pPr>
            <w:r w:rsidRPr="001E4FDD">
              <w:rPr>
                <w:b/>
                <w:sz w:val="20"/>
              </w:rPr>
              <w:t>50%</w:t>
            </w:r>
            <w:r>
              <w:rPr>
                <w:sz w:val="20"/>
              </w:rPr>
              <w:t xml:space="preserve"> of those leaving the service have moved on to paid employment within </w:t>
            </w:r>
            <w:r w:rsidRPr="00321EA2">
              <w:rPr>
                <w:b/>
                <w:sz w:val="20"/>
              </w:rPr>
              <w:t>three months</w:t>
            </w:r>
            <w:r>
              <w:rPr>
                <w:sz w:val="20"/>
              </w:rPr>
              <w:t xml:space="preserve"> of leaving the service</w:t>
            </w:r>
            <w:r w:rsidR="001E4FDD">
              <w:rPr>
                <w:sz w:val="20"/>
              </w:rPr>
              <w:t>.</w:t>
            </w:r>
          </w:p>
        </w:tc>
      </w:tr>
      <w:tr w:rsidR="0012132A" w14:paraId="271C1BF1" w14:textId="77777777" w:rsidTr="0012132A">
        <w:trPr>
          <w:trHeight w:val="1236"/>
        </w:trPr>
        <w:tc>
          <w:tcPr>
            <w:tcW w:w="2122" w:type="dxa"/>
            <w:vMerge/>
          </w:tcPr>
          <w:p w14:paraId="03524BC7" w14:textId="77777777" w:rsidR="0012132A" w:rsidRDefault="0012132A" w:rsidP="00B8032C">
            <w:pPr>
              <w:rPr>
                <w:sz w:val="20"/>
              </w:rPr>
            </w:pPr>
          </w:p>
        </w:tc>
        <w:tc>
          <w:tcPr>
            <w:tcW w:w="3402" w:type="dxa"/>
            <w:vMerge w:val="restart"/>
          </w:tcPr>
          <w:p w14:paraId="0731D4A8" w14:textId="77777777" w:rsidR="0012132A" w:rsidRDefault="0012132A" w:rsidP="00994997">
            <w:pPr>
              <w:rPr>
                <w:sz w:val="20"/>
              </w:rPr>
            </w:pPr>
            <w:r>
              <w:rPr>
                <w:sz w:val="20"/>
              </w:rPr>
              <w:t xml:space="preserve">4.2  </w:t>
            </w:r>
          </w:p>
          <w:p w14:paraId="1DB7EFD3" w14:textId="77777777" w:rsidR="0012132A" w:rsidRDefault="0012132A" w:rsidP="00994997">
            <w:pPr>
              <w:rPr>
                <w:sz w:val="20"/>
              </w:rPr>
            </w:pPr>
            <w:r>
              <w:rPr>
                <w:sz w:val="20"/>
              </w:rPr>
              <w:t>Developed and embedded pathway to paid employment for local Camden residents which links recruitment and training of volunteers to an opportunity to apply for paid employment in delivering health and social care services within the borough</w:t>
            </w:r>
            <w:r w:rsidR="001E4FDD">
              <w:rPr>
                <w:sz w:val="20"/>
              </w:rPr>
              <w:t>.</w:t>
            </w:r>
          </w:p>
        </w:tc>
        <w:tc>
          <w:tcPr>
            <w:tcW w:w="3492" w:type="dxa"/>
          </w:tcPr>
          <w:p w14:paraId="3478445D" w14:textId="77777777" w:rsidR="0012132A" w:rsidRDefault="0012132A" w:rsidP="009529E6">
            <w:pPr>
              <w:rPr>
                <w:sz w:val="20"/>
              </w:rPr>
            </w:pPr>
            <w:r>
              <w:rPr>
                <w:sz w:val="20"/>
              </w:rPr>
              <w:t xml:space="preserve">4.2.a  </w:t>
            </w:r>
          </w:p>
          <w:p w14:paraId="04E382C3" w14:textId="77777777" w:rsidR="0012132A" w:rsidRDefault="0012132A" w:rsidP="007030BF">
            <w:pPr>
              <w:rPr>
                <w:sz w:val="20"/>
              </w:rPr>
            </w:pPr>
            <w:r>
              <w:rPr>
                <w:sz w:val="20"/>
              </w:rPr>
              <w:t>Development o</w:t>
            </w:r>
            <w:r w:rsidR="00AE2D89">
              <w:rPr>
                <w:sz w:val="20"/>
              </w:rPr>
              <w:t xml:space="preserve">f pathway to be completed </w:t>
            </w:r>
            <w:r w:rsidR="007030BF">
              <w:rPr>
                <w:sz w:val="20"/>
              </w:rPr>
              <w:t xml:space="preserve">within </w:t>
            </w:r>
            <w:r w:rsidR="007030BF" w:rsidRPr="001E4FDD">
              <w:rPr>
                <w:b/>
                <w:sz w:val="20"/>
              </w:rPr>
              <w:t>two months</w:t>
            </w:r>
            <w:r w:rsidR="007030BF">
              <w:rPr>
                <w:sz w:val="20"/>
              </w:rPr>
              <w:t xml:space="preserve"> of contract start date</w:t>
            </w:r>
            <w:r w:rsidR="00AE2D89">
              <w:rPr>
                <w:sz w:val="20"/>
              </w:rPr>
              <w:t>.</w:t>
            </w:r>
          </w:p>
        </w:tc>
      </w:tr>
      <w:tr w:rsidR="0012132A" w14:paraId="54B35649" w14:textId="77777777" w:rsidTr="00CD0DB3">
        <w:trPr>
          <w:trHeight w:val="1236"/>
        </w:trPr>
        <w:tc>
          <w:tcPr>
            <w:tcW w:w="2122" w:type="dxa"/>
            <w:vMerge/>
          </w:tcPr>
          <w:p w14:paraId="7C68A502" w14:textId="77777777" w:rsidR="0012132A" w:rsidRDefault="0012132A" w:rsidP="00B8032C">
            <w:pPr>
              <w:rPr>
                <w:sz w:val="20"/>
              </w:rPr>
            </w:pPr>
          </w:p>
        </w:tc>
        <w:tc>
          <w:tcPr>
            <w:tcW w:w="3402" w:type="dxa"/>
            <w:vMerge/>
          </w:tcPr>
          <w:p w14:paraId="558F259D" w14:textId="77777777" w:rsidR="0012132A" w:rsidRDefault="0012132A" w:rsidP="00994997">
            <w:pPr>
              <w:rPr>
                <w:sz w:val="20"/>
              </w:rPr>
            </w:pPr>
          </w:p>
        </w:tc>
        <w:tc>
          <w:tcPr>
            <w:tcW w:w="3492" w:type="dxa"/>
          </w:tcPr>
          <w:p w14:paraId="6FA2DF35" w14:textId="77777777" w:rsidR="0012132A" w:rsidRDefault="0012132A" w:rsidP="009529E6">
            <w:pPr>
              <w:rPr>
                <w:sz w:val="20"/>
              </w:rPr>
            </w:pPr>
            <w:r>
              <w:rPr>
                <w:sz w:val="20"/>
              </w:rPr>
              <w:t xml:space="preserve">4.2.b  </w:t>
            </w:r>
          </w:p>
          <w:p w14:paraId="5659F907" w14:textId="77777777" w:rsidR="0012132A" w:rsidRDefault="0012132A" w:rsidP="009529E6">
            <w:pPr>
              <w:rPr>
                <w:sz w:val="20"/>
              </w:rPr>
            </w:pPr>
            <w:r>
              <w:rPr>
                <w:sz w:val="20"/>
              </w:rPr>
              <w:t>Embedding of pathwa</w:t>
            </w:r>
            <w:r w:rsidR="007030BF">
              <w:rPr>
                <w:sz w:val="20"/>
              </w:rPr>
              <w:t xml:space="preserve">y to be completed within </w:t>
            </w:r>
            <w:r w:rsidR="007030BF" w:rsidRPr="001E4FDD">
              <w:rPr>
                <w:b/>
                <w:sz w:val="20"/>
              </w:rPr>
              <w:t>four months</w:t>
            </w:r>
            <w:r w:rsidR="007030BF">
              <w:rPr>
                <w:sz w:val="20"/>
              </w:rPr>
              <w:t xml:space="preserve"> of contract start date</w:t>
            </w:r>
            <w:r>
              <w:rPr>
                <w:sz w:val="20"/>
              </w:rPr>
              <w:t>.</w:t>
            </w:r>
          </w:p>
        </w:tc>
      </w:tr>
      <w:tr w:rsidR="0012132A" w14:paraId="1F53B2EA" w14:textId="77777777" w:rsidTr="0012132A">
        <w:trPr>
          <w:trHeight w:val="1662"/>
        </w:trPr>
        <w:tc>
          <w:tcPr>
            <w:tcW w:w="2122" w:type="dxa"/>
            <w:vMerge w:val="restart"/>
          </w:tcPr>
          <w:p w14:paraId="7F021910" w14:textId="77777777" w:rsidR="0012132A" w:rsidRDefault="0012132A" w:rsidP="0006355D">
            <w:pPr>
              <w:rPr>
                <w:sz w:val="20"/>
              </w:rPr>
            </w:pPr>
            <w:r>
              <w:rPr>
                <w:sz w:val="20"/>
              </w:rPr>
              <w:t>5.</w:t>
            </w:r>
          </w:p>
          <w:p w14:paraId="0E888642" w14:textId="77777777" w:rsidR="0012132A" w:rsidRDefault="0012132A" w:rsidP="0006355D">
            <w:pPr>
              <w:rPr>
                <w:sz w:val="20"/>
              </w:rPr>
            </w:pPr>
            <w:r>
              <w:rPr>
                <w:sz w:val="20"/>
              </w:rPr>
              <w:t>Encourage people to live healthier lives.</w:t>
            </w:r>
          </w:p>
        </w:tc>
        <w:tc>
          <w:tcPr>
            <w:tcW w:w="3402" w:type="dxa"/>
            <w:vMerge w:val="restart"/>
          </w:tcPr>
          <w:p w14:paraId="269346CE" w14:textId="77777777" w:rsidR="001E4FDD" w:rsidRDefault="0012132A" w:rsidP="00994997">
            <w:pPr>
              <w:rPr>
                <w:sz w:val="20"/>
              </w:rPr>
            </w:pPr>
            <w:r>
              <w:rPr>
                <w:sz w:val="20"/>
              </w:rPr>
              <w:t xml:space="preserve">5.1  </w:t>
            </w:r>
          </w:p>
          <w:p w14:paraId="7B10027B" w14:textId="77777777" w:rsidR="0012132A" w:rsidRDefault="001E4FDD" w:rsidP="00994997">
            <w:pPr>
              <w:rPr>
                <w:sz w:val="20"/>
              </w:rPr>
            </w:pPr>
            <w:r>
              <w:rPr>
                <w:sz w:val="20"/>
              </w:rPr>
              <w:t xml:space="preserve">Number of </w:t>
            </w:r>
            <w:r w:rsidR="0012132A">
              <w:rPr>
                <w:sz w:val="20"/>
              </w:rPr>
              <w:t xml:space="preserve">people accessing the </w:t>
            </w:r>
            <w:r w:rsidR="0012132A" w:rsidRPr="001E4FDD">
              <w:rPr>
                <w:i/>
                <w:sz w:val="20"/>
              </w:rPr>
              <w:t>Expert Patient Programme</w:t>
            </w:r>
            <w:r w:rsidRPr="001E4FDD">
              <w:rPr>
                <w:sz w:val="20"/>
              </w:rPr>
              <w:t>.</w:t>
            </w:r>
          </w:p>
        </w:tc>
        <w:tc>
          <w:tcPr>
            <w:tcW w:w="3492" w:type="dxa"/>
          </w:tcPr>
          <w:p w14:paraId="303C2AFC" w14:textId="77777777" w:rsidR="0012132A" w:rsidRDefault="0012132A" w:rsidP="00E414AF">
            <w:pPr>
              <w:rPr>
                <w:sz w:val="20"/>
              </w:rPr>
            </w:pPr>
            <w:r>
              <w:rPr>
                <w:sz w:val="20"/>
              </w:rPr>
              <w:t xml:space="preserve">5.1.a  </w:t>
            </w:r>
          </w:p>
          <w:p w14:paraId="0F49DA98" w14:textId="77777777" w:rsidR="0012132A" w:rsidRDefault="0012132A" w:rsidP="007030BF">
            <w:pPr>
              <w:rPr>
                <w:sz w:val="20"/>
              </w:rPr>
            </w:pPr>
            <w:r w:rsidRPr="001E4FDD">
              <w:rPr>
                <w:b/>
                <w:sz w:val="20"/>
              </w:rPr>
              <w:t>9</w:t>
            </w:r>
            <w:r w:rsidR="007030BF" w:rsidRPr="001E4FDD">
              <w:rPr>
                <w:b/>
                <w:sz w:val="20"/>
              </w:rPr>
              <w:t>0</w:t>
            </w:r>
            <w:r w:rsidRPr="001E4FDD">
              <w:rPr>
                <w:b/>
                <w:sz w:val="20"/>
              </w:rPr>
              <w:t>%</w:t>
            </w:r>
            <w:r>
              <w:rPr>
                <w:sz w:val="20"/>
              </w:rPr>
              <w:t xml:space="preserve"> of people accessing the service and who are appropriate for the </w:t>
            </w:r>
            <w:r w:rsidRPr="001E4FDD">
              <w:rPr>
                <w:i/>
                <w:sz w:val="20"/>
              </w:rPr>
              <w:t>Expert Patient Programme</w:t>
            </w:r>
            <w:r>
              <w:rPr>
                <w:sz w:val="20"/>
              </w:rPr>
              <w:t xml:space="preserve"> should be referred in</w:t>
            </w:r>
            <w:r w:rsidR="001E4FDD">
              <w:rPr>
                <w:sz w:val="20"/>
              </w:rPr>
              <w:t xml:space="preserve"> to the service.</w:t>
            </w:r>
          </w:p>
        </w:tc>
      </w:tr>
      <w:tr w:rsidR="0012132A" w14:paraId="5CC93F07" w14:textId="77777777" w:rsidTr="00366196">
        <w:trPr>
          <w:trHeight w:val="1662"/>
        </w:trPr>
        <w:tc>
          <w:tcPr>
            <w:tcW w:w="2122" w:type="dxa"/>
            <w:vMerge/>
          </w:tcPr>
          <w:p w14:paraId="69038F9A" w14:textId="77777777" w:rsidR="0012132A" w:rsidRDefault="0012132A" w:rsidP="0006355D">
            <w:pPr>
              <w:rPr>
                <w:sz w:val="20"/>
              </w:rPr>
            </w:pPr>
          </w:p>
        </w:tc>
        <w:tc>
          <w:tcPr>
            <w:tcW w:w="3402" w:type="dxa"/>
            <w:vMerge/>
          </w:tcPr>
          <w:p w14:paraId="48A8E38E" w14:textId="77777777" w:rsidR="0012132A" w:rsidRDefault="0012132A" w:rsidP="00994997">
            <w:pPr>
              <w:rPr>
                <w:sz w:val="20"/>
              </w:rPr>
            </w:pPr>
          </w:p>
        </w:tc>
        <w:tc>
          <w:tcPr>
            <w:tcW w:w="3492" w:type="dxa"/>
          </w:tcPr>
          <w:p w14:paraId="122EABE9" w14:textId="77777777" w:rsidR="0012132A" w:rsidRDefault="0012132A" w:rsidP="0012132A">
            <w:pPr>
              <w:rPr>
                <w:sz w:val="20"/>
              </w:rPr>
            </w:pPr>
            <w:r>
              <w:rPr>
                <w:sz w:val="20"/>
              </w:rPr>
              <w:t xml:space="preserve">5.1.b  </w:t>
            </w:r>
          </w:p>
          <w:p w14:paraId="2385BDA6" w14:textId="77777777" w:rsidR="0012132A" w:rsidRDefault="007030BF" w:rsidP="00321EA2">
            <w:pPr>
              <w:rPr>
                <w:sz w:val="20"/>
              </w:rPr>
            </w:pPr>
            <w:r w:rsidRPr="001E4FDD">
              <w:rPr>
                <w:b/>
                <w:sz w:val="20"/>
              </w:rPr>
              <w:t>90</w:t>
            </w:r>
            <w:r w:rsidR="0012132A" w:rsidRPr="001E4FDD">
              <w:rPr>
                <w:b/>
                <w:sz w:val="20"/>
              </w:rPr>
              <w:t>%</w:t>
            </w:r>
            <w:r w:rsidR="0012132A">
              <w:rPr>
                <w:sz w:val="20"/>
              </w:rPr>
              <w:t xml:space="preserve"> of people referred into the Expert Patient Programme should still be registered with </w:t>
            </w:r>
            <w:r w:rsidR="001E4FDD">
              <w:rPr>
                <w:sz w:val="20"/>
              </w:rPr>
              <w:t>the service</w:t>
            </w:r>
            <w:r w:rsidR="0012132A">
              <w:rPr>
                <w:sz w:val="20"/>
              </w:rPr>
              <w:t xml:space="preserve"> </w:t>
            </w:r>
            <w:r w:rsidR="00321EA2" w:rsidRPr="00321EA2">
              <w:rPr>
                <w:b/>
                <w:i/>
                <w:sz w:val="20"/>
              </w:rPr>
              <w:t>n</w:t>
            </w:r>
            <w:r w:rsidR="0012132A">
              <w:rPr>
                <w:sz w:val="20"/>
              </w:rPr>
              <w:t xml:space="preserve"> months after first referral</w:t>
            </w:r>
            <w:r w:rsidR="001E4FDD">
              <w:rPr>
                <w:sz w:val="20"/>
              </w:rPr>
              <w:t xml:space="preserve"> from the Hub</w:t>
            </w:r>
            <w:r w:rsidR="0012132A">
              <w:rPr>
                <w:sz w:val="20"/>
              </w:rPr>
              <w:t>.</w:t>
            </w:r>
          </w:p>
        </w:tc>
      </w:tr>
      <w:tr w:rsidR="0012132A" w14:paraId="79BFD030" w14:textId="77777777" w:rsidTr="00994997">
        <w:trPr>
          <w:trHeight w:val="1002"/>
        </w:trPr>
        <w:tc>
          <w:tcPr>
            <w:tcW w:w="2122" w:type="dxa"/>
            <w:vMerge/>
          </w:tcPr>
          <w:p w14:paraId="2F83D273" w14:textId="77777777" w:rsidR="0012132A" w:rsidRDefault="0012132A" w:rsidP="0006355D">
            <w:pPr>
              <w:rPr>
                <w:sz w:val="20"/>
              </w:rPr>
            </w:pPr>
          </w:p>
        </w:tc>
        <w:tc>
          <w:tcPr>
            <w:tcW w:w="3402" w:type="dxa"/>
          </w:tcPr>
          <w:p w14:paraId="6F2D569F" w14:textId="77777777" w:rsidR="0012132A" w:rsidRDefault="0012132A" w:rsidP="00E6636C">
            <w:pPr>
              <w:keepNext/>
              <w:keepLines/>
              <w:rPr>
                <w:sz w:val="20"/>
              </w:rPr>
            </w:pPr>
            <w:r>
              <w:rPr>
                <w:sz w:val="20"/>
              </w:rPr>
              <w:t xml:space="preserve">5.2  </w:t>
            </w:r>
          </w:p>
          <w:p w14:paraId="39611197" w14:textId="77777777" w:rsidR="0012132A" w:rsidRDefault="0012132A" w:rsidP="00E6636C">
            <w:pPr>
              <w:keepNext/>
              <w:keepLines/>
              <w:rPr>
                <w:sz w:val="20"/>
              </w:rPr>
            </w:pPr>
            <w:r>
              <w:rPr>
                <w:sz w:val="20"/>
              </w:rPr>
              <w:t>Patient reported feedback:  ‘Have you made use of non-clinical services and support available to you?’</w:t>
            </w:r>
          </w:p>
        </w:tc>
        <w:tc>
          <w:tcPr>
            <w:tcW w:w="3492" w:type="dxa"/>
          </w:tcPr>
          <w:p w14:paraId="5BECA333" w14:textId="77777777" w:rsidR="0012132A" w:rsidRDefault="0012132A" w:rsidP="00E6636C">
            <w:pPr>
              <w:keepNext/>
              <w:keepLines/>
              <w:rPr>
                <w:sz w:val="20"/>
              </w:rPr>
            </w:pPr>
            <w:r>
              <w:rPr>
                <w:sz w:val="20"/>
              </w:rPr>
              <w:t xml:space="preserve">5.2.a  </w:t>
            </w:r>
          </w:p>
          <w:p w14:paraId="203DB119" w14:textId="77777777" w:rsidR="0012132A" w:rsidRDefault="0012132A" w:rsidP="00E6636C">
            <w:pPr>
              <w:keepNext/>
              <w:keepLines/>
              <w:rPr>
                <w:sz w:val="20"/>
              </w:rPr>
            </w:pPr>
            <w:r>
              <w:rPr>
                <w:sz w:val="20"/>
              </w:rPr>
              <w:t xml:space="preserve">Feedback must be obtained from </w:t>
            </w:r>
            <w:r w:rsidRPr="001E4FDD">
              <w:rPr>
                <w:b/>
                <w:sz w:val="20"/>
              </w:rPr>
              <w:t>10%</w:t>
            </w:r>
            <w:r>
              <w:rPr>
                <w:sz w:val="20"/>
              </w:rPr>
              <w:t xml:space="preserve"> of those using the service.  </w:t>
            </w:r>
            <w:r w:rsidRPr="001E4FDD">
              <w:rPr>
                <w:b/>
                <w:sz w:val="20"/>
              </w:rPr>
              <w:t>9</w:t>
            </w:r>
            <w:r w:rsidR="007030BF" w:rsidRPr="001E4FDD">
              <w:rPr>
                <w:b/>
                <w:sz w:val="20"/>
              </w:rPr>
              <w:t>0</w:t>
            </w:r>
            <w:r w:rsidRPr="001E4FDD">
              <w:rPr>
                <w:b/>
                <w:sz w:val="20"/>
              </w:rPr>
              <w:t>%</w:t>
            </w:r>
            <w:r>
              <w:rPr>
                <w:sz w:val="20"/>
              </w:rPr>
              <w:t xml:space="preserve"> report ‘</w:t>
            </w:r>
            <w:r w:rsidRPr="001E4FDD">
              <w:rPr>
                <w:b/>
                <w:sz w:val="20"/>
              </w:rPr>
              <w:t>yes</w:t>
            </w:r>
            <w:r>
              <w:rPr>
                <w:sz w:val="20"/>
              </w:rPr>
              <w:t>’.</w:t>
            </w:r>
          </w:p>
        </w:tc>
      </w:tr>
      <w:tr w:rsidR="0012132A" w14:paraId="107D6F60" w14:textId="77777777" w:rsidTr="009529E6">
        <w:trPr>
          <w:trHeight w:val="1002"/>
        </w:trPr>
        <w:tc>
          <w:tcPr>
            <w:tcW w:w="2122" w:type="dxa"/>
            <w:vMerge/>
          </w:tcPr>
          <w:p w14:paraId="4EA2C5E9" w14:textId="77777777" w:rsidR="0012132A" w:rsidRDefault="0012132A" w:rsidP="0006355D">
            <w:pPr>
              <w:rPr>
                <w:sz w:val="20"/>
              </w:rPr>
            </w:pPr>
          </w:p>
        </w:tc>
        <w:tc>
          <w:tcPr>
            <w:tcW w:w="3402" w:type="dxa"/>
          </w:tcPr>
          <w:p w14:paraId="558F5AE1" w14:textId="77777777" w:rsidR="00AE2D89" w:rsidRDefault="0012132A" w:rsidP="00AE2D89">
            <w:pPr>
              <w:rPr>
                <w:sz w:val="20"/>
              </w:rPr>
            </w:pPr>
            <w:r>
              <w:rPr>
                <w:sz w:val="20"/>
              </w:rPr>
              <w:t>5.2</w:t>
            </w:r>
          </w:p>
          <w:p w14:paraId="779E3E67" w14:textId="77777777" w:rsidR="0012132A" w:rsidRDefault="0012132A" w:rsidP="00AE2D89">
            <w:pPr>
              <w:rPr>
                <w:sz w:val="20"/>
              </w:rPr>
            </w:pPr>
            <w:r>
              <w:rPr>
                <w:sz w:val="20"/>
              </w:rPr>
              <w:t>Patient reported feedback:  ‘Do you feel enabled to manage your own health and wellbeing?’</w:t>
            </w:r>
          </w:p>
        </w:tc>
        <w:tc>
          <w:tcPr>
            <w:tcW w:w="3492" w:type="dxa"/>
          </w:tcPr>
          <w:p w14:paraId="0CCCFF5D" w14:textId="77777777" w:rsidR="0012132A" w:rsidRDefault="0012132A" w:rsidP="00994997">
            <w:pPr>
              <w:rPr>
                <w:sz w:val="20"/>
              </w:rPr>
            </w:pPr>
            <w:r>
              <w:rPr>
                <w:sz w:val="20"/>
              </w:rPr>
              <w:t xml:space="preserve">5.2.a  </w:t>
            </w:r>
          </w:p>
          <w:p w14:paraId="2F6D55B3" w14:textId="77777777" w:rsidR="0012132A" w:rsidRDefault="0012132A" w:rsidP="00321EA2">
            <w:pPr>
              <w:rPr>
                <w:sz w:val="20"/>
              </w:rPr>
            </w:pPr>
            <w:r>
              <w:rPr>
                <w:sz w:val="20"/>
              </w:rPr>
              <w:t xml:space="preserve">Feedback must be obtained from </w:t>
            </w:r>
            <w:r w:rsidRPr="001E4FDD">
              <w:rPr>
                <w:b/>
                <w:sz w:val="20"/>
              </w:rPr>
              <w:t>10%</w:t>
            </w:r>
            <w:r>
              <w:rPr>
                <w:sz w:val="20"/>
              </w:rPr>
              <w:t xml:space="preserve"> of those using the service.  Using the scale, ‘</w:t>
            </w:r>
            <w:r w:rsidR="001E4FDD">
              <w:rPr>
                <w:sz w:val="20"/>
              </w:rPr>
              <w:t>n</w:t>
            </w:r>
            <w:r>
              <w:rPr>
                <w:sz w:val="20"/>
              </w:rPr>
              <w:t>ot at all’, ‘</w:t>
            </w:r>
            <w:r w:rsidR="001E4FDD">
              <w:rPr>
                <w:sz w:val="20"/>
              </w:rPr>
              <w:t>s</w:t>
            </w:r>
            <w:r>
              <w:rPr>
                <w:sz w:val="20"/>
              </w:rPr>
              <w:t>omewhat’ and ‘</w:t>
            </w:r>
            <w:r w:rsidR="001E4FDD">
              <w:rPr>
                <w:sz w:val="20"/>
              </w:rPr>
              <w:t>v</w:t>
            </w:r>
            <w:r>
              <w:rPr>
                <w:sz w:val="20"/>
              </w:rPr>
              <w:t xml:space="preserve">ery much’, </w:t>
            </w:r>
            <w:r w:rsidRPr="001E4FDD">
              <w:rPr>
                <w:b/>
                <w:sz w:val="20"/>
              </w:rPr>
              <w:t>9</w:t>
            </w:r>
            <w:r w:rsidR="007030BF" w:rsidRPr="001E4FDD">
              <w:rPr>
                <w:b/>
                <w:sz w:val="20"/>
              </w:rPr>
              <w:t>0</w:t>
            </w:r>
            <w:r w:rsidRPr="001E4FDD">
              <w:rPr>
                <w:b/>
                <w:sz w:val="20"/>
              </w:rPr>
              <w:t>%</w:t>
            </w:r>
            <w:r>
              <w:rPr>
                <w:sz w:val="20"/>
              </w:rPr>
              <w:t xml:space="preserve"> </w:t>
            </w:r>
            <w:r w:rsidR="00321EA2">
              <w:rPr>
                <w:sz w:val="20"/>
              </w:rPr>
              <w:t>must be</w:t>
            </w:r>
            <w:r>
              <w:rPr>
                <w:sz w:val="20"/>
              </w:rPr>
              <w:t xml:space="preserve"> ‘very much’.</w:t>
            </w:r>
          </w:p>
        </w:tc>
      </w:tr>
      <w:tr w:rsidR="0012132A" w14:paraId="39B2C410" w14:textId="77777777" w:rsidTr="00AE2D89">
        <w:trPr>
          <w:trHeight w:val="2103"/>
        </w:trPr>
        <w:tc>
          <w:tcPr>
            <w:tcW w:w="2122" w:type="dxa"/>
            <w:vMerge/>
          </w:tcPr>
          <w:p w14:paraId="372663F5" w14:textId="77777777" w:rsidR="0012132A" w:rsidRDefault="0012132A" w:rsidP="0006355D">
            <w:pPr>
              <w:rPr>
                <w:sz w:val="20"/>
              </w:rPr>
            </w:pPr>
          </w:p>
        </w:tc>
        <w:tc>
          <w:tcPr>
            <w:tcW w:w="3402" w:type="dxa"/>
          </w:tcPr>
          <w:p w14:paraId="56D57CAD" w14:textId="77777777" w:rsidR="0012132A" w:rsidRDefault="0012132A" w:rsidP="00994997">
            <w:pPr>
              <w:rPr>
                <w:sz w:val="20"/>
              </w:rPr>
            </w:pPr>
            <w:r>
              <w:rPr>
                <w:sz w:val="20"/>
              </w:rPr>
              <w:t xml:space="preserve">5.3  </w:t>
            </w:r>
          </w:p>
          <w:p w14:paraId="571CEE69" w14:textId="77777777" w:rsidR="0012132A" w:rsidRDefault="0012132A" w:rsidP="0006355D">
            <w:pPr>
              <w:rPr>
                <w:sz w:val="20"/>
              </w:rPr>
            </w:pPr>
            <w:r>
              <w:rPr>
                <w:sz w:val="20"/>
              </w:rPr>
              <w:t xml:space="preserve">GP and practice staff feedback:  ‘Has access to the service increased your awareness of the non-clinical services and support available to you to refer patients to </w:t>
            </w:r>
            <w:r>
              <w:rPr>
                <w:sz w:val="20"/>
              </w:rPr>
              <w:lastRenderedPageBreak/>
              <w:t>promote their health and wellbeing?’</w:t>
            </w:r>
          </w:p>
        </w:tc>
        <w:tc>
          <w:tcPr>
            <w:tcW w:w="3492" w:type="dxa"/>
          </w:tcPr>
          <w:p w14:paraId="0BF30BC3" w14:textId="77777777" w:rsidR="0012132A" w:rsidRDefault="0012132A" w:rsidP="00E414AF">
            <w:pPr>
              <w:rPr>
                <w:sz w:val="20"/>
              </w:rPr>
            </w:pPr>
            <w:r>
              <w:rPr>
                <w:sz w:val="20"/>
              </w:rPr>
              <w:lastRenderedPageBreak/>
              <w:t xml:space="preserve">5.3.a  </w:t>
            </w:r>
          </w:p>
          <w:p w14:paraId="0616F49C" w14:textId="77777777" w:rsidR="0012132A" w:rsidRDefault="0012132A" w:rsidP="00321EA2">
            <w:pPr>
              <w:rPr>
                <w:sz w:val="20"/>
              </w:rPr>
            </w:pPr>
            <w:r>
              <w:rPr>
                <w:sz w:val="20"/>
              </w:rPr>
              <w:t xml:space="preserve">Feedback must be obtained from </w:t>
            </w:r>
            <w:r w:rsidRPr="001E4FDD">
              <w:rPr>
                <w:b/>
                <w:sz w:val="20"/>
              </w:rPr>
              <w:t>10%</w:t>
            </w:r>
            <w:r>
              <w:rPr>
                <w:sz w:val="20"/>
              </w:rPr>
              <w:t xml:space="preserve"> of those using the service.  Using the scale, ‘</w:t>
            </w:r>
            <w:r w:rsidR="001E4FDD">
              <w:rPr>
                <w:sz w:val="20"/>
              </w:rPr>
              <w:t>n</w:t>
            </w:r>
            <w:r>
              <w:rPr>
                <w:sz w:val="20"/>
              </w:rPr>
              <w:t>ot at all’, ‘</w:t>
            </w:r>
            <w:r w:rsidR="001E4FDD">
              <w:rPr>
                <w:sz w:val="20"/>
              </w:rPr>
              <w:t>s</w:t>
            </w:r>
            <w:r>
              <w:rPr>
                <w:sz w:val="20"/>
              </w:rPr>
              <w:t>omewhat’ and ‘</w:t>
            </w:r>
            <w:r w:rsidR="001E4FDD">
              <w:rPr>
                <w:sz w:val="20"/>
              </w:rPr>
              <w:t>v</w:t>
            </w:r>
            <w:r>
              <w:rPr>
                <w:sz w:val="20"/>
              </w:rPr>
              <w:t xml:space="preserve">ery much’, </w:t>
            </w:r>
            <w:r w:rsidRPr="001E4FDD">
              <w:rPr>
                <w:b/>
                <w:sz w:val="20"/>
              </w:rPr>
              <w:t>9</w:t>
            </w:r>
            <w:r w:rsidR="007030BF" w:rsidRPr="001E4FDD">
              <w:rPr>
                <w:b/>
                <w:sz w:val="20"/>
              </w:rPr>
              <w:t>0</w:t>
            </w:r>
            <w:r w:rsidRPr="001E4FDD">
              <w:rPr>
                <w:b/>
                <w:sz w:val="20"/>
              </w:rPr>
              <w:t>%</w:t>
            </w:r>
            <w:r>
              <w:rPr>
                <w:sz w:val="20"/>
              </w:rPr>
              <w:t xml:space="preserve"> </w:t>
            </w:r>
            <w:r w:rsidR="00321EA2">
              <w:rPr>
                <w:sz w:val="20"/>
              </w:rPr>
              <w:t>must be</w:t>
            </w:r>
            <w:r>
              <w:rPr>
                <w:sz w:val="20"/>
              </w:rPr>
              <w:t xml:space="preserve"> ‘</w:t>
            </w:r>
            <w:r w:rsidRPr="00321EA2">
              <w:rPr>
                <w:b/>
                <w:sz w:val="20"/>
              </w:rPr>
              <w:t>very much</w:t>
            </w:r>
            <w:r>
              <w:rPr>
                <w:sz w:val="20"/>
              </w:rPr>
              <w:t>’.</w:t>
            </w:r>
          </w:p>
        </w:tc>
      </w:tr>
      <w:tr w:rsidR="004623EF" w14:paraId="43B95E2D" w14:textId="77777777" w:rsidTr="009529E6">
        <w:tc>
          <w:tcPr>
            <w:tcW w:w="2122" w:type="dxa"/>
          </w:tcPr>
          <w:p w14:paraId="1A1866EB" w14:textId="77777777" w:rsidR="00366196" w:rsidRDefault="00366196" w:rsidP="0006355D">
            <w:pPr>
              <w:rPr>
                <w:sz w:val="20"/>
              </w:rPr>
            </w:pPr>
            <w:r>
              <w:rPr>
                <w:sz w:val="20"/>
              </w:rPr>
              <w:t>6.</w:t>
            </w:r>
          </w:p>
          <w:p w14:paraId="3530F554" w14:textId="77777777" w:rsidR="004623EF" w:rsidRDefault="004623EF" w:rsidP="0006355D">
            <w:pPr>
              <w:rPr>
                <w:sz w:val="20"/>
              </w:rPr>
            </w:pPr>
            <w:r>
              <w:rPr>
                <w:sz w:val="20"/>
              </w:rPr>
              <w:t xml:space="preserve">Enable </w:t>
            </w:r>
            <w:r w:rsidR="00C04D70">
              <w:rPr>
                <w:sz w:val="20"/>
              </w:rPr>
              <w:t xml:space="preserve">more </w:t>
            </w:r>
            <w:r>
              <w:rPr>
                <w:sz w:val="20"/>
              </w:rPr>
              <w:t xml:space="preserve">people from the local community to work in a healthcare setting and in particular to ensure the workforce </w:t>
            </w:r>
            <w:r w:rsidR="00C04D70">
              <w:rPr>
                <w:sz w:val="20"/>
              </w:rPr>
              <w:t xml:space="preserve">better </w:t>
            </w:r>
            <w:r>
              <w:rPr>
                <w:sz w:val="20"/>
              </w:rPr>
              <w:t>reflects the diversity of the borough.</w:t>
            </w:r>
          </w:p>
        </w:tc>
        <w:tc>
          <w:tcPr>
            <w:tcW w:w="3402" w:type="dxa"/>
          </w:tcPr>
          <w:p w14:paraId="32405495" w14:textId="77777777" w:rsidR="0012132A" w:rsidRDefault="00366196" w:rsidP="00C04D70">
            <w:pPr>
              <w:rPr>
                <w:sz w:val="20"/>
              </w:rPr>
            </w:pPr>
            <w:r>
              <w:rPr>
                <w:sz w:val="20"/>
              </w:rPr>
              <w:t>6.1</w:t>
            </w:r>
            <w:r w:rsidR="00994997">
              <w:rPr>
                <w:sz w:val="20"/>
              </w:rPr>
              <w:t xml:space="preserve">  </w:t>
            </w:r>
          </w:p>
          <w:p w14:paraId="68F9B364" w14:textId="77777777" w:rsidR="00C04D70" w:rsidRDefault="00C04D70" w:rsidP="00C04D70">
            <w:pPr>
              <w:rPr>
                <w:sz w:val="20"/>
              </w:rPr>
            </w:pPr>
            <w:r>
              <w:rPr>
                <w:sz w:val="20"/>
              </w:rPr>
              <w:t>E</w:t>
            </w:r>
            <w:r w:rsidR="004623EF">
              <w:rPr>
                <w:sz w:val="20"/>
              </w:rPr>
              <w:t xml:space="preserve">mployment </w:t>
            </w:r>
            <w:r>
              <w:rPr>
                <w:sz w:val="20"/>
              </w:rPr>
              <w:t xml:space="preserve">destination, age and ethnicity of those health advocates that have moved on to paid employment after leaving the service </w:t>
            </w:r>
          </w:p>
          <w:p w14:paraId="4E63E64F" w14:textId="77777777" w:rsidR="004623EF" w:rsidRDefault="004623EF" w:rsidP="00C04D70">
            <w:pPr>
              <w:rPr>
                <w:sz w:val="20"/>
              </w:rPr>
            </w:pPr>
          </w:p>
        </w:tc>
        <w:tc>
          <w:tcPr>
            <w:tcW w:w="3492" w:type="dxa"/>
          </w:tcPr>
          <w:p w14:paraId="69873C83" w14:textId="77777777" w:rsidR="0012132A" w:rsidRDefault="00994997" w:rsidP="00C04D70">
            <w:pPr>
              <w:rPr>
                <w:sz w:val="20"/>
              </w:rPr>
            </w:pPr>
            <w:r>
              <w:rPr>
                <w:sz w:val="20"/>
              </w:rPr>
              <w:t>6.1</w:t>
            </w:r>
            <w:r w:rsidR="0012132A">
              <w:rPr>
                <w:sz w:val="20"/>
              </w:rPr>
              <w:t>.a</w:t>
            </w:r>
            <w:r>
              <w:rPr>
                <w:sz w:val="20"/>
              </w:rPr>
              <w:t xml:space="preserve">  </w:t>
            </w:r>
          </w:p>
          <w:p w14:paraId="0429694D" w14:textId="77777777" w:rsidR="004623EF" w:rsidRDefault="00C94F66" w:rsidP="00321EA2">
            <w:pPr>
              <w:rPr>
                <w:sz w:val="20"/>
              </w:rPr>
            </w:pPr>
            <w:r>
              <w:rPr>
                <w:sz w:val="20"/>
              </w:rPr>
              <w:t>O</w:t>
            </w:r>
            <w:r w:rsidR="00C04D70">
              <w:rPr>
                <w:sz w:val="20"/>
              </w:rPr>
              <w:t xml:space="preserve">f those who </w:t>
            </w:r>
            <w:r w:rsidR="001E4FDD">
              <w:rPr>
                <w:sz w:val="20"/>
              </w:rPr>
              <w:t xml:space="preserve">have </w:t>
            </w:r>
            <w:r>
              <w:rPr>
                <w:sz w:val="20"/>
              </w:rPr>
              <w:t xml:space="preserve">entered paid employment within </w:t>
            </w:r>
            <w:r w:rsidRPr="00321EA2">
              <w:rPr>
                <w:b/>
                <w:sz w:val="20"/>
              </w:rPr>
              <w:t>three months</w:t>
            </w:r>
            <w:r>
              <w:rPr>
                <w:sz w:val="20"/>
              </w:rPr>
              <w:t xml:space="preserve"> of having </w:t>
            </w:r>
            <w:r w:rsidR="001E4FDD">
              <w:rPr>
                <w:sz w:val="20"/>
              </w:rPr>
              <w:t xml:space="preserve">left the </w:t>
            </w:r>
            <w:r>
              <w:rPr>
                <w:sz w:val="20"/>
              </w:rPr>
              <w:t xml:space="preserve">Hub, </w:t>
            </w:r>
            <w:r w:rsidRPr="001E4FDD">
              <w:rPr>
                <w:b/>
                <w:sz w:val="20"/>
              </w:rPr>
              <w:t>35%</w:t>
            </w:r>
            <w:r>
              <w:rPr>
                <w:sz w:val="20"/>
              </w:rPr>
              <w:t xml:space="preserve"> should be </w:t>
            </w:r>
            <w:r w:rsidR="00C04D70">
              <w:rPr>
                <w:sz w:val="20"/>
              </w:rPr>
              <w:t>BMER</w:t>
            </w:r>
            <w:r>
              <w:rPr>
                <w:sz w:val="20"/>
              </w:rPr>
              <w:t>.</w:t>
            </w:r>
          </w:p>
        </w:tc>
      </w:tr>
    </w:tbl>
    <w:p w14:paraId="395ECED2" w14:textId="77777777" w:rsidR="00574A66" w:rsidRPr="00DF4267" w:rsidRDefault="007F4296" w:rsidP="0006355D">
      <w:pPr>
        <w:rPr>
          <w:sz w:val="20"/>
        </w:rPr>
      </w:pPr>
      <w:r>
        <w:rPr>
          <w:sz w:val="20"/>
        </w:rPr>
        <w:br/>
      </w:r>
    </w:p>
    <w:p w14:paraId="05312C67" w14:textId="77777777" w:rsidR="00574A66" w:rsidRPr="00B5552C" w:rsidRDefault="00574A66" w:rsidP="0006355D">
      <w:pPr>
        <w:pStyle w:val="Heading1"/>
      </w:pPr>
      <w:r w:rsidRPr="00B5552C">
        <w:t>Scope</w:t>
      </w:r>
    </w:p>
    <w:p w14:paraId="4A81244A" w14:textId="77777777" w:rsidR="00574A66" w:rsidRPr="00F47C01" w:rsidRDefault="00574A66" w:rsidP="0006355D">
      <w:pPr>
        <w:pStyle w:val="Heading2"/>
      </w:pPr>
      <w:r w:rsidRPr="00F47C01">
        <w:t>Aims and objectives of service</w:t>
      </w:r>
    </w:p>
    <w:p w14:paraId="5759FF8D" w14:textId="77777777" w:rsidR="00574A66" w:rsidRDefault="00574A66" w:rsidP="00DD4CEE">
      <w:r>
        <w:t>The service will:</w:t>
      </w:r>
    </w:p>
    <w:p w14:paraId="32ADA7CE" w14:textId="77777777" w:rsidR="00574A66" w:rsidRDefault="00020046" w:rsidP="006871BA">
      <w:pPr>
        <w:pStyle w:val="ListParagraph"/>
        <w:numPr>
          <w:ilvl w:val="0"/>
          <w:numId w:val="12"/>
        </w:numPr>
      </w:pPr>
      <w:r>
        <w:t>B</w:t>
      </w:r>
      <w:r w:rsidR="00C94F66">
        <w:t xml:space="preserve">e </w:t>
      </w:r>
      <w:r w:rsidR="00574A66">
        <w:t xml:space="preserve">a presence in </w:t>
      </w:r>
      <w:r w:rsidR="00574A66" w:rsidRPr="00673BC0">
        <w:rPr>
          <w:b/>
        </w:rPr>
        <w:t>GP practices</w:t>
      </w:r>
      <w:r w:rsidR="00574A66">
        <w:t xml:space="preserve"> and other </w:t>
      </w:r>
      <w:r w:rsidR="00574A66" w:rsidRPr="00673BC0">
        <w:rPr>
          <w:b/>
        </w:rPr>
        <w:t>community services</w:t>
      </w:r>
      <w:r w:rsidR="007F4296">
        <w:t xml:space="preserve"> bases</w:t>
      </w:r>
    </w:p>
    <w:p w14:paraId="4B0B4CAC" w14:textId="77777777" w:rsidR="00574A66" w:rsidRDefault="00020046" w:rsidP="006871BA">
      <w:pPr>
        <w:pStyle w:val="ListParagraph"/>
        <w:numPr>
          <w:ilvl w:val="0"/>
          <w:numId w:val="12"/>
        </w:numPr>
      </w:pPr>
      <w:r>
        <w:rPr>
          <w:b/>
        </w:rPr>
        <w:t>D</w:t>
      </w:r>
      <w:r w:rsidR="00574A66" w:rsidRPr="00673BC0">
        <w:rPr>
          <w:b/>
        </w:rPr>
        <w:t>eliver advice</w:t>
      </w:r>
      <w:r w:rsidR="00574A66">
        <w:t xml:space="preserve"> to patients on what healthcare services are available</w:t>
      </w:r>
    </w:p>
    <w:p w14:paraId="0B893D3A" w14:textId="77777777" w:rsidR="00574A66" w:rsidRDefault="00020046" w:rsidP="006871BA">
      <w:pPr>
        <w:pStyle w:val="ListParagraph"/>
        <w:numPr>
          <w:ilvl w:val="0"/>
          <w:numId w:val="12"/>
        </w:numPr>
      </w:pPr>
      <w:r>
        <w:rPr>
          <w:b/>
        </w:rPr>
        <w:t>S</w:t>
      </w:r>
      <w:r w:rsidR="00574A66" w:rsidRPr="00673BC0">
        <w:rPr>
          <w:b/>
        </w:rPr>
        <w:t>ignpost</w:t>
      </w:r>
      <w:r w:rsidR="00574A66">
        <w:t xml:space="preserve"> patients to other services which may be of benefit</w:t>
      </w:r>
    </w:p>
    <w:p w14:paraId="2AFE8C46" w14:textId="77777777" w:rsidR="007F4296" w:rsidRPr="006871BA" w:rsidRDefault="007F4296" w:rsidP="006871BA">
      <w:pPr>
        <w:pStyle w:val="ListParagraph"/>
        <w:numPr>
          <w:ilvl w:val="0"/>
          <w:numId w:val="12"/>
        </w:numPr>
      </w:pPr>
      <w:r>
        <w:rPr>
          <w:b/>
        </w:rPr>
        <w:t xml:space="preserve">Improve the general health and wellbeing </w:t>
      </w:r>
      <w:r>
        <w:t xml:space="preserve">of Camden residents </w:t>
      </w:r>
    </w:p>
    <w:p w14:paraId="025827BC" w14:textId="77777777" w:rsidR="00574A66" w:rsidRPr="00390A2D" w:rsidRDefault="00574A66" w:rsidP="0006355D">
      <w:pPr>
        <w:rPr>
          <w:color w:val="009966"/>
          <w:sz w:val="20"/>
        </w:rPr>
      </w:pPr>
    </w:p>
    <w:p w14:paraId="0AF903A8" w14:textId="77777777" w:rsidR="00574A66" w:rsidRDefault="00574A66" w:rsidP="0006355D">
      <w:pPr>
        <w:pStyle w:val="Heading2"/>
      </w:pPr>
      <w:r w:rsidRPr="00F47C01">
        <w:t>Service description/care pathway</w:t>
      </w:r>
    </w:p>
    <w:p w14:paraId="0E0E0BE5" w14:textId="77777777" w:rsidR="00574A66" w:rsidRPr="00DD4CEE" w:rsidRDefault="00574A66" w:rsidP="00DD4CEE">
      <w:r>
        <w:t xml:space="preserve">The diagram </w:t>
      </w:r>
      <w:r w:rsidR="00C94F66">
        <w:t>overleaf</w:t>
      </w:r>
      <w:r>
        <w:t xml:space="preserve"> sets out the expected patient journey.</w:t>
      </w:r>
    </w:p>
    <w:p w14:paraId="4BEAFBB7" w14:textId="77777777" w:rsidR="00390025" w:rsidRDefault="00390025" w:rsidP="00390025">
      <w:pPr>
        <w:pStyle w:val="Caption"/>
        <w:keepNext/>
        <w:jc w:val="center"/>
      </w:pPr>
      <w:r>
        <w:lastRenderedPageBreak/>
        <w:t xml:space="preserve">Figure </w:t>
      </w:r>
      <w:r>
        <w:fldChar w:fldCharType="begin"/>
      </w:r>
      <w:r>
        <w:instrText xml:space="preserve"> SEQ Figure \* ARABIC </w:instrText>
      </w:r>
      <w:r>
        <w:fldChar w:fldCharType="separate"/>
      </w:r>
      <w:r w:rsidR="00B349C7">
        <w:rPr>
          <w:noProof/>
        </w:rPr>
        <w:t>1</w:t>
      </w:r>
      <w:r>
        <w:fldChar w:fldCharType="end"/>
      </w:r>
      <w:r>
        <w:t xml:space="preserve"> Patient Pathway</w:t>
      </w:r>
    </w:p>
    <w:p w14:paraId="10C77A88" w14:textId="77777777" w:rsidR="00574A66" w:rsidRPr="00390A2D" w:rsidRDefault="00390025" w:rsidP="00673BC0">
      <w:pPr>
        <w:jc w:val="center"/>
        <w:rPr>
          <w:color w:val="009966"/>
          <w:sz w:val="20"/>
        </w:rPr>
      </w:pPr>
      <w:r w:rsidRPr="00390025">
        <w:rPr>
          <w:noProof/>
          <w:lang w:val="en-GB" w:eastAsia="en-GB"/>
        </w:rPr>
        <w:drawing>
          <wp:inline distT="0" distB="0" distL="0" distR="0" wp14:anchorId="6D9F24AD" wp14:editId="0D4EE0C2">
            <wp:extent cx="3708677" cy="5943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453" cy="5949652"/>
                    </a:xfrm>
                    <a:prstGeom prst="rect">
                      <a:avLst/>
                    </a:prstGeom>
                    <a:noFill/>
                    <a:ln>
                      <a:noFill/>
                    </a:ln>
                  </pic:spPr>
                </pic:pic>
              </a:graphicData>
            </a:graphic>
          </wp:inline>
        </w:drawing>
      </w:r>
    </w:p>
    <w:p w14:paraId="4FB46382" w14:textId="77777777" w:rsidR="00574A66" w:rsidRPr="00390A2D" w:rsidRDefault="00574A66" w:rsidP="0006355D">
      <w:pPr>
        <w:rPr>
          <w:color w:val="009966"/>
          <w:sz w:val="20"/>
        </w:rPr>
      </w:pPr>
    </w:p>
    <w:p w14:paraId="565A6398" w14:textId="77777777" w:rsidR="00574A66" w:rsidRPr="00F47C01" w:rsidRDefault="00574A66" w:rsidP="0006355D">
      <w:pPr>
        <w:pStyle w:val="Heading2"/>
      </w:pPr>
      <w:r w:rsidRPr="00F47C01">
        <w:t>Population covered</w:t>
      </w:r>
    </w:p>
    <w:p w14:paraId="64AB913D" w14:textId="77777777" w:rsidR="00574A66" w:rsidRDefault="00574A66" w:rsidP="00DD4CEE">
      <w:r>
        <w:t xml:space="preserve">The Health Inequalities Hub will provide a service for </w:t>
      </w:r>
      <w:r w:rsidR="00C94F66">
        <w:t xml:space="preserve">people who are </w:t>
      </w:r>
      <w:r w:rsidR="00C94F66" w:rsidRPr="00E6636C">
        <w:rPr>
          <w:b/>
        </w:rPr>
        <w:t xml:space="preserve">registered with a </w:t>
      </w:r>
      <w:r w:rsidRPr="00E6636C">
        <w:rPr>
          <w:b/>
        </w:rPr>
        <w:t>Camden</w:t>
      </w:r>
      <w:r w:rsidR="00C94F66" w:rsidRPr="00E6636C">
        <w:rPr>
          <w:b/>
        </w:rPr>
        <w:t xml:space="preserve"> GP</w:t>
      </w:r>
      <w:r>
        <w:t>.  The borough border is provided below for information.  Though it is a requirement that the Health Inequalities Hub has a physical presence in Camden, it should be noted that some patients accessing the service may not be resident in the borough, e.g. because of close proximity to the boundary, or because of patient choice in selecting their GP practice.</w:t>
      </w:r>
    </w:p>
    <w:p w14:paraId="24EFB4E4" w14:textId="77777777" w:rsidR="00390025" w:rsidRDefault="00390025" w:rsidP="00390025">
      <w:pPr>
        <w:pStyle w:val="Caption"/>
        <w:keepNext/>
        <w:jc w:val="center"/>
      </w:pPr>
      <w:r>
        <w:lastRenderedPageBreak/>
        <w:t xml:space="preserve">Figure </w:t>
      </w:r>
      <w:r>
        <w:fldChar w:fldCharType="begin"/>
      </w:r>
      <w:r>
        <w:instrText xml:space="preserve"> SEQ Figure \* ARABIC </w:instrText>
      </w:r>
      <w:r>
        <w:fldChar w:fldCharType="separate"/>
      </w:r>
      <w:r w:rsidR="00B349C7">
        <w:rPr>
          <w:noProof/>
        </w:rPr>
        <w:t>2</w:t>
      </w:r>
      <w:r>
        <w:fldChar w:fldCharType="end"/>
      </w:r>
      <w:r>
        <w:t xml:space="preserve"> </w:t>
      </w:r>
      <w:r w:rsidRPr="006A6AE0">
        <w:t>London Borough of Camden Boundary</w:t>
      </w:r>
    </w:p>
    <w:p w14:paraId="1AFB5F9A" w14:textId="77777777" w:rsidR="00574A66" w:rsidRDefault="00D5671D" w:rsidP="00673BC0">
      <w:pPr>
        <w:jc w:val="center"/>
        <w:rPr>
          <w:color w:val="009966"/>
          <w:sz w:val="20"/>
        </w:rPr>
      </w:pPr>
      <w:r>
        <w:rPr>
          <w:noProof/>
          <w:lang w:val="en-GB" w:eastAsia="en-GB"/>
        </w:rPr>
        <w:drawing>
          <wp:inline distT="0" distB="0" distL="0" distR="0" wp14:anchorId="07669E18" wp14:editId="06CBBA97">
            <wp:extent cx="3629025" cy="3389509"/>
            <wp:effectExtent l="0" t="0" r="0" b="1905"/>
            <wp:docPr id="3" name="Picture 3" descr="https://upload.wikimedia.org/wikipedia/commons/thumb/a/a7/Camden_London_UK_location_map_2.svg/1000px-Camden_London_UK_location_map_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7/Camden_London_UK_location_map_2.svg/1000px-Camden_London_UK_location_map_2.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3239" cy="3393445"/>
                    </a:xfrm>
                    <a:prstGeom prst="rect">
                      <a:avLst/>
                    </a:prstGeom>
                    <a:noFill/>
                    <a:ln>
                      <a:noFill/>
                    </a:ln>
                  </pic:spPr>
                </pic:pic>
              </a:graphicData>
            </a:graphic>
          </wp:inline>
        </w:drawing>
      </w:r>
    </w:p>
    <w:p w14:paraId="388F6971" w14:textId="77777777" w:rsidR="00D5671D" w:rsidRPr="00390025" w:rsidRDefault="00390025" w:rsidP="00390025">
      <w:pPr>
        <w:jc w:val="center"/>
        <w:rPr>
          <w:i/>
          <w:sz w:val="18"/>
        </w:rPr>
      </w:pPr>
      <w:r>
        <w:rPr>
          <w:i/>
          <w:sz w:val="18"/>
        </w:rPr>
        <w:t>(</w:t>
      </w:r>
      <w:r w:rsidR="00D5671D" w:rsidRPr="00390025">
        <w:rPr>
          <w:i/>
          <w:sz w:val="18"/>
        </w:rPr>
        <w:t>Image courtesy of Wikipedia</w:t>
      </w:r>
      <w:r w:rsidR="00D5671D" w:rsidRPr="00390025">
        <w:rPr>
          <w:i/>
          <w:sz w:val="18"/>
          <w:vertAlign w:val="superscript"/>
        </w:rPr>
        <w:endnoteReference w:id="2"/>
      </w:r>
      <w:r>
        <w:rPr>
          <w:i/>
          <w:sz w:val="18"/>
        </w:rPr>
        <w:t>)</w:t>
      </w:r>
    </w:p>
    <w:p w14:paraId="70CCED5D" w14:textId="77777777" w:rsidR="00390025" w:rsidRDefault="00390025" w:rsidP="0006355D"/>
    <w:p w14:paraId="00BAF669" w14:textId="77777777" w:rsidR="00574A66" w:rsidRPr="00BF7FBE" w:rsidRDefault="00574A66" w:rsidP="0006355D">
      <w:r w:rsidRPr="00BF7FBE">
        <w:t>Camden ha</w:t>
      </w:r>
      <w:r w:rsidR="00321EA2">
        <w:t>d</w:t>
      </w:r>
      <w:r w:rsidRPr="00BF7FBE">
        <w:t xml:space="preserve"> an estimated resident population of 225,140 people in 2013</w:t>
      </w:r>
      <w:r w:rsidRPr="00BF7FBE">
        <w:rPr>
          <w:vertAlign w:val="superscript"/>
        </w:rPr>
        <w:endnoteReference w:id="3"/>
      </w:r>
      <w:r w:rsidRPr="00BF7FBE">
        <w:t xml:space="preserve">.  Camden’s Joint Strategic Needs Assessment goes into </w:t>
      </w:r>
      <w:r w:rsidR="00BF7FBE" w:rsidRPr="00BF7FBE">
        <w:t xml:space="preserve">full </w:t>
      </w:r>
      <w:r w:rsidRPr="00BF7FBE">
        <w:t>detail about the demographic of the Camden population</w:t>
      </w:r>
      <w:r w:rsidR="00BF7FBE" w:rsidRPr="00BF7FBE">
        <w:t>, h</w:t>
      </w:r>
      <w:r w:rsidRPr="00BF7FBE">
        <w:t xml:space="preserve">owever, it is known that the population is expected to rise to 246,100 by 2023.  People aged 45 years and over are expected to account for the largest rise.  </w:t>
      </w:r>
      <w:r w:rsidR="00BF7FBE" w:rsidRPr="00BF7FBE">
        <w:t>N</w:t>
      </w:r>
      <w:r w:rsidRPr="00BF7FBE">
        <w:t xml:space="preserve">early 35% of Camden’s overall population are estimated to be from a black minority ethnic group (BME) background. This figure excludes the White Irish community and other non-British white residents. </w:t>
      </w:r>
      <w:r w:rsidR="00BF7FBE" w:rsidRPr="00BF7FBE">
        <w:t xml:space="preserve"> </w:t>
      </w:r>
      <w:r w:rsidRPr="00BF7FBE">
        <w:t xml:space="preserve">22% of Camden’s residents are from the non-British, white community.   </w:t>
      </w:r>
    </w:p>
    <w:p w14:paraId="1F8BC3BB" w14:textId="77777777" w:rsidR="00574A66" w:rsidRPr="00BF7FBE" w:rsidRDefault="00574A66" w:rsidP="00464A9C">
      <w:r w:rsidRPr="00BF7FBE">
        <w:t xml:space="preserve">The 2011 census suggests that specific ethnic group populations vary across wards. In seven of Camden’s wards, Bangladeshis form the largest minority group. Black Africans constitute the largest in six, ‘other Asian’ in four and Chinese in one. </w:t>
      </w:r>
    </w:p>
    <w:p w14:paraId="4FE0AF81" w14:textId="77777777" w:rsidR="00574A66" w:rsidRPr="00BF7FBE" w:rsidRDefault="00574A66" w:rsidP="00321EA2">
      <w:pPr>
        <w:keepNext/>
        <w:keepLines/>
        <w:rPr>
          <w:sz w:val="20"/>
        </w:rPr>
      </w:pPr>
      <w:r w:rsidRPr="00BF7FBE">
        <w:t>A further reflection of Camden’s cultural diversity is seen in the variety of languages spoken. After English, the three most common</w:t>
      </w:r>
      <w:r w:rsidR="00321EA2">
        <w:t>ly spoken languages are Bengali </w:t>
      </w:r>
      <w:r w:rsidRPr="00BF7FBE">
        <w:t>(13%), French (8%) and Spanish (6%).</w:t>
      </w:r>
      <w:r w:rsidR="007F4296">
        <w:br/>
      </w:r>
    </w:p>
    <w:p w14:paraId="79B9D3A5" w14:textId="77777777" w:rsidR="00574A66" w:rsidRPr="00F47C01" w:rsidRDefault="00574A66" w:rsidP="0006355D">
      <w:pPr>
        <w:pStyle w:val="Heading2"/>
      </w:pPr>
      <w:r w:rsidRPr="00F47C01">
        <w:t>Any acceptance and exclusion criteria</w:t>
      </w:r>
      <w:r>
        <w:t xml:space="preserve"> and thresholds</w:t>
      </w:r>
    </w:p>
    <w:p w14:paraId="68F95920" w14:textId="77777777" w:rsidR="00574A66" w:rsidRPr="00464A9C" w:rsidRDefault="00574A66" w:rsidP="00464A9C">
      <w:r w:rsidRPr="00464A9C">
        <w:t>Referrals into the service can be made directly by</w:t>
      </w:r>
      <w:r w:rsidR="00020046">
        <w:t xml:space="preserve"> Camden</w:t>
      </w:r>
      <w:r w:rsidRPr="00464A9C">
        <w:t xml:space="preserve"> general practice staff, </w:t>
      </w:r>
      <w:r w:rsidR="00020046">
        <w:t xml:space="preserve">Camden </w:t>
      </w:r>
      <w:r w:rsidRPr="00464A9C">
        <w:t xml:space="preserve">community service staff, or the service can also </w:t>
      </w:r>
      <w:r w:rsidR="00020046">
        <w:t xml:space="preserve">Camden </w:t>
      </w:r>
      <w:r w:rsidRPr="00464A9C">
        <w:t xml:space="preserve">patients with the approval </w:t>
      </w:r>
      <w:r w:rsidR="00321EA2">
        <w:t xml:space="preserve">of </w:t>
      </w:r>
      <w:r w:rsidRPr="00464A9C">
        <w:t>their practice.</w:t>
      </w:r>
    </w:p>
    <w:p w14:paraId="40DD07F4" w14:textId="77777777" w:rsidR="00574A66" w:rsidRPr="00464A9C" w:rsidRDefault="00574A66" w:rsidP="00464A9C">
      <w:r>
        <w:t xml:space="preserve">The service has </w:t>
      </w:r>
      <w:r w:rsidRPr="00673BC0">
        <w:rPr>
          <w:b/>
        </w:rPr>
        <w:t>no exclusion criteria</w:t>
      </w:r>
      <w:r>
        <w:t>.</w:t>
      </w:r>
    </w:p>
    <w:p w14:paraId="7A86E19F" w14:textId="77777777" w:rsidR="00574A66" w:rsidRPr="00390A2D" w:rsidRDefault="00574A66" w:rsidP="0006355D">
      <w:pPr>
        <w:rPr>
          <w:color w:val="009966"/>
          <w:sz w:val="20"/>
        </w:rPr>
      </w:pPr>
    </w:p>
    <w:p w14:paraId="238A83A1" w14:textId="77777777" w:rsidR="00574A66" w:rsidRPr="00F47C01" w:rsidRDefault="00574A66" w:rsidP="0006355D">
      <w:pPr>
        <w:pStyle w:val="Heading2"/>
      </w:pPr>
      <w:r w:rsidRPr="00F47C01">
        <w:t>Interdependence with other services</w:t>
      </w:r>
      <w:r>
        <w:t>/providers</w:t>
      </w:r>
    </w:p>
    <w:p w14:paraId="13E87C80" w14:textId="77777777" w:rsidR="00574A66" w:rsidRPr="00464A9C" w:rsidRDefault="00574A66" w:rsidP="00464A9C">
      <w:r w:rsidRPr="00464A9C">
        <w:t>This service is not wholly reliant on any other services, nor are any services reliant on this service.  However, there will be many interfaces with other providers, such as:</w:t>
      </w:r>
    </w:p>
    <w:p w14:paraId="58FCF924" w14:textId="77777777" w:rsidR="00574A66" w:rsidRPr="00321EA2" w:rsidRDefault="00020046" w:rsidP="006871BA">
      <w:pPr>
        <w:pStyle w:val="ListParagraph"/>
        <w:numPr>
          <w:ilvl w:val="0"/>
          <w:numId w:val="12"/>
        </w:numPr>
      </w:pPr>
      <w:r w:rsidRPr="00321EA2">
        <w:t xml:space="preserve">Camden </w:t>
      </w:r>
      <w:r w:rsidR="00574A66" w:rsidRPr="00321EA2">
        <w:t>GP practices</w:t>
      </w:r>
    </w:p>
    <w:p w14:paraId="7BEEAE38" w14:textId="77777777" w:rsidR="00574A66" w:rsidRPr="00321EA2" w:rsidRDefault="00020046" w:rsidP="006871BA">
      <w:pPr>
        <w:pStyle w:val="ListParagraph"/>
        <w:numPr>
          <w:ilvl w:val="0"/>
          <w:numId w:val="12"/>
        </w:numPr>
      </w:pPr>
      <w:r w:rsidRPr="00321EA2">
        <w:t>Camden c</w:t>
      </w:r>
      <w:r w:rsidR="00574A66" w:rsidRPr="00321EA2">
        <w:t>ommunity health services</w:t>
      </w:r>
    </w:p>
    <w:p w14:paraId="0E9E99E0" w14:textId="77777777" w:rsidR="00574A66" w:rsidRPr="00321EA2" w:rsidRDefault="00574A66" w:rsidP="006871BA">
      <w:pPr>
        <w:pStyle w:val="ListParagraph"/>
        <w:numPr>
          <w:ilvl w:val="0"/>
          <w:numId w:val="12"/>
        </w:numPr>
      </w:pPr>
      <w:r w:rsidRPr="00321EA2">
        <w:lastRenderedPageBreak/>
        <w:t>Other community services</w:t>
      </w:r>
      <w:r w:rsidR="00020046" w:rsidRPr="00321EA2">
        <w:t xml:space="preserve"> and local groups within Camden</w:t>
      </w:r>
    </w:p>
    <w:p w14:paraId="7581DFD8" w14:textId="77777777" w:rsidR="00574A66" w:rsidRPr="00390A2D" w:rsidRDefault="007F4296" w:rsidP="0006355D">
      <w:pPr>
        <w:rPr>
          <w:color w:val="009966"/>
          <w:sz w:val="20"/>
        </w:rPr>
      </w:pPr>
      <w:r>
        <w:rPr>
          <w:color w:val="009966"/>
          <w:sz w:val="20"/>
        </w:rPr>
        <w:br/>
      </w:r>
    </w:p>
    <w:p w14:paraId="12754786" w14:textId="77777777" w:rsidR="00574A66" w:rsidRPr="00B5552C" w:rsidRDefault="00574A66" w:rsidP="0006355D">
      <w:pPr>
        <w:pStyle w:val="Heading1"/>
      </w:pPr>
      <w:r w:rsidRPr="00B5552C">
        <w:t>Applicable Service Standards</w:t>
      </w:r>
    </w:p>
    <w:p w14:paraId="3845A271" w14:textId="77777777" w:rsidR="00574A66" w:rsidRPr="00512021" w:rsidRDefault="00574A66" w:rsidP="0006355D">
      <w:pPr>
        <w:rPr>
          <w:sz w:val="20"/>
        </w:rPr>
      </w:pPr>
    </w:p>
    <w:p w14:paraId="62759CD2" w14:textId="77777777" w:rsidR="00574A66" w:rsidRDefault="00574A66" w:rsidP="0006355D">
      <w:pPr>
        <w:pStyle w:val="Heading2"/>
      </w:pPr>
      <w:r w:rsidRPr="00F47C01">
        <w:t xml:space="preserve">Applicable national standards </w:t>
      </w:r>
      <w:r>
        <w:t>(</w:t>
      </w:r>
      <w:r w:rsidRPr="00F47C01">
        <w:t>eg NICE</w:t>
      </w:r>
      <w:r>
        <w:t>)</w:t>
      </w:r>
    </w:p>
    <w:p w14:paraId="550E00F9" w14:textId="77777777" w:rsidR="00574A66" w:rsidRPr="0090778B" w:rsidRDefault="00574A66" w:rsidP="0090778B">
      <w:r w:rsidRPr="0090778B">
        <w:t xml:space="preserve">There are </w:t>
      </w:r>
      <w:r w:rsidRPr="00673BC0">
        <w:rPr>
          <w:b/>
        </w:rPr>
        <w:t>no NICE standards applicable</w:t>
      </w:r>
      <w:r w:rsidRPr="0090778B">
        <w:t xml:space="preserve"> to this service.  However NICE QS15 </w:t>
      </w:r>
      <w:r>
        <w:t>Patient ex</w:t>
      </w:r>
      <w:r w:rsidRPr="0090778B">
        <w:t>p</w:t>
      </w:r>
      <w:r>
        <w:t>er</w:t>
      </w:r>
      <w:r w:rsidRPr="0090778B">
        <w:t>ience in adult NHS services</w:t>
      </w:r>
      <w:r w:rsidRPr="00673BC0">
        <w:rPr>
          <w:vertAlign w:val="superscript"/>
        </w:rPr>
        <w:endnoteReference w:id="4"/>
      </w:r>
      <w:r w:rsidRPr="0090778B">
        <w:t xml:space="preserve"> and QS14 Service user experience in adult mental health services</w:t>
      </w:r>
      <w:r w:rsidRPr="00673BC0">
        <w:rPr>
          <w:vertAlign w:val="superscript"/>
        </w:rPr>
        <w:endnoteReference w:id="5"/>
      </w:r>
      <w:r w:rsidRPr="0090778B">
        <w:t xml:space="preserve"> set out some useful guidelines that the service should be aware of and </w:t>
      </w:r>
      <w:r w:rsidR="00C94F66">
        <w:t>conform to</w:t>
      </w:r>
      <w:r w:rsidRPr="0090778B">
        <w:t>.</w:t>
      </w:r>
    </w:p>
    <w:p w14:paraId="154844C0" w14:textId="77777777" w:rsidR="00574A66" w:rsidRDefault="00574A66" w:rsidP="0006355D">
      <w:pPr>
        <w:rPr>
          <w:color w:val="009966"/>
          <w:sz w:val="20"/>
        </w:rPr>
      </w:pPr>
    </w:p>
    <w:p w14:paraId="108229A2" w14:textId="77777777" w:rsidR="00574A66" w:rsidRPr="00D47FCE" w:rsidRDefault="00574A66" w:rsidP="0006355D">
      <w:pPr>
        <w:pStyle w:val="Heading2"/>
      </w:pPr>
      <w:r w:rsidRPr="00D47FCE">
        <w:t xml:space="preserve">Applicable standards </w:t>
      </w:r>
      <w:r>
        <w:t>set out in Guidance and/or issued by</w:t>
      </w:r>
      <w:r w:rsidRPr="00D47FCE">
        <w:t xml:space="preserve"> a competent body (eg Royal Colleges) </w:t>
      </w:r>
    </w:p>
    <w:p w14:paraId="6C83E1F3" w14:textId="77777777" w:rsidR="00574A66" w:rsidRPr="0090778B" w:rsidRDefault="00574A66" w:rsidP="0090778B">
      <w:r w:rsidRPr="0090778B">
        <w:t>There are none.</w:t>
      </w:r>
    </w:p>
    <w:p w14:paraId="1A8006AA" w14:textId="77777777" w:rsidR="00574A66" w:rsidRPr="00390A2D" w:rsidRDefault="00574A66" w:rsidP="0006355D">
      <w:pPr>
        <w:rPr>
          <w:color w:val="009966"/>
          <w:sz w:val="20"/>
        </w:rPr>
      </w:pPr>
    </w:p>
    <w:p w14:paraId="3C8C6413" w14:textId="77777777" w:rsidR="00574A66" w:rsidRPr="00F47C01" w:rsidRDefault="00574A66" w:rsidP="0006355D">
      <w:pPr>
        <w:pStyle w:val="Heading2"/>
      </w:pPr>
      <w:r>
        <w:t xml:space="preserve">Applicable local </w:t>
      </w:r>
      <w:r w:rsidRPr="00F47C01">
        <w:t>standards</w:t>
      </w:r>
    </w:p>
    <w:p w14:paraId="70E80F35" w14:textId="77777777" w:rsidR="00574A66" w:rsidRPr="0090778B" w:rsidRDefault="00574A66" w:rsidP="0090778B">
      <w:r w:rsidRPr="0090778B">
        <w:t>There are none.</w:t>
      </w:r>
    </w:p>
    <w:p w14:paraId="119C4A16" w14:textId="77777777" w:rsidR="00321EA2" w:rsidRPr="00512021" w:rsidRDefault="00321EA2" w:rsidP="0006355D">
      <w:pPr>
        <w:rPr>
          <w:sz w:val="20"/>
        </w:rPr>
      </w:pPr>
    </w:p>
    <w:p w14:paraId="33D2DBC6" w14:textId="77777777" w:rsidR="00574A66" w:rsidRPr="00B5552C" w:rsidRDefault="00574A66" w:rsidP="0006355D">
      <w:pPr>
        <w:pStyle w:val="Heading1"/>
      </w:pPr>
      <w:r>
        <w:t>Applicable</w:t>
      </w:r>
      <w:r w:rsidRPr="00B5552C">
        <w:t xml:space="preserve"> quality requirements and CQUIN goals</w:t>
      </w:r>
    </w:p>
    <w:p w14:paraId="3B461418" w14:textId="77777777" w:rsidR="00574A66" w:rsidRPr="00390A2D" w:rsidRDefault="00574A66" w:rsidP="0006355D">
      <w:pPr>
        <w:rPr>
          <w:color w:val="009966"/>
          <w:sz w:val="20"/>
        </w:rPr>
      </w:pPr>
    </w:p>
    <w:p w14:paraId="0A7DBC68" w14:textId="77777777" w:rsidR="00574A66" w:rsidRDefault="00574A66" w:rsidP="0006355D">
      <w:pPr>
        <w:pStyle w:val="Heading2"/>
      </w:pPr>
      <w:r>
        <w:t>Applicable</w:t>
      </w:r>
      <w:r w:rsidRPr="00D47FCE">
        <w:t xml:space="preserve"> </w:t>
      </w:r>
      <w:r>
        <w:t>Q</w:t>
      </w:r>
      <w:r w:rsidRPr="00D47FCE">
        <w:t xml:space="preserve">uality </w:t>
      </w:r>
      <w:r>
        <w:t>R</w:t>
      </w:r>
      <w:r w:rsidRPr="00D47FCE">
        <w:t>equirements</w:t>
      </w:r>
      <w:r>
        <w:t xml:space="preserve"> (See Schedule 4 Parts [A-D])</w:t>
      </w:r>
    </w:p>
    <w:p w14:paraId="14B19389" w14:textId="77777777" w:rsidR="00574A66" w:rsidRDefault="00574A66" w:rsidP="0006355D">
      <w:r>
        <w:t xml:space="preserve">None from Schedule 4 Parts A-D </w:t>
      </w:r>
      <w:r w:rsidR="00321EA2">
        <w:t xml:space="preserve">of the NHS standard contract </w:t>
      </w:r>
      <w:r>
        <w:t>are applicable.</w:t>
      </w:r>
    </w:p>
    <w:p w14:paraId="7B75B99F" w14:textId="77777777" w:rsidR="00574A66" w:rsidRPr="00D47FCE" w:rsidRDefault="00574A66" w:rsidP="0006355D">
      <w:pPr>
        <w:rPr>
          <w:color w:val="00B050"/>
          <w:sz w:val="20"/>
        </w:rPr>
      </w:pPr>
    </w:p>
    <w:p w14:paraId="6E5EF435" w14:textId="77777777" w:rsidR="00574A66" w:rsidRPr="00D47FCE" w:rsidRDefault="00574A66" w:rsidP="0006355D">
      <w:pPr>
        <w:pStyle w:val="Heading2"/>
      </w:pPr>
      <w:r>
        <w:t>Applicable</w:t>
      </w:r>
      <w:r w:rsidRPr="00D47FCE">
        <w:t xml:space="preserve"> CQUIN goals</w:t>
      </w:r>
      <w:r>
        <w:t xml:space="preserve"> (See Schedule 4 Part [E])</w:t>
      </w:r>
    </w:p>
    <w:p w14:paraId="4BCB8160" w14:textId="77777777" w:rsidR="00574A66" w:rsidRPr="0090778B" w:rsidRDefault="00574A66" w:rsidP="0090778B">
      <w:r w:rsidRPr="0090778B">
        <w:t xml:space="preserve">None from Schedule 4 Part E </w:t>
      </w:r>
      <w:r w:rsidR="00321EA2">
        <w:t xml:space="preserve">of the NHS standard contract </w:t>
      </w:r>
      <w:r w:rsidRPr="0090778B">
        <w:t>are applicable.</w:t>
      </w:r>
    </w:p>
    <w:p w14:paraId="592F1DE9" w14:textId="77777777" w:rsidR="00574A66" w:rsidRPr="00512021" w:rsidRDefault="00574A66" w:rsidP="0006355D">
      <w:pPr>
        <w:rPr>
          <w:sz w:val="20"/>
        </w:rPr>
      </w:pPr>
    </w:p>
    <w:p w14:paraId="7F9B4BE8" w14:textId="77777777" w:rsidR="00574A66" w:rsidRPr="00B5552C" w:rsidRDefault="00574A66" w:rsidP="007F4296">
      <w:pPr>
        <w:pStyle w:val="Heading1"/>
        <w:keepNext/>
        <w:keepLines/>
      </w:pPr>
      <w:r w:rsidRPr="00B5552C">
        <w:t>Location of Provider Premises</w:t>
      </w:r>
    </w:p>
    <w:p w14:paraId="03BC0270" w14:textId="77777777" w:rsidR="00574A66" w:rsidRPr="006871BA" w:rsidRDefault="00574A66" w:rsidP="007F4296">
      <w:pPr>
        <w:keepNext/>
        <w:keepLines/>
      </w:pPr>
      <w:r w:rsidRPr="006871BA">
        <w:t xml:space="preserve">It is expected the provider will have a </w:t>
      </w:r>
      <w:r w:rsidRPr="00673BC0">
        <w:rPr>
          <w:b/>
        </w:rPr>
        <w:t>regular base within Camden</w:t>
      </w:r>
      <w:r w:rsidRPr="006871BA">
        <w:t xml:space="preserve"> as well as being based at local GP practices and community services premises.</w:t>
      </w:r>
      <w:r w:rsidR="007F4296">
        <w:br/>
      </w:r>
      <w:r w:rsidRPr="006871BA">
        <w:t xml:space="preserve">  </w:t>
      </w:r>
    </w:p>
    <w:p w14:paraId="5EB63F9A" w14:textId="77777777" w:rsidR="00574A66" w:rsidRPr="006871BA" w:rsidRDefault="00574A66" w:rsidP="006871BA">
      <w:pPr>
        <w:keepNext/>
        <w:keepLines/>
        <w:rPr>
          <w:i/>
        </w:rPr>
      </w:pPr>
      <w:r w:rsidRPr="006871BA">
        <w:rPr>
          <w:i/>
        </w:rPr>
        <w:t>6a.</w:t>
      </w:r>
      <w:r w:rsidRPr="006871BA">
        <w:rPr>
          <w:i/>
        </w:rPr>
        <w:tab/>
        <w:t>GP Practices</w:t>
      </w:r>
    </w:p>
    <w:p w14:paraId="10B2EAA3" w14:textId="77777777" w:rsidR="00574A66" w:rsidRPr="006871BA" w:rsidRDefault="00574A66" w:rsidP="006871BA">
      <w:pPr>
        <w:keepNext/>
        <w:keepLines/>
      </w:pPr>
      <w:r w:rsidRPr="006871BA">
        <w:t>A full list of the GPs in Camden is available at the NHS Choices website</w:t>
      </w:r>
      <w:r w:rsidRPr="00673BC0">
        <w:rPr>
          <w:vertAlign w:val="superscript"/>
        </w:rPr>
        <w:endnoteReference w:id="6"/>
      </w:r>
      <w:r w:rsidRPr="006871BA">
        <w:t xml:space="preserve">.  As GP practices are independent providers, being able to be a presence at a practice will be dependent on cooperation from the practice themselves.  It is expected that the Health Inequalities Hub will aim to have a presence at most if not all Camden GP practices during most of the </w:t>
      </w:r>
      <w:r w:rsidR="00321EA2">
        <w:t>term of the contract</w:t>
      </w:r>
      <w:r w:rsidRPr="006871BA">
        <w:t xml:space="preserve">.  </w:t>
      </w:r>
      <w:r w:rsidR="007F4296">
        <w:br/>
      </w:r>
    </w:p>
    <w:p w14:paraId="3AE03413" w14:textId="77777777" w:rsidR="00574A66" w:rsidRPr="006871BA" w:rsidRDefault="00574A66" w:rsidP="006871BA">
      <w:pPr>
        <w:rPr>
          <w:i/>
        </w:rPr>
      </w:pPr>
      <w:r w:rsidRPr="006871BA">
        <w:rPr>
          <w:i/>
        </w:rPr>
        <w:t>6b.</w:t>
      </w:r>
      <w:r w:rsidRPr="006871BA">
        <w:rPr>
          <w:i/>
        </w:rPr>
        <w:tab/>
        <w:t>Community Services</w:t>
      </w:r>
    </w:p>
    <w:p w14:paraId="463A93F8" w14:textId="77777777" w:rsidR="00574A66" w:rsidRPr="006871BA" w:rsidRDefault="00574A66" w:rsidP="006871BA">
      <w:r w:rsidRPr="006871BA">
        <w:t xml:space="preserve">In order to provide as wide a reach to Camden patients as possible, it is expected the service will operate from a number of community services locations.  As far as this is practicable, it is expected </w:t>
      </w:r>
      <w:r w:rsidRPr="006871BA">
        <w:lastRenderedPageBreak/>
        <w:t xml:space="preserve">that this will cover an equitable amount of coverage in Camden.  </w:t>
      </w:r>
      <w:r w:rsidR="007F4296">
        <w:br/>
      </w:r>
    </w:p>
    <w:p w14:paraId="504B6D7B" w14:textId="77777777" w:rsidR="00574A66" w:rsidRPr="006871BA" w:rsidRDefault="00574A66" w:rsidP="006871BA">
      <w:pPr>
        <w:rPr>
          <w:i/>
        </w:rPr>
      </w:pPr>
      <w:r w:rsidRPr="006871BA">
        <w:rPr>
          <w:i/>
        </w:rPr>
        <w:t>6c.</w:t>
      </w:r>
      <w:r w:rsidRPr="006871BA">
        <w:rPr>
          <w:i/>
        </w:rPr>
        <w:tab/>
        <w:t>Other Premises</w:t>
      </w:r>
    </w:p>
    <w:p w14:paraId="78B3E019" w14:textId="77777777" w:rsidR="00574A66" w:rsidRPr="006871BA" w:rsidRDefault="00574A66" w:rsidP="006871BA">
      <w:r w:rsidRPr="006871BA">
        <w:t>With agreement with the Commissioner, the service may provide a presence at other sites within Camden.  This will be to increase equitable coverage across the borough.</w:t>
      </w:r>
    </w:p>
    <w:p w14:paraId="27A905CF" w14:textId="77777777" w:rsidR="00574A66" w:rsidRPr="00512021" w:rsidRDefault="00574A66" w:rsidP="0006355D">
      <w:pPr>
        <w:rPr>
          <w:sz w:val="20"/>
        </w:rPr>
      </w:pPr>
    </w:p>
    <w:p w14:paraId="1A50B13D" w14:textId="77777777" w:rsidR="00574A66" w:rsidRPr="00B5552C" w:rsidRDefault="00574A66" w:rsidP="0006355D">
      <w:pPr>
        <w:pStyle w:val="Heading1"/>
      </w:pPr>
      <w:r w:rsidRPr="00B5552C">
        <w:t>Individual Service User Placement</w:t>
      </w:r>
    </w:p>
    <w:p w14:paraId="24AC3F3D" w14:textId="77777777" w:rsidR="00574A66" w:rsidRPr="00512021" w:rsidRDefault="00574A66" w:rsidP="0006355D">
      <w:pPr>
        <w:rPr>
          <w:sz w:val="20"/>
        </w:rPr>
      </w:pPr>
    </w:p>
    <w:p w14:paraId="7F02C4F9" w14:textId="77777777" w:rsidR="00574A66" w:rsidRDefault="00574A66" w:rsidP="0006355D">
      <w:r>
        <w:t>Not applicable.</w:t>
      </w:r>
    </w:p>
    <w:p w14:paraId="735582C3" w14:textId="77777777" w:rsidR="003E377A" w:rsidRDefault="003E377A"/>
    <w:sectPr w:rsidR="003E377A" w:rsidSect="00673BC0">
      <w:headerReference w:type="default" r:id="rId11"/>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3F6AD" w14:textId="77777777" w:rsidR="00DD4CEE" w:rsidRDefault="00DD4CEE" w:rsidP="00DD4CEE">
      <w:pPr>
        <w:spacing w:after="0"/>
      </w:pPr>
      <w:r>
        <w:separator/>
      </w:r>
    </w:p>
  </w:endnote>
  <w:endnote w:type="continuationSeparator" w:id="0">
    <w:p w14:paraId="44FD62A3" w14:textId="77777777" w:rsidR="00DD4CEE" w:rsidRDefault="00DD4CEE" w:rsidP="00DD4CEE">
      <w:pPr>
        <w:spacing w:after="0"/>
      </w:pPr>
      <w:r>
        <w:continuationSeparator/>
      </w:r>
    </w:p>
  </w:endnote>
  <w:endnote w:id="1">
    <w:p w14:paraId="152A2564" w14:textId="77777777" w:rsidR="00400EBA" w:rsidRPr="00E6636C" w:rsidRDefault="00400EBA" w:rsidP="00400EBA">
      <w:pPr>
        <w:pStyle w:val="EndnoteText"/>
        <w:rPr>
          <w:lang w:val="en-GB"/>
        </w:rPr>
      </w:pPr>
      <w:r>
        <w:rPr>
          <w:rStyle w:val="EndnoteReference"/>
        </w:rPr>
        <w:endnoteRef/>
      </w:r>
      <w:r>
        <w:t xml:space="preserve"> Cf., </w:t>
      </w:r>
      <w:r>
        <w:rPr>
          <w:lang w:val="en-GB"/>
        </w:rPr>
        <w:t xml:space="preserve">Number of Camden residents ‘known’ to Camden’s Learning Disability Service was 662 in 2013, taken from </w:t>
      </w:r>
      <w:r w:rsidRPr="00E6636C">
        <w:rPr>
          <w:i/>
          <w:lang w:val="en-GB"/>
        </w:rPr>
        <w:t>Joint Commissioning Plan for Adults with Learning Disabilities 2013-2016</w:t>
      </w:r>
      <w:r>
        <w:rPr>
          <w:lang w:val="en-GB"/>
        </w:rPr>
        <w:t xml:space="preserve">, available at </w:t>
      </w:r>
      <w:r w:rsidRPr="00E6636C">
        <w:rPr>
          <w:lang w:val="en-GB"/>
        </w:rPr>
        <w:t>http://www.camden.gov.uk/ccm/cms-service/download/asset?asset_id=3215987</w:t>
      </w:r>
      <w:r>
        <w:rPr>
          <w:lang w:val="en-GB"/>
        </w:rPr>
        <w:t>, accessed 22 September 2016.</w:t>
      </w:r>
    </w:p>
  </w:endnote>
  <w:endnote w:id="2">
    <w:p w14:paraId="2B75E0FD" w14:textId="751E38CD" w:rsidR="00D5671D" w:rsidRDefault="00D5671D" w:rsidP="00D5671D">
      <w:pPr>
        <w:pStyle w:val="EndnoteText"/>
      </w:pPr>
      <w:r>
        <w:rPr>
          <w:rStyle w:val="EndnoteReference"/>
        </w:rPr>
        <w:endnoteRef/>
      </w:r>
      <w:r>
        <w:t xml:space="preserve"> </w:t>
      </w:r>
      <w:r w:rsidRPr="00E6636C">
        <w:t>https://commons.wikimedia.org/wiki/File%3ACamden_London_UK_location_map_2.svg</w:t>
      </w:r>
      <w:r>
        <w:t xml:space="preserve">; </w:t>
      </w:r>
    </w:p>
    <w:p w14:paraId="64450913" w14:textId="4F21A9C7" w:rsidR="00D5671D" w:rsidRPr="00D5671D" w:rsidRDefault="00D5671D" w:rsidP="00D5671D">
      <w:pPr>
        <w:pStyle w:val="EndnoteText"/>
        <w:rPr>
          <w:lang w:val="en-GB"/>
        </w:rPr>
      </w:pPr>
      <w:r>
        <w:t>Contains Ordnance Survey data © Crown copyright and database right [CC BY-SA 3.0 (http://creativecommons.org/licenses/by-sa/3.0)], via Wikimedia Commons from Wikimedia Commons</w:t>
      </w:r>
      <w:r w:rsidR="00E6636C">
        <w:t>, accessed 22 September 2016.</w:t>
      </w:r>
    </w:p>
  </w:endnote>
  <w:endnote w:id="3">
    <w:p w14:paraId="4779FC76" w14:textId="285D046F" w:rsidR="00574A66" w:rsidRPr="00DD4CEE" w:rsidRDefault="00574A66" w:rsidP="00DD4CEE">
      <w:pPr>
        <w:pStyle w:val="EndnoteText"/>
        <w:rPr>
          <w:lang w:val="en-GB"/>
        </w:rPr>
      </w:pPr>
      <w:r>
        <w:rPr>
          <w:rStyle w:val="EndnoteReference"/>
        </w:rPr>
        <w:endnoteRef/>
      </w:r>
      <w:r>
        <w:t xml:space="preserve"> </w:t>
      </w:r>
      <w:r>
        <w:rPr>
          <w:lang w:val="en-GB"/>
        </w:rPr>
        <w:t xml:space="preserve">Taken from Camden CCG’s </w:t>
      </w:r>
      <w:r w:rsidRPr="00400EBA">
        <w:rPr>
          <w:i/>
          <w:lang w:val="en-GB"/>
        </w:rPr>
        <w:t>Joint Strategic Needs Assessment</w:t>
      </w:r>
      <w:r w:rsidR="00400EBA">
        <w:rPr>
          <w:lang w:val="en-GB"/>
        </w:rPr>
        <w:t>, a</w:t>
      </w:r>
      <w:r>
        <w:rPr>
          <w:lang w:val="en-GB"/>
        </w:rPr>
        <w:t xml:space="preserve">vailable at </w:t>
      </w:r>
      <w:r w:rsidR="00400EBA" w:rsidRPr="00400EBA">
        <w:rPr>
          <w:lang w:val="en-GB"/>
        </w:rPr>
        <w:t>https://www.camden.gov.uk/ccm/navigation/social-care-and-health/health-in-camden/health-decision-making/joint-strategic-needs-assessment/;jsessionid=A5188B19122B219246B742412E10924D</w:t>
      </w:r>
      <w:r w:rsidR="00400EBA">
        <w:rPr>
          <w:lang w:val="en-GB"/>
        </w:rPr>
        <w:t>, a</w:t>
      </w:r>
      <w:r>
        <w:rPr>
          <w:lang w:val="en-GB"/>
        </w:rPr>
        <w:t xml:space="preserve">ccessed </w:t>
      </w:r>
      <w:r w:rsidR="00E6636C">
        <w:rPr>
          <w:lang w:val="en-GB"/>
        </w:rPr>
        <w:t>22 September 2016</w:t>
      </w:r>
      <w:r>
        <w:rPr>
          <w:lang w:val="en-GB"/>
        </w:rPr>
        <w:t>.</w:t>
      </w:r>
      <w:r w:rsidR="00C94F66">
        <w:rPr>
          <w:lang w:val="en-GB"/>
        </w:rPr>
        <w:t xml:space="preserve">  An ‘Executive Summary’ from 2014/15 is also available at </w:t>
      </w:r>
      <w:r w:rsidR="00C94F66" w:rsidRPr="00C94F66">
        <w:rPr>
          <w:lang w:val="en-GB"/>
        </w:rPr>
        <w:t>https://www.camden.gov.uk/ccm/cms-service/stream/asset/?asset_id=3267679&amp;</w:t>
      </w:r>
      <w:r w:rsidR="00C94F66">
        <w:rPr>
          <w:lang w:val="en-GB"/>
        </w:rPr>
        <w:t>.</w:t>
      </w:r>
    </w:p>
  </w:endnote>
  <w:endnote w:id="4">
    <w:p w14:paraId="2DD71D8D" w14:textId="7038881D" w:rsidR="00574A66" w:rsidRPr="0090778B" w:rsidRDefault="00574A66">
      <w:pPr>
        <w:pStyle w:val="EndnoteText"/>
        <w:rPr>
          <w:lang w:val="en-GB"/>
        </w:rPr>
      </w:pPr>
      <w:r>
        <w:rPr>
          <w:rStyle w:val="EndnoteReference"/>
        </w:rPr>
        <w:endnoteRef/>
      </w:r>
      <w:r>
        <w:t xml:space="preserve"> </w:t>
      </w:r>
      <w:r>
        <w:rPr>
          <w:lang w:val="en-GB"/>
        </w:rPr>
        <w:t xml:space="preserve">Available at </w:t>
      </w:r>
      <w:r w:rsidR="00400EBA" w:rsidRPr="00400EBA">
        <w:rPr>
          <w:lang w:val="en-GB"/>
        </w:rPr>
        <w:t>https://www.nice.org.uk/Guidance/QS15</w:t>
      </w:r>
      <w:r w:rsidR="00400EBA">
        <w:rPr>
          <w:lang w:val="en-GB"/>
        </w:rPr>
        <w:t>, a</w:t>
      </w:r>
      <w:r>
        <w:rPr>
          <w:lang w:val="en-GB"/>
        </w:rPr>
        <w:t xml:space="preserve">ccessed </w:t>
      </w:r>
      <w:r w:rsidR="00E6636C">
        <w:rPr>
          <w:lang w:val="en-GB"/>
        </w:rPr>
        <w:t>22 September 2016</w:t>
      </w:r>
      <w:r>
        <w:rPr>
          <w:lang w:val="en-GB"/>
        </w:rPr>
        <w:t>.</w:t>
      </w:r>
    </w:p>
  </w:endnote>
  <w:endnote w:id="5">
    <w:p w14:paraId="3095662B" w14:textId="56CEE973" w:rsidR="00574A66" w:rsidRPr="0090778B" w:rsidRDefault="00574A66">
      <w:pPr>
        <w:pStyle w:val="EndnoteText"/>
        <w:rPr>
          <w:lang w:val="en-GB"/>
        </w:rPr>
      </w:pPr>
      <w:r>
        <w:rPr>
          <w:rStyle w:val="EndnoteReference"/>
        </w:rPr>
        <w:endnoteRef/>
      </w:r>
      <w:r>
        <w:t xml:space="preserve"> </w:t>
      </w:r>
      <w:r>
        <w:rPr>
          <w:lang w:val="en-GB"/>
        </w:rPr>
        <w:t xml:space="preserve">Available at </w:t>
      </w:r>
      <w:r w:rsidR="00E6636C" w:rsidRPr="00E6636C">
        <w:rPr>
          <w:lang w:val="en-GB"/>
        </w:rPr>
        <w:t>https://www.nice.org.uk/Guidance/QS14</w:t>
      </w:r>
      <w:r w:rsidR="00E6636C">
        <w:rPr>
          <w:lang w:val="en-GB"/>
        </w:rPr>
        <w:t>, a</w:t>
      </w:r>
      <w:r>
        <w:rPr>
          <w:lang w:val="en-GB"/>
        </w:rPr>
        <w:t xml:space="preserve">ccessed </w:t>
      </w:r>
      <w:r w:rsidR="00E6636C">
        <w:rPr>
          <w:lang w:val="en-GB"/>
        </w:rPr>
        <w:t>22 September 2016</w:t>
      </w:r>
      <w:r>
        <w:rPr>
          <w:lang w:val="en-GB"/>
        </w:rPr>
        <w:t>.</w:t>
      </w:r>
    </w:p>
  </w:endnote>
  <w:endnote w:id="6">
    <w:p w14:paraId="6E7D3F15" w14:textId="094FC196" w:rsidR="00574A66" w:rsidRPr="00E83136" w:rsidRDefault="00574A66">
      <w:pPr>
        <w:pStyle w:val="EndnoteText"/>
        <w:rPr>
          <w:lang w:val="en-GB"/>
        </w:rPr>
      </w:pPr>
      <w:r>
        <w:rPr>
          <w:rStyle w:val="EndnoteReference"/>
        </w:rPr>
        <w:endnoteRef/>
      </w:r>
      <w:r>
        <w:t xml:space="preserve"> </w:t>
      </w:r>
      <w:r w:rsidR="00E6636C" w:rsidRPr="00E6636C">
        <w:t>http://www.nhs.uk/Services/Trusts/GPs/DefaultView.aspx?id=89632</w:t>
      </w:r>
      <w:r w:rsidR="00E6636C">
        <w:t>, a</w:t>
      </w:r>
      <w:r>
        <w:t xml:space="preserve">ccessed </w:t>
      </w:r>
      <w:r w:rsidR="00E6636C">
        <w:t>22 September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C99D6" w14:textId="77777777" w:rsidR="00DD4CEE" w:rsidRDefault="00DD4CEE" w:rsidP="00DD4CEE">
      <w:pPr>
        <w:spacing w:after="0"/>
      </w:pPr>
      <w:r>
        <w:separator/>
      </w:r>
    </w:p>
  </w:footnote>
  <w:footnote w:type="continuationSeparator" w:id="0">
    <w:p w14:paraId="685C5A1A" w14:textId="77777777" w:rsidR="00DD4CEE" w:rsidRDefault="00DD4CEE" w:rsidP="00DD4C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9A7B3" w14:textId="77777777" w:rsidR="00673BC0" w:rsidRDefault="00673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50BA"/>
    <w:multiLevelType w:val="hybridMultilevel"/>
    <w:tmpl w:val="5DB4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753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F11BED"/>
    <w:multiLevelType w:val="hybridMultilevel"/>
    <w:tmpl w:val="1A1613AA"/>
    <w:lvl w:ilvl="0" w:tplc="660C4156">
      <w:start w:val="1"/>
      <w:numFmt w:val="bullet"/>
      <w:lvlText w:val=""/>
      <w:lvlJc w:val="left"/>
      <w:pPr>
        <w:ind w:left="720" w:hanging="360"/>
      </w:pPr>
      <w:rPr>
        <w:rFonts w:ascii="Wingdings" w:hAnsi="Wingdings" w:hint="default"/>
        <w:color w:val="2E74B5" w:themeColor="accent1" w:themeShade="BF"/>
        <w:u w:color="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62574"/>
    <w:multiLevelType w:val="hybridMultilevel"/>
    <w:tmpl w:val="0CAC62B4"/>
    <w:lvl w:ilvl="0" w:tplc="660C4156">
      <w:start w:val="1"/>
      <w:numFmt w:val="bullet"/>
      <w:lvlText w:val=""/>
      <w:lvlJc w:val="left"/>
      <w:pPr>
        <w:ind w:left="720" w:hanging="360"/>
      </w:pPr>
      <w:rPr>
        <w:rFonts w:ascii="Wingdings" w:hAnsi="Wingdings" w:hint="default"/>
        <w:color w:val="2E74B5" w:themeColor="accent1" w:themeShade="BF"/>
        <w:u w:color="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00AAF"/>
    <w:multiLevelType w:val="hybridMultilevel"/>
    <w:tmpl w:val="0194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A839D4"/>
    <w:multiLevelType w:val="hybridMultilevel"/>
    <w:tmpl w:val="5C06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E7F63"/>
    <w:multiLevelType w:val="hybridMultilevel"/>
    <w:tmpl w:val="8D3A6180"/>
    <w:lvl w:ilvl="0" w:tplc="660C4156">
      <w:start w:val="1"/>
      <w:numFmt w:val="bullet"/>
      <w:lvlText w:val=""/>
      <w:lvlJc w:val="left"/>
      <w:pPr>
        <w:ind w:left="720" w:hanging="360"/>
      </w:pPr>
      <w:rPr>
        <w:rFonts w:ascii="Wingdings" w:hAnsi="Wingdings" w:hint="default"/>
        <w:color w:val="2E74B5" w:themeColor="accent1" w:themeShade="BF"/>
        <w:u w:color="8496B0"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46D2D"/>
    <w:multiLevelType w:val="hybridMultilevel"/>
    <w:tmpl w:val="660A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0"/>
  </w:num>
  <w:num w:numId="4">
    <w:abstractNumId w:val="2"/>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5"/>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AC"/>
    <w:rsid w:val="00020046"/>
    <w:rsid w:val="0006355D"/>
    <w:rsid w:val="000C1FAC"/>
    <w:rsid w:val="0012132A"/>
    <w:rsid w:val="0019781E"/>
    <w:rsid w:val="001E4FDD"/>
    <w:rsid w:val="002B6ABC"/>
    <w:rsid w:val="002D30B8"/>
    <w:rsid w:val="00321EA2"/>
    <w:rsid w:val="00354021"/>
    <w:rsid w:val="00366196"/>
    <w:rsid w:val="00390025"/>
    <w:rsid w:val="00392583"/>
    <w:rsid w:val="003C5D91"/>
    <w:rsid w:val="003E377A"/>
    <w:rsid w:val="00400EBA"/>
    <w:rsid w:val="004623EF"/>
    <w:rsid w:val="00462760"/>
    <w:rsid w:val="00464A9C"/>
    <w:rsid w:val="00490787"/>
    <w:rsid w:val="004C7228"/>
    <w:rsid w:val="00574A66"/>
    <w:rsid w:val="005E3927"/>
    <w:rsid w:val="00673BC0"/>
    <w:rsid w:val="006871BA"/>
    <w:rsid w:val="007030BF"/>
    <w:rsid w:val="007E0C73"/>
    <w:rsid w:val="007F4296"/>
    <w:rsid w:val="008525D3"/>
    <w:rsid w:val="0090778B"/>
    <w:rsid w:val="009529E6"/>
    <w:rsid w:val="00964F5F"/>
    <w:rsid w:val="00994997"/>
    <w:rsid w:val="00A17F66"/>
    <w:rsid w:val="00AE2D89"/>
    <w:rsid w:val="00B349C7"/>
    <w:rsid w:val="00B8032C"/>
    <w:rsid w:val="00BF7FBE"/>
    <w:rsid w:val="00C04D70"/>
    <w:rsid w:val="00C94F66"/>
    <w:rsid w:val="00C97F0F"/>
    <w:rsid w:val="00CC78CB"/>
    <w:rsid w:val="00D45AD0"/>
    <w:rsid w:val="00D5671D"/>
    <w:rsid w:val="00DD4CEE"/>
    <w:rsid w:val="00E12860"/>
    <w:rsid w:val="00E414AF"/>
    <w:rsid w:val="00E6636C"/>
    <w:rsid w:val="00E83136"/>
    <w:rsid w:val="00FC0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1D24"/>
  <w15:chartTrackingRefBased/>
  <w15:docId w15:val="{70ECB7AB-2A40-4078-97CF-430C7B00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CB"/>
    <w:pPr>
      <w:spacing w:after="200" w:line="240" w:lineRule="auto"/>
    </w:pPr>
    <w:rPr>
      <w:rFonts w:ascii="Arial" w:eastAsiaTheme="minorEastAsia" w:hAnsi="Arial"/>
      <w:sz w:val="24"/>
      <w:szCs w:val="20"/>
      <w:lang w:val="en-US" w:eastAsia="ja-JP"/>
    </w:rPr>
  </w:style>
  <w:style w:type="paragraph" w:styleId="Heading1">
    <w:name w:val="heading 1"/>
    <w:basedOn w:val="Normal"/>
    <w:next w:val="Normal"/>
    <w:link w:val="Heading1Char"/>
    <w:uiPriority w:val="9"/>
    <w:qFormat/>
    <w:rsid w:val="008525D3"/>
    <w:pPr>
      <w:numPr>
        <w:numId w:val="6"/>
      </w:numPr>
      <w:spacing w:before="120" w:after="120"/>
      <w:ind w:left="-567" w:firstLine="0"/>
      <w:outlineLvl w:val="0"/>
    </w:pPr>
    <w:rPr>
      <w:rFonts w:ascii="Arial Bold" w:hAnsi="Arial Bold" w:cs="Arial"/>
      <w:b/>
      <w:smallCaps/>
      <w:spacing w:val="20"/>
      <w:sz w:val="28"/>
      <w:szCs w:val="28"/>
      <w:lang w:val="en-GB" w:eastAsia="en-US"/>
    </w:rPr>
  </w:style>
  <w:style w:type="paragraph" w:styleId="Heading2">
    <w:name w:val="heading 2"/>
    <w:basedOn w:val="Normal"/>
    <w:next w:val="Normal"/>
    <w:link w:val="Heading2Char"/>
    <w:uiPriority w:val="9"/>
    <w:unhideWhenUsed/>
    <w:qFormat/>
    <w:rsid w:val="008525D3"/>
    <w:pPr>
      <w:keepNext/>
      <w:keepLines/>
      <w:numPr>
        <w:ilvl w:val="1"/>
        <w:numId w:val="6"/>
      </w:numPr>
      <w:spacing w:before="240" w:after="240"/>
      <w:ind w:left="11" w:hanging="578"/>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6355D"/>
    <w:pPr>
      <w:keepNext/>
      <w:keepLines/>
      <w:numPr>
        <w:ilvl w:val="2"/>
        <w:numId w:val="6"/>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06355D"/>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6355D"/>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6355D"/>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6355D"/>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6355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355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D3"/>
    <w:rPr>
      <w:rFonts w:ascii="Arial Bold" w:eastAsiaTheme="minorEastAsia" w:hAnsi="Arial Bold" w:cs="Arial"/>
      <w:b/>
      <w:smallCaps/>
      <w:spacing w:val="20"/>
      <w:sz w:val="28"/>
      <w:szCs w:val="28"/>
    </w:rPr>
  </w:style>
  <w:style w:type="table" w:styleId="TableGrid">
    <w:name w:val="Table Grid"/>
    <w:basedOn w:val="TableNormal"/>
    <w:uiPriority w:val="59"/>
    <w:rsid w:val="000C1F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1BA"/>
    <w:pPr>
      <w:spacing w:after="0"/>
      <w:ind w:left="720"/>
    </w:pPr>
    <w:rPr>
      <w:rFonts w:eastAsia="Times New Roman" w:cs="Times New Roman"/>
      <w:szCs w:val="24"/>
      <w:lang w:val="en-GB" w:eastAsia="en-GB"/>
    </w:rPr>
  </w:style>
  <w:style w:type="character" w:customStyle="1" w:styleId="Heading2Char">
    <w:name w:val="Heading 2 Char"/>
    <w:basedOn w:val="DefaultParagraphFont"/>
    <w:link w:val="Heading2"/>
    <w:uiPriority w:val="9"/>
    <w:rsid w:val="008525D3"/>
    <w:rPr>
      <w:rFonts w:ascii="Arial" w:eastAsiaTheme="majorEastAsia" w:hAnsi="Arial" w:cstheme="majorBidi"/>
      <w:b/>
      <w:sz w:val="24"/>
      <w:szCs w:val="26"/>
      <w:lang w:val="en-US" w:eastAsia="ja-JP"/>
    </w:rPr>
  </w:style>
  <w:style w:type="character" w:customStyle="1" w:styleId="Heading3Char">
    <w:name w:val="Heading 3 Char"/>
    <w:basedOn w:val="DefaultParagraphFont"/>
    <w:link w:val="Heading3"/>
    <w:uiPriority w:val="9"/>
    <w:semiHidden/>
    <w:rsid w:val="0006355D"/>
    <w:rPr>
      <w:rFonts w:asciiTheme="majorHAnsi" w:eastAsiaTheme="majorEastAsia" w:hAnsiTheme="majorHAnsi" w:cstheme="majorBidi"/>
      <w:color w:val="1F4D78" w:themeColor="accent1" w:themeShade="7F"/>
      <w:sz w:val="24"/>
      <w:szCs w:val="24"/>
      <w:lang w:val="en-US" w:eastAsia="ja-JP"/>
    </w:rPr>
  </w:style>
  <w:style w:type="character" w:customStyle="1" w:styleId="Heading4Char">
    <w:name w:val="Heading 4 Char"/>
    <w:basedOn w:val="DefaultParagraphFont"/>
    <w:link w:val="Heading4"/>
    <w:uiPriority w:val="9"/>
    <w:semiHidden/>
    <w:rsid w:val="0006355D"/>
    <w:rPr>
      <w:rFonts w:asciiTheme="majorHAnsi" w:eastAsiaTheme="majorEastAsia" w:hAnsiTheme="majorHAnsi" w:cstheme="majorBidi"/>
      <w:i/>
      <w:iCs/>
      <w:color w:val="2E74B5" w:themeColor="accent1" w:themeShade="BF"/>
      <w:szCs w:val="20"/>
      <w:lang w:val="en-US" w:eastAsia="ja-JP"/>
    </w:rPr>
  </w:style>
  <w:style w:type="character" w:customStyle="1" w:styleId="Heading5Char">
    <w:name w:val="Heading 5 Char"/>
    <w:basedOn w:val="DefaultParagraphFont"/>
    <w:link w:val="Heading5"/>
    <w:uiPriority w:val="9"/>
    <w:semiHidden/>
    <w:rsid w:val="0006355D"/>
    <w:rPr>
      <w:rFonts w:asciiTheme="majorHAnsi" w:eastAsiaTheme="majorEastAsia" w:hAnsiTheme="majorHAnsi" w:cstheme="majorBidi"/>
      <w:color w:val="2E74B5" w:themeColor="accent1" w:themeShade="BF"/>
      <w:szCs w:val="20"/>
      <w:lang w:val="en-US" w:eastAsia="ja-JP"/>
    </w:rPr>
  </w:style>
  <w:style w:type="character" w:customStyle="1" w:styleId="Heading6Char">
    <w:name w:val="Heading 6 Char"/>
    <w:basedOn w:val="DefaultParagraphFont"/>
    <w:link w:val="Heading6"/>
    <w:uiPriority w:val="9"/>
    <w:semiHidden/>
    <w:rsid w:val="0006355D"/>
    <w:rPr>
      <w:rFonts w:asciiTheme="majorHAnsi" w:eastAsiaTheme="majorEastAsia" w:hAnsiTheme="majorHAnsi" w:cstheme="majorBidi"/>
      <w:color w:val="1F4D78" w:themeColor="accent1" w:themeShade="7F"/>
      <w:szCs w:val="20"/>
      <w:lang w:val="en-US" w:eastAsia="ja-JP"/>
    </w:rPr>
  </w:style>
  <w:style w:type="character" w:customStyle="1" w:styleId="Heading7Char">
    <w:name w:val="Heading 7 Char"/>
    <w:basedOn w:val="DefaultParagraphFont"/>
    <w:link w:val="Heading7"/>
    <w:uiPriority w:val="9"/>
    <w:semiHidden/>
    <w:rsid w:val="0006355D"/>
    <w:rPr>
      <w:rFonts w:asciiTheme="majorHAnsi" w:eastAsiaTheme="majorEastAsia" w:hAnsiTheme="majorHAnsi" w:cstheme="majorBidi"/>
      <w:i/>
      <w:iCs/>
      <w:color w:val="1F4D78" w:themeColor="accent1" w:themeShade="7F"/>
      <w:szCs w:val="20"/>
      <w:lang w:val="en-US" w:eastAsia="ja-JP"/>
    </w:rPr>
  </w:style>
  <w:style w:type="character" w:customStyle="1" w:styleId="Heading8Char">
    <w:name w:val="Heading 8 Char"/>
    <w:basedOn w:val="DefaultParagraphFont"/>
    <w:link w:val="Heading8"/>
    <w:uiPriority w:val="9"/>
    <w:semiHidden/>
    <w:rsid w:val="0006355D"/>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uiPriority w:val="9"/>
    <w:semiHidden/>
    <w:rsid w:val="0006355D"/>
    <w:rPr>
      <w:rFonts w:asciiTheme="majorHAnsi" w:eastAsiaTheme="majorEastAsia" w:hAnsiTheme="majorHAnsi" w:cstheme="majorBidi"/>
      <w:i/>
      <w:iCs/>
      <w:color w:val="272727" w:themeColor="text1" w:themeTint="D8"/>
      <w:sz w:val="21"/>
      <w:szCs w:val="21"/>
      <w:lang w:val="en-US" w:eastAsia="ja-JP"/>
    </w:rPr>
  </w:style>
  <w:style w:type="paragraph" w:styleId="FootnoteText">
    <w:name w:val="footnote text"/>
    <w:basedOn w:val="Normal"/>
    <w:link w:val="FootnoteTextChar"/>
    <w:uiPriority w:val="99"/>
    <w:semiHidden/>
    <w:unhideWhenUsed/>
    <w:rsid w:val="00DD4CEE"/>
    <w:pPr>
      <w:spacing w:after="0"/>
    </w:pPr>
    <w:rPr>
      <w:sz w:val="20"/>
    </w:rPr>
  </w:style>
  <w:style w:type="character" w:customStyle="1" w:styleId="FootnoteTextChar">
    <w:name w:val="Footnote Text Char"/>
    <w:basedOn w:val="DefaultParagraphFont"/>
    <w:link w:val="FootnoteText"/>
    <w:uiPriority w:val="99"/>
    <w:semiHidden/>
    <w:rsid w:val="00DD4CEE"/>
    <w:rPr>
      <w:rFonts w:ascii="Arial" w:eastAsiaTheme="minorEastAsia" w:hAnsi="Arial"/>
      <w:sz w:val="20"/>
      <w:szCs w:val="20"/>
      <w:lang w:val="en-US" w:eastAsia="ja-JP"/>
    </w:rPr>
  </w:style>
  <w:style w:type="character" w:styleId="FootnoteReference">
    <w:name w:val="footnote reference"/>
    <w:basedOn w:val="DefaultParagraphFont"/>
    <w:uiPriority w:val="99"/>
    <w:semiHidden/>
    <w:unhideWhenUsed/>
    <w:rsid w:val="00DD4CEE"/>
    <w:rPr>
      <w:vertAlign w:val="superscript"/>
    </w:rPr>
  </w:style>
  <w:style w:type="character" w:styleId="Hyperlink">
    <w:name w:val="Hyperlink"/>
    <w:basedOn w:val="DefaultParagraphFont"/>
    <w:uiPriority w:val="99"/>
    <w:unhideWhenUsed/>
    <w:rsid w:val="00DD4CEE"/>
    <w:rPr>
      <w:color w:val="0563C1" w:themeColor="hyperlink"/>
      <w:u w:val="single"/>
    </w:rPr>
  </w:style>
  <w:style w:type="paragraph" w:styleId="EndnoteText">
    <w:name w:val="endnote text"/>
    <w:basedOn w:val="Normal"/>
    <w:link w:val="EndnoteTextChar"/>
    <w:uiPriority w:val="99"/>
    <w:semiHidden/>
    <w:unhideWhenUsed/>
    <w:rsid w:val="00DD4CEE"/>
    <w:pPr>
      <w:spacing w:after="0"/>
    </w:pPr>
    <w:rPr>
      <w:sz w:val="20"/>
    </w:rPr>
  </w:style>
  <w:style w:type="character" w:customStyle="1" w:styleId="EndnoteTextChar">
    <w:name w:val="Endnote Text Char"/>
    <w:basedOn w:val="DefaultParagraphFont"/>
    <w:link w:val="EndnoteText"/>
    <w:uiPriority w:val="99"/>
    <w:semiHidden/>
    <w:rsid w:val="00DD4CEE"/>
    <w:rPr>
      <w:rFonts w:ascii="Arial" w:eastAsiaTheme="minorEastAsia" w:hAnsi="Arial"/>
      <w:sz w:val="20"/>
      <w:szCs w:val="20"/>
      <w:lang w:val="en-US" w:eastAsia="ja-JP"/>
    </w:rPr>
  </w:style>
  <w:style w:type="character" w:styleId="EndnoteReference">
    <w:name w:val="endnote reference"/>
    <w:basedOn w:val="DefaultParagraphFont"/>
    <w:uiPriority w:val="99"/>
    <w:semiHidden/>
    <w:unhideWhenUsed/>
    <w:rsid w:val="00DD4CEE"/>
    <w:rPr>
      <w:vertAlign w:val="superscript"/>
    </w:rPr>
  </w:style>
  <w:style w:type="paragraph" w:styleId="Header">
    <w:name w:val="header"/>
    <w:basedOn w:val="Normal"/>
    <w:link w:val="HeaderChar"/>
    <w:uiPriority w:val="99"/>
    <w:unhideWhenUsed/>
    <w:rsid w:val="00673BC0"/>
    <w:pPr>
      <w:tabs>
        <w:tab w:val="center" w:pos="4513"/>
        <w:tab w:val="right" w:pos="9026"/>
      </w:tabs>
      <w:spacing w:after="0"/>
    </w:pPr>
  </w:style>
  <w:style w:type="character" w:customStyle="1" w:styleId="HeaderChar">
    <w:name w:val="Header Char"/>
    <w:basedOn w:val="DefaultParagraphFont"/>
    <w:link w:val="Header"/>
    <w:uiPriority w:val="99"/>
    <w:rsid w:val="00673BC0"/>
    <w:rPr>
      <w:rFonts w:ascii="Arial" w:eastAsiaTheme="minorEastAsia" w:hAnsi="Arial"/>
      <w:sz w:val="24"/>
      <w:szCs w:val="20"/>
      <w:lang w:val="en-US" w:eastAsia="ja-JP"/>
    </w:rPr>
  </w:style>
  <w:style w:type="paragraph" w:styleId="Footer">
    <w:name w:val="footer"/>
    <w:basedOn w:val="Normal"/>
    <w:link w:val="FooterChar"/>
    <w:uiPriority w:val="99"/>
    <w:unhideWhenUsed/>
    <w:rsid w:val="00673BC0"/>
    <w:pPr>
      <w:tabs>
        <w:tab w:val="center" w:pos="4513"/>
        <w:tab w:val="right" w:pos="9026"/>
      </w:tabs>
      <w:spacing w:after="0"/>
    </w:pPr>
  </w:style>
  <w:style w:type="character" w:customStyle="1" w:styleId="FooterChar">
    <w:name w:val="Footer Char"/>
    <w:basedOn w:val="DefaultParagraphFont"/>
    <w:link w:val="Footer"/>
    <w:uiPriority w:val="99"/>
    <w:rsid w:val="00673BC0"/>
    <w:rPr>
      <w:rFonts w:ascii="Arial" w:eastAsiaTheme="minorEastAsia" w:hAnsi="Arial"/>
      <w:sz w:val="24"/>
      <w:szCs w:val="20"/>
      <w:lang w:val="en-US" w:eastAsia="ja-JP"/>
    </w:rPr>
  </w:style>
  <w:style w:type="character" w:styleId="FollowedHyperlink">
    <w:name w:val="FollowedHyperlink"/>
    <w:basedOn w:val="DefaultParagraphFont"/>
    <w:uiPriority w:val="99"/>
    <w:semiHidden/>
    <w:unhideWhenUsed/>
    <w:rsid w:val="00020046"/>
    <w:rPr>
      <w:color w:val="954F72" w:themeColor="followedHyperlink"/>
      <w:u w:val="single"/>
    </w:rPr>
  </w:style>
  <w:style w:type="paragraph" w:styleId="Caption">
    <w:name w:val="caption"/>
    <w:basedOn w:val="Normal"/>
    <w:next w:val="Normal"/>
    <w:uiPriority w:val="35"/>
    <w:semiHidden/>
    <w:unhideWhenUsed/>
    <w:qFormat/>
    <w:rsid w:val="00390025"/>
    <w:rPr>
      <w:i/>
      <w:iCs/>
      <w:color w:val="44546A" w:themeColor="text2"/>
      <w:sz w:val="18"/>
      <w:szCs w:val="18"/>
    </w:rPr>
  </w:style>
  <w:style w:type="paragraph" w:styleId="BalloonText">
    <w:name w:val="Balloon Text"/>
    <w:basedOn w:val="Normal"/>
    <w:link w:val="BalloonTextChar"/>
    <w:uiPriority w:val="99"/>
    <w:semiHidden/>
    <w:unhideWhenUsed/>
    <w:rsid w:val="00B349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C7"/>
    <w:rPr>
      <w:rFonts w:ascii="Segoe UI" w:eastAsiaTheme="minorEastAsia" w:hAnsi="Segoe UI" w:cs="Segoe UI"/>
      <w:sz w:val="18"/>
      <w:szCs w:val="18"/>
      <w:lang w:val="en-US" w:eastAsia="ja-JP"/>
    </w:rPr>
  </w:style>
  <w:style w:type="character" w:styleId="CommentReference">
    <w:name w:val="annotation reference"/>
    <w:basedOn w:val="DefaultParagraphFont"/>
    <w:uiPriority w:val="99"/>
    <w:semiHidden/>
    <w:unhideWhenUsed/>
    <w:rsid w:val="00B349C7"/>
    <w:rPr>
      <w:sz w:val="16"/>
      <w:szCs w:val="16"/>
    </w:rPr>
  </w:style>
  <w:style w:type="paragraph" w:styleId="CommentText">
    <w:name w:val="annotation text"/>
    <w:basedOn w:val="Normal"/>
    <w:link w:val="CommentTextChar"/>
    <w:uiPriority w:val="99"/>
    <w:semiHidden/>
    <w:unhideWhenUsed/>
    <w:rsid w:val="00B349C7"/>
    <w:rPr>
      <w:sz w:val="20"/>
    </w:rPr>
  </w:style>
  <w:style w:type="character" w:customStyle="1" w:styleId="CommentTextChar">
    <w:name w:val="Comment Text Char"/>
    <w:basedOn w:val="DefaultParagraphFont"/>
    <w:link w:val="CommentText"/>
    <w:uiPriority w:val="99"/>
    <w:semiHidden/>
    <w:rsid w:val="00B349C7"/>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B349C7"/>
    <w:rPr>
      <w:b/>
      <w:bCs/>
    </w:rPr>
  </w:style>
  <w:style w:type="character" w:customStyle="1" w:styleId="CommentSubjectChar">
    <w:name w:val="Comment Subject Char"/>
    <w:basedOn w:val="CommentTextChar"/>
    <w:link w:val="CommentSubject"/>
    <w:uiPriority w:val="99"/>
    <w:semiHidden/>
    <w:rsid w:val="00B349C7"/>
    <w:rPr>
      <w:rFonts w:ascii="Arial" w:eastAsiaTheme="minorEastAsia" w:hAnsi="Arial"/>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16CB-64F9-4DA3-9796-28A2BF30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1799</Words>
  <Characters>10255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Matthew</dc:creator>
  <cp:keywords/>
  <dc:description/>
  <cp:lastModifiedBy>Carosio, Juan - Head of Procurement - NCL POD</cp:lastModifiedBy>
  <cp:revision>2</cp:revision>
  <cp:lastPrinted>2016-09-09T07:49:00Z</cp:lastPrinted>
  <dcterms:created xsi:type="dcterms:W3CDTF">2016-09-23T13:22:00Z</dcterms:created>
  <dcterms:modified xsi:type="dcterms:W3CDTF">2016-09-23T13:22:00Z</dcterms:modified>
</cp:coreProperties>
</file>