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F72C7" w14:textId="30E5CA7C" w:rsidR="009D0F90" w:rsidRDefault="002956DC">
      <w:bookmarkStart w:id="0" w:name="_GoBack"/>
      <w:bookmarkEnd w:id="0"/>
      <w:r>
        <w:rPr>
          <w:noProof/>
          <w:lang w:val="en-GB" w:eastAsia="en-GB"/>
        </w:rPr>
        <w:drawing>
          <wp:inline distT="0" distB="0" distL="0" distR="0" wp14:anchorId="40C84FEF" wp14:editId="5237B892">
            <wp:extent cx="4914459" cy="104957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31921" cy="1053301"/>
                    </a:xfrm>
                    <a:prstGeom prst="rect">
                      <a:avLst/>
                    </a:prstGeom>
                  </pic:spPr>
                </pic:pic>
              </a:graphicData>
            </a:graphic>
          </wp:inline>
        </w:drawing>
      </w:r>
    </w:p>
    <w:p w14:paraId="2B520A63" w14:textId="77777777" w:rsidR="002956DC" w:rsidRDefault="002956DC" w:rsidP="001100ED">
      <w:pPr>
        <w:spacing w:after="0"/>
        <w:rPr>
          <w:b/>
          <w:color w:val="244061" w:themeColor="accent1" w:themeShade="80"/>
          <w:sz w:val="32"/>
          <w:szCs w:val="32"/>
        </w:rPr>
      </w:pPr>
    </w:p>
    <w:p w14:paraId="61831B60" w14:textId="48574E63" w:rsidR="001100ED" w:rsidRPr="001100ED" w:rsidRDefault="001100ED" w:rsidP="001100ED">
      <w:pPr>
        <w:spacing w:after="0"/>
        <w:rPr>
          <w:b/>
          <w:color w:val="244061" w:themeColor="accent1" w:themeShade="80"/>
          <w:sz w:val="32"/>
          <w:szCs w:val="32"/>
        </w:rPr>
      </w:pPr>
      <w:r w:rsidRPr="001100ED">
        <w:rPr>
          <w:b/>
          <w:color w:val="244061" w:themeColor="accent1" w:themeShade="80"/>
          <w:sz w:val="32"/>
          <w:szCs w:val="32"/>
        </w:rPr>
        <w:t>Padiham Townscape Heritage</w:t>
      </w:r>
      <w:r w:rsidR="00617632">
        <w:rPr>
          <w:b/>
          <w:color w:val="244061" w:themeColor="accent1" w:themeShade="80"/>
          <w:sz w:val="32"/>
          <w:szCs w:val="32"/>
        </w:rPr>
        <w:t>: Crafting the Future</w:t>
      </w:r>
      <w:r w:rsidRPr="001100ED">
        <w:rPr>
          <w:b/>
          <w:color w:val="244061" w:themeColor="accent1" w:themeShade="80"/>
          <w:sz w:val="32"/>
          <w:szCs w:val="32"/>
        </w:rPr>
        <w:t xml:space="preserve"> </w:t>
      </w:r>
    </w:p>
    <w:p w14:paraId="7DBE1EF8" w14:textId="77777777" w:rsidR="001100ED" w:rsidRPr="001100ED" w:rsidRDefault="001100ED" w:rsidP="001100ED">
      <w:pPr>
        <w:spacing w:after="0"/>
        <w:rPr>
          <w:color w:val="244061" w:themeColor="accent1" w:themeShade="80"/>
        </w:rPr>
      </w:pPr>
    </w:p>
    <w:p w14:paraId="01B6FBEB" w14:textId="119B6F73" w:rsidR="001100ED" w:rsidRDefault="00CD55E7" w:rsidP="001100ED">
      <w:pPr>
        <w:spacing w:after="0"/>
        <w:rPr>
          <w:color w:val="244061" w:themeColor="accent1" w:themeShade="80"/>
          <w:sz w:val="36"/>
          <w:szCs w:val="36"/>
        </w:rPr>
      </w:pPr>
      <w:r>
        <w:rPr>
          <w:color w:val="244061" w:themeColor="accent1" w:themeShade="80"/>
          <w:sz w:val="36"/>
          <w:szCs w:val="36"/>
        </w:rPr>
        <w:t xml:space="preserve">Landscape Consultancy Services in Respect of the Padiham </w:t>
      </w:r>
      <w:r w:rsidR="000277E1">
        <w:rPr>
          <w:color w:val="244061" w:themeColor="accent1" w:themeShade="80"/>
          <w:sz w:val="36"/>
          <w:szCs w:val="36"/>
        </w:rPr>
        <w:t>Town Centre</w:t>
      </w:r>
      <w:r w:rsidR="007F2F92">
        <w:rPr>
          <w:color w:val="244061" w:themeColor="accent1" w:themeShade="80"/>
          <w:sz w:val="36"/>
          <w:szCs w:val="36"/>
        </w:rPr>
        <w:t xml:space="preserve"> Public Realm Improvement</w:t>
      </w:r>
      <w:r>
        <w:rPr>
          <w:color w:val="244061" w:themeColor="accent1" w:themeShade="80"/>
          <w:sz w:val="36"/>
          <w:szCs w:val="36"/>
        </w:rPr>
        <w:t xml:space="preserve"> Works</w:t>
      </w:r>
    </w:p>
    <w:p w14:paraId="1C9B1DFD" w14:textId="77777777" w:rsidR="00617632" w:rsidRDefault="00617632" w:rsidP="001100ED">
      <w:pPr>
        <w:spacing w:after="0"/>
        <w:rPr>
          <w:color w:val="244061" w:themeColor="accent1" w:themeShade="80"/>
          <w:sz w:val="36"/>
          <w:szCs w:val="36"/>
        </w:rPr>
      </w:pPr>
    </w:p>
    <w:p w14:paraId="63EB2888" w14:textId="366E8CF1" w:rsidR="001100ED" w:rsidRDefault="001100ED" w:rsidP="00617632">
      <w:pPr>
        <w:spacing w:after="0"/>
        <w:rPr>
          <w:color w:val="244061" w:themeColor="accent1" w:themeShade="80"/>
          <w:sz w:val="24"/>
          <w:szCs w:val="24"/>
        </w:rPr>
      </w:pPr>
    </w:p>
    <w:p w14:paraId="63F7D9E2" w14:textId="77777777" w:rsidR="00CD55E7" w:rsidRDefault="00CD55E7" w:rsidP="00617632">
      <w:pPr>
        <w:spacing w:after="0"/>
        <w:rPr>
          <w:color w:val="244061" w:themeColor="accent1" w:themeShade="80"/>
          <w:sz w:val="24"/>
          <w:szCs w:val="24"/>
        </w:rPr>
      </w:pPr>
    </w:p>
    <w:p w14:paraId="39EA5674" w14:textId="77777777" w:rsidR="00CD55E7" w:rsidRDefault="00CD55E7" w:rsidP="00617632">
      <w:pPr>
        <w:spacing w:after="0"/>
        <w:rPr>
          <w:color w:val="244061" w:themeColor="accent1" w:themeShade="80"/>
          <w:sz w:val="24"/>
          <w:szCs w:val="24"/>
        </w:rPr>
      </w:pPr>
    </w:p>
    <w:p w14:paraId="4029A83E" w14:textId="77777777" w:rsidR="00CD55E7" w:rsidRDefault="00CD55E7" w:rsidP="00617632">
      <w:pPr>
        <w:spacing w:after="0"/>
        <w:rPr>
          <w:color w:val="244061" w:themeColor="accent1" w:themeShade="80"/>
          <w:sz w:val="24"/>
          <w:szCs w:val="24"/>
        </w:rPr>
      </w:pPr>
    </w:p>
    <w:p w14:paraId="381AA12D" w14:textId="77777777" w:rsidR="00CD55E7" w:rsidRDefault="00CD55E7" w:rsidP="00617632">
      <w:pPr>
        <w:spacing w:after="0"/>
        <w:rPr>
          <w:color w:val="244061" w:themeColor="accent1" w:themeShade="80"/>
          <w:sz w:val="24"/>
          <w:szCs w:val="24"/>
        </w:rPr>
      </w:pPr>
    </w:p>
    <w:p w14:paraId="2B7C71B0" w14:textId="77777777" w:rsidR="00CD55E7" w:rsidRDefault="00CD55E7" w:rsidP="00617632">
      <w:pPr>
        <w:spacing w:after="0"/>
        <w:rPr>
          <w:color w:val="244061" w:themeColor="accent1" w:themeShade="80"/>
          <w:sz w:val="24"/>
          <w:szCs w:val="24"/>
        </w:rPr>
      </w:pPr>
    </w:p>
    <w:p w14:paraId="3F16E69C" w14:textId="77777777" w:rsidR="00CD55E7" w:rsidRDefault="00CD55E7" w:rsidP="00617632">
      <w:pPr>
        <w:spacing w:after="0"/>
        <w:rPr>
          <w:color w:val="244061" w:themeColor="accent1" w:themeShade="80"/>
          <w:sz w:val="24"/>
          <w:szCs w:val="24"/>
        </w:rPr>
      </w:pPr>
    </w:p>
    <w:p w14:paraId="370D9EB7" w14:textId="77777777" w:rsidR="00CD55E7" w:rsidRDefault="00CD55E7" w:rsidP="00617632">
      <w:pPr>
        <w:spacing w:after="0"/>
        <w:rPr>
          <w:color w:val="244061" w:themeColor="accent1" w:themeShade="80"/>
          <w:sz w:val="24"/>
          <w:szCs w:val="24"/>
        </w:rPr>
      </w:pPr>
    </w:p>
    <w:p w14:paraId="2DA5EA35" w14:textId="77777777" w:rsidR="00CD55E7" w:rsidRDefault="00CD55E7" w:rsidP="00617632">
      <w:pPr>
        <w:spacing w:after="0"/>
        <w:rPr>
          <w:color w:val="244061" w:themeColor="accent1" w:themeShade="80"/>
          <w:sz w:val="24"/>
          <w:szCs w:val="24"/>
        </w:rPr>
      </w:pPr>
    </w:p>
    <w:p w14:paraId="6A77A861" w14:textId="77777777" w:rsidR="00CD55E7" w:rsidRDefault="00CD55E7" w:rsidP="00617632">
      <w:pPr>
        <w:spacing w:after="0"/>
        <w:rPr>
          <w:color w:val="244061" w:themeColor="accent1" w:themeShade="80"/>
          <w:sz w:val="24"/>
          <w:szCs w:val="24"/>
        </w:rPr>
      </w:pPr>
    </w:p>
    <w:p w14:paraId="582B2C77" w14:textId="77777777" w:rsidR="00CD55E7" w:rsidRDefault="00CD55E7" w:rsidP="00617632">
      <w:pPr>
        <w:spacing w:after="0"/>
        <w:rPr>
          <w:color w:val="244061" w:themeColor="accent1" w:themeShade="80"/>
          <w:sz w:val="24"/>
          <w:szCs w:val="24"/>
        </w:rPr>
      </w:pPr>
    </w:p>
    <w:p w14:paraId="3AEB5CD3" w14:textId="77777777" w:rsidR="00CD55E7" w:rsidRDefault="00CD55E7" w:rsidP="00617632">
      <w:pPr>
        <w:spacing w:after="0"/>
        <w:rPr>
          <w:color w:val="244061" w:themeColor="accent1" w:themeShade="80"/>
          <w:sz w:val="24"/>
          <w:szCs w:val="24"/>
        </w:rPr>
      </w:pPr>
    </w:p>
    <w:p w14:paraId="09BB9C05" w14:textId="77777777" w:rsidR="00CD55E7" w:rsidRDefault="00CD55E7" w:rsidP="00617632">
      <w:pPr>
        <w:spacing w:after="0"/>
        <w:rPr>
          <w:color w:val="244061" w:themeColor="accent1" w:themeShade="80"/>
          <w:sz w:val="24"/>
          <w:szCs w:val="24"/>
        </w:rPr>
      </w:pPr>
    </w:p>
    <w:p w14:paraId="165DEFBC" w14:textId="77777777" w:rsidR="00CD55E7" w:rsidRDefault="00CD55E7" w:rsidP="00617632">
      <w:pPr>
        <w:spacing w:after="0"/>
        <w:rPr>
          <w:color w:val="244061" w:themeColor="accent1" w:themeShade="80"/>
          <w:sz w:val="24"/>
          <w:szCs w:val="24"/>
        </w:rPr>
      </w:pPr>
    </w:p>
    <w:p w14:paraId="6C7AE89A" w14:textId="77777777" w:rsidR="00CD55E7" w:rsidRDefault="00CD55E7" w:rsidP="00617632">
      <w:pPr>
        <w:spacing w:after="0"/>
        <w:rPr>
          <w:color w:val="244061" w:themeColor="accent1" w:themeShade="80"/>
          <w:sz w:val="24"/>
          <w:szCs w:val="24"/>
        </w:rPr>
      </w:pPr>
    </w:p>
    <w:p w14:paraId="74A6ED90" w14:textId="77777777" w:rsidR="00CD55E7" w:rsidRDefault="00CD55E7" w:rsidP="00617632">
      <w:pPr>
        <w:spacing w:after="0"/>
        <w:rPr>
          <w:color w:val="244061" w:themeColor="accent1" w:themeShade="80"/>
          <w:sz w:val="24"/>
          <w:szCs w:val="24"/>
        </w:rPr>
      </w:pPr>
    </w:p>
    <w:p w14:paraId="5FEA19E3" w14:textId="77777777" w:rsidR="00CD55E7" w:rsidRDefault="00CD55E7" w:rsidP="00617632">
      <w:pPr>
        <w:spacing w:after="0"/>
        <w:rPr>
          <w:color w:val="244061" w:themeColor="accent1" w:themeShade="80"/>
          <w:sz w:val="24"/>
          <w:szCs w:val="24"/>
        </w:rPr>
      </w:pPr>
    </w:p>
    <w:p w14:paraId="098EEEEA" w14:textId="77777777" w:rsidR="00CD55E7" w:rsidRDefault="00CD55E7" w:rsidP="00617632">
      <w:pPr>
        <w:spacing w:after="0"/>
        <w:rPr>
          <w:color w:val="244061" w:themeColor="accent1" w:themeShade="80"/>
          <w:sz w:val="24"/>
          <w:szCs w:val="24"/>
        </w:rPr>
      </w:pPr>
    </w:p>
    <w:p w14:paraId="6226E1BA" w14:textId="77777777" w:rsidR="00CD55E7" w:rsidRPr="00617632" w:rsidRDefault="00CD55E7" w:rsidP="00617632">
      <w:pPr>
        <w:spacing w:after="0"/>
        <w:rPr>
          <w:color w:val="244061" w:themeColor="accent1" w:themeShade="80"/>
          <w:sz w:val="24"/>
          <w:szCs w:val="24"/>
        </w:rPr>
      </w:pPr>
    </w:p>
    <w:p w14:paraId="66EC8394" w14:textId="77777777" w:rsidR="00617632" w:rsidRDefault="00617632" w:rsidP="001100ED">
      <w:pPr>
        <w:spacing w:after="0"/>
        <w:rPr>
          <w:b/>
          <w:color w:val="244061" w:themeColor="accent1" w:themeShade="80"/>
          <w:sz w:val="32"/>
          <w:szCs w:val="32"/>
        </w:rPr>
      </w:pPr>
    </w:p>
    <w:p w14:paraId="4F7ED228" w14:textId="77777777" w:rsidR="001100ED" w:rsidRPr="001100ED" w:rsidRDefault="001100ED" w:rsidP="001100ED">
      <w:pPr>
        <w:spacing w:after="0"/>
        <w:rPr>
          <w:b/>
          <w:color w:val="244061" w:themeColor="accent1" w:themeShade="80"/>
          <w:sz w:val="32"/>
          <w:szCs w:val="32"/>
        </w:rPr>
      </w:pPr>
      <w:r w:rsidRPr="001100ED">
        <w:rPr>
          <w:b/>
          <w:color w:val="244061" w:themeColor="accent1" w:themeShade="80"/>
          <w:sz w:val="32"/>
          <w:szCs w:val="32"/>
        </w:rPr>
        <w:t>Tender Brief</w:t>
      </w:r>
    </w:p>
    <w:p w14:paraId="0BF6C4B5" w14:textId="77777777" w:rsidR="00617632" w:rsidRPr="00A532BC" w:rsidRDefault="00617632" w:rsidP="001100ED">
      <w:pPr>
        <w:spacing w:after="0"/>
        <w:rPr>
          <w:b/>
          <w:color w:val="244061" w:themeColor="accent1" w:themeShade="80"/>
          <w:sz w:val="24"/>
          <w:szCs w:val="24"/>
        </w:rPr>
      </w:pPr>
    </w:p>
    <w:p w14:paraId="7F11CA23" w14:textId="070F9F9A" w:rsidR="00617632" w:rsidRPr="00A532BC" w:rsidRDefault="001100ED" w:rsidP="001100ED">
      <w:pPr>
        <w:spacing w:after="0"/>
        <w:rPr>
          <w:b/>
          <w:color w:val="244061" w:themeColor="accent1" w:themeShade="80"/>
          <w:sz w:val="24"/>
          <w:szCs w:val="24"/>
        </w:rPr>
      </w:pPr>
      <w:r w:rsidRPr="00CB7A38">
        <w:rPr>
          <w:b/>
          <w:color w:val="244061" w:themeColor="accent1" w:themeShade="80"/>
          <w:sz w:val="24"/>
          <w:szCs w:val="24"/>
        </w:rPr>
        <w:t>Date of issue:</w:t>
      </w:r>
      <w:r w:rsidR="00AB12BD" w:rsidRPr="00CB7A38">
        <w:rPr>
          <w:b/>
          <w:color w:val="244061" w:themeColor="accent1" w:themeShade="80"/>
          <w:sz w:val="24"/>
          <w:szCs w:val="24"/>
        </w:rPr>
        <w:t xml:space="preserve"> </w:t>
      </w:r>
      <w:r w:rsidR="00CB7A38" w:rsidRPr="00CB7A38">
        <w:rPr>
          <w:b/>
          <w:color w:val="244061" w:themeColor="accent1" w:themeShade="80"/>
          <w:sz w:val="24"/>
          <w:szCs w:val="24"/>
        </w:rPr>
        <w:t>Friday</w:t>
      </w:r>
      <w:r w:rsidR="00CB7A38">
        <w:rPr>
          <w:b/>
          <w:color w:val="244061" w:themeColor="accent1" w:themeShade="80"/>
          <w:sz w:val="24"/>
          <w:szCs w:val="24"/>
        </w:rPr>
        <w:t xml:space="preserve"> 29</w:t>
      </w:r>
      <w:r w:rsidR="00CB7A38" w:rsidRPr="00CB7A38">
        <w:rPr>
          <w:b/>
          <w:color w:val="244061" w:themeColor="accent1" w:themeShade="80"/>
          <w:sz w:val="24"/>
          <w:szCs w:val="24"/>
          <w:vertAlign w:val="superscript"/>
        </w:rPr>
        <w:t>th</w:t>
      </w:r>
      <w:r w:rsidR="00CB7A38">
        <w:rPr>
          <w:b/>
          <w:color w:val="244061" w:themeColor="accent1" w:themeShade="80"/>
          <w:sz w:val="24"/>
          <w:szCs w:val="24"/>
        </w:rPr>
        <w:t xml:space="preserve"> June 2018</w:t>
      </w:r>
    </w:p>
    <w:p w14:paraId="1BE0989E" w14:textId="77777777" w:rsidR="001100ED" w:rsidRPr="005632B1" w:rsidRDefault="001100ED" w:rsidP="000A2D0F">
      <w:pPr>
        <w:pStyle w:val="IntenseQuote"/>
        <w:numPr>
          <w:ilvl w:val="0"/>
          <w:numId w:val="4"/>
        </w:numPr>
        <w:ind w:left="284" w:hanging="578"/>
        <w:rPr>
          <w:i w:val="0"/>
          <w:color w:val="244061" w:themeColor="accent1" w:themeShade="80"/>
          <w:sz w:val="28"/>
          <w:szCs w:val="28"/>
        </w:rPr>
      </w:pPr>
      <w:r w:rsidRPr="005632B1">
        <w:rPr>
          <w:i w:val="0"/>
          <w:color w:val="244061" w:themeColor="accent1" w:themeShade="80"/>
          <w:sz w:val="28"/>
          <w:szCs w:val="28"/>
        </w:rPr>
        <w:lastRenderedPageBreak/>
        <w:t>Purpose</w:t>
      </w:r>
    </w:p>
    <w:p w14:paraId="7B5102BB" w14:textId="5314F3EC" w:rsidR="00AE68F7" w:rsidRDefault="001100ED" w:rsidP="000A2D0F">
      <w:pPr>
        <w:pStyle w:val="ListParagraph"/>
        <w:numPr>
          <w:ilvl w:val="1"/>
          <w:numId w:val="4"/>
        </w:numPr>
        <w:spacing w:after="0"/>
        <w:ind w:left="284" w:hanging="578"/>
      </w:pPr>
      <w:r w:rsidRPr="001E1341">
        <w:rPr>
          <w:rFonts w:cstheme="minorHAnsi"/>
        </w:rPr>
        <w:t>Burnley Council requires the support of a</w:t>
      </w:r>
      <w:r w:rsidR="00CD55E7">
        <w:rPr>
          <w:rFonts w:cstheme="minorHAnsi"/>
        </w:rPr>
        <w:t>n experienced</w:t>
      </w:r>
      <w:r w:rsidR="00497B30">
        <w:rPr>
          <w:rFonts w:cstheme="minorHAnsi"/>
        </w:rPr>
        <w:t xml:space="preserve"> Landscape Architect/Consultant</w:t>
      </w:r>
      <w:r w:rsidR="00CD55E7">
        <w:rPr>
          <w:rFonts w:cstheme="minorHAnsi"/>
        </w:rPr>
        <w:t xml:space="preserve"> </w:t>
      </w:r>
      <w:r w:rsidR="00AE68F7" w:rsidRPr="001E1341">
        <w:rPr>
          <w:rFonts w:cstheme="minorHAnsi"/>
        </w:rPr>
        <w:t xml:space="preserve">to support the </w:t>
      </w:r>
      <w:r w:rsidR="00CD55E7">
        <w:rPr>
          <w:rFonts w:cstheme="minorHAnsi"/>
        </w:rPr>
        <w:t>development and delivery</w:t>
      </w:r>
      <w:r w:rsidR="00AE68F7" w:rsidRPr="001E1341">
        <w:rPr>
          <w:rFonts w:cstheme="minorHAnsi"/>
        </w:rPr>
        <w:t xml:space="preserve"> of the Padiham </w:t>
      </w:r>
      <w:r w:rsidR="00C33A2C">
        <w:rPr>
          <w:rFonts w:cstheme="minorHAnsi"/>
        </w:rPr>
        <w:t>TH (</w:t>
      </w:r>
      <w:r w:rsidR="00AE68F7" w:rsidRPr="001E1341">
        <w:rPr>
          <w:rFonts w:cstheme="minorHAnsi"/>
        </w:rPr>
        <w:t>Townscape Heritage</w:t>
      </w:r>
      <w:r w:rsidR="00C33A2C">
        <w:rPr>
          <w:rFonts w:cstheme="minorHAnsi"/>
        </w:rPr>
        <w:t>)</w:t>
      </w:r>
      <w:r w:rsidR="00CD55E7">
        <w:rPr>
          <w:rFonts w:cstheme="minorHAnsi"/>
        </w:rPr>
        <w:t xml:space="preserve"> public realm improvement works. </w:t>
      </w:r>
    </w:p>
    <w:p w14:paraId="0CCBB471" w14:textId="77777777" w:rsidR="00CA4D6C" w:rsidRDefault="00CA4D6C" w:rsidP="000A2D0F">
      <w:pPr>
        <w:pStyle w:val="ListParagraph"/>
        <w:spacing w:after="0"/>
        <w:ind w:left="284" w:hanging="578"/>
      </w:pPr>
    </w:p>
    <w:p w14:paraId="6DE2B831" w14:textId="77777777" w:rsidR="00AE68F7" w:rsidRPr="005632B1" w:rsidRDefault="00AE68F7" w:rsidP="000A2D0F">
      <w:pPr>
        <w:pStyle w:val="IntenseQuote"/>
        <w:numPr>
          <w:ilvl w:val="0"/>
          <w:numId w:val="4"/>
        </w:numPr>
        <w:ind w:left="284" w:hanging="578"/>
        <w:rPr>
          <w:color w:val="244061" w:themeColor="accent1" w:themeShade="80"/>
          <w:sz w:val="24"/>
          <w:szCs w:val="24"/>
        </w:rPr>
      </w:pPr>
      <w:r w:rsidRPr="005632B1">
        <w:rPr>
          <w:i w:val="0"/>
          <w:color w:val="244061" w:themeColor="accent1" w:themeShade="80"/>
          <w:sz w:val="28"/>
          <w:szCs w:val="28"/>
        </w:rPr>
        <w:t>Background</w:t>
      </w:r>
    </w:p>
    <w:p w14:paraId="498715A3" w14:textId="510B38EB" w:rsidR="00146EDB" w:rsidRDefault="00FB5F44" w:rsidP="000A2D0F">
      <w:pPr>
        <w:pStyle w:val="ListParagraph"/>
        <w:numPr>
          <w:ilvl w:val="1"/>
          <w:numId w:val="4"/>
        </w:numPr>
        <w:ind w:left="284" w:hanging="578"/>
      </w:pPr>
      <w:r>
        <w:t xml:space="preserve">Burnley Council has been successful in securing Heritage Lottery Funding for a Townscape Heritage Project within Padiham town centre. The Padiham TH is a five year scheme </w:t>
      </w:r>
      <w:r w:rsidR="00594EBB">
        <w:t>totaling</w:t>
      </w:r>
      <w:r w:rsidR="00146EDB">
        <w:t xml:space="preserve"> approx. £2million </w:t>
      </w:r>
      <w:r>
        <w:t>which has now commenced to support the growth and development of the town centre through three key areas:</w:t>
      </w:r>
    </w:p>
    <w:p w14:paraId="7CAE944A" w14:textId="77777777" w:rsidR="00DD3A8E" w:rsidRDefault="00DD3A8E" w:rsidP="00DD3A8E">
      <w:pPr>
        <w:pStyle w:val="ListParagraph"/>
        <w:ind w:left="284"/>
      </w:pPr>
    </w:p>
    <w:p w14:paraId="4ECA5072" w14:textId="42C0400F" w:rsidR="00146EDB" w:rsidRDefault="00660437" w:rsidP="000277E1">
      <w:pPr>
        <w:pStyle w:val="ListParagraph"/>
        <w:numPr>
          <w:ilvl w:val="0"/>
          <w:numId w:val="37"/>
        </w:numPr>
        <w:spacing w:after="0"/>
      </w:pPr>
      <w:r>
        <w:t>R</w:t>
      </w:r>
      <w:r w:rsidR="00CE63CF">
        <w:t>epair and restoration works to buildings – this will involve grant aided works available to property owners within the T</w:t>
      </w:r>
      <w:r w:rsidR="00146EDB">
        <w:t>H boundary at a fixed grant rate of 75%</w:t>
      </w:r>
      <w:r w:rsidR="00CE63CF">
        <w:t xml:space="preserve"> to cover the cost of external repair and restoration works t</w:t>
      </w:r>
      <w:r w:rsidR="00146EDB">
        <w:t xml:space="preserve">o retain the historic nature of </w:t>
      </w:r>
      <w:r w:rsidR="00CE63CF">
        <w:t>the area.</w:t>
      </w:r>
    </w:p>
    <w:p w14:paraId="39FE8D67" w14:textId="77777777" w:rsidR="00DD3A8E" w:rsidRDefault="00DD3A8E" w:rsidP="00DD3A8E">
      <w:pPr>
        <w:pStyle w:val="ListParagraph"/>
        <w:spacing w:after="0"/>
        <w:ind w:left="644"/>
      </w:pPr>
    </w:p>
    <w:p w14:paraId="4CC62C03" w14:textId="46A7A76A" w:rsidR="00146EDB" w:rsidRDefault="00EA2EA7" w:rsidP="000277E1">
      <w:pPr>
        <w:pStyle w:val="ListParagraph"/>
        <w:numPr>
          <w:ilvl w:val="0"/>
          <w:numId w:val="37"/>
        </w:numPr>
        <w:spacing w:after="0"/>
      </w:pPr>
      <w:r>
        <w:t>£430,000 is earmarked for e</w:t>
      </w:r>
      <w:r w:rsidR="00CE63CF">
        <w:t xml:space="preserve">nvironmental improvements </w:t>
      </w:r>
      <w:r w:rsidR="00660437">
        <w:t xml:space="preserve">(Phase 1 public realm works) </w:t>
      </w:r>
      <w:r>
        <w:t>within the TH boundary</w:t>
      </w:r>
      <w:r w:rsidR="00CE63CF">
        <w:t xml:space="preserve"> to include decluttering of street furniture, introduction of traffic calming measures, new </w:t>
      </w:r>
      <w:r w:rsidR="00AE24A6">
        <w:t xml:space="preserve">paving </w:t>
      </w:r>
      <w:r w:rsidR="00CE63CF">
        <w:t>surfaces and public art.</w:t>
      </w:r>
    </w:p>
    <w:p w14:paraId="18A5D97B" w14:textId="30266785" w:rsidR="00DD3A8E" w:rsidRDefault="00DD3A8E" w:rsidP="00DD3A8E">
      <w:pPr>
        <w:pStyle w:val="ListParagraph"/>
      </w:pPr>
    </w:p>
    <w:p w14:paraId="185507D4" w14:textId="05B5F2D8" w:rsidR="008208BC" w:rsidRDefault="00CE63CF" w:rsidP="000277E1">
      <w:pPr>
        <w:pStyle w:val="ListParagraph"/>
        <w:numPr>
          <w:ilvl w:val="0"/>
          <w:numId w:val="37"/>
        </w:numPr>
        <w:spacing w:after="0"/>
      </w:pPr>
      <w:r>
        <w:t>Wider activity programme – working with local partners, the Padiham TH will deliver a Borough wide programme of community engagement events and heritage skills training activities to run throughout the lifetime of the project.</w:t>
      </w:r>
    </w:p>
    <w:p w14:paraId="7ACC65B6" w14:textId="2A0E697A" w:rsidR="008208BC" w:rsidRDefault="008208BC" w:rsidP="00EA2EA7">
      <w:pPr>
        <w:spacing w:after="0"/>
        <w:ind w:left="862" w:hanging="578"/>
      </w:pPr>
    </w:p>
    <w:p w14:paraId="473D0241" w14:textId="77D26101" w:rsidR="00660437" w:rsidRDefault="00660437" w:rsidP="00EA2EA7">
      <w:pPr>
        <w:pStyle w:val="ListParagraph"/>
        <w:numPr>
          <w:ilvl w:val="1"/>
          <w:numId w:val="4"/>
        </w:numPr>
        <w:ind w:left="284" w:hanging="578"/>
      </w:pPr>
      <w:r>
        <w:t xml:space="preserve">In addition, the Council has </w:t>
      </w:r>
      <w:r w:rsidR="002E52C1">
        <w:t xml:space="preserve">recently </w:t>
      </w:r>
      <w:r>
        <w:t xml:space="preserve">secured </w:t>
      </w:r>
      <w:r w:rsidR="002E52C1">
        <w:t xml:space="preserve">a further </w:t>
      </w:r>
      <w:r>
        <w:t xml:space="preserve">£1.8 million LEP (Lancashire Enterprise Partnership) funding to extend </w:t>
      </w:r>
      <w:r w:rsidR="00EA2EA7">
        <w:t xml:space="preserve">environmental improvements </w:t>
      </w:r>
      <w:r>
        <w:t>works beyond the TH boundary (Phase 2</w:t>
      </w:r>
      <w:r w:rsidR="00EA2EA7">
        <w:t xml:space="preserve"> public realm works</w:t>
      </w:r>
      <w:r>
        <w:t xml:space="preserve">). </w:t>
      </w:r>
      <w:r w:rsidR="00D10F6D">
        <w:t>Phase 1 and Phase 2 public realm works</w:t>
      </w:r>
      <w:r w:rsidR="00497B30">
        <w:t xml:space="preserve"> will</w:t>
      </w:r>
      <w:r w:rsidR="00D10F6D">
        <w:t xml:space="preserve"> be delivered</w:t>
      </w:r>
      <w:r w:rsidR="000277E1">
        <w:t xml:space="preserve"> cohesively</w:t>
      </w:r>
      <w:r w:rsidR="00D10F6D">
        <w:t xml:space="preserve"> under the same contract.</w:t>
      </w:r>
    </w:p>
    <w:p w14:paraId="1E6E7B62" w14:textId="77777777" w:rsidR="002E52C1" w:rsidRDefault="002E52C1" w:rsidP="002E52C1">
      <w:pPr>
        <w:pStyle w:val="ListParagraph"/>
        <w:spacing w:after="0"/>
        <w:ind w:left="360"/>
      </w:pPr>
    </w:p>
    <w:p w14:paraId="4EFC9F51" w14:textId="30B88B06" w:rsidR="002E52C1" w:rsidRDefault="002E52C1" w:rsidP="00EA2EA7">
      <w:pPr>
        <w:pStyle w:val="ListParagraph"/>
        <w:numPr>
          <w:ilvl w:val="1"/>
          <w:numId w:val="4"/>
        </w:numPr>
        <w:ind w:left="284" w:hanging="578"/>
      </w:pPr>
      <w:r>
        <w:t xml:space="preserve">The public realm works will be delivered in partnership with Lancashire County Council (the acting highways authority). </w:t>
      </w:r>
      <w:r w:rsidR="00EA2EA7">
        <w:t>The</w:t>
      </w:r>
      <w:r w:rsidR="00D10F6D">
        <w:t xml:space="preserve"> detailed design work </w:t>
      </w:r>
      <w:r w:rsidR="00EA2EA7">
        <w:t>is currently being procured by Lancashire County Council in partnership with Burnley Council</w:t>
      </w:r>
      <w:r w:rsidR="00497B30">
        <w:t xml:space="preserve"> and is expected to commence in Sept 2018</w:t>
      </w:r>
      <w:r w:rsidR="00EA2EA7">
        <w:t>. Project delivery</w:t>
      </w:r>
      <w:r w:rsidR="00E90076">
        <w:t>/construction stage</w:t>
      </w:r>
      <w:r w:rsidR="00EA2EA7">
        <w:t xml:space="preserve"> is expected to commence </w:t>
      </w:r>
      <w:r w:rsidR="00D51F62">
        <w:t xml:space="preserve">in </w:t>
      </w:r>
      <w:r w:rsidR="00EA2EA7">
        <w:t>Sept 2019 and complete in Sept 2020.</w:t>
      </w:r>
    </w:p>
    <w:p w14:paraId="438042C1" w14:textId="77777777" w:rsidR="00EA2EA7" w:rsidRDefault="00EA2EA7" w:rsidP="00EA2EA7">
      <w:pPr>
        <w:pStyle w:val="ListParagraph"/>
      </w:pPr>
    </w:p>
    <w:p w14:paraId="7A75C016" w14:textId="74379709" w:rsidR="00EA2EA7" w:rsidRDefault="00EA2EA7" w:rsidP="00EA2EA7">
      <w:pPr>
        <w:pStyle w:val="ListParagraph"/>
        <w:numPr>
          <w:ilvl w:val="1"/>
          <w:numId w:val="4"/>
        </w:numPr>
        <w:ind w:left="284" w:hanging="578"/>
      </w:pPr>
      <w:r>
        <w:t>Design and Access Statement</w:t>
      </w:r>
      <w:r w:rsidR="00CB7A38">
        <w:t>s</w:t>
      </w:r>
      <w:r>
        <w:t xml:space="preserve"> for Phases 1 &amp; 2 have been previously developed by Planit Landscape Architects and </w:t>
      </w:r>
      <w:r w:rsidR="00E90076">
        <w:t>have been provided for further information</w:t>
      </w:r>
      <w:r>
        <w:t>.</w:t>
      </w:r>
    </w:p>
    <w:p w14:paraId="2D79BD18" w14:textId="77777777" w:rsidR="00660437" w:rsidRDefault="00660437" w:rsidP="00660437">
      <w:pPr>
        <w:pStyle w:val="ListParagraph"/>
        <w:spacing w:after="0"/>
        <w:ind w:left="360"/>
      </w:pPr>
    </w:p>
    <w:p w14:paraId="12EEE6F3" w14:textId="77777777" w:rsidR="00DD3A8E" w:rsidRDefault="00DD3A8E" w:rsidP="00660437">
      <w:pPr>
        <w:pStyle w:val="ListParagraph"/>
        <w:spacing w:after="0"/>
        <w:ind w:left="360"/>
      </w:pPr>
    </w:p>
    <w:p w14:paraId="5C0787DB" w14:textId="2168FD63" w:rsidR="009E57D5" w:rsidRPr="002E52C1" w:rsidRDefault="005632B1" w:rsidP="002E52C1">
      <w:pPr>
        <w:pStyle w:val="IntenseQuote"/>
        <w:numPr>
          <w:ilvl w:val="0"/>
          <w:numId w:val="4"/>
        </w:numPr>
        <w:ind w:left="284" w:hanging="578"/>
        <w:rPr>
          <w:i w:val="0"/>
          <w:color w:val="244061" w:themeColor="accent1" w:themeShade="80"/>
          <w:sz w:val="28"/>
          <w:szCs w:val="28"/>
        </w:rPr>
      </w:pPr>
      <w:r w:rsidRPr="005632B1">
        <w:rPr>
          <w:i w:val="0"/>
          <w:color w:val="244061" w:themeColor="accent1" w:themeShade="80"/>
          <w:sz w:val="28"/>
          <w:szCs w:val="28"/>
        </w:rPr>
        <w:lastRenderedPageBreak/>
        <w:t>Scope of Services</w:t>
      </w:r>
      <w:r>
        <w:rPr>
          <w:i w:val="0"/>
          <w:color w:val="244061" w:themeColor="accent1" w:themeShade="80"/>
          <w:sz w:val="28"/>
          <w:szCs w:val="28"/>
        </w:rPr>
        <w:t xml:space="preserve"> Required</w:t>
      </w:r>
    </w:p>
    <w:p w14:paraId="287C7F24" w14:textId="1D450675" w:rsidR="00A47980" w:rsidRDefault="00A47980" w:rsidP="00A47980">
      <w:pPr>
        <w:pStyle w:val="ListParagraph"/>
        <w:numPr>
          <w:ilvl w:val="1"/>
          <w:numId w:val="4"/>
        </w:numPr>
        <w:spacing w:after="0"/>
        <w:ind w:left="284" w:hanging="578"/>
        <w:rPr>
          <w:b/>
        </w:rPr>
      </w:pPr>
      <w:r>
        <w:rPr>
          <w:b/>
        </w:rPr>
        <w:t>Design/Development Stage</w:t>
      </w:r>
    </w:p>
    <w:p w14:paraId="64EE1914" w14:textId="4129F9F7" w:rsidR="00A47980" w:rsidRDefault="00A47980" w:rsidP="00A47980">
      <w:pPr>
        <w:pStyle w:val="ListParagraph"/>
        <w:numPr>
          <w:ilvl w:val="1"/>
          <w:numId w:val="32"/>
        </w:numPr>
        <w:spacing w:after="0"/>
      </w:pPr>
      <w:r w:rsidRPr="00A47980">
        <w:t xml:space="preserve">To provide supplementary information </w:t>
      </w:r>
      <w:r>
        <w:t xml:space="preserve">and advice </w:t>
      </w:r>
      <w:r w:rsidRPr="00A47980">
        <w:t xml:space="preserve">to support the </w:t>
      </w:r>
      <w:r w:rsidR="00E90076">
        <w:t>c</w:t>
      </w:r>
      <w:r w:rsidRPr="00A47980">
        <w:t>oncept designs which have been previously prepared by Planit Landscape Architects.</w:t>
      </w:r>
      <w:r>
        <w:t xml:space="preserve"> This will include liaising with the Project Team to consult on aspects </w:t>
      </w:r>
      <w:r w:rsidR="00E90076">
        <w:t xml:space="preserve">of design </w:t>
      </w:r>
      <w:r>
        <w:t>such as appropriate materials</w:t>
      </w:r>
      <w:r w:rsidR="00E90076">
        <w:t xml:space="preserve">, methods and </w:t>
      </w:r>
      <w:r>
        <w:t xml:space="preserve">tree </w:t>
      </w:r>
      <w:r w:rsidR="00E90076">
        <w:t>species specification,</w:t>
      </w:r>
      <w:r>
        <w:t xml:space="preserve"> and the production of any associated reports/documents.</w:t>
      </w:r>
    </w:p>
    <w:p w14:paraId="32BA24F2" w14:textId="45904558" w:rsidR="00497B30" w:rsidRDefault="00A47980" w:rsidP="00497B30">
      <w:pPr>
        <w:pStyle w:val="ListParagraph"/>
        <w:numPr>
          <w:ilvl w:val="1"/>
          <w:numId w:val="32"/>
        </w:numPr>
        <w:spacing w:after="0"/>
      </w:pPr>
      <w:r>
        <w:t>Public realm plans will include an element of public art. The Consultant will be expected to liaise with an Artist commissioned by Burnley Borough Council to consider how the artwork would be integrated into the scheme.</w:t>
      </w:r>
    </w:p>
    <w:p w14:paraId="4AC11EB4" w14:textId="5D33E783" w:rsidR="00497B30" w:rsidRDefault="00497B30" w:rsidP="00497B30">
      <w:pPr>
        <w:pStyle w:val="ListParagraph"/>
        <w:numPr>
          <w:ilvl w:val="1"/>
          <w:numId w:val="32"/>
        </w:numPr>
        <w:spacing w:after="0"/>
      </w:pPr>
      <w:r>
        <w:t xml:space="preserve">The Consultant will be expected to attend regular project meetings with the Project Team throughout the design/development stage; we anticipate </w:t>
      </w:r>
      <w:r w:rsidR="006C34EA">
        <w:t>one per month</w:t>
      </w:r>
      <w:r>
        <w:t>.</w:t>
      </w:r>
    </w:p>
    <w:p w14:paraId="5075FC87" w14:textId="77777777" w:rsidR="00E90076" w:rsidRPr="00A47980" w:rsidRDefault="00E90076" w:rsidP="00A47980">
      <w:pPr>
        <w:spacing w:after="0"/>
      </w:pPr>
    </w:p>
    <w:p w14:paraId="1BE678A1" w14:textId="0700494C" w:rsidR="00A47980" w:rsidRDefault="00A47980" w:rsidP="00A47980">
      <w:pPr>
        <w:pStyle w:val="ListParagraph"/>
        <w:numPr>
          <w:ilvl w:val="1"/>
          <w:numId w:val="4"/>
        </w:numPr>
        <w:spacing w:after="0"/>
        <w:ind w:left="284" w:hanging="578"/>
        <w:rPr>
          <w:b/>
        </w:rPr>
      </w:pPr>
      <w:r>
        <w:rPr>
          <w:b/>
        </w:rPr>
        <w:t>Delivery/Construction Stage</w:t>
      </w:r>
    </w:p>
    <w:p w14:paraId="7CEF64F0" w14:textId="5208F5B0" w:rsidR="00A47980" w:rsidRPr="00DD3A8E" w:rsidRDefault="00DD3A8E" w:rsidP="00DD3A8E">
      <w:pPr>
        <w:pStyle w:val="ListParagraph"/>
        <w:numPr>
          <w:ilvl w:val="1"/>
          <w:numId w:val="33"/>
        </w:numPr>
        <w:spacing w:after="0"/>
      </w:pPr>
      <w:r w:rsidRPr="00DD3A8E">
        <w:t>The consultant will be expect</w:t>
      </w:r>
      <w:r w:rsidR="00E90076">
        <w:t xml:space="preserve">ed to oversee the works on site which will include undertaking site visits/monitoring </w:t>
      </w:r>
      <w:r w:rsidRPr="00DD3A8E">
        <w:t>on behalf of Burnley Council to ensure compliance</w:t>
      </w:r>
      <w:r w:rsidR="00E90076">
        <w:t>, and</w:t>
      </w:r>
      <w:r w:rsidRPr="00DD3A8E">
        <w:t xml:space="preserve"> prepare site reports following inspection.</w:t>
      </w:r>
    </w:p>
    <w:p w14:paraId="08E8D382" w14:textId="026749A8" w:rsidR="00DD3A8E" w:rsidRPr="00DD3A8E" w:rsidRDefault="00DD3A8E" w:rsidP="00DD3A8E">
      <w:pPr>
        <w:pStyle w:val="ListParagraph"/>
        <w:numPr>
          <w:ilvl w:val="1"/>
          <w:numId w:val="33"/>
        </w:numPr>
        <w:spacing w:after="0"/>
      </w:pPr>
      <w:r w:rsidRPr="00DD3A8E">
        <w:t>To provide advice and guidance in response to any design change</w:t>
      </w:r>
      <w:r w:rsidR="00E90076">
        <w:t>s</w:t>
      </w:r>
      <w:r w:rsidRPr="00DD3A8E">
        <w:t xml:space="preserve"> or queries.</w:t>
      </w:r>
    </w:p>
    <w:p w14:paraId="6F49F76A" w14:textId="17E41385" w:rsidR="00DD3A8E" w:rsidRPr="00DD3A8E" w:rsidRDefault="00DD3A8E" w:rsidP="00DD3A8E">
      <w:pPr>
        <w:pStyle w:val="ListParagraph"/>
        <w:numPr>
          <w:ilvl w:val="1"/>
          <w:numId w:val="33"/>
        </w:numPr>
        <w:spacing w:after="0"/>
      </w:pPr>
      <w:r w:rsidRPr="00DD3A8E">
        <w:t>Continue to liaise with Burnley Borough Councils Artist to ensure the successful integration of the artwork proposals and offer any design and specification advice.</w:t>
      </w:r>
    </w:p>
    <w:p w14:paraId="475F0AE1" w14:textId="3CC64FC2" w:rsidR="00DD3A8E" w:rsidRDefault="00DD3A8E" w:rsidP="00DD3A8E">
      <w:pPr>
        <w:pStyle w:val="ListParagraph"/>
        <w:numPr>
          <w:ilvl w:val="1"/>
          <w:numId w:val="33"/>
        </w:numPr>
        <w:spacing w:after="0"/>
      </w:pPr>
      <w:r w:rsidRPr="00DD3A8E">
        <w:t>Carry out final snagging inspection prior to the end of contract and Practical Completion</w:t>
      </w:r>
      <w:r w:rsidR="00E90076">
        <w:t>,</w:t>
      </w:r>
      <w:r w:rsidRPr="00DD3A8E">
        <w:t xml:space="preserve"> and provide a summary report including any recommendations.</w:t>
      </w:r>
    </w:p>
    <w:p w14:paraId="146D5706" w14:textId="20495DB4" w:rsidR="00DD3A8E" w:rsidRPr="00DD3A8E" w:rsidRDefault="00497B30" w:rsidP="00DD3A8E">
      <w:pPr>
        <w:pStyle w:val="ListParagraph"/>
        <w:numPr>
          <w:ilvl w:val="1"/>
          <w:numId w:val="33"/>
        </w:numPr>
        <w:spacing w:after="0"/>
      </w:pPr>
      <w:r>
        <w:t>The consultant will</w:t>
      </w:r>
      <w:r w:rsidR="00E90076">
        <w:t xml:space="preserve"> </w:t>
      </w:r>
      <w:r w:rsidR="00DD3A8E" w:rsidRPr="00DD3A8E">
        <w:t>be expected to attend regular</w:t>
      </w:r>
      <w:r>
        <w:t xml:space="preserve"> project</w:t>
      </w:r>
      <w:r w:rsidR="00DD3A8E">
        <w:t xml:space="preserve"> </w:t>
      </w:r>
      <w:r w:rsidR="00DD3A8E" w:rsidRPr="00DD3A8E">
        <w:t>meetings with the Project T</w:t>
      </w:r>
      <w:r w:rsidR="00DD3A8E">
        <w:t>eam</w:t>
      </w:r>
      <w:r>
        <w:t xml:space="preserve"> throughout the delivery/construction stage; we anticipate </w:t>
      </w:r>
      <w:r w:rsidR="006C34EA">
        <w:t>one per month.</w:t>
      </w:r>
    </w:p>
    <w:p w14:paraId="08CFBF1C" w14:textId="77777777" w:rsidR="009E57D5" w:rsidRPr="000A2D0F" w:rsidRDefault="009E57D5" w:rsidP="000A2D0F">
      <w:pPr>
        <w:spacing w:after="0"/>
        <w:rPr>
          <w:b/>
        </w:rPr>
      </w:pPr>
    </w:p>
    <w:p w14:paraId="47FA3014" w14:textId="767E8D06" w:rsidR="00382BD8" w:rsidRPr="00165943" w:rsidRDefault="00CB4A31" w:rsidP="000A2D0F">
      <w:pPr>
        <w:pStyle w:val="IntenseQuote"/>
        <w:numPr>
          <w:ilvl w:val="0"/>
          <w:numId w:val="4"/>
        </w:numPr>
        <w:ind w:left="284" w:hanging="578"/>
        <w:rPr>
          <w:b w:val="0"/>
        </w:rPr>
      </w:pPr>
      <w:r w:rsidRPr="009D264B">
        <w:rPr>
          <w:i w:val="0"/>
          <w:color w:val="244061" w:themeColor="accent1" w:themeShade="80"/>
          <w:sz w:val="28"/>
          <w:szCs w:val="28"/>
        </w:rPr>
        <w:t>Timescales</w:t>
      </w:r>
    </w:p>
    <w:p w14:paraId="799B4F04" w14:textId="46BD6373" w:rsidR="00EE159A" w:rsidRDefault="00382BD8" w:rsidP="00EE159A">
      <w:pPr>
        <w:pStyle w:val="ListParagraph"/>
        <w:numPr>
          <w:ilvl w:val="1"/>
          <w:numId w:val="4"/>
        </w:numPr>
        <w:ind w:left="284" w:hanging="578"/>
      </w:pPr>
      <w:r>
        <w:t xml:space="preserve">The timescales for the appointment of an appropriate </w:t>
      </w:r>
      <w:r w:rsidR="002322B3">
        <w:t>Consultant</w:t>
      </w:r>
      <w:r>
        <w:t xml:space="preserve"> is shown below:</w:t>
      </w:r>
    </w:p>
    <w:tbl>
      <w:tblPr>
        <w:tblW w:w="9214" w:type="dxa"/>
        <w:tblInd w:w="108"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1E0" w:firstRow="1" w:lastRow="1" w:firstColumn="1" w:lastColumn="1" w:noHBand="0" w:noVBand="0"/>
      </w:tblPr>
      <w:tblGrid>
        <w:gridCol w:w="6521"/>
        <w:gridCol w:w="2693"/>
      </w:tblGrid>
      <w:tr w:rsidR="000A2D0F" w:rsidRPr="000A2D0F" w14:paraId="48647D23" w14:textId="77777777" w:rsidTr="000A55C1">
        <w:trPr>
          <w:trHeight w:val="289"/>
        </w:trPr>
        <w:tc>
          <w:tcPr>
            <w:tcW w:w="6521" w:type="dxa"/>
            <w:shd w:val="clear" w:color="auto" w:fill="244061" w:themeFill="accent1" w:themeFillShade="80"/>
          </w:tcPr>
          <w:p w14:paraId="3BC5CBB4" w14:textId="77777777" w:rsidR="000A2D0F" w:rsidRPr="000A2D0F" w:rsidRDefault="000A2D0F" w:rsidP="00EE159A">
            <w:pPr>
              <w:tabs>
                <w:tab w:val="left" w:pos="5279"/>
              </w:tabs>
              <w:spacing w:before="120" w:after="120" w:line="240" w:lineRule="auto"/>
              <w:ind w:left="34" w:right="403"/>
              <w:rPr>
                <w:rFonts w:eastAsia="Times New Roman" w:cstheme="minorHAnsi"/>
                <w:b/>
                <w:noProof/>
                <w:spacing w:val="-3"/>
                <w:lang w:val="en-GB" w:eastAsia="en-GB"/>
              </w:rPr>
            </w:pPr>
            <w:r w:rsidRPr="000A2D0F">
              <w:rPr>
                <w:rFonts w:eastAsia="Times New Roman" w:cstheme="minorHAnsi"/>
                <w:b/>
                <w:noProof/>
                <w:spacing w:val="-3"/>
                <w:lang w:val="en-GB" w:eastAsia="en-GB"/>
              </w:rPr>
              <w:t>Milestone</w:t>
            </w:r>
          </w:p>
        </w:tc>
        <w:tc>
          <w:tcPr>
            <w:tcW w:w="2693" w:type="dxa"/>
            <w:shd w:val="clear" w:color="auto" w:fill="244061" w:themeFill="accent1" w:themeFillShade="80"/>
          </w:tcPr>
          <w:p w14:paraId="2E2479E1" w14:textId="77777777" w:rsidR="000A2D0F" w:rsidRPr="000A2D0F" w:rsidRDefault="000A2D0F" w:rsidP="00EE159A">
            <w:pPr>
              <w:spacing w:before="120" w:after="120" w:line="240" w:lineRule="auto"/>
              <w:ind w:left="67" w:right="-46"/>
              <w:jc w:val="center"/>
              <w:rPr>
                <w:rFonts w:eastAsia="Times New Roman" w:cstheme="minorHAnsi"/>
                <w:b/>
                <w:noProof/>
                <w:spacing w:val="-3"/>
                <w:lang w:val="en-GB" w:eastAsia="en-GB"/>
              </w:rPr>
            </w:pPr>
            <w:r w:rsidRPr="000A2D0F">
              <w:rPr>
                <w:rFonts w:eastAsia="Times New Roman" w:cstheme="minorHAnsi"/>
                <w:b/>
                <w:noProof/>
                <w:spacing w:val="-3"/>
                <w:lang w:val="en-GB" w:eastAsia="en-GB"/>
              </w:rPr>
              <w:t>Indicative Date</w:t>
            </w:r>
          </w:p>
        </w:tc>
      </w:tr>
      <w:tr w:rsidR="000A2D0F" w:rsidRPr="000A2D0F" w14:paraId="05B402F2" w14:textId="77777777" w:rsidTr="000A55C1">
        <w:trPr>
          <w:trHeight w:val="416"/>
        </w:trPr>
        <w:tc>
          <w:tcPr>
            <w:tcW w:w="6521" w:type="dxa"/>
          </w:tcPr>
          <w:p w14:paraId="52217DBB" w14:textId="77777777" w:rsidR="000A2D0F" w:rsidRPr="000A2D0F" w:rsidRDefault="000A2D0F" w:rsidP="00EE159A">
            <w:pPr>
              <w:tabs>
                <w:tab w:val="left" w:pos="5279"/>
              </w:tabs>
              <w:spacing w:before="120" w:after="120" w:line="240" w:lineRule="auto"/>
              <w:ind w:left="34" w:right="403"/>
              <w:rPr>
                <w:rFonts w:eastAsia="Times New Roman" w:cstheme="minorHAnsi"/>
                <w:b/>
                <w:noProof/>
                <w:spacing w:val="-3"/>
                <w:u w:val="single"/>
                <w:lang w:val="en-GB" w:eastAsia="en-GB"/>
              </w:rPr>
            </w:pPr>
            <w:r w:rsidRPr="000A2D0F">
              <w:rPr>
                <w:rFonts w:eastAsia="Times New Roman" w:cstheme="minorHAnsi"/>
                <w:noProof/>
                <w:spacing w:val="-3"/>
                <w:lang w:val="en-GB" w:eastAsia="en-GB"/>
              </w:rPr>
              <w:t>Issue Invitation To Tender (ITT)</w:t>
            </w:r>
          </w:p>
        </w:tc>
        <w:tc>
          <w:tcPr>
            <w:tcW w:w="2693" w:type="dxa"/>
          </w:tcPr>
          <w:p w14:paraId="69E15CDA" w14:textId="5BA45050" w:rsidR="000A2D0F" w:rsidRPr="00497B30" w:rsidRDefault="00CB7A38" w:rsidP="00EE159A">
            <w:pPr>
              <w:spacing w:before="120" w:after="120" w:line="240" w:lineRule="auto"/>
              <w:ind w:left="67"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29</w:t>
            </w:r>
            <w:r w:rsidRPr="00497B30">
              <w:rPr>
                <w:rFonts w:eastAsia="Times New Roman" w:cstheme="minorHAnsi"/>
                <w:noProof/>
                <w:spacing w:val="-3"/>
                <w:vertAlign w:val="superscript"/>
                <w:lang w:val="en-GB" w:eastAsia="en-GB"/>
              </w:rPr>
              <w:t>th</w:t>
            </w:r>
            <w:r w:rsidRPr="00497B30">
              <w:rPr>
                <w:rFonts w:eastAsia="Times New Roman" w:cstheme="minorHAnsi"/>
                <w:noProof/>
                <w:spacing w:val="-3"/>
                <w:lang w:val="en-GB" w:eastAsia="en-GB"/>
              </w:rPr>
              <w:t xml:space="preserve"> June 2018</w:t>
            </w:r>
          </w:p>
        </w:tc>
      </w:tr>
      <w:tr w:rsidR="000A2D0F" w:rsidRPr="000A2D0F" w14:paraId="3C49470A" w14:textId="77777777" w:rsidTr="000A55C1">
        <w:trPr>
          <w:trHeight w:val="490"/>
        </w:trPr>
        <w:tc>
          <w:tcPr>
            <w:tcW w:w="6521" w:type="dxa"/>
          </w:tcPr>
          <w:p w14:paraId="5BFFC73C"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ITT Clarification Questions Cut Off Date</w:t>
            </w:r>
          </w:p>
        </w:tc>
        <w:tc>
          <w:tcPr>
            <w:tcW w:w="2693" w:type="dxa"/>
          </w:tcPr>
          <w:p w14:paraId="7E8B2CF9" w14:textId="2803D9E9" w:rsidR="000A2D0F" w:rsidRPr="00497B30" w:rsidRDefault="00CB7A38" w:rsidP="00EE159A">
            <w:pPr>
              <w:spacing w:before="120" w:after="120" w:line="240" w:lineRule="auto"/>
              <w:ind w:left="67"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11</w:t>
            </w:r>
            <w:r w:rsidRPr="00497B30">
              <w:rPr>
                <w:rFonts w:eastAsia="Times New Roman" w:cstheme="minorHAnsi"/>
                <w:noProof/>
                <w:spacing w:val="-3"/>
                <w:vertAlign w:val="superscript"/>
                <w:lang w:val="en-GB" w:eastAsia="en-GB"/>
              </w:rPr>
              <w:t>th</w:t>
            </w:r>
            <w:r w:rsidRPr="00497B30">
              <w:rPr>
                <w:rFonts w:eastAsia="Times New Roman" w:cstheme="minorHAnsi"/>
                <w:noProof/>
                <w:spacing w:val="-3"/>
                <w:lang w:val="en-GB" w:eastAsia="en-GB"/>
              </w:rPr>
              <w:t xml:space="preserve"> July 2018</w:t>
            </w:r>
          </w:p>
        </w:tc>
      </w:tr>
      <w:tr w:rsidR="000A2D0F" w:rsidRPr="000A2D0F" w14:paraId="6B6F43B1" w14:textId="77777777" w:rsidTr="000A55C1">
        <w:trPr>
          <w:trHeight w:val="455"/>
        </w:trPr>
        <w:tc>
          <w:tcPr>
            <w:tcW w:w="6521" w:type="dxa"/>
          </w:tcPr>
          <w:p w14:paraId="62372AC4"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Deadline: Return of Completed ITT</w:t>
            </w:r>
          </w:p>
        </w:tc>
        <w:tc>
          <w:tcPr>
            <w:tcW w:w="2693" w:type="dxa"/>
          </w:tcPr>
          <w:p w14:paraId="79707CC3" w14:textId="689C144A" w:rsidR="000A2D0F" w:rsidRPr="00497B30" w:rsidRDefault="00CB7A38" w:rsidP="00EE159A">
            <w:pPr>
              <w:spacing w:before="120" w:after="120" w:line="240" w:lineRule="auto"/>
              <w:ind w:left="67"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13</w:t>
            </w:r>
            <w:r w:rsidRPr="00497B30">
              <w:rPr>
                <w:rFonts w:eastAsia="Times New Roman" w:cstheme="minorHAnsi"/>
                <w:noProof/>
                <w:spacing w:val="-3"/>
                <w:vertAlign w:val="superscript"/>
                <w:lang w:val="en-GB" w:eastAsia="en-GB"/>
              </w:rPr>
              <w:t>th</w:t>
            </w:r>
            <w:r w:rsidRPr="00497B30">
              <w:rPr>
                <w:rFonts w:eastAsia="Times New Roman" w:cstheme="minorHAnsi"/>
                <w:noProof/>
                <w:spacing w:val="-3"/>
                <w:lang w:val="en-GB" w:eastAsia="en-GB"/>
              </w:rPr>
              <w:t xml:space="preserve"> July 2018</w:t>
            </w:r>
          </w:p>
        </w:tc>
      </w:tr>
      <w:tr w:rsidR="000A2D0F" w:rsidRPr="000A2D0F" w14:paraId="7C46D2EC" w14:textId="77777777" w:rsidTr="000A55C1">
        <w:trPr>
          <w:trHeight w:val="406"/>
        </w:trPr>
        <w:tc>
          <w:tcPr>
            <w:tcW w:w="6521" w:type="dxa"/>
            <w:vAlign w:val="center"/>
          </w:tcPr>
          <w:p w14:paraId="2684CB13" w14:textId="44891299"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Post submission Clarification Meetings </w:t>
            </w:r>
            <w:r w:rsidR="00BF7D19">
              <w:rPr>
                <w:rFonts w:eastAsia="Times New Roman" w:cstheme="minorHAnsi"/>
                <w:noProof/>
                <w:spacing w:val="-3"/>
                <w:lang w:val="en-GB" w:eastAsia="en-GB"/>
              </w:rPr>
              <w:t>with Tenderers (where</w:t>
            </w:r>
            <w:r w:rsidRPr="000A2D0F">
              <w:rPr>
                <w:rFonts w:eastAsia="Times New Roman" w:cstheme="minorHAnsi"/>
                <w:noProof/>
                <w:spacing w:val="-3"/>
                <w:lang w:val="en-GB" w:eastAsia="en-GB"/>
              </w:rPr>
              <w:t xml:space="preserve"> required)</w:t>
            </w:r>
          </w:p>
        </w:tc>
        <w:tc>
          <w:tcPr>
            <w:tcW w:w="2693" w:type="dxa"/>
            <w:vAlign w:val="center"/>
          </w:tcPr>
          <w:p w14:paraId="4F6F4F6C" w14:textId="3302F79B" w:rsidR="000A2D0F" w:rsidRPr="00497B30" w:rsidRDefault="00497B30" w:rsidP="00EE159A">
            <w:pPr>
              <w:spacing w:before="120" w:after="120" w:line="240" w:lineRule="auto"/>
              <w:ind w:left="67" w:right="-46"/>
              <w:jc w:val="center"/>
              <w:rPr>
                <w:rFonts w:eastAsia="Times New Roman" w:cstheme="minorHAnsi"/>
                <w:noProof/>
                <w:spacing w:val="-3"/>
                <w:lang w:val="en-GB" w:eastAsia="en-GB"/>
              </w:rPr>
            </w:pPr>
            <w:r>
              <w:rPr>
                <w:rFonts w:eastAsia="Times New Roman" w:cstheme="minorHAnsi"/>
                <w:noProof/>
                <w:spacing w:val="-3"/>
                <w:lang w:val="en-GB" w:eastAsia="en-GB"/>
              </w:rPr>
              <w:t>w</w:t>
            </w:r>
            <w:r w:rsidR="00CB7A38" w:rsidRPr="00497B30">
              <w:rPr>
                <w:rFonts w:eastAsia="Times New Roman" w:cstheme="minorHAnsi"/>
                <w:noProof/>
                <w:spacing w:val="-3"/>
                <w:lang w:val="en-GB" w:eastAsia="en-GB"/>
              </w:rPr>
              <w:t>/c 16</w:t>
            </w:r>
            <w:r w:rsidR="00CB7A38" w:rsidRPr="00497B30">
              <w:rPr>
                <w:rFonts w:eastAsia="Times New Roman" w:cstheme="minorHAnsi"/>
                <w:noProof/>
                <w:spacing w:val="-3"/>
                <w:vertAlign w:val="superscript"/>
                <w:lang w:val="en-GB" w:eastAsia="en-GB"/>
              </w:rPr>
              <w:t>th</w:t>
            </w:r>
            <w:r w:rsidR="00CB7A38" w:rsidRPr="00497B30">
              <w:rPr>
                <w:rFonts w:eastAsia="Times New Roman" w:cstheme="minorHAnsi"/>
                <w:noProof/>
                <w:spacing w:val="-3"/>
                <w:lang w:val="en-GB" w:eastAsia="en-GB"/>
              </w:rPr>
              <w:t xml:space="preserve"> July 2018</w:t>
            </w:r>
          </w:p>
        </w:tc>
      </w:tr>
      <w:tr w:rsidR="000A2D0F" w:rsidRPr="000A2D0F" w14:paraId="5C152DAF" w14:textId="77777777" w:rsidTr="000A55C1">
        <w:trPr>
          <w:trHeight w:val="372"/>
        </w:trPr>
        <w:tc>
          <w:tcPr>
            <w:tcW w:w="6521" w:type="dxa"/>
          </w:tcPr>
          <w:p w14:paraId="4416AF21"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Evaluation of Tenders </w:t>
            </w:r>
          </w:p>
        </w:tc>
        <w:tc>
          <w:tcPr>
            <w:tcW w:w="2693" w:type="dxa"/>
          </w:tcPr>
          <w:p w14:paraId="35496785" w14:textId="1D51801D" w:rsidR="000A2D0F" w:rsidRPr="00497B30" w:rsidRDefault="00497B30" w:rsidP="00841D83">
            <w:pPr>
              <w:spacing w:before="120" w:after="120" w:line="240" w:lineRule="auto"/>
              <w:ind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23</w:t>
            </w:r>
            <w:r w:rsidRPr="00497B30">
              <w:rPr>
                <w:rFonts w:eastAsia="Times New Roman" w:cstheme="minorHAnsi"/>
                <w:noProof/>
                <w:spacing w:val="-3"/>
                <w:vertAlign w:val="superscript"/>
                <w:lang w:val="en-GB" w:eastAsia="en-GB"/>
              </w:rPr>
              <w:t>rd</w:t>
            </w:r>
            <w:r w:rsidRPr="00497B30">
              <w:rPr>
                <w:rFonts w:eastAsia="Times New Roman" w:cstheme="minorHAnsi"/>
                <w:noProof/>
                <w:spacing w:val="-3"/>
                <w:lang w:val="en-GB" w:eastAsia="en-GB"/>
              </w:rPr>
              <w:t xml:space="preserve"> July 2018</w:t>
            </w:r>
          </w:p>
        </w:tc>
      </w:tr>
      <w:tr w:rsidR="000A2D0F" w:rsidRPr="000A2D0F" w14:paraId="4BC39C94" w14:textId="77777777" w:rsidTr="000A55C1">
        <w:trPr>
          <w:trHeight w:val="480"/>
        </w:trPr>
        <w:tc>
          <w:tcPr>
            <w:tcW w:w="6521" w:type="dxa"/>
          </w:tcPr>
          <w:p w14:paraId="338680A5"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lastRenderedPageBreak/>
              <w:t>Approval – Burnley Borough Council and the Heritage Lottery Fund</w:t>
            </w:r>
          </w:p>
        </w:tc>
        <w:tc>
          <w:tcPr>
            <w:tcW w:w="2693" w:type="dxa"/>
          </w:tcPr>
          <w:p w14:paraId="4A020D43" w14:textId="557C85E7" w:rsidR="000A2D0F" w:rsidRPr="00497B30" w:rsidRDefault="00497B30" w:rsidP="00EE159A">
            <w:pPr>
              <w:spacing w:before="120" w:after="120" w:line="240" w:lineRule="auto"/>
              <w:ind w:left="67"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26</w:t>
            </w:r>
            <w:r w:rsidRPr="00497B30">
              <w:rPr>
                <w:rFonts w:eastAsia="Times New Roman" w:cstheme="minorHAnsi"/>
                <w:noProof/>
                <w:spacing w:val="-3"/>
                <w:vertAlign w:val="superscript"/>
                <w:lang w:val="en-GB" w:eastAsia="en-GB"/>
              </w:rPr>
              <w:t>th</w:t>
            </w:r>
            <w:r w:rsidRPr="00497B30">
              <w:rPr>
                <w:rFonts w:eastAsia="Times New Roman" w:cstheme="minorHAnsi"/>
                <w:noProof/>
                <w:spacing w:val="-3"/>
                <w:lang w:val="en-GB" w:eastAsia="en-GB"/>
              </w:rPr>
              <w:t xml:space="preserve"> July 2018</w:t>
            </w:r>
          </w:p>
        </w:tc>
      </w:tr>
      <w:tr w:rsidR="000A2D0F" w:rsidRPr="000A2D0F" w14:paraId="3E52BBE0" w14:textId="77777777" w:rsidTr="000A55C1">
        <w:trPr>
          <w:trHeight w:val="446"/>
        </w:trPr>
        <w:tc>
          <w:tcPr>
            <w:tcW w:w="6521" w:type="dxa"/>
          </w:tcPr>
          <w:p w14:paraId="2A5AC06B"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Notification of result and appointment of successful firm </w:t>
            </w:r>
          </w:p>
        </w:tc>
        <w:tc>
          <w:tcPr>
            <w:tcW w:w="2693" w:type="dxa"/>
          </w:tcPr>
          <w:p w14:paraId="76949CDD" w14:textId="73854C6D" w:rsidR="000A2D0F" w:rsidRPr="00497B30" w:rsidRDefault="00497B30" w:rsidP="00EE159A">
            <w:pPr>
              <w:spacing w:before="120" w:after="120" w:line="240" w:lineRule="auto"/>
              <w:ind w:left="67"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27</w:t>
            </w:r>
            <w:r w:rsidRPr="00497B30">
              <w:rPr>
                <w:rFonts w:eastAsia="Times New Roman" w:cstheme="minorHAnsi"/>
                <w:noProof/>
                <w:spacing w:val="-3"/>
                <w:vertAlign w:val="superscript"/>
                <w:lang w:val="en-GB" w:eastAsia="en-GB"/>
              </w:rPr>
              <w:t>th</w:t>
            </w:r>
            <w:r w:rsidRPr="00497B30">
              <w:rPr>
                <w:rFonts w:eastAsia="Times New Roman" w:cstheme="minorHAnsi"/>
                <w:noProof/>
                <w:spacing w:val="-3"/>
                <w:lang w:val="en-GB" w:eastAsia="en-GB"/>
              </w:rPr>
              <w:t xml:space="preserve"> July 2018</w:t>
            </w:r>
          </w:p>
        </w:tc>
      </w:tr>
      <w:tr w:rsidR="000A2D0F" w:rsidRPr="000A2D0F" w14:paraId="79E2C080" w14:textId="77777777" w:rsidTr="000A55C1">
        <w:trPr>
          <w:trHeight w:val="412"/>
        </w:trPr>
        <w:tc>
          <w:tcPr>
            <w:tcW w:w="6521" w:type="dxa"/>
          </w:tcPr>
          <w:p w14:paraId="06FE684E"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Inception Meeting</w:t>
            </w:r>
          </w:p>
        </w:tc>
        <w:tc>
          <w:tcPr>
            <w:tcW w:w="2693" w:type="dxa"/>
          </w:tcPr>
          <w:p w14:paraId="68F42956" w14:textId="2523FCD3" w:rsidR="000A2D0F" w:rsidRPr="00497B30" w:rsidRDefault="00497B30" w:rsidP="00EE159A">
            <w:pPr>
              <w:spacing w:before="120" w:after="120" w:line="240" w:lineRule="auto"/>
              <w:ind w:left="67"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w/c 30</w:t>
            </w:r>
            <w:r w:rsidRPr="00497B30">
              <w:rPr>
                <w:rFonts w:eastAsia="Times New Roman" w:cstheme="minorHAnsi"/>
                <w:noProof/>
                <w:spacing w:val="-3"/>
                <w:vertAlign w:val="superscript"/>
                <w:lang w:val="en-GB" w:eastAsia="en-GB"/>
              </w:rPr>
              <w:t>th</w:t>
            </w:r>
            <w:r w:rsidRPr="00497B30">
              <w:rPr>
                <w:rFonts w:eastAsia="Times New Roman" w:cstheme="minorHAnsi"/>
                <w:noProof/>
                <w:spacing w:val="-3"/>
                <w:lang w:val="en-GB" w:eastAsia="en-GB"/>
              </w:rPr>
              <w:t xml:space="preserve"> July 2018</w:t>
            </w:r>
          </w:p>
        </w:tc>
      </w:tr>
      <w:tr w:rsidR="000A2D0F" w:rsidRPr="000A2D0F" w14:paraId="14910056" w14:textId="77777777" w:rsidTr="000A55C1">
        <w:trPr>
          <w:trHeight w:val="521"/>
        </w:trPr>
        <w:tc>
          <w:tcPr>
            <w:tcW w:w="6521" w:type="dxa"/>
          </w:tcPr>
          <w:p w14:paraId="0AFFDCCC" w14:textId="77777777" w:rsidR="000A2D0F" w:rsidRPr="000A2D0F" w:rsidRDefault="000A2D0F" w:rsidP="00EE159A">
            <w:pPr>
              <w:tabs>
                <w:tab w:val="left" w:pos="5279"/>
              </w:tabs>
              <w:spacing w:before="120" w:after="120" w:line="240" w:lineRule="auto"/>
              <w:ind w:left="34" w:right="403"/>
              <w:rPr>
                <w:rFonts w:eastAsia="Times New Roman" w:cstheme="minorHAnsi"/>
                <w:noProof/>
                <w:spacing w:val="-3"/>
                <w:lang w:val="en-GB" w:eastAsia="en-GB"/>
              </w:rPr>
            </w:pPr>
            <w:r w:rsidRPr="000A2D0F">
              <w:rPr>
                <w:rFonts w:eastAsia="Times New Roman" w:cstheme="minorHAnsi"/>
                <w:noProof/>
                <w:spacing w:val="-3"/>
                <w:lang w:val="en-GB" w:eastAsia="en-GB"/>
              </w:rPr>
              <w:t xml:space="preserve">Contract Implementation </w:t>
            </w:r>
          </w:p>
        </w:tc>
        <w:tc>
          <w:tcPr>
            <w:tcW w:w="2693" w:type="dxa"/>
          </w:tcPr>
          <w:p w14:paraId="14C63FF9" w14:textId="0952D664" w:rsidR="000A2D0F" w:rsidRPr="00497B30" w:rsidRDefault="00497B30" w:rsidP="00EE159A">
            <w:pPr>
              <w:spacing w:before="120" w:after="120" w:line="240" w:lineRule="auto"/>
              <w:ind w:left="67" w:right="-46"/>
              <w:jc w:val="center"/>
              <w:rPr>
                <w:rFonts w:eastAsia="Times New Roman" w:cstheme="minorHAnsi"/>
                <w:noProof/>
                <w:spacing w:val="-3"/>
                <w:lang w:val="en-GB" w:eastAsia="en-GB"/>
              </w:rPr>
            </w:pPr>
            <w:r w:rsidRPr="00497B30">
              <w:rPr>
                <w:rFonts w:eastAsia="Times New Roman" w:cstheme="minorHAnsi"/>
                <w:noProof/>
                <w:spacing w:val="-3"/>
                <w:lang w:val="en-GB" w:eastAsia="en-GB"/>
              </w:rPr>
              <w:t>w/c 30</w:t>
            </w:r>
            <w:r w:rsidRPr="00497B30">
              <w:rPr>
                <w:rFonts w:eastAsia="Times New Roman" w:cstheme="minorHAnsi"/>
                <w:noProof/>
                <w:spacing w:val="-3"/>
                <w:vertAlign w:val="superscript"/>
                <w:lang w:val="en-GB" w:eastAsia="en-GB"/>
              </w:rPr>
              <w:t>th</w:t>
            </w:r>
            <w:r w:rsidRPr="00497B30">
              <w:rPr>
                <w:rFonts w:eastAsia="Times New Roman" w:cstheme="minorHAnsi"/>
                <w:noProof/>
                <w:spacing w:val="-3"/>
                <w:lang w:val="en-GB" w:eastAsia="en-GB"/>
              </w:rPr>
              <w:t xml:space="preserve"> July 2018</w:t>
            </w:r>
          </w:p>
        </w:tc>
      </w:tr>
    </w:tbl>
    <w:p w14:paraId="55537135" w14:textId="0CE2ECE3" w:rsidR="000A55C1" w:rsidRPr="000A55C1" w:rsidRDefault="000A55C1" w:rsidP="000A55C1">
      <w:pPr>
        <w:spacing w:before="120" w:after="120" w:line="312" w:lineRule="auto"/>
        <w:ind w:right="403"/>
        <w:rPr>
          <w:rFonts w:eastAsia="Times New Roman" w:cstheme="minorHAnsi"/>
          <w:i/>
          <w:noProof/>
          <w:spacing w:val="-3"/>
          <w:szCs w:val="24"/>
          <w:lang w:val="en-GB"/>
        </w:rPr>
      </w:pPr>
      <w:r w:rsidRPr="000A55C1">
        <w:rPr>
          <w:rFonts w:eastAsia="Times New Roman" w:cstheme="minorHAnsi"/>
          <w:i/>
          <w:noProof/>
          <w:spacing w:val="-3"/>
          <w:szCs w:val="24"/>
          <w:lang w:val="en-GB"/>
        </w:rPr>
        <w:t xml:space="preserve">Please note: dates set out in the table above are indicative only and may be subject to change. Any changes will be notified to all Tenderers.  </w:t>
      </w:r>
    </w:p>
    <w:p w14:paraId="013EB2E6" w14:textId="77777777" w:rsidR="004432C9" w:rsidRDefault="004432C9" w:rsidP="000A2D0F">
      <w:pPr>
        <w:pStyle w:val="ListParagraph"/>
        <w:ind w:left="284" w:hanging="578"/>
      </w:pPr>
    </w:p>
    <w:p w14:paraId="01DFC620" w14:textId="15CB783F" w:rsidR="00C659AA" w:rsidRDefault="00616A3E" w:rsidP="000A2D0F">
      <w:pPr>
        <w:pStyle w:val="IntenseQuote"/>
        <w:numPr>
          <w:ilvl w:val="0"/>
          <w:numId w:val="4"/>
        </w:numPr>
        <w:ind w:left="284" w:hanging="578"/>
      </w:pPr>
      <w:r>
        <w:rPr>
          <w:i w:val="0"/>
          <w:color w:val="244061" w:themeColor="accent1" w:themeShade="80"/>
          <w:sz w:val="28"/>
          <w:szCs w:val="28"/>
        </w:rPr>
        <w:t>Estimate Value of Works</w:t>
      </w:r>
    </w:p>
    <w:p w14:paraId="6FE59A95" w14:textId="32E8E0B1" w:rsidR="009E57D5" w:rsidRPr="00D51F62" w:rsidRDefault="00616A3E" w:rsidP="00E90076">
      <w:pPr>
        <w:pStyle w:val="ListParagraph"/>
        <w:numPr>
          <w:ilvl w:val="1"/>
          <w:numId w:val="4"/>
        </w:numPr>
        <w:ind w:left="284" w:hanging="578"/>
      </w:pPr>
      <w:r>
        <w:t xml:space="preserve">Budgetary resources are limited and the Council is seeking good quality advice from an appropriately experienced professional at competitive rates. </w:t>
      </w:r>
      <w:r w:rsidRPr="00A532BC">
        <w:rPr>
          <w:b/>
        </w:rPr>
        <w:t>The Council anticipates that the contract value arising from this opportunity w</w:t>
      </w:r>
      <w:r w:rsidR="0002560C">
        <w:rPr>
          <w:b/>
        </w:rPr>
        <w:t>ould be in the range of £10</w:t>
      </w:r>
      <w:r w:rsidR="00660437">
        <w:rPr>
          <w:b/>
        </w:rPr>
        <w:t>,000 - £2</w:t>
      </w:r>
      <w:r w:rsidR="001B60A9" w:rsidRPr="00A532BC">
        <w:rPr>
          <w:b/>
        </w:rPr>
        <w:t>0</w:t>
      </w:r>
      <w:r w:rsidR="005F5463" w:rsidRPr="00A532BC">
        <w:rPr>
          <w:b/>
        </w:rPr>
        <w:t>,000</w:t>
      </w:r>
      <w:r w:rsidR="0004391C">
        <w:rPr>
          <w:b/>
        </w:rPr>
        <w:t xml:space="preserve"> (maximum)</w:t>
      </w:r>
      <w:r w:rsidRPr="00A532BC">
        <w:rPr>
          <w:b/>
        </w:rPr>
        <w:t>.</w:t>
      </w:r>
    </w:p>
    <w:p w14:paraId="6DADEC25" w14:textId="77777777" w:rsidR="00D51F62" w:rsidRPr="0004391C" w:rsidRDefault="00D51F62" w:rsidP="00D51F62">
      <w:pPr>
        <w:pStyle w:val="ListParagraph"/>
        <w:ind w:left="284"/>
      </w:pPr>
    </w:p>
    <w:p w14:paraId="5B43C45F" w14:textId="2A308491" w:rsidR="0004391C" w:rsidRPr="00E90076" w:rsidRDefault="0004391C" w:rsidP="00E90076">
      <w:pPr>
        <w:pStyle w:val="ListParagraph"/>
        <w:numPr>
          <w:ilvl w:val="1"/>
          <w:numId w:val="4"/>
        </w:numPr>
        <w:ind w:left="284" w:hanging="578"/>
      </w:pPr>
      <w:r>
        <w:t>A payment schedule will be agreed by Burnley Council and the successful Consultant/s.</w:t>
      </w:r>
    </w:p>
    <w:p w14:paraId="07CC9111" w14:textId="77777777" w:rsidR="00E90076" w:rsidRPr="00CB4A31" w:rsidRDefault="00E90076" w:rsidP="00E90076">
      <w:pPr>
        <w:pStyle w:val="ListParagraph"/>
        <w:ind w:left="284"/>
      </w:pPr>
    </w:p>
    <w:p w14:paraId="61A6EA24" w14:textId="43A0EC04" w:rsidR="00C33A2C" w:rsidRDefault="00D60978" w:rsidP="000A2D0F">
      <w:pPr>
        <w:pStyle w:val="IntenseQuote"/>
        <w:numPr>
          <w:ilvl w:val="0"/>
          <w:numId w:val="4"/>
        </w:numPr>
        <w:ind w:left="284" w:hanging="578"/>
      </w:pPr>
      <w:r w:rsidRPr="00D60978">
        <w:rPr>
          <w:i w:val="0"/>
          <w:color w:val="244061" w:themeColor="accent1" w:themeShade="80"/>
          <w:sz w:val="28"/>
          <w:szCs w:val="28"/>
        </w:rPr>
        <w:t>Project</w:t>
      </w:r>
      <w:r>
        <w:t xml:space="preserve"> </w:t>
      </w:r>
      <w:r w:rsidRPr="00D60978">
        <w:rPr>
          <w:i w:val="0"/>
          <w:color w:val="244061" w:themeColor="accent1" w:themeShade="80"/>
          <w:sz w:val="28"/>
          <w:szCs w:val="28"/>
        </w:rPr>
        <w:t>Team</w:t>
      </w:r>
    </w:p>
    <w:p w14:paraId="708BF0C7" w14:textId="616D1D5D" w:rsidR="00D60978" w:rsidRDefault="00D60978" w:rsidP="000A2D0F">
      <w:pPr>
        <w:pStyle w:val="ListParagraph"/>
        <w:numPr>
          <w:ilvl w:val="1"/>
          <w:numId w:val="4"/>
        </w:numPr>
        <w:ind w:left="284" w:hanging="578"/>
      </w:pPr>
      <w:r>
        <w:t xml:space="preserve">The </w:t>
      </w:r>
      <w:r w:rsidR="002322B3">
        <w:t>Consultant</w:t>
      </w:r>
      <w:r>
        <w:t xml:space="preserve"> will work closely with the project team, including:</w:t>
      </w:r>
    </w:p>
    <w:p w14:paraId="17F7E54E" w14:textId="77777777" w:rsidR="006E5A1D" w:rsidRDefault="006E5A1D" w:rsidP="006E5A1D">
      <w:pPr>
        <w:pStyle w:val="ListParagraph"/>
        <w:ind w:left="284"/>
      </w:pPr>
    </w:p>
    <w:p w14:paraId="683E2F55" w14:textId="77777777" w:rsidR="006E5A1D" w:rsidRDefault="006E5A1D" w:rsidP="006E5A1D">
      <w:pPr>
        <w:pStyle w:val="ListParagraph"/>
        <w:numPr>
          <w:ilvl w:val="0"/>
          <w:numId w:val="36"/>
        </w:numPr>
        <w:spacing w:after="0"/>
      </w:pPr>
      <w:r>
        <w:t>Adam Lockett, Development Officer, Burnley Council</w:t>
      </w:r>
    </w:p>
    <w:p w14:paraId="34AAB88E" w14:textId="77777777" w:rsidR="006E5A1D" w:rsidRDefault="006E5A1D" w:rsidP="006E5A1D">
      <w:pPr>
        <w:pStyle w:val="ListParagraph"/>
        <w:numPr>
          <w:ilvl w:val="0"/>
          <w:numId w:val="36"/>
        </w:numPr>
        <w:spacing w:after="0"/>
      </w:pPr>
      <w:r>
        <w:t>Suzanne Pickering, Townscape Heritage Officer, Burnley Council</w:t>
      </w:r>
    </w:p>
    <w:p w14:paraId="1476EFE9" w14:textId="77777777" w:rsidR="006E5A1D" w:rsidRDefault="006E5A1D" w:rsidP="006E5A1D">
      <w:pPr>
        <w:pStyle w:val="ListParagraph"/>
        <w:numPr>
          <w:ilvl w:val="0"/>
          <w:numId w:val="36"/>
        </w:numPr>
        <w:spacing w:after="0"/>
      </w:pPr>
      <w:r>
        <w:t>Erika Eden-Porter, Conservation Officer, Burnley Council</w:t>
      </w:r>
    </w:p>
    <w:p w14:paraId="09A0B15F" w14:textId="0F10F0F0" w:rsidR="00EA2EA7" w:rsidRDefault="006E5A1D" w:rsidP="006E5A1D">
      <w:pPr>
        <w:pStyle w:val="ListParagraph"/>
        <w:numPr>
          <w:ilvl w:val="0"/>
          <w:numId w:val="36"/>
        </w:numPr>
        <w:spacing w:after="0"/>
      </w:pPr>
      <w:r>
        <w:t>Artist commissioned by Burnley Borough Council (to be appointed)</w:t>
      </w:r>
    </w:p>
    <w:p w14:paraId="3C755316" w14:textId="542490DF" w:rsidR="00EA2EA7" w:rsidRDefault="006E5A1D" w:rsidP="006E5A1D">
      <w:pPr>
        <w:pStyle w:val="ListParagraph"/>
        <w:numPr>
          <w:ilvl w:val="0"/>
          <w:numId w:val="36"/>
        </w:numPr>
        <w:spacing w:after="0"/>
      </w:pPr>
      <w:r>
        <w:t>Rina Housbey, Principal Highways Design Officer, LCC (PM)</w:t>
      </w:r>
    </w:p>
    <w:p w14:paraId="43C948FF" w14:textId="59A02F47" w:rsidR="006E5A1D" w:rsidRDefault="006E5A1D" w:rsidP="006E5A1D">
      <w:pPr>
        <w:pStyle w:val="ListParagraph"/>
        <w:numPr>
          <w:ilvl w:val="0"/>
          <w:numId w:val="36"/>
        </w:numPr>
        <w:spacing w:after="0"/>
      </w:pPr>
      <w:r>
        <w:t>Michelle Davies, Highways Design Officer, LCC</w:t>
      </w:r>
    </w:p>
    <w:p w14:paraId="19D69F0B" w14:textId="56929E75" w:rsidR="006E5A1D" w:rsidRDefault="002F7FCC" w:rsidP="006E5A1D">
      <w:pPr>
        <w:pStyle w:val="ListParagraph"/>
        <w:numPr>
          <w:ilvl w:val="0"/>
          <w:numId w:val="36"/>
        </w:numPr>
        <w:spacing w:after="0"/>
      </w:pPr>
      <w:r>
        <w:t xml:space="preserve">Martin Porter, </w:t>
      </w:r>
      <w:r w:rsidR="006E5A1D">
        <w:t>Prin</w:t>
      </w:r>
      <w:r>
        <w:t>cipal Network Planning Officer</w:t>
      </w:r>
      <w:r w:rsidR="006E5A1D">
        <w:t>, LCC</w:t>
      </w:r>
    </w:p>
    <w:p w14:paraId="2F75A2F5" w14:textId="0EC34324" w:rsidR="0004391C" w:rsidRDefault="0004391C" w:rsidP="0004391C">
      <w:pPr>
        <w:spacing w:after="0"/>
      </w:pPr>
    </w:p>
    <w:p w14:paraId="65972268" w14:textId="0CAAF33B" w:rsidR="00337B98" w:rsidRDefault="00337B98" w:rsidP="00E90076">
      <w:pPr>
        <w:pStyle w:val="IntenseQuote"/>
        <w:numPr>
          <w:ilvl w:val="0"/>
          <w:numId w:val="4"/>
        </w:numPr>
        <w:ind w:left="284" w:hanging="578"/>
      </w:pPr>
      <w:r w:rsidRPr="00337B98">
        <w:rPr>
          <w:i w:val="0"/>
          <w:color w:val="244061" w:themeColor="accent1" w:themeShade="80"/>
          <w:sz w:val="28"/>
          <w:szCs w:val="28"/>
        </w:rPr>
        <w:t>Tender</w:t>
      </w:r>
      <w:r>
        <w:t xml:space="preserve"> </w:t>
      </w:r>
      <w:r w:rsidRPr="00337B98">
        <w:rPr>
          <w:i w:val="0"/>
          <w:color w:val="244061" w:themeColor="accent1" w:themeShade="80"/>
          <w:sz w:val="28"/>
          <w:szCs w:val="28"/>
        </w:rPr>
        <w:t>Response</w:t>
      </w:r>
    </w:p>
    <w:p w14:paraId="5C4531DF" w14:textId="7F0DE046" w:rsidR="00337B98" w:rsidRDefault="00337B98" w:rsidP="000A2D0F">
      <w:pPr>
        <w:pStyle w:val="ListParagraph"/>
        <w:numPr>
          <w:ilvl w:val="1"/>
          <w:numId w:val="4"/>
        </w:numPr>
        <w:spacing w:after="0"/>
        <w:ind w:left="284" w:hanging="578"/>
        <w:rPr>
          <w:rFonts w:cstheme="minorHAnsi"/>
        </w:rPr>
      </w:pPr>
      <w:r w:rsidRPr="00337B98">
        <w:rPr>
          <w:rFonts w:cstheme="minorHAnsi"/>
        </w:rPr>
        <w:t xml:space="preserve">Consultants </w:t>
      </w:r>
      <w:r w:rsidRPr="00337B98">
        <w:t>will</w:t>
      </w:r>
      <w:r w:rsidRPr="00337B98">
        <w:rPr>
          <w:rFonts w:cstheme="minorHAnsi"/>
        </w:rPr>
        <w:t xml:space="preserve"> need to demonstrate a proven track record in delivering high quality outputs on time, to budget and in accordance with client expectations. The Council requires the following elements, as a minimum, to comprise the tender response. Please present all information in a clear and concise manner: </w:t>
      </w:r>
    </w:p>
    <w:p w14:paraId="11CC54DA" w14:textId="77777777" w:rsidR="00D51F62" w:rsidRPr="002F7FCC" w:rsidRDefault="00D51F62" w:rsidP="002F7FCC">
      <w:pPr>
        <w:spacing w:after="0"/>
        <w:rPr>
          <w:rFonts w:cstheme="minorHAnsi"/>
        </w:rPr>
      </w:pPr>
    </w:p>
    <w:p w14:paraId="58F2EA67" w14:textId="77777777" w:rsidR="0082296C" w:rsidRPr="0082296C" w:rsidRDefault="0082296C" w:rsidP="009E57D5">
      <w:pPr>
        <w:pStyle w:val="ListParagraph"/>
        <w:spacing w:after="0"/>
        <w:ind w:left="284"/>
        <w:rPr>
          <w:rFonts w:cstheme="minorHAnsi"/>
          <w:b/>
          <w:bCs/>
          <w:color w:val="244061" w:themeColor="accent1" w:themeShade="80"/>
          <w:sz w:val="28"/>
          <w:szCs w:val="28"/>
        </w:rPr>
      </w:pPr>
      <w:r w:rsidRPr="0082296C">
        <w:rPr>
          <w:rFonts w:cstheme="minorHAnsi"/>
          <w:b/>
          <w:bCs/>
          <w:color w:val="244061" w:themeColor="accent1" w:themeShade="80"/>
          <w:sz w:val="28"/>
          <w:szCs w:val="28"/>
        </w:rPr>
        <w:lastRenderedPageBreak/>
        <w:t>I</w:t>
      </w:r>
      <w:r w:rsidR="00337B98" w:rsidRPr="0082296C">
        <w:rPr>
          <w:rFonts w:cstheme="minorHAnsi"/>
          <w:b/>
          <w:bCs/>
          <w:color w:val="244061" w:themeColor="accent1" w:themeShade="80"/>
          <w:sz w:val="28"/>
          <w:szCs w:val="28"/>
        </w:rPr>
        <w:t xml:space="preserve">nsurance </w:t>
      </w:r>
      <w:r w:rsidR="00337B98" w:rsidRPr="0082296C">
        <w:rPr>
          <w:b/>
          <w:color w:val="244061" w:themeColor="accent1" w:themeShade="80"/>
          <w:sz w:val="28"/>
          <w:szCs w:val="28"/>
        </w:rPr>
        <w:t xml:space="preserve">information </w:t>
      </w:r>
      <w:r w:rsidR="00337B98" w:rsidRPr="0082296C">
        <w:rPr>
          <w:rFonts w:cstheme="minorHAnsi"/>
          <w:b/>
          <w:bCs/>
          <w:color w:val="244061" w:themeColor="accent1" w:themeShade="80"/>
          <w:sz w:val="28"/>
          <w:szCs w:val="28"/>
        </w:rPr>
        <w:t xml:space="preserve"> </w:t>
      </w:r>
    </w:p>
    <w:p w14:paraId="3FBF35FF" w14:textId="7A1744A9" w:rsidR="00337B98" w:rsidRPr="0082296C" w:rsidRDefault="00337B98" w:rsidP="009E57D5">
      <w:pPr>
        <w:pStyle w:val="ListParagraph"/>
        <w:spacing w:after="0"/>
        <w:ind w:left="284"/>
        <w:rPr>
          <w:rFonts w:cstheme="minorHAnsi"/>
          <w:color w:val="244061" w:themeColor="accent1" w:themeShade="80"/>
        </w:rPr>
      </w:pPr>
      <w:r w:rsidRPr="0082296C">
        <w:rPr>
          <w:rFonts w:cstheme="minorHAnsi"/>
          <w:color w:val="244061" w:themeColor="accent1" w:themeShade="80"/>
        </w:rPr>
        <w:t xml:space="preserve">Self-certification as to whether you already have or can commit to obtain the levels of insurance cover indicated below (please provide copies of certificates where possible): </w:t>
      </w:r>
    </w:p>
    <w:p w14:paraId="2587427E" w14:textId="24C060BC" w:rsidR="00337B98" w:rsidRPr="0082296C" w:rsidRDefault="00337B98" w:rsidP="00EE159A">
      <w:pPr>
        <w:pStyle w:val="Default"/>
        <w:numPr>
          <w:ilvl w:val="0"/>
          <w:numId w:val="27"/>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Public Liability Insurance - £5m </w:t>
      </w:r>
    </w:p>
    <w:p w14:paraId="510EA0DB" w14:textId="3C35E747" w:rsidR="00337B98" w:rsidRPr="0082296C" w:rsidRDefault="002322B3" w:rsidP="00EE159A">
      <w:pPr>
        <w:pStyle w:val="Default"/>
        <w:numPr>
          <w:ilvl w:val="0"/>
          <w:numId w:val="27"/>
        </w:numPr>
        <w:spacing w:line="276" w:lineRule="auto"/>
        <w:rPr>
          <w:rFonts w:asciiTheme="minorHAnsi" w:hAnsiTheme="minorHAnsi" w:cstheme="minorHAnsi"/>
          <w:color w:val="244061" w:themeColor="accent1" w:themeShade="80"/>
          <w:sz w:val="22"/>
          <w:szCs w:val="22"/>
        </w:rPr>
      </w:pPr>
      <w:r>
        <w:rPr>
          <w:rFonts w:asciiTheme="minorHAnsi" w:hAnsiTheme="minorHAnsi" w:cstheme="minorHAnsi"/>
          <w:color w:val="244061" w:themeColor="accent1" w:themeShade="80"/>
          <w:sz w:val="22"/>
          <w:szCs w:val="22"/>
        </w:rPr>
        <w:t>Consultant</w:t>
      </w:r>
      <w:r w:rsidR="00C444A4">
        <w:rPr>
          <w:rFonts w:asciiTheme="minorHAnsi" w:hAnsiTheme="minorHAnsi" w:cstheme="minorHAnsi"/>
          <w:color w:val="244061" w:themeColor="accent1" w:themeShade="80"/>
          <w:sz w:val="22"/>
          <w:szCs w:val="22"/>
        </w:rPr>
        <w:t xml:space="preserve"> Indemnity Insurance - £5m</w:t>
      </w:r>
    </w:p>
    <w:p w14:paraId="3076D630"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7B231909" w14:textId="77777777" w:rsidR="0082296C" w:rsidRPr="0082296C" w:rsidRDefault="00337B98" w:rsidP="009E57D5">
      <w:pPr>
        <w:pStyle w:val="ListParagraph"/>
        <w:spacing w:after="0"/>
        <w:ind w:left="284"/>
        <w:rPr>
          <w:rFonts w:cstheme="minorHAnsi"/>
          <w:b/>
          <w:bCs/>
          <w:color w:val="244061" w:themeColor="accent1" w:themeShade="80"/>
        </w:rPr>
      </w:pPr>
      <w:r w:rsidRPr="0082296C">
        <w:rPr>
          <w:rFonts w:cstheme="minorHAnsi"/>
          <w:b/>
          <w:bCs/>
          <w:color w:val="244061" w:themeColor="accent1" w:themeShade="80"/>
          <w:sz w:val="28"/>
          <w:szCs w:val="28"/>
        </w:rPr>
        <w:t>Conflict</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of</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Interest</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Statement</w:t>
      </w:r>
    </w:p>
    <w:p w14:paraId="15687A6F" w14:textId="71094ACE" w:rsidR="00337B98" w:rsidRPr="00EE159A" w:rsidRDefault="000371CA" w:rsidP="00EE159A">
      <w:pPr>
        <w:pStyle w:val="ListParagraph"/>
        <w:numPr>
          <w:ilvl w:val="0"/>
          <w:numId w:val="28"/>
        </w:numPr>
        <w:spacing w:after="0"/>
        <w:rPr>
          <w:rFonts w:cstheme="minorHAnsi"/>
          <w:color w:val="244061" w:themeColor="accent1" w:themeShade="80"/>
        </w:rPr>
      </w:pPr>
      <w:r>
        <w:rPr>
          <w:rFonts w:cstheme="minorHAnsi"/>
          <w:color w:val="244061" w:themeColor="accent1" w:themeShade="80"/>
        </w:rPr>
        <w:t>Provision of a c</w:t>
      </w:r>
      <w:r w:rsidR="00337B98" w:rsidRPr="00EE159A">
        <w:rPr>
          <w:rFonts w:cstheme="minorHAnsi"/>
          <w:color w:val="244061" w:themeColor="accent1" w:themeShade="80"/>
        </w:rPr>
        <w:t>lear statement showing that your practice does not have any conflicts of interest</w:t>
      </w:r>
      <w:r w:rsidR="00484BFD">
        <w:rPr>
          <w:rFonts w:cstheme="minorHAnsi"/>
          <w:color w:val="244061" w:themeColor="accent1" w:themeShade="80"/>
        </w:rPr>
        <w:t xml:space="preserve"> related to the Council or this scheme.</w:t>
      </w:r>
      <w:r w:rsidR="00337B98" w:rsidRPr="00EE159A">
        <w:rPr>
          <w:rFonts w:cstheme="minorHAnsi"/>
          <w:color w:val="244061" w:themeColor="accent1" w:themeShade="80"/>
        </w:rPr>
        <w:t xml:space="preserve"> </w:t>
      </w:r>
    </w:p>
    <w:p w14:paraId="642DA780"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59797A21" w14:textId="77777777" w:rsidR="0082296C" w:rsidRPr="0082296C" w:rsidRDefault="00337B98" w:rsidP="009E57D5">
      <w:pPr>
        <w:pStyle w:val="ListParagraph"/>
        <w:spacing w:after="0"/>
        <w:ind w:left="284"/>
        <w:rPr>
          <w:rFonts w:cstheme="minorHAnsi"/>
          <w:b/>
          <w:bCs/>
          <w:color w:val="244061" w:themeColor="accent1" w:themeShade="80"/>
        </w:rPr>
      </w:pPr>
      <w:r w:rsidRPr="0082296C">
        <w:rPr>
          <w:rFonts w:cstheme="minorHAnsi"/>
          <w:b/>
          <w:bCs/>
          <w:color w:val="244061" w:themeColor="accent1" w:themeShade="80"/>
          <w:sz w:val="28"/>
          <w:szCs w:val="28"/>
        </w:rPr>
        <w:t>Accreditations</w:t>
      </w:r>
    </w:p>
    <w:p w14:paraId="5C89754D" w14:textId="302F2D42" w:rsidR="00337B98" w:rsidRPr="00EE159A" w:rsidRDefault="000371CA" w:rsidP="00EE159A">
      <w:pPr>
        <w:pStyle w:val="ListParagraph"/>
        <w:numPr>
          <w:ilvl w:val="0"/>
          <w:numId w:val="28"/>
        </w:numPr>
        <w:rPr>
          <w:rFonts w:cstheme="minorHAnsi"/>
          <w:b/>
          <w:color w:val="244061" w:themeColor="accent1" w:themeShade="80"/>
        </w:rPr>
      </w:pPr>
      <w:r>
        <w:rPr>
          <w:rFonts w:cstheme="minorHAnsi"/>
          <w:color w:val="244061" w:themeColor="accent1" w:themeShade="80"/>
        </w:rPr>
        <w:t>Provision of a c</w:t>
      </w:r>
      <w:r w:rsidR="00337B98" w:rsidRPr="00EE159A">
        <w:rPr>
          <w:rFonts w:cstheme="minorHAnsi"/>
          <w:color w:val="244061" w:themeColor="accent1" w:themeShade="80"/>
        </w:rPr>
        <w:t xml:space="preserve">lear statement showing that </w:t>
      </w:r>
      <w:r w:rsidR="008F5E6E" w:rsidRPr="00EE159A">
        <w:rPr>
          <w:rFonts w:cstheme="minorHAnsi"/>
          <w:color w:val="244061" w:themeColor="accent1" w:themeShade="80"/>
        </w:rPr>
        <w:t>you/</w:t>
      </w:r>
      <w:r w:rsidR="00337B98" w:rsidRPr="00EE159A">
        <w:rPr>
          <w:rFonts w:cstheme="minorHAnsi"/>
          <w:color w:val="244061" w:themeColor="accent1" w:themeShade="80"/>
        </w:rPr>
        <w:t>r practice has appropriate accreditation</w:t>
      </w:r>
      <w:r w:rsidR="000E7752">
        <w:rPr>
          <w:rFonts w:cstheme="minorHAnsi"/>
          <w:color w:val="244061" w:themeColor="accent1" w:themeShade="80"/>
        </w:rPr>
        <w:t>/qualification to undertake the work</w:t>
      </w:r>
      <w:r w:rsidR="00484BFD">
        <w:rPr>
          <w:rFonts w:cstheme="minorHAnsi"/>
          <w:color w:val="244061" w:themeColor="accent1" w:themeShade="80"/>
        </w:rPr>
        <w:t>, providing copies as appropriate</w:t>
      </w:r>
      <w:r w:rsidR="00337B98" w:rsidRPr="00EE159A">
        <w:rPr>
          <w:rFonts w:cstheme="minorHAnsi"/>
          <w:color w:val="244061" w:themeColor="accent1" w:themeShade="80"/>
        </w:rPr>
        <w:t xml:space="preserve">. </w:t>
      </w:r>
    </w:p>
    <w:p w14:paraId="4A4B38AD" w14:textId="77777777" w:rsidR="004432C9" w:rsidRPr="004432C9" w:rsidRDefault="004432C9" w:rsidP="000A2D0F">
      <w:pPr>
        <w:pStyle w:val="ListParagraph"/>
        <w:ind w:left="284" w:hanging="578"/>
        <w:rPr>
          <w:rFonts w:cstheme="minorHAnsi"/>
          <w:b/>
          <w:color w:val="244061" w:themeColor="accent1" w:themeShade="80"/>
        </w:rPr>
      </w:pPr>
    </w:p>
    <w:p w14:paraId="598B7E66" w14:textId="63151CEB" w:rsidR="00337B98" w:rsidRPr="0082296C" w:rsidRDefault="00337B98" w:rsidP="009E57D5">
      <w:pPr>
        <w:pStyle w:val="ListParagraph"/>
        <w:spacing w:after="0"/>
        <w:ind w:left="284"/>
        <w:rPr>
          <w:rFonts w:cstheme="minorHAnsi"/>
          <w:color w:val="244061" w:themeColor="accent1" w:themeShade="80"/>
        </w:rPr>
      </w:pPr>
      <w:r w:rsidRPr="0082296C">
        <w:rPr>
          <w:rFonts w:cstheme="minorHAnsi"/>
          <w:b/>
          <w:bCs/>
          <w:color w:val="244061" w:themeColor="accent1" w:themeShade="80"/>
          <w:sz w:val="28"/>
          <w:szCs w:val="28"/>
        </w:rPr>
        <w:t>Method</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Statements</w:t>
      </w:r>
    </w:p>
    <w:p w14:paraId="564230EF" w14:textId="782146F3" w:rsidR="00337B98" w:rsidRPr="00EE159A" w:rsidRDefault="00337B98" w:rsidP="00EE159A">
      <w:pPr>
        <w:pStyle w:val="ListParagraph"/>
        <w:numPr>
          <w:ilvl w:val="0"/>
          <w:numId w:val="28"/>
        </w:numPr>
        <w:spacing w:after="0"/>
        <w:rPr>
          <w:rFonts w:cstheme="minorHAnsi"/>
          <w:color w:val="244061" w:themeColor="accent1" w:themeShade="80"/>
        </w:rPr>
      </w:pPr>
      <w:r w:rsidRPr="00EE159A">
        <w:rPr>
          <w:rFonts w:cstheme="minorHAnsi"/>
          <w:color w:val="244061" w:themeColor="accent1" w:themeShade="80"/>
        </w:rPr>
        <w:t>An interpretation of the brief</w:t>
      </w:r>
      <w:r w:rsidR="000371CA">
        <w:rPr>
          <w:rFonts w:cstheme="minorHAnsi"/>
          <w:color w:val="244061" w:themeColor="accent1" w:themeShade="80"/>
        </w:rPr>
        <w:t xml:space="preserve"> (Weighting 15%)</w:t>
      </w:r>
    </w:p>
    <w:p w14:paraId="29CCFAA6" w14:textId="144D750A" w:rsidR="00337B98" w:rsidRPr="00EE159A" w:rsidRDefault="00337B98" w:rsidP="00EE159A">
      <w:pPr>
        <w:pStyle w:val="ListParagraph"/>
        <w:numPr>
          <w:ilvl w:val="0"/>
          <w:numId w:val="28"/>
        </w:numPr>
        <w:spacing w:after="0"/>
        <w:rPr>
          <w:rFonts w:cstheme="minorHAnsi"/>
          <w:color w:val="244061" w:themeColor="accent1" w:themeShade="80"/>
        </w:rPr>
      </w:pPr>
      <w:r w:rsidRPr="00EE159A">
        <w:rPr>
          <w:rFonts w:cstheme="minorHAnsi"/>
          <w:color w:val="244061" w:themeColor="accent1" w:themeShade="80"/>
        </w:rPr>
        <w:t>A description of the methodology proposed to complete the work</w:t>
      </w:r>
      <w:r w:rsidR="000371CA">
        <w:rPr>
          <w:rFonts w:cstheme="minorHAnsi"/>
          <w:color w:val="244061" w:themeColor="accent1" w:themeShade="80"/>
        </w:rPr>
        <w:t xml:space="preserve"> (Weighting 15%)</w:t>
      </w:r>
      <w:r w:rsidRPr="00EE159A">
        <w:rPr>
          <w:rFonts w:cstheme="minorHAnsi"/>
          <w:color w:val="244061" w:themeColor="accent1" w:themeShade="80"/>
        </w:rPr>
        <w:t xml:space="preserve"> </w:t>
      </w:r>
    </w:p>
    <w:p w14:paraId="33494630" w14:textId="20F045A7" w:rsidR="00AE24A6" w:rsidRDefault="00337B98" w:rsidP="00EE159A">
      <w:pPr>
        <w:pStyle w:val="Default"/>
        <w:numPr>
          <w:ilvl w:val="0"/>
          <w:numId w:val="28"/>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The name, qualifications, relevant experience and contact details of the individual(s) who will primarily undertake this </w:t>
      </w:r>
      <w:r w:rsidRPr="000371CA">
        <w:rPr>
          <w:rFonts w:asciiTheme="minorHAnsi" w:hAnsiTheme="minorHAnsi" w:cstheme="minorHAnsi"/>
          <w:color w:val="244061" w:themeColor="accent1" w:themeShade="80"/>
          <w:sz w:val="22"/>
          <w:szCs w:val="22"/>
        </w:rPr>
        <w:t>work</w:t>
      </w:r>
      <w:r w:rsidR="000371CA" w:rsidRPr="000371CA">
        <w:rPr>
          <w:rFonts w:asciiTheme="minorHAnsi" w:hAnsiTheme="minorHAnsi" w:cstheme="minorHAnsi"/>
          <w:color w:val="244061" w:themeColor="accent1" w:themeShade="80"/>
          <w:sz w:val="22"/>
          <w:szCs w:val="22"/>
        </w:rPr>
        <w:t xml:space="preserve"> </w:t>
      </w:r>
      <w:r w:rsidR="003844EE">
        <w:rPr>
          <w:rFonts w:asciiTheme="minorHAnsi" w:hAnsiTheme="minorHAnsi" w:cstheme="minorHAnsi"/>
          <w:color w:val="244061" w:themeColor="accent1" w:themeShade="80"/>
          <w:sz w:val="22"/>
        </w:rPr>
        <w:t>(Weighting 10</w:t>
      </w:r>
      <w:r w:rsidR="000371CA" w:rsidRPr="000371CA">
        <w:rPr>
          <w:rFonts w:asciiTheme="minorHAnsi" w:hAnsiTheme="minorHAnsi" w:cstheme="minorHAnsi"/>
          <w:color w:val="244061" w:themeColor="accent1" w:themeShade="80"/>
          <w:sz w:val="22"/>
        </w:rPr>
        <w:t>%)</w:t>
      </w:r>
      <w:r w:rsidRPr="000371CA">
        <w:rPr>
          <w:rFonts w:asciiTheme="minorHAnsi" w:hAnsiTheme="minorHAnsi" w:cstheme="minorHAnsi"/>
          <w:color w:val="244061" w:themeColor="accent1" w:themeShade="80"/>
          <w:sz w:val="22"/>
          <w:szCs w:val="22"/>
        </w:rPr>
        <w:t xml:space="preserve"> </w:t>
      </w:r>
    </w:p>
    <w:p w14:paraId="00B91BAB" w14:textId="5CDB382B" w:rsidR="00AE24A6" w:rsidRDefault="00337B98" w:rsidP="00EE159A">
      <w:pPr>
        <w:pStyle w:val="Default"/>
        <w:numPr>
          <w:ilvl w:val="0"/>
          <w:numId w:val="28"/>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A </w:t>
      </w:r>
      <w:r w:rsidR="001B0C42">
        <w:rPr>
          <w:rFonts w:asciiTheme="minorHAnsi" w:hAnsiTheme="minorHAnsi" w:cstheme="minorHAnsi"/>
          <w:color w:val="244061" w:themeColor="accent1" w:themeShade="80"/>
          <w:sz w:val="22"/>
          <w:szCs w:val="22"/>
        </w:rPr>
        <w:t>timescale/</w:t>
      </w:r>
      <w:r w:rsidR="008E3593">
        <w:rPr>
          <w:rFonts w:asciiTheme="minorHAnsi" w:hAnsiTheme="minorHAnsi" w:cstheme="minorHAnsi"/>
          <w:color w:val="244061" w:themeColor="accent1" w:themeShade="80"/>
          <w:sz w:val="22"/>
          <w:szCs w:val="22"/>
        </w:rPr>
        <w:t xml:space="preserve">approximate </w:t>
      </w:r>
      <w:r w:rsidR="001B0C42">
        <w:rPr>
          <w:rFonts w:asciiTheme="minorHAnsi" w:hAnsiTheme="minorHAnsi" w:cstheme="minorHAnsi"/>
          <w:color w:val="244061" w:themeColor="accent1" w:themeShade="80"/>
          <w:sz w:val="22"/>
          <w:szCs w:val="22"/>
        </w:rPr>
        <w:t xml:space="preserve">number of </w:t>
      </w:r>
      <w:r w:rsidR="005F5463">
        <w:rPr>
          <w:rFonts w:asciiTheme="minorHAnsi" w:hAnsiTheme="minorHAnsi" w:cstheme="minorHAnsi"/>
          <w:color w:val="244061" w:themeColor="accent1" w:themeShade="80"/>
          <w:sz w:val="22"/>
          <w:szCs w:val="22"/>
        </w:rPr>
        <w:t>hours</w:t>
      </w:r>
      <w:r w:rsidR="001B0C42">
        <w:rPr>
          <w:rFonts w:asciiTheme="minorHAnsi" w:hAnsiTheme="minorHAnsi" w:cstheme="minorHAnsi"/>
          <w:color w:val="244061" w:themeColor="accent1" w:themeShade="80"/>
          <w:sz w:val="22"/>
          <w:szCs w:val="22"/>
        </w:rPr>
        <w:t xml:space="preserve"> needed to review grant applications, grant claims</w:t>
      </w:r>
      <w:r w:rsidR="005F5463">
        <w:rPr>
          <w:rFonts w:asciiTheme="minorHAnsi" w:hAnsiTheme="minorHAnsi" w:cstheme="minorHAnsi"/>
          <w:color w:val="244061" w:themeColor="accent1" w:themeShade="80"/>
          <w:sz w:val="22"/>
          <w:szCs w:val="22"/>
        </w:rPr>
        <w:t xml:space="preserve"> and</w:t>
      </w:r>
      <w:r w:rsidR="00286B5F">
        <w:rPr>
          <w:rFonts w:asciiTheme="minorHAnsi" w:hAnsiTheme="minorHAnsi" w:cstheme="minorHAnsi"/>
          <w:color w:val="244061" w:themeColor="accent1" w:themeShade="80"/>
          <w:sz w:val="22"/>
          <w:szCs w:val="22"/>
        </w:rPr>
        <w:t xml:space="preserve"> </w:t>
      </w:r>
      <w:r w:rsidR="00286B5F" w:rsidRPr="000371CA">
        <w:rPr>
          <w:rFonts w:asciiTheme="minorHAnsi" w:hAnsiTheme="minorHAnsi" w:cstheme="minorHAnsi"/>
          <w:color w:val="244061" w:themeColor="accent1" w:themeShade="80"/>
          <w:sz w:val="22"/>
          <w:szCs w:val="22"/>
        </w:rPr>
        <w:t>undertake site visits</w:t>
      </w:r>
      <w:r w:rsidR="005F5463" w:rsidRPr="000371CA">
        <w:rPr>
          <w:rFonts w:asciiTheme="minorHAnsi" w:hAnsiTheme="minorHAnsi" w:cstheme="minorHAnsi"/>
          <w:color w:val="244061" w:themeColor="accent1" w:themeShade="80"/>
          <w:sz w:val="22"/>
          <w:szCs w:val="22"/>
        </w:rPr>
        <w:t xml:space="preserve">. Also, </w:t>
      </w:r>
      <w:r w:rsidR="009E57D5" w:rsidRPr="000371CA">
        <w:rPr>
          <w:rFonts w:asciiTheme="minorHAnsi" w:hAnsiTheme="minorHAnsi" w:cstheme="minorHAnsi"/>
          <w:color w:val="244061" w:themeColor="accent1" w:themeShade="80"/>
          <w:sz w:val="22"/>
          <w:szCs w:val="22"/>
        </w:rPr>
        <w:t>a commitment to work within the timescal</w:t>
      </w:r>
      <w:r w:rsidR="000371CA" w:rsidRPr="000371CA">
        <w:rPr>
          <w:rFonts w:asciiTheme="minorHAnsi" w:hAnsiTheme="minorHAnsi" w:cstheme="minorHAnsi"/>
          <w:color w:val="244061" w:themeColor="accent1" w:themeShade="80"/>
          <w:sz w:val="22"/>
          <w:szCs w:val="22"/>
        </w:rPr>
        <w:t>es as outline</w:t>
      </w:r>
      <w:r w:rsidR="003844EE">
        <w:rPr>
          <w:rFonts w:asciiTheme="minorHAnsi" w:hAnsiTheme="minorHAnsi" w:cstheme="minorHAnsi"/>
          <w:color w:val="244061" w:themeColor="accent1" w:themeShade="80"/>
          <w:sz w:val="22"/>
          <w:szCs w:val="22"/>
        </w:rPr>
        <w:t>d within the brief (Weighting 10</w:t>
      </w:r>
      <w:r w:rsidR="000371CA" w:rsidRPr="000371CA">
        <w:rPr>
          <w:rFonts w:asciiTheme="minorHAnsi" w:hAnsiTheme="minorHAnsi" w:cstheme="minorHAnsi"/>
          <w:color w:val="244061" w:themeColor="accent1" w:themeShade="80"/>
          <w:sz w:val="22"/>
          <w:szCs w:val="22"/>
        </w:rPr>
        <w:t>%)</w:t>
      </w:r>
    </w:p>
    <w:p w14:paraId="592AC9DF" w14:textId="77B49361" w:rsidR="00337B98" w:rsidRPr="0082296C" w:rsidRDefault="00337B98" w:rsidP="00EE159A">
      <w:pPr>
        <w:pStyle w:val="Default"/>
        <w:numPr>
          <w:ilvl w:val="0"/>
          <w:numId w:val="28"/>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Examples of previous relevant work completed within the l</w:t>
      </w:r>
      <w:r w:rsidR="003844EE">
        <w:rPr>
          <w:rFonts w:asciiTheme="minorHAnsi" w:hAnsiTheme="minorHAnsi" w:cstheme="minorHAnsi"/>
          <w:color w:val="244061" w:themeColor="accent1" w:themeShade="80"/>
          <w:sz w:val="22"/>
          <w:szCs w:val="22"/>
        </w:rPr>
        <w:t xml:space="preserve">ast 5 years (up to 3 examples) </w:t>
      </w:r>
      <w:r w:rsidR="008F5E6E">
        <w:rPr>
          <w:rFonts w:asciiTheme="minorHAnsi" w:hAnsiTheme="minorHAnsi" w:cstheme="minorHAnsi"/>
          <w:color w:val="244061" w:themeColor="accent1" w:themeShade="80"/>
          <w:sz w:val="22"/>
          <w:szCs w:val="22"/>
        </w:rPr>
        <w:t>which demonstrate experience/</w:t>
      </w:r>
      <w:r w:rsidRPr="0082296C">
        <w:rPr>
          <w:rFonts w:asciiTheme="minorHAnsi" w:hAnsiTheme="minorHAnsi" w:cstheme="minorHAnsi"/>
          <w:color w:val="244061" w:themeColor="accent1" w:themeShade="80"/>
          <w:sz w:val="22"/>
          <w:szCs w:val="22"/>
        </w:rPr>
        <w:t>expertise in delivering a range of specialist services of a similar nature</w:t>
      </w:r>
      <w:r w:rsidR="000371CA">
        <w:rPr>
          <w:rFonts w:asciiTheme="minorHAnsi" w:hAnsiTheme="minorHAnsi" w:cstheme="minorHAnsi"/>
          <w:color w:val="244061" w:themeColor="accent1" w:themeShade="80"/>
          <w:sz w:val="22"/>
          <w:szCs w:val="22"/>
        </w:rPr>
        <w:t xml:space="preserve"> </w:t>
      </w:r>
      <w:r w:rsidR="003844EE">
        <w:rPr>
          <w:rFonts w:asciiTheme="minorHAnsi" w:hAnsiTheme="minorHAnsi" w:cstheme="minorHAnsi"/>
          <w:color w:val="244061" w:themeColor="accent1" w:themeShade="80"/>
          <w:sz w:val="22"/>
          <w:szCs w:val="22"/>
        </w:rPr>
        <w:t>(Weighting 20</w:t>
      </w:r>
      <w:r w:rsidR="000371CA" w:rsidRPr="000371CA">
        <w:rPr>
          <w:rFonts w:asciiTheme="minorHAnsi" w:hAnsiTheme="minorHAnsi" w:cstheme="minorHAnsi"/>
          <w:color w:val="244061" w:themeColor="accent1" w:themeShade="80"/>
          <w:sz w:val="22"/>
          <w:szCs w:val="22"/>
        </w:rPr>
        <w:t>%)</w:t>
      </w:r>
      <w:r w:rsidRPr="0082296C">
        <w:rPr>
          <w:rFonts w:asciiTheme="minorHAnsi" w:hAnsiTheme="minorHAnsi" w:cstheme="minorHAnsi"/>
          <w:color w:val="244061" w:themeColor="accent1" w:themeShade="80"/>
          <w:sz w:val="22"/>
          <w:szCs w:val="22"/>
        </w:rPr>
        <w:t xml:space="preserve">. </w:t>
      </w:r>
    </w:p>
    <w:p w14:paraId="598F50E5"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6A1F35B5" w14:textId="77777777" w:rsidR="00337B98" w:rsidRPr="0082296C" w:rsidRDefault="00337B98" w:rsidP="009E57D5">
      <w:pPr>
        <w:pStyle w:val="ListParagraph"/>
        <w:spacing w:after="0"/>
        <w:ind w:left="284"/>
        <w:rPr>
          <w:rFonts w:cstheme="minorHAnsi"/>
          <w:color w:val="244061" w:themeColor="accent1" w:themeShade="80"/>
        </w:rPr>
      </w:pPr>
      <w:r w:rsidRPr="0082296C">
        <w:rPr>
          <w:rFonts w:cstheme="minorHAnsi"/>
          <w:b/>
          <w:bCs/>
          <w:color w:val="244061" w:themeColor="accent1" w:themeShade="80"/>
          <w:sz w:val="28"/>
          <w:szCs w:val="28"/>
        </w:rPr>
        <w:t>Fee</w:t>
      </w:r>
      <w:r w:rsidRPr="0082296C">
        <w:rPr>
          <w:rFonts w:cstheme="minorHAnsi"/>
          <w:b/>
          <w:bCs/>
          <w:color w:val="244061" w:themeColor="accent1" w:themeShade="80"/>
        </w:rPr>
        <w:t xml:space="preserve"> </w:t>
      </w:r>
      <w:r w:rsidRPr="0082296C">
        <w:rPr>
          <w:rFonts w:cstheme="minorHAnsi"/>
          <w:b/>
          <w:bCs/>
          <w:color w:val="244061" w:themeColor="accent1" w:themeShade="80"/>
          <w:sz w:val="28"/>
          <w:szCs w:val="28"/>
        </w:rPr>
        <w:t>Schedule</w:t>
      </w:r>
      <w:r w:rsidRPr="0082296C">
        <w:rPr>
          <w:rFonts w:cstheme="minorHAnsi"/>
          <w:b/>
          <w:bCs/>
          <w:color w:val="244061" w:themeColor="accent1" w:themeShade="80"/>
        </w:rPr>
        <w:t xml:space="preserve"> </w:t>
      </w:r>
    </w:p>
    <w:p w14:paraId="7D3D2216" w14:textId="59D5E262" w:rsidR="001040F8" w:rsidRPr="00E90076" w:rsidRDefault="0004391C" w:rsidP="00B62A29">
      <w:pPr>
        <w:pStyle w:val="Default"/>
        <w:numPr>
          <w:ilvl w:val="0"/>
          <w:numId w:val="29"/>
        </w:numPr>
        <w:spacing w:line="276" w:lineRule="auto"/>
        <w:rPr>
          <w:rFonts w:asciiTheme="minorHAnsi" w:hAnsiTheme="minorHAnsi" w:cstheme="minorHAnsi"/>
          <w:color w:val="244061" w:themeColor="accent1" w:themeShade="80"/>
          <w:sz w:val="22"/>
          <w:szCs w:val="22"/>
        </w:rPr>
      </w:pPr>
      <w:r>
        <w:rPr>
          <w:rFonts w:asciiTheme="minorHAnsi" w:hAnsiTheme="minorHAnsi" w:cstheme="minorHAnsi"/>
          <w:color w:val="244061" w:themeColor="accent1" w:themeShade="80"/>
          <w:sz w:val="22"/>
          <w:szCs w:val="22"/>
        </w:rPr>
        <w:t xml:space="preserve">Please include a fully inclusive fee breakdown </w:t>
      </w:r>
      <w:r w:rsidR="000656EF">
        <w:rPr>
          <w:rFonts w:asciiTheme="minorHAnsi" w:hAnsiTheme="minorHAnsi" w:cstheme="minorHAnsi"/>
          <w:color w:val="244061" w:themeColor="accent1" w:themeShade="80"/>
          <w:sz w:val="22"/>
          <w:szCs w:val="22"/>
        </w:rPr>
        <w:t>to undertake tasks as se</w:t>
      </w:r>
      <w:r w:rsidR="009E57D5">
        <w:rPr>
          <w:rFonts w:asciiTheme="minorHAnsi" w:hAnsiTheme="minorHAnsi" w:cstheme="minorHAnsi"/>
          <w:color w:val="244061" w:themeColor="accent1" w:themeShade="80"/>
          <w:sz w:val="22"/>
          <w:szCs w:val="22"/>
        </w:rPr>
        <w:t>t out in section 3 of the brief</w:t>
      </w:r>
      <w:r>
        <w:rPr>
          <w:rFonts w:asciiTheme="minorHAnsi" w:hAnsiTheme="minorHAnsi" w:cstheme="minorHAnsi"/>
          <w:color w:val="244061" w:themeColor="accent1" w:themeShade="80"/>
          <w:sz w:val="22"/>
          <w:szCs w:val="22"/>
        </w:rPr>
        <w:t>, exclusive of VAT</w:t>
      </w:r>
      <w:r w:rsidR="002F7FCC">
        <w:rPr>
          <w:rFonts w:asciiTheme="minorHAnsi" w:hAnsiTheme="minorHAnsi" w:cstheme="minorHAnsi"/>
          <w:color w:val="244061" w:themeColor="accent1" w:themeShade="80"/>
          <w:sz w:val="22"/>
          <w:szCs w:val="22"/>
        </w:rPr>
        <w:t xml:space="preserve"> (Weighting 30%)</w:t>
      </w:r>
      <w:r>
        <w:rPr>
          <w:rFonts w:asciiTheme="minorHAnsi" w:hAnsiTheme="minorHAnsi" w:cstheme="minorHAnsi"/>
          <w:color w:val="244061" w:themeColor="accent1" w:themeShade="80"/>
          <w:sz w:val="22"/>
          <w:szCs w:val="22"/>
        </w:rPr>
        <w:t>.</w:t>
      </w:r>
    </w:p>
    <w:p w14:paraId="4A5C5CC3" w14:textId="696D17D3" w:rsidR="00337B98" w:rsidRPr="000656EF" w:rsidRDefault="00325CD9" w:rsidP="00EE159A">
      <w:pPr>
        <w:pStyle w:val="Default"/>
        <w:numPr>
          <w:ilvl w:val="0"/>
          <w:numId w:val="29"/>
        </w:numPr>
        <w:spacing w:line="276" w:lineRule="auto"/>
        <w:rPr>
          <w:rFonts w:asciiTheme="minorHAnsi" w:hAnsiTheme="minorHAnsi" w:cstheme="minorHAnsi"/>
          <w:color w:val="244061" w:themeColor="accent1" w:themeShade="80"/>
          <w:sz w:val="22"/>
          <w:szCs w:val="22"/>
        </w:rPr>
      </w:pPr>
      <w:r>
        <w:rPr>
          <w:rFonts w:asciiTheme="minorHAnsi" w:hAnsiTheme="minorHAnsi" w:cstheme="minorHAnsi"/>
          <w:color w:val="244061" w:themeColor="accent1" w:themeShade="80"/>
          <w:sz w:val="22"/>
          <w:szCs w:val="22"/>
        </w:rPr>
        <w:t>In addition, a</w:t>
      </w:r>
      <w:r w:rsidR="000656EF">
        <w:rPr>
          <w:rFonts w:asciiTheme="minorHAnsi" w:hAnsiTheme="minorHAnsi" w:cstheme="minorHAnsi"/>
          <w:color w:val="244061" w:themeColor="accent1" w:themeShade="80"/>
          <w:sz w:val="22"/>
          <w:szCs w:val="22"/>
        </w:rPr>
        <w:t xml:space="preserve">n hourly rate or fee for any </w:t>
      </w:r>
      <w:r>
        <w:rPr>
          <w:rFonts w:asciiTheme="minorHAnsi" w:hAnsiTheme="minorHAnsi" w:cstheme="minorHAnsi"/>
          <w:color w:val="244061" w:themeColor="accent1" w:themeShade="80"/>
          <w:sz w:val="22"/>
          <w:szCs w:val="22"/>
        </w:rPr>
        <w:t>other</w:t>
      </w:r>
      <w:r w:rsidR="000656EF">
        <w:rPr>
          <w:rFonts w:asciiTheme="minorHAnsi" w:hAnsiTheme="minorHAnsi" w:cstheme="minorHAnsi"/>
          <w:color w:val="244061" w:themeColor="accent1" w:themeShade="80"/>
          <w:sz w:val="22"/>
          <w:szCs w:val="22"/>
        </w:rPr>
        <w:t xml:space="preserve"> work that could potentially arise outside </w:t>
      </w:r>
      <w:r w:rsidR="00B04EA5">
        <w:rPr>
          <w:rFonts w:asciiTheme="minorHAnsi" w:hAnsiTheme="minorHAnsi" w:cstheme="minorHAnsi"/>
          <w:color w:val="244061" w:themeColor="accent1" w:themeShade="80"/>
          <w:sz w:val="22"/>
          <w:szCs w:val="22"/>
        </w:rPr>
        <w:t xml:space="preserve">the </w:t>
      </w:r>
      <w:r w:rsidR="000656EF">
        <w:rPr>
          <w:rFonts w:asciiTheme="minorHAnsi" w:hAnsiTheme="minorHAnsi" w:cstheme="minorHAnsi"/>
          <w:color w:val="244061" w:themeColor="accent1" w:themeShade="80"/>
          <w:sz w:val="22"/>
          <w:szCs w:val="22"/>
        </w:rPr>
        <w:t xml:space="preserve"> scope of the brief.</w:t>
      </w:r>
      <w:r w:rsidR="00337B98" w:rsidRPr="000656EF">
        <w:rPr>
          <w:rFonts w:asciiTheme="minorHAnsi" w:hAnsiTheme="minorHAnsi" w:cstheme="minorHAnsi"/>
          <w:color w:val="244061" w:themeColor="accent1" w:themeShade="80"/>
          <w:sz w:val="22"/>
          <w:szCs w:val="22"/>
        </w:rPr>
        <w:t xml:space="preserve"> </w:t>
      </w:r>
    </w:p>
    <w:p w14:paraId="545F6FEB" w14:textId="77777777" w:rsidR="00337B98" w:rsidRPr="0082296C" w:rsidRDefault="00337B98" w:rsidP="000A2D0F">
      <w:pPr>
        <w:pStyle w:val="Default"/>
        <w:spacing w:line="276" w:lineRule="auto"/>
        <w:ind w:left="284" w:hanging="578"/>
        <w:rPr>
          <w:rFonts w:asciiTheme="minorHAnsi" w:hAnsiTheme="minorHAnsi" w:cstheme="minorHAnsi"/>
          <w:color w:val="244061" w:themeColor="accent1" w:themeShade="80"/>
          <w:sz w:val="22"/>
          <w:szCs w:val="22"/>
        </w:rPr>
      </w:pPr>
    </w:p>
    <w:p w14:paraId="6C55645C" w14:textId="77777777" w:rsidR="00337B98" w:rsidRPr="0082296C" w:rsidRDefault="00337B98" w:rsidP="009E57D5">
      <w:pPr>
        <w:pStyle w:val="ListParagraph"/>
        <w:spacing w:after="0"/>
        <w:ind w:left="284"/>
        <w:rPr>
          <w:rFonts w:cstheme="minorHAnsi"/>
          <w:b/>
          <w:color w:val="244061" w:themeColor="accent1" w:themeShade="80"/>
        </w:rPr>
      </w:pPr>
      <w:r w:rsidRPr="0082296C">
        <w:rPr>
          <w:rFonts w:cstheme="minorHAnsi"/>
          <w:b/>
          <w:bCs/>
          <w:color w:val="244061" w:themeColor="accent1" w:themeShade="80"/>
          <w:sz w:val="28"/>
          <w:szCs w:val="28"/>
        </w:rPr>
        <w:t>References</w:t>
      </w:r>
      <w:r w:rsidRPr="0082296C">
        <w:rPr>
          <w:rFonts w:cstheme="minorHAnsi"/>
          <w:b/>
          <w:bCs/>
          <w:color w:val="244061" w:themeColor="accent1" w:themeShade="80"/>
        </w:rPr>
        <w:t xml:space="preserve"> </w:t>
      </w:r>
    </w:p>
    <w:p w14:paraId="22F7FD08" w14:textId="3BCBD747" w:rsidR="00337B98" w:rsidRPr="0082296C" w:rsidRDefault="00337B98" w:rsidP="00EE159A">
      <w:pPr>
        <w:pStyle w:val="Default"/>
        <w:numPr>
          <w:ilvl w:val="0"/>
          <w:numId w:val="29"/>
        </w:numPr>
        <w:spacing w:line="276" w:lineRule="auto"/>
        <w:rPr>
          <w:rFonts w:asciiTheme="minorHAnsi" w:hAnsiTheme="minorHAnsi" w:cstheme="minorHAnsi"/>
          <w:color w:val="244061" w:themeColor="accent1" w:themeShade="80"/>
          <w:sz w:val="22"/>
          <w:szCs w:val="22"/>
        </w:rPr>
      </w:pPr>
      <w:r w:rsidRPr="0082296C">
        <w:rPr>
          <w:rFonts w:asciiTheme="minorHAnsi" w:hAnsiTheme="minorHAnsi" w:cstheme="minorHAnsi"/>
          <w:color w:val="244061" w:themeColor="accent1" w:themeShade="80"/>
          <w:sz w:val="22"/>
          <w:szCs w:val="22"/>
        </w:rPr>
        <w:t xml:space="preserve">The names and contact details of two referees (preferably related to the examples provided). References will only be taken up for the preferred Tenderer. </w:t>
      </w:r>
    </w:p>
    <w:p w14:paraId="513D010F" w14:textId="77777777" w:rsidR="00337B98" w:rsidRDefault="00337B98" w:rsidP="000A2D0F">
      <w:pPr>
        <w:pStyle w:val="Default"/>
        <w:ind w:left="284" w:hanging="578"/>
        <w:rPr>
          <w:color w:val="auto"/>
        </w:rPr>
      </w:pPr>
    </w:p>
    <w:p w14:paraId="3C03472D" w14:textId="65FDFDC7" w:rsidR="0082296C" w:rsidRDefault="0082296C" w:rsidP="000A2D0F">
      <w:pPr>
        <w:pStyle w:val="ListParagraph"/>
        <w:numPr>
          <w:ilvl w:val="1"/>
          <w:numId w:val="4"/>
        </w:numPr>
        <w:spacing w:after="0"/>
        <w:ind w:left="284" w:hanging="578"/>
        <w:rPr>
          <w:rFonts w:cstheme="minorHAnsi"/>
        </w:rPr>
      </w:pPr>
      <w:r>
        <w:rPr>
          <w:rFonts w:cstheme="minorHAnsi"/>
        </w:rPr>
        <w:t>In addition</w:t>
      </w:r>
      <w:r w:rsidR="00865077">
        <w:rPr>
          <w:rFonts w:cstheme="minorHAnsi"/>
        </w:rPr>
        <w:t xml:space="preserve"> to the information required in section 7.1</w:t>
      </w:r>
      <w:r>
        <w:rPr>
          <w:rFonts w:cstheme="minorHAnsi"/>
        </w:rPr>
        <w:t>, the Council requires the following documents to be submitted (please refer to the ITT document):</w:t>
      </w:r>
    </w:p>
    <w:p w14:paraId="4B154FB1" w14:textId="42F3A6F1" w:rsidR="0082296C" w:rsidRPr="00EE159A" w:rsidRDefault="0082296C" w:rsidP="00EE159A">
      <w:pPr>
        <w:pStyle w:val="ListParagraph"/>
        <w:numPr>
          <w:ilvl w:val="0"/>
          <w:numId w:val="29"/>
        </w:numPr>
        <w:spacing w:after="0"/>
        <w:rPr>
          <w:rFonts w:cstheme="minorHAnsi"/>
          <w:color w:val="244061" w:themeColor="accent1" w:themeShade="80"/>
        </w:rPr>
      </w:pPr>
      <w:r w:rsidRPr="00EE159A">
        <w:rPr>
          <w:rFonts w:cstheme="minorHAnsi"/>
          <w:color w:val="244061" w:themeColor="accent1" w:themeShade="80"/>
        </w:rPr>
        <w:t>Form of Tender</w:t>
      </w:r>
    </w:p>
    <w:p w14:paraId="723DABC5" w14:textId="7B8A1EF0" w:rsidR="0082296C" w:rsidRPr="00EE159A" w:rsidRDefault="0082296C" w:rsidP="00EE159A">
      <w:pPr>
        <w:pStyle w:val="ListParagraph"/>
        <w:numPr>
          <w:ilvl w:val="0"/>
          <w:numId w:val="29"/>
        </w:numPr>
        <w:spacing w:after="0"/>
        <w:rPr>
          <w:rFonts w:cstheme="minorHAnsi"/>
          <w:color w:val="244061" w:themeColor="accent1" w:themeShade="80"/>
        </w:rPr>
      </w:pPr>
      <w:r w:rsidRPr="00EE159A">
        <w:rPr>
          <w:rFonts w:cstheme="minorHAnsi"/>
          <w:color w:val="244061" w:themeColor="accent1" w:themeShade="80"/>
        </w:rPr>
        <w:t>Certificate of Non-Collusion and Non-Ca</w:t>
      </w:r>
      <w:r w:rsidR="007F1D19" w:rsidRPr="00EE159A">
        <w:rPr>
          <w:rFonts w:cstheme="minorHAnsi"/>
          <w:color w:val="244061" w:themeColor="accent1" w:themeShade="80"/>
        </w:rPr>
        <w:t>n</w:t>
      </w:r>
      <w:r w:rsidRPr="00EE159A">
        <w:rPr>
          <w:rFonts w:cstheme="minorHAnsi"/>
          <w:color w:val="244061" w:themeColor="accent1" w:themeShade="80"/>
        </w:rPr>
        <w:t>vassing</w:t>
      </w:r>
    </w:p>
    <w:p w14:paraId="08C1AF63" w14:textId="497A4536" w:rsidR="006D3FD1" w:rsidRPr="0004391C" w:rsidRDefault="0082296C" w:rsidP="0004391C">
      <w:pPr>
        <w:pStyle w:val="ListParagraph"/>
        <w:numPr>
          <w:ilvl w:val="0"/>
          <w:numId w:val="29"/>
        </w:numPr>
        <w:spacing w:after="0"/>
        <w:rPr>
          <w:rFonts w:cstheme="minorHAnsi"/>
          <w:color w:val="244061" w:themeColor="accent1" w:themeShade="80"/>
        </w:rPr>
      </w:pPr>
      <w:r w:rsidRPr="00EE159A">
        <w:rPr>
          <w:rFonts w:cstheme="minorHAnsi"/>
          <w:color w:val="244061" w:themeColor="accent1" w:themeShade="80"/>
        </w:rPr>
        <w:lastRenderedPageBreak/>
        <w:t>Cer</w:t>
      </w:r>
      <w:r w:rsidR="008513CE" w:rsidRPr="00EE159A">
        <w:rPr>
          <w:rFonts w:cstheme="minorHAnsi"/>
          <w:color w:val="244061" w:themeColor="accent1" w:themeShade="80"/>
        </w:rPr>
        <w:t>tificate the Tender is Bona Fide</w:t>
      </w:r>
    </w:p>
    <w:p w14:paraId="4BDF3D2E" w14:textId="046DA793" w:rsidR="0082296C" w:rsidRDefault="008D0914" w:rsidP="000A2D0F">
      <w:pPr>
        <w:pStyle w:val="IntenseQuote"/>
        <w:numPr>
          <w:ilvl w:val="0"/>
          <w:numId w:val="4"/>
        </w:numPr>
        <w:ind w:left="284" w:hanging="578"/>
        <w:rPr>
          <w:i w:val="0"/>
          <w:color w:val="244061" w:themeColor="accent1" w:themeShade="80"/>
          <w:sz w:val="28"/>
          <w:szCs w:val="28"/>
        </w:rPr>
      </w:pPr>
      <w:r w:rsidRPr="008D0914">
        <w:rPr>
          <w:i w:val="0"/>
          <w:color w:val="244061" w:themeColor="accent1" w:themeShade="80"/>
          <w:sz w:val="28"/>
          <w:szCs w:val="28"/>
        </w:rPr>
        <w:t>Evaluation</w:t>
      </w:r>
      <w:r>
        <w:rPr>
          <w:rFonts w:cstheme="minorHAnsi"/>
          <w:color w:val="244061" w:themeColor="accent1" w:themeShade="80"/>
        </w:rPr>
        <w:t xml:space="preserve"> </w:t>
      </w:r>
      <w:r w:rsidRPr="008D0914">
        <w:rPr>
          <w:i w:val="0"/>
          <w:color w:val="244061" w:themeColor="accent1" w:themeShade="80"/>
          <w:sz w:val="28"/>
          <w:szCs w:val="28"/>
        </w:rPr>
        <w:t>Criteria</w:t>
      </w:r>
    </w:p>
    <w:p w14:paraId="66907C7D" w14:textId="2BFE124E" w:rsidR="006D3FD1" w:rsidRDefault="006D3FD1" w:rsidP="000A2D0F">
      <w:pPr>
        <w:pStyle w:val="ListParagraph"/>
        <w:numPr>
          <w:ilvl w:val="1"/>
          <w:numId w:val="4"/>
        </w:numPr>
        <w:spacing w:after="0"/>
        <w:ind w:left="284" w:hanging="578"/>
        <w:rPr>
          <w:rFonts w:cstheme="minorHAnsi"/>
        </w:rPr>
      </w:pPr>
      <w:r>
        <w:rPr>
          <w:rFonts w:cstheme="minorHAnsi"/>
        </w:rPr>
        <w:t>Tenders will firstly be checked for compliance in relation to providing the required documents and information as stated within section 7.</w:t>
      </w:r>
    </w:p>
    <w:p w14:paraId="116AB4E9" w14:textId="77777777" w:rsidR="006D3FD1" w:rsidRDefault="006D3FD1" w:rsidP="006D3FD1">
      <w:pPr>
        <w:pStyle w:val="ListParagraph"/>
        <w:spacing w:after="0"/>
        <w:ind w:left="284"/>
        <w:rPr>
          <w:rFonts w:cstheme="minorHAnsi"/>
        </w:rPr>
      </w:pPr>
    </w:p>
    <w:p w14:paraId="271536E2" w14:textId="326ECC35" w:rsidR="008D0914" w:rsidRPr="008D0914" w:rsidRDefault="008D0914" w:rsidP="000A2D0F">
      <w:pPr>
        <w:pStyle w:val="ListParagraph"/>
        <w:numPr>
          <w:ilvl w:val="1"/>
          <w:numId w:val="4"/>
        </w:numPr>
        <w:spacing w:after="0"/>
        <w:ind w:left="284" w:hanging="578"/>
        <w:rPr>
          <w:rFonts w:cstheme="minorHAnsi"/>
        </w:rPr>
      </w:pPr>
      <w:r w:rsidRPr="008D0914">
        <w:rPr>
          <w:rFonts w:cstheme="minorHAnsi"/>
        </w:rPr>
        <w:t>Tenders will be evaluated against qua</w:t>
      </w:r>
      <w:r w:rsidR="001774E8">
        <w:rPr>
          <w:rFonts w:cstheme="minorHAnsi"/>
        </w:rPr>
        <w:t>lity (70%) and price (3</w:t>
      </w:r>
      <w:r w:rsidRPr="008D0914">
        <w:rPr>
          <w:rFonts w:cstheme="minorHAnsi"/>
        </w:rPr>
        <w:t xml:space="preserve">0%) criteria to establish the most </w:t>
      </w:r>
      <w:r w:rsidR="00B04EA5">
        <w:rPr>
          <w:rFonts w:cstheme="minorHAnsi"/>
        </w:rPr>
        <w:t xml:space="preserve">economically </w:t>
      </w:r>
      <w:r w:rsidRPr="008D0914">
        <w:rPr>
          <w:rFonts w:cstheme="minorHAnsi"/>
        </w:rPr>
        <w:t xml:space="preserve">advantageous tender. Please </w:t>
      </w:r>
      <w:r w:rsidRPr="000A2D0F">
        <w:rPr>
          <w:rFonts w:cstheme="minorHAnsi"/>
        </w:rPr>
        <w:t xml:space="preserve">refer to </w:t>
      </w:r>
      <w:r w:rsidR="000A2D0F" w:rsidRPr="000A2D0F">
        <w:rPr>
          <w:rFonts w:cstheme="minorHAnsi"/>
        </w:rPr>
        <w:t>Part 5 &amp; 6</w:t>
      </w:r>
      <w:r w:rsidRPr="008D0914">
        <w:rPr>
          <w:rFonts w:cstheme="minorHAnsi"/>
        </w:rPr>
        <w:t xml:space="preserve"> of the ITT document for full details concerning the tender evaluation. </w:t>
      </w:r>
    </w:p>
    <w:p w14:paraId="7EEAD932" w14:textId="77777777" w:rsidR="008D0914" w:rsidRPr="008D0914" w:rsidRDefault="008D0914" w:rsidP="000A2D0F">
      <w:pPr>
        <w:pStyle w:val="Default"/>
        <w:spacing w:line="276" w:lineRule="auto"/>
        <w:ind w:left="284" w:hanging="578"/>
        <w:rPr>
          <w:rFonts w:asciiTheme="minorHAnsi" w:hAnsiTheme="minorHAnsi" w:cstheme="minorHAnsi"/>
          <w:sz w:val="22"/>
          <w:szCs w:val="22"/>
        </w:rPr>
      </w:pPr>
    </w:p>
    <w:p w14:paraId="48C4BC47" w14:textId="1E0F56E4" w:rsidR="006D3FD1" w:rsidRDefault="001774E8" w:rsidP="006D3FD1">
      <w:pPr>
        <w:pStyle w:val="ListParagraph"/>
        <w:numPr>
          <w:ilvl w:val="1"/>
          <w:numId w:val="4"/>
        </w:numPr>
        <w:spacing w:after="0"/>
        <w:ind w:left="284" w:hanging="578"/>
        <w:rPr>
          <w:rFonts w:cstheme="minorHAnsi"/>
        </w:rPr>
      </w:pPr>
      <w:r>
        <w:rPr>
          <w:rFonts w:cstheme="minorHAnsi"/>
        </w:rPr>
        <w:t>Quality is worth 7</w:t>
      </w:r>
      <w:r w:rsidR="008D0914" w:rsidRPr="008D0914">
        <w:rPr>
          <w:rFonts w:cstheme="minorHAnsi"/>
        </w:rPr>
        <w:t xml:space="preserve">0% of the overall evaluation score and will be evaluated through an analysis of the </w:t>
      </w:r>
      <w:r w:rsidR="00784F94">
        <w:rPr>
          <w:rFonts w:cstheme="minorHAnsi"/>
        </w:rPr>
        <w:t>applicants</w:t>
      </w:r>
      <w:r w:rsidR="008D0914" w:rsidRPr="008D0914">
        <w:rPr>
          <w:rFonts w:cstheme="minorHAnsi"/>
        </w:rPr>
        <w:t xml:space="preserve"> responses to the Method S</w:t>
      </w:r>
      <w:r w:rsidR="00784F94">
        <w:rPr>
          <w:rFonts w:cstheme="minorHAnsi"/>
        </w:rPr>
        <w:t>tatements outlined in section 7</w:t>
      </w:r>
      <w:r w:rsidR="008D0914" w:rsidRPr="008D0914">
        <w:rPr>
          <w:rFonts w:cstheme="minorHAnsi"/>
        </w:rPr>
        <w:t xml:space="preserve"> above. Scores will be attributed to these responses by the stakeholder evaluation panel based on the methodology given in the table below. </w:t>
      </w:r>
    </w:p>
    <w:p w14:paraId="406613E8" w14:textId="77777777" w:rsidR="006D3FD1" w:rsidRPr="006D3FD1" w:rsidRDefault="006D3FD1" w:rsidP="006D3FD1">
      <w:pPr>
        <w:spacing w:after="0"/>
        <w:rPr>
          <w:rFonts w:cstheme="minorHAnsi"/>
        </w:rPr>
      </w:pPr>
    </w:p>
    <w:p w14:paraId="2DEF88F5" w14:textId="748220B2" w:rsidR="006D3FD1" w:rsidRPr="0004391C" w:rsidRDefault="006D3FD1" w:rsidP="006D3FD1">
      <w:pPr>
        <w:pStyle w:val="ListParagraph"/>
        <w:numPr>
          <w:ilvl w:val="1"/>
          <w:numId w:val="4"/>
        </w:numPr>
        <w:spacing w:after="0"/>
        <w:ind w:left="284" w:hanging="578"/>
        <w:rPr>
          <w:rFonts w:cstheme="minorHAnsi"/>
        </w:rPr>
      </w:pPr>
      <w:r>
        <w:rPr>
          <w:rFonts w:cstheme="minorHAnsi"/>
        </w:rPr>
        <w:t>Quality will be evaluated using the formula shown below:</w:t>
      </w:r>
    </w:p>
    <w:p w14:paraId="1666BA3B" w14:textId="77777777" w:rsidR="0004391C" w:rsidRDefault="0004391C" w:rsidP="006D3FD1">
      <w:pPr>
        <w:pStyle w:val="ListParagraph"/>
        <w:spacing w:after="0"/>
        <w:ind w:left="284"/>
        <w:rPr>
          <w:rFonts w:cstheme="minorHAnsi"/>
          <w:b/>
        </w:rPr>
      </w:pPr>
    </w:p>
    <w:p w14:paraId="3E77D6BF" w14:textId="0F735388" w:rsidR="006D3FD1" w:rsidRPr="00AF7162" w:rsidRDefault="006D3FD1" w:rsidP="006D3FD1">
      <w:pPr>
        <w:pStyle w:val="ListParagraph"/>
        <w:spacing w:after="0"/>
        <w:ind w:left="284"/>
        <w:rPr>
          <w:rFonts w:cstheme="minorHAnsi"/>
          <w:b/>
        </w:rPr>
      </w:pPr>
      <w:r w:rsidRPr="00AF7162">
        <w:rPr>
          <w:rFonts w:cstheme="minorHAnsi"/>
          <w:b/>
        </w:rPr>
        <w:t>Weighted Tender Quality Score =</w:t>
      </w:r>
    </w:p>
    <w:p w14:paraId="226BDF6F" w14:textId="1476DCEF" w:rsidR="006D3FD1" w:rsidRPr="0004391C" w:rsidRDefault="006D3FD1" w:rsidP="0004391C">
      <w:pPr>
        <w:pStyle w:val="Normalnumbered"/>
        <w:ind w:hanging="508"/>
        <w:rPr>
          <w:rFonts w:asciiTheme="minorHAnsi" w:hAnsiTheme="minorHAnsi" w:cstheme="minorHAnsi"/>
          <w:b/>
        </w:rPr>
      </w:pPr>
      <w:r w:rsidRPr="00AF7162">
        <w:rPr>
          <w:rFonts w:asciiTheme="minorHAnsi" w:hAnsiTheme="minorHAnsi" w:cstheme="minorHAnsi"/>
          <w:b/>
        </w:rPr>
        <w:t>Score Awarded by Evaluation Panel / Max Score Available x Weighted Percentage</w:t>
      </w:r>
    </w:p>
    <w:p w14:paraId="4D47AD1A" w14:textId="77777777" w:rsidR="0004391C" w:rsidRDefault="0004391C" w:rsidP="00EE159A">
      <w:pPr>
        <w:spacing w:after="0"/>
        <w:ind w:firstLine="284"/>
        <w:rPr>
          <w:rFonts w:cstheme="minorHAnsi"/>
          <w:b/>
        </w:rPr>
      </w:pPr>
    </w:p>
    <w:p w14:paraId="3630B266" w14:textId="482865A7" w:rsidR="008E3593" w:rsidRPr="00EE159A" w:rsidRDefault="00EE159A" w:rsidP="00EE159A">
      <w:pPr>
        <w:spacing w:after="0"/>
        <w:ind w:firstLine="284"/>
        <w:rPr>
          <w:rFonts w:cstheme="minorHAnsi"/>
          <w:b/>
        </w:rPr>
      </w:pPr>
      <w:r w:rsidRPr="00EE159A">
        <w:rPr>
          <w:rFonts w:cstheme="minorHAnsi"/>
          <w:b/>
        </w:rPr>
        <w:t>Table 1 – Scoring Method</w:t>
      </w:r>
    </w:p>
    <w:tbl>
      <w:tblPr>
        <w:tblStyle w:val="TableGrid6"/>
        <w:tblW w:w="9072" w:type="dxa"/>
        <w:tblInd w:w="39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134"/>
        <w:gridCol w:w="7938"/>
      </w:tblGrid>
      <w:tr w:rsidR="00EE159A" w:rsidRPr="00EE159A" w14:paraId="4F5C47CE" w14:textId="77777777" w:rsidTr="00D51F62">
        <w:trPr>
          <w:trHeight w:val="423"/>
        </w:trPr>
        <w:tc>
          <w:tcPr>
            <w:tcW w:w="1134" w:type="dxa"/>
            <w:shd w:val="clear" w:color="auto" w:fill="244061" w:themeFill="accent1" w:themeFillShade="80"/>
          </w:tcPr>
          <w:p w14:paraId="6A894901" w14:textId="77777777" w:rsidR="00EE159A" w:rsidRPr="00EE159A" w:rsidRDefault="00EE159A" w:rsidP="0004391C">
            <w:pPr>
              <w:spacing w:before="60" w:after="60"/>
              <w:ind w:left="-108" w:right="-97"/>
              <w:jc w:val="center"/>
              <w:textAlignment w:val="center"/>
              <w:rPr>
                <w:rFonts w:cstheme="minorHAnsi"/>
                <w:b/>
                <w:bCs/>
                <w:iCs/>
                <w:szCs w:val="24"/>
                <w:lang w:eastAsia="en-GB"/>
              </w:rPr>
            </w:pPr>
            <w:r w:rsidRPr="00EE159A">
              <w:rPr>
                <w:rFonts w:cstheme="minorHAnsi"/>
                <w:b/>
                <w:bCs/>
                <w:iCs/>
                <w:szCs w:val="24"/>
                <w:lang w:eastAsia="en-GB"/>
              </w:rPr>
              <w:t>Score</w:t>
            </w:r>
          </w:p>
        </w:tc>
        <w:tc>
          <w:tcPr>
            <w:tcW w:w="7938" w:type="dxa"/>
            <w:shd w:val="clear" w:color="auto" w:fill="244061" w:themeFill="accent1" w:themeFillShade="80"/>
          </w:tcPr>
          <w:p w14:paraId="57400DBF" w14:textId="23CFF5FB" w:rsidR="00EE159A" w:rsidRPr="00EE159A" w:rsidRDefault="00EE159A" w:rsidP="0004391C">
            <w:pPr>
              <w:spacing w:before="60" w:after="60"/>
              <w:ind w:right="402"/>
              <w:jc w:val="both"/>
              <w:textAlignment w:val="center"/>
              <w:rPr>
                <w:rFonts w:cstheme="minorHAnsi"/>
                <w:b/>
                <w:bCs/>
                <w:iCs/>
                <w:szCs w:val="24"/>
                <w:lang w:eastAsia="en-GB"/>
              </w:rPr>
            </w:pPr>
            <w:r w:rsidRPr="00EE159A">
              <w:rPr>
                <w:rFonts w:cstheme="minorHAnsi"/>
                <w:b/>
                <w:bCs/>
                <w:iCs/>
                <w:szCs w:val="24"/>
                <w:lang w:eastAsia="en-GB"/>
              </w:rPr>
              <w:t>Criteria</w:t>
            </w:r>
          </w:p>
        </w:tc>
      </w:tr>
      <w:tr w:rsidR="00EE159A" w:rsidRPr="00EE159A" w14:paraId="3DDFC121" w14:textId="77777777" w:rsidTr="00D51F62">
        <w:trPr>
          <w:trHeight w:val="830"/>
        </w:trPr>
        <w:tc>
          <w:tcPr>
            <w:tcW w:w="1134" w:type="dxa"/>
            <w:vAlign w:val="center"/>
          </w:tcPr>
          <w:p w14:paraId="223B8780" w14:textId="77777777" w:rsidR="00EE159A" w:rsidRPr="00EE159A" w:rsidRDefault="00EE159A" w:rsidP="0004391C">
            <w:pPr>
              <w:spacing w:before="60" w:after="60"/>
              <w:ind w:left="-108" w:right="-64"/>
              <w:jc w:val="center"/>
              <w:textAlignment w:val="center"/>
              <w:rPr>
                <w:rFonts w:cstheme="minorHAnsi"/>
                <w:b/>
                <w:bCs/>
                <w:iCs/>
                <w:szCs w:val="24"/>
                <w:lang w:eastAsia="en-GB"/>
              </w:rPr>
            </w:pPr>
            <w:r w:rsidRPr="00EE159A">
              <w:rPr>
                <w:rFonts w:cstheme="minorHAnsi"/>
                <w:b/>
                <w:bCs/>
                <w:iCs/>
                <w:szCs w:val="24"/>
                <w:lang w:eastAsia="en-GB"/>
              </w:rPr>
              <w:t>4</w:t>
            </w:r>
          </w:p>
        </w:tc>
        <w:tc>
          <w:tcPr>
            <w:tcW w:w="7938" w:type="dxa"/>
            <w:vAlign w:val="center"/>
          </w:tcPr>
          <w:p w14:paraId="60C9EEEC" w14:textId="7D5AA3F6" w:rsidR="00EE159A" w:rsidRPr="002F7FCC" w:rsidRDefault="00EE159A" w:rsidP="0004391C">
            <w:pPr>
              <w:ind w:right="402"/>
              <w:rPr>
                <w:rFonts w:eastAsia="Calibri" w:cstheme="minorHAnsi"/>
                <w:color w:val="000000"/>
                <w:lang w:eastAsia="zh-CN" w:bidi="hi-IN"/>
              </w:rPr>
            </w:pPr>
            <w:r w:rsidRPr="00EE159A">
              <w:rPr>
                <w:rFonts w:cstheme="minorHAnsi"/>
                <w:b/>
                <w:szCs w:val="24"/>
              </w:rPr>
              <w:t xml:space="preserve">Excellent: </w:t>
            </w:r>
            <w:r w:rsidRPr="00EE159A">
              <w:rPr>
                <w:rFonts w:eastAsia="Calibri" w:cstheme="minorHAnsi"/>
                <w:color w:val="000000"/>
                <w:lang w:eastAsia="zh-CN" w:bidi="hi-IN"/>
              </w:rPr>
              <w:t>Response clearly meets all requirements. Clearly describes the bidder’s capabilities in delivering the requirements in scope; and demonstrates exceptional understanding. All information provided is consistent with all other areas of the tender response.</w:t>
            </w:r>
          </w:p>
        </w:tc>
      </w:tr>
      <w:tr w:rsidR="00EE159A" w:rsidRPr="00EE159A" w14:paraId="1C1D3C65" w14:textId="77777777" w:rsidTr="00D51F62">
        <w:tc>
          <w:tcPr>
            <w:tcW w:w="1134" w:type="dxa"/>
            <w:vAlign w:val="center"/>
          </w:tcPr>
          <w:p w14:paraId="4C00F052" w14:textId="77777777" w:rsidR="00EE159A" w:rsidRPr="00EE159A" w:rsidRDefault="00EE159A" w:rsidP="0004391C">
            <w:pPr>
              <w:spacing w:before="60" w:after="60"/>
              <w:ind w:left="-108" w:right="-64"/>
              <w:jc w:val="center"/>
              <w:textAlignment w:val="center"/>
              <w:rPr>
                <w:rFonts w:cstheme="minorHAnsi"/>
                <w:b/>
                <w:bCs/>
                <w:iCs/>
                <w:szCs w:val="24"/>
                <w:lang w:eastAsia="en-GB"/>
              </w:rPr>
            </w:pPr>
            <w:r w:rsidRPr="00EE159A">
              <w:rPr>
                <w:rFonts w:cstheme="minorHAnsi"/>
                <w:b/>
                <w:bCs/>
                <w:iCs/>
                <w:szCs w:val="24"/>
                <w:lang w:eastAsia="en-GB"/>
              </w:rPr>
              <w:t>3</w:t>
            </w:r>
          </w:p>
        </w:tc>
        <w:tc>
          <w:tcPr>
            <w:tcW w:w="7938" w:type="dxa"/>
            <w:vAlign w:val="center"/>
          </w:tcPr>
          <w:p w14:paraId="5B1051C1" w14:textId="77777777" w:rsidR="00EE159A" w:rsidRPr="00EE159A" w:rsidRDefault="00EE159A" w:rsidP="0004391C">
            <w:pPr>
              <w:spacing w:before="60" w:after="60"/>
              <w:ind w:right="402"/>
              <w:rPr>
                <w:rFonts w:cstheme="minorHAnsi"/>
                <w:bCs/>
                <w:iCs/>
                <w:szCs w:val="24"/>
                <w:lang w:eastAsia="en-GB"/>
              </w:rPr>
            </w:pPr>
            <w:r w:rsidRPr="00EE159A">
              <w:rPr>
                <w:rFonts w:cstheme="minorHAnsi"/>
                <w:b/>
                <w:szCs w:val="24"/>
              </w:rPr>
              <w:t xml:space="preserve">Good: </w:t>
            </w:r>
            <w:r w:rsidRPr="00EE159A">
              <w:rPr>
                <w:rFonts w:eastAsia="Calibri" w:cstheme="minorHAnsi"/>
                <w:color w:val="000000"/>
                <w:lang w:eastAsia="zh-CN" w:bidi="hi-IN"/>
              </w:rPr>
              <w:t>Response clearly meets all requirements satisfactorily. Clearly describes the bidder’s capabilities in delivering the requirements in scope, and demonstrates understanding. All information provided is generally consistent with all other areas of the tender response.</w:t>
            </w:r>
          </w:p>
        </w:tc>
      </w:tr>
      <w:tr w:rsidR="00EE159A" w:rsidRPr="00EE159A" w14:paraId="413953EA" w14:textId="77777777" w:rsidTr="00D51F62">
        <w:tc>
          <w:tcPr>
            <w:tcW w:w="1134" w:type="dxa"/>
            <w:vAlign w:val="center"/>
          </w:tcPr>
          <w:p w14:paraId="28A2BC05" w14:textId="77777777" w:rsidR="00EE159A" w:rsidRPr="00EE159A" w:rsidRDefault="00EE159A" w:rsidP="0004391C">
            <w:pPr>
              <w:spacing w:before="60" w:after="60"/>
              <w:ind w:left="-108" w:right="-64"/>
              <w:jc w:val="center"/>
              <w:textAlignment w:val="center"/>
              <w:rPr>
                <w:rFonts w:cstheme="minorHAnsi"/>
                <w:b/>
                <w:bCs/>
                <w:iCs/>
                <w:szCs w:val="24"/>
                <w:lang w:eastAsia="en-GB"/>
              </w:rPr>
            </w:pPr>
            <w:r w:rsidRPr="00EE159A">
              <w:rPr>
                <w:rFonts w:cstheme="minorHAnsi"/>
                <w:b/>
                <w:bCs/>
                <w:iCs/>
                <w:szCs w:val="24"/>
                <w:lang w:eastAsia="en-GB"/>
              </w:rPr>
              <w:t>2</w:t>
            </w:r>
          </w:p>
        </w:tc>
        <w:tc>
          <w:tcPr>
            <w:tcW w:w="7938" w:type="dxa"/>
            <w:vAlign w:val="center"/>
          </w:tcPr>
          <w:p w14:paraId="0613D0AE" w14:textId="77777777" w:rsidR="00EE159A" w:rsidRPr="00EE159A" w:rsidRDefault="00EE159A" w:rsidP="0004391C">
            <w:pPr>
              <w:spacing w:before="60" w:after="60"/>
              <w:ind w:right="402"/>
              <w:rPr>
                <w:rFonts w:cstheme="minorHAnsi"/>
                <w:bCs/>
                <w:iCs/>
                <w:szCs w:val="24"/>
                <w:lang w:eastAsia="en-GB"/>
              </w:rPr>
            </w:pPr>
            <w:r w:rsidRPr="00EE159A">
              <w:rPr>
                <w:rFonts w:cstheme="minorHAnsi"/>
                <w:b/>
                <w:szCs w:val="24"/>
              </w:rPr>
              <w:t xml:space="preserve">Satisfactory: </w:t>
            </w:r>
            <w:r w:rsidRPr="00EE159A">
              <w:rPr>
                <w:rFonts w:eastAsia="Calibri" w:cstheme="minorHAnsi"/>
                <w:color w:val="000000"/>
                <w:lang w:eastAsia="zh-CN" w:bidi="hi-IN"/>
              </w:rPr>
              <w:t>Response meets most requirements but is lacking or inconsistent in a few identifiable areas, leading to minor reservations. Describes the bidder’s capability in relation to the requirements, and demonstrates some understanding. Information provided is generally consistent with all other areas of the tender response.</w:t>
            </w:r>
          </w:p>
        </w:tc>
      </w:tr>
      <w:tr w:rsidR="00EE159A" w:rsidRPr="00EE159A" w14:paraId="210DD58A" w14:textId="77777777" w:rsidTr="00D51F62">
        <w:tc>
          <w:tcPr>
            <w:tcW w:w="1134" w:type="dxa"/>
            <w:vAlign w:val="center"/>
          </w:tcPr>
          <w:p w14:paraId="4F551465" w14:textId="77777777" w:rsidR="00EE159A" w:rsidRPr="00EE159A" w:rsidRDefault="00EE159A" w:rsidP="0004391C">
            <w:pPr>
              <w:spacing w:before="60" w:after="60"/>
              <w:ind w:left="-108" w:right="-64"/>
              <w:jc w:val="center"/>
              <w:textAlignment w:val="center"/>
              <w:rPr>
                <w:rFonts w:cstheme="minorHAnsi"/>
                <w:b/>
                <w:bCs/>
                <w:iCs/>
                <w:szCs w:val="24"/>
                <w:lang w:eastAsia="en-GB"/>
              </w:rPr>
            </w:pPr>
            <w:r w:rsidRPr="00EE159A">
              <w:rPr>
                <w:rFonts w:cstheme="minorHAnsi"/>
                <w:b/>
                <w:bCs/>
                <w:iCs/>
                <w:szCs w:val="24"/>
                <w:lang w:eastAsia="en-GB"/>
              </w:rPr>
              <w:t>1</w:t>
            </w:r>
          </w:p>
        </w:tc>
        <w:tc>
          <w:tcPr>
            <w:tcW w:w="7938" w:type="dxa"/>
            <w:vAlign w:val="center"/>
          </w:tcPr>
          <w:p w14:paraId="0DFC3F1C" w14:textId="77777777" w:rsidR="00EE159A" w:rsidRPr="00EE159A" w:rsidRDefault="00EE159A" w:rsidP="0004391C">
            <w:pPr>
              <w:spacing w:before="60" w:after="60"/>
              <w:ind w:right="402"/>
              <w:rPr>
                <w:rFonts w:cstheme="minorHAnsi"/>
                <w:bCs/>
                <w:iCs/>
                <w:szCs w:val="24"/>
                <w:lang w:eastAsia="en-GB"/>
              </w:rPr>
            </w:pPr>
            <w:r w:rsidRPr="00EE159A">
              <w:rPr>
                <w:rFonts w:eastAsia="Calibri" w:cstheme="minorHAnsi"/>
                <w:b/>
                <w:color w:val="000000"/>
                <w:lang w:eastAsia="zh-CN" w:bidi="hi-IN"/>
              </w:rPr>
              <w:t>Weak:</w:t>
            </w:r>
            <w:r w:rsidRPr="00EE159A">
              <w:rPr>
                <w:rFonts w:eastAsia="Calibri" w:cstheme="minorHAnsi"/>
                <w:color w:val="000000"/>
                <w:lang w:eastAsia="zh-CN" w:bidi="hi-IN"/>
              </w:rPr>
              <w:t xml:space="preserve"> Response meets some requirements but is lacking in several identifiable areas, leading to serious reservations. Provides little indication of the bidder’s capability of delivering the requirements; or only partially meets the requirements; and / or demonstrates partial understanding. Some information provided is inconsistent with other areas of the tender response.</w:t>
            </w:r>
          </w:p>
        </w:tc>
      </w:tr>
      <w:tr w:rsidR="00EE159A" w:rsidRPr="00EE159A" w14:paraId="204BB9B8" w14:textId="77777777" w:rsidTr="00D51F62">
        <w:tc>
          <w:tcPr>
            <w:tcW w:w="1134" w:type="dxa"/>
            <w:vAlign w:val="center"/>
          </w:tcPr>
          <w:p w14:paraId="2AC5C3BC" w14:textId="77777777" w:rsidR="00EE159A" w:rsidRPr="00EE159A" w:rsidRDefault="00EE159A" w:rsidP="0004391C">
            <w:pPr>
              <w:spacing w:before="60" w:after="60"/>
              <w:ind w:left="-108" w:right="-64"/>
              <w:jc w:val="center"/>
              <w:textAlignment w:val="center"/>
              <w:rPr>
                <w:rFonts w:cstheme="minorHAnsi"/>
                <w:b/>
                <w:bCs/>
                <w:iCs/>
                <w:szCs w:val="24"/>
                <w:lang w:eastAsia="en-GB"/>
              </w:rPr>
            </w:pPr>
            <w:r w:rsidRPr="00EE159A">
              <w:rPr>
                <w:rFonts w:cstheme="minorHAnsi"/>
                <w:b/>
                <w:bCs/>
                <w:iCs/>
                <w:szCs w:val="24"/>
                <w:lang w:eastAsia="en-GB"/>
              </w:rPr>
              <w:lastRenderedPageBreak/>
              <w:t>0</w:t>
            </w:r>
          </w:p>
        </w:tc>
        <w:tc>
          <w:tcPr>
            <w:tcW w:w="7938" w:type="dxa"/>
            <w:vAlign w:val="center"/>
          </w:tcPr>
          <w:p w14:paraId="7FF2CA66" w14:textId="77777777" w:rsidR="00EE159A" w:rsidRPr="00EE159A" w:rsidRDefault="00EE159A" w:rsidP="0004391C">
            <w:pPr>
              <w:spacing w:before="60" w:after="60"/>
              <w:ind w:right="402"/>
              <w:rPr>
                <w:rFonts w:cstheme="minorHAnsi"/>
                <w:bCs/>
                <w:iCs/>
                <w:szCs w:val="24"/>
                <w:lang w:eastAsia="en-GB"/>
              </w:rPr>
            </w:pPr>
            <w:r w:rsidRPr="00EE159A">
              <w:rPr>
                <w:rFonts w:eastAsia="Calibri" w:cstheme="minorHAnsi"/>
                <w:b/>
                <w:color w:val="000000"/>
                <w:lang w:eastAsia="zh-CN" w:bidi="hi-IN"/>
              </w:rPr>
              <w:t>Poor/ Non-Compliant.</w:t>
            </w:r>
            <w:r w:rsidRPr="00EE159A">
              <w:rPr>
                <w:rFonts w:eastAsia="Calibri" w:cstheme="minorHAnsi"/>
                <w:color w:val="000000"/>
                <w:lang w:eastAsia="zh-CN" w:bidi="hi-IN"/>
              </w:rPr>
              <w:t xml:space="preserve"> Has a number of deficiencies or concerns in certain areas where the lack of detail requires the evaluator to make assumptions, or no information is provided. Little or no description of the potential bidder’s capability of delivering the requirements is provided, leading to major reservations; or does not meet the requirement; and / or demonstrates no understanding. Information provided is inconsistent with other areas of the tender response.</w:t>
            </w:r>
          </w:p>
        </w:tc>
      </w:tr>
    </w:tbl>
    <w:p w14:paraId="76D33A4C" w14:textId="3D01A28A" w:rsidR="00EE159A" w:rsidRPr="006D3FD1" w:rsidRDefault="00EE159A" w:rsidP="0004391C">
      <w:pPr>
        <w:spacing w:after="0"/>
        <w:rPr>
          <w:rFonts w:cstheme="minorHAnsi"/>
          <w:b/>
          <w:color w:val="000000"/>
        </w:rPr>
      </w:pPr>
    </w:p>
    <w:p w14:paraId="0648FD76" w14:textId="33E37D54" w:rsidR="000A2D0F" w:rsidRPr="006D3FD1" w:rsidRDefault="000A2D0F" w:rsidP="006D3FD1">
      <w:pPr>
        <w:pStyle w:val="ListParagraph"/>
        <w:numPr>
          <w:ilvl w:val="1"/>
          <w:numId w:val="4"/>
        </w:numPr>
        <w:spacing w:after="0"/>
        <w:ind w:left="284" w:hanging="578"/>
        <w:rPr>
          <w:rFonts w:eastAsia="Calibri" w:cstheme="minorHAnsi"/>
          <w:bCs/>
          <w:noProof/>
          <w:spacing w:val="-3"/>
          <w:kern w:val="32"/>
          <w:lang w:val="en-GB"/>
        </w:rPr>
      </w:pPr>
      <w:r w:rsidRPr="000A2D0F">
        <w:rPr>
          <w:rFonts w:eastAsia="Calibri" w:cstheme="minorHAnsi"/>
          <w:bCs/>
          <w:noProof/>
          <w:spacing w:val="-3"/>
          <w:kern w:val="32"/>
          <w:lang w:val="en-GB"/>
        </w:rPr>
        <w:t xml:space="preserve">Price will be </w:t>
      </w:r>
      <w:r w:rsidRPr="000A2D0F">
        <w:rPr>
          <w:rFonts w:cstheme="minorHAnsi"/>
        </w:rPr>
        <w:t>evaluated</w:t>
      </w:r>
      <w:r w:rsidRPr="000A2D0F">
        <w:rPr>
          <w:rFonts w:eastAsia="Calibri" w:cstheme="minorHAnsi"/>
          <w:bCs/>
          <w:noProof/>
          <w:spacing w:val="-3"/>
          <w:kern w:val="32"/>
          <w:lang w:val="en-GB"/>
        </w:rPr>
        <w:t xml:space="preserve"> using</w:t>
      </w:r>
      <w:r w:rsidR="006D3FD1">
        <w:rPr>
          <w:rFonts w:eastAsia="Calibri" w:cstheme="minorHAnsi"/>
          <w:bCs/>
          <w:noProof/>
          <w:spacing w:val="-3"/>
          <w:kern w:val="32"/>
          <w:lang w:val="en-GB"/>
        </w:rPr>
        <w:t xml:space="preserve"> the</w:t>
      </w:r>
      <w:r>
        <w:rPr>
          <w:rFonts w:eastAsia="Calibri" w:cstheme="minorHAnsi"/>
          <w:bCs/>
          <w:noProof/>
          <w:spacing w:val="-3"/>
          <w:kern w:val="32"/>
          <w:lang w:val="en-GB"/>
        </w:rPr>
        <w:t xml:space="preserve"> formula shown below:</w:t>
      </w:r>
    </w:p>
    <w:p w14:paraId="4187BD9B" w14:textId="77777777" w:rsidR="000A2D0F" w:rsidRPr="000A2D0F" w:rsidRDefault="000A2D0F" w:rsidP="00B62A29">
      <w:pPr>
        <w:spacing w:before="120" w:after="120" w:line="312" w:lineRule="auto"/>
        <w:ind w:left="284"/>
        <w:outlineLvl w:val="0"/>
        <w:rPr>
          <w:rFonts w:eastAsia="Calibri" w:cstheme="minorHAnsi"/>
          <w:b/>
          <w:bCs/>
          <w:noProof/>
          <w:spacing w:val="-3"/>
          <w:kern w:val="32"/>
          <w:lang w:val="en-GB"/>
        </w:rPr>
      </w:pPr>
      <w:r w:rsidRPr="000A2D0F">
        <w:rPr>
          <w:rFonts w:eastAsia="Calibri" w:cstheme="minorHAnsi"/>
          <w:b/>
          <w:bCs/>
          <w:noProof/>
          <w:spacing w:val="-3"/>
          <w:kern w:val="32"/>
          <w:lang w:val="en-GB"/>
        </w:rPr>
        <w:t>Weighted Tender Price Score =</w:t>
      </w:r>
    </w:p>
    <w:p w14:paraId="650DD217" w14:textId="3004DAF6" w:rsidR="000A2D0F" w:rsidRPr="00EE159A" w:rsidRDefault="000A2D0F" w:rsidP="00B62A29">
      <w:pPr>
        <w:spacing w:before="120" w:after="120" w:line="312" w:lineRule="auto"/>
        <w:ind w:left="284"/>
        <w:outlineLvl w:val="0"/>
        <w:rPr>
          <w:rFonts w:eastAsia="Calibri" w:cstheme="minorHAnsi"/>
          <w:b/>
          <w:bCs/>
          <w:noProof/>
          <w:spacing w:val="-3"/>
          <w:kern w:val="32"/>
          <w:lang w:val="en-GB"/>
        </w:rPr>
      </w:pPr>
      <w:r w:rsidRPr="000A2D0F">
        <w:rPr>
          <w:rFonts w:eastAsia="Calibri" w:cstheme="minorHAnsi"/>
          <w:b/>
          <w:bCs/>
          <w:noProof/>
          <w:spacing w:val="-3"/>
          <w:kern w:val="32"/>
          <w:lang w:val="en-GB"/>
        </w:rPr>
        <w:t>(Lowest Tendered Price / Your Tender Price) x Weighted Percentage</w:t>
      </w:r>
    </w:p>
    <w:p w14:paraId="611AC9CD" w14:textId="77777777" w:rsidR="00A2405E" w:rsidRDefault="00A2405E" w:rsidP="006D3FD1">
      <w:pPr>
        <w:spacing w:after="0"/>
      </w:pPr>
    </w:p>
    <w:p w14:paraId="2ADEC434" w14:textId="37BE1DF1" w:rsidR="00A42E77" w:rsidRDefault="008E3593" w:rsidP="000A2D0F">
      <w:pPr>
        <w:pStyle w:val="ListParagraph"/>
        <w:numPr>
          <w:ilvl w:val="1"/>
          <w:numId w:val="4"/>
        </w:numPr>
        <w:spacing w:after="0"/>
        <w:ind w:left="284" w:hanging="578"/>
        <w:rPr>
          <w:rFonts w:cstheme="minorHAnsi"/>
          <w:color w:val="000000"/>
        </w:rPr>
      </w:pPr>
      <w:r w:rsidRPr="00C4768A">
        <w:rPr>
          <w:rFonts w:cstheme="minorHAnsi"/>
          <w:color w:val="000000"/>
        </w:rPr>
        <w:t>The tender with the highest overall score will be determined as the most economically advantageous tender. Th</w:t>
      </w:r>
      <w:r w:rsidR="009D4A57">
        <w:rPr>
          <w:rFonts w:cstheme="minorHAnsi"/>
          <w:color w:val="000000"/>
        </w:rPr>
        <w:t xml:space="preserve">e following </w:t>
      </w:r>
      <w:r w:rsidRPr="00C4768A">
        <w:rPr>
          <w:rFonts w:cstheme="minorHAnsi"/>
          <w:color w:val="000000"/>
        </w:rPr>
        <w:t xml:space="preserve">evaluation approach will be applied to the tender </w:t>
      </w:r>
      <w:r w:rsidR="009D4A57">
        <w:rPr>
          <w:rFonts w:cstheme="minorHAnsi"/>
          <w:color w:val="000000"/>
        </w:rPr>
        <w:t xml:space="preserve">submission: </w:t>
      </w:r>
    </w:p>
    <w:p w14:paraId="4357576D" w14:textId="33B924CD" w:rsidR="008E3593" w:rsidRDefault="008E3593" w:rsidP="00EE159A">
      <w:pPr>
        <w:spacing w:after="0"/>
        <w:rPr>
          <w:rFonts w:cstheme="minorHAnsi"/>
          <w:color w:val="000000"/>
        </w:rPr>
      </w:pPr>
    </w:p>
    <w:p w14:paraId="6371D135" w14:textId="467BADCA" w:rsidR="006D3FD1" w:rsidRDefault="006D3FD1" w:rsidP="006D3FD1">
      <w:pPr>
        <w:spacing w:after="0"/>
        <w:ind w:firstLine="284"/>
        <w:rPr>
          <w:rFonts w:cstheme="minorHAnsi"/>
          <w:color w:val="000000"/>
        </w:rPr>
      </w:pPr>
      <w:r w:rsidRPr="00EE159A">
        <w:rPr>
          <w:rFonts w:cstheme="minorHAnsi"/>
          <w:b/>
          <w:color w:val="000000"/>
        </w:rPr>
        <w:t>Table 2 – Weighting Criteria</w:t>
      </w:r>
    </w:p>
    <w:tbl>
      <w:tblPr>
        <w:tblStyle w:val="TableGrid9"/>
        <w:tblW w:w="0" w:type="auto"/>
        <w:tblInd w:w="392"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992"/>
        <w:gridCol w:w="425"/>
        <w:gridCol w:w="1701"/>
        <w:gridCol w:w="4678"/>
        <w:gridCol w:w="1276"/>
      </w:tblGrid>
      <w:tr w:rsidR="006D3FD1" w:rsidRPr="00EE159A" w14:paraId="62424E90" w14:textId="77777777" w:rsidTr="003844EE">
        <w:trPr>
          <w:trHeight w:val="250"/>
        </w:trPr>
        <w:tc>
          <w:tcPr>
            <w:tcW w:w="1417" w:type="dxa"/>
            <w:gridSpan w:val="2"/>
            <w:shd w:val="clear" w:color="auto" w:fill="244061" w:themeFill="accent1" w:themeFillShade="80"/>
            <w:vAlign w:val="center"/>
          </w:tcPr>
          <w:p w14:paraId="1EC63DD7" w14:textId="77777777" w:rsidR="006D3FD1" w:rsidRPr="00EE159A" w:rsidRDefault="006D3FD1" w:rsidP="00484BFD">
            <w:pPr>
              <w:rPr>
                <w:rFonts w:cstheme="minorHAnsi"/>
                <w:b/>
              </w:rPr>
            </w:pPr>
            <w:r w:rsidRPr="00EE159A">
              <w:rPr>
                <w:rFonts w:cstheme="minorHAnsi"/>
                <w:b/>
              </w:rPr>
              <w:t>Criteria</w:t>
            </w:r>
          </w:p>
        </w:tc>
        <w:tc>
          <w:tcPr>
            <w:tcW w:w="1701" w:type="dxa"/>
            <w:shd w:val="clear" w:color="auto" w:fill="244061" w:themeFill="accent1" w:themeFillShade="80"/>
            <w:vAlign w:val="center"/>
          </w:tcPr>
          <w:p w14:paraId="363F1615" w14:textId="77777777" w:rsidR="006D3FD1" w:rsidRPr="00EE159A" w:rsidRDefault="006D3FD1" w:rsidP="00484BFD">
            <w:pPr>
              <w:rPr>
                <w:rFonts w:cstheme="minorHAnsi"/>
                <w:b/>
              </w:rPr>
            </w:pPr>
            <w:r w:rsidRPr="00EE159A">
              <w:rPr>
                <w:rFonts w:cstheme="minorHAnsi"/>
                <w:b/>
              </w:rPr>
              <w:t>Sub-Criteria</w:t>
            </w:r>
          </w:p>
        </w:tc>
        <w:tc>
          <w:tcPr>
            <w:tcW w:w="4678" w:type="dxa"/>
            <w:shd w:val="clear" w:color="auto" w:fill="244061" w:themeFill="accent1" w:themeFillShade="80"/>
            <w:vAlign w:val="center"/>
          </w:tcPr>
          <w:p w14:paraId="2D3EE737" w14:textId="77777777" w:rsidR="006D3FD1" w:rsidRPr="00EE159A" w:rsidRDefault="006D3FD1" w:rsidP="00484BFD">
            <w:pPr>
              <w:rPr>
                <w:rFonts w:cstheme="minorHAnsi"/>
                <w:b/>
              </w:rPr>
            </w:pPr>
            <w:r w:rsidRPr="00EE159A">
              <w:rPr>
                <w:rFonts w:cstheme="minorHAnsi"/>
                <w:b/>
              </w:rPr>
              <w:t>Demonstrated by</w:t>
            </w:r>
          </w:p>
        </w:tc>
        <w:tc>
          <w:tcPr>
            <w:tcW w:w="1276" w:type="dxa"/>
            <w:shd w:val="clear" w:color="auto" w:fill="244061" w:themeFill="accent1" w:themeFillShade="80"/>
            <w:vAlign w:val="center"/>
          </w:tcPr>
          <w:p w14:paraId="6138FCAC" w14:textId="77777777" w:rsidR="006D3FD1" w:rsidRPr="00EE159A" w:rsidRDefault="006D3FD1" w:rsidP="00484BFD">
            <w:pPr>
              <w:jc w:val="center"/>
              <w:rPr>
                <w:rFonts w:cstheme="minorHAnsi"/>
                <w:b/>
              </w:rPr>
            </w:pPr>
            <w:r w:rsidRPr="00EE159A">
              <w:rPr>
                <w:rFonts w:cstheme="minorHAnsi"/>
                <w:b/>
              </w:rPr>
              <w:t>Weighting</w:t>
            </w:r>
          </w:p>
        </w:tc>
      </w:tr>
      <w:tr w:rsidR="006D3FD1" w:rsidRPr="00EE159A" w14:paraId="49305B17" w14:textId="77777777" w:rsidTr="003844EE">
        <w:trPr>
          <w:trHeight w:val="875"/>
        </w:trPr>
        <w:tc>
          <w:tcPr>
            <w:tcW w:w="3118" w:type="dxa"/>
            <w:gridSpan w:val="3"/>
            <w:vAlign w:val="center"/>
          </w:tcPr>
          <w:p w14:paraId="24CCE2B9" w14:textId="77777777" w:rsidR="006D3FD1" w:rsidRPr="00EE159A" w:rsidRDefault="006D3FD1" w:rsidP="00484BFD">
            <w:pPr>
              <w:rPr>
                <w:rFonts w:cstheme="minorHAnsi"/>
                <w:b/>
              </w:rPr>
            </w:pPr>
            <w:r w:rsidRPr="00EE159A">
              <w:rPr>
                <w:rFonts w:cstheme="minorHAnsi"/>
                <w:b/>
              </w:rPr>
              <w:t>Adequate Insurance Cover</w:t>
            </w:r>
          </w:p>
        </w:tc>
        <w:tc>
          <w:tcPr>
            <w:tcW w:w="4678" w:type="dxa"/>
            <w:vAlign w:val="center"/>
          </w:tcPr>
          <w:p w14:paraId="6322A913" w14:textId="77777777" w:rsidR="006D3FD1" w:rsidRPr="00EE159A" w:rsidRDefault="006D3FD1" w:rsidP="00484BFD">
            <w:pPr>
              <w:rPr>
                <w:rFonts w:cstheme="minorHAnsi"/>
              </w:rPr>
            </w:pPr>
            <w:r w:rsidRPr="00EE159A">
              <w:rPr>
                <w:rFonts w:cstheme="minorHAnsi"/>
              </w:rPr>
              <w:t>Self-certification as to whether you already have or can commit to obtain the required insurance.</w:t>
            </w:r>
          </w:p>
        </w:tc>
        <w:tc>
          <w:tcPr>
            <w:tcW w:w="1276" w:type="dxa"/>
            <w:vAlign w:val="center"/>
          </w:tcPr>
          <w:p w14:paraId="43BD1DE3"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02BFE64F" w14:textId="77777777" w:rsidTr="003844EE">
        <w:trPr>
          <w:trHeight w:val="707"/>
        </w:trPr>
        <w:tc>
          <w:tcPr>
            <w:tcW w:w="3118" w:type="dxa"/>
            <w:gridSpan w:val="3"/>
            <w:vAlign w:val="center"/>
          </w:tcPr>
          <w:p w14:paraId="5F236216" w14:textId="77777777" w:rsidR="006D3FD1" w:rsidRPr="00EE159A" w:rsidRDefault="006D3FD1" w:rsidP="00484BFD">
            <w:pPr>
              <w:rPr>
                <w:rFonts w:cstheme="minorHAnsi"/>
                <w:b/>
              </w:rPr>
            </w:pPr>
            <w:r w:rsidRPr="00EE159A">
              <w:rPr>
                <w:rFonts w:cstheme="minorHAnsi"/>
                <w:b/>
              </w:rPr>
              <w:t>No conflict of interest declared</w:t>
            </w:r>
          </w:p>
        </w:tc>
        <w:tc>
          <w:tcPr>
            <w:tcW w:w="4678" w:type="dxa"/>
            <w:vAlign w:val="center"/>
          </w:tcPr>
          <w:p w14:paraId="6B76D2F0" w14:textId="77777777" w:rsidR="006D3FD1" w:rsidRPr="00EE159A" w:rsidRDefault="006D3FD1" w:rsidP="00484BFD">
            <w:pPr>
              <w:rPr>
                <w:rFonts w:cstheme="minorHAnsi"/>
              </w:rPr>
            </w:pPr>
            <w:r w:rsidRPr="00EE159A">
              <w:rPr>
                <w:rFonts w:cstheme="minorHAnsi"/>
              </w:rPr>
              <w:t>Self-certification as to whether your practice has any conflicts of interest.</w:t>
            </w:r>
          </w:p>
        </w:tc>
        <w:tc>
          <w:tcPr>
            <w:tcW w:w="1276" w:type="dxa"/>
            <w:vAlign w:val="center"/>
          </w:tcPr>
          <w:p w14:paraId="48871F13"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2FB08B1A" w14:textId="77777777" w:rsidTr="003844EE">
        <w:trPr>
          <w:trHeight w:val="702"/>
        </w:trPr>
        <w:tc>
          <w:tcPr>
            <w:tcW w:w="3118" w:type="dxa"/>
            <w:gridSpan w:val="3"/>
            <w:vAlign w:val="center"/>
          </w:tcPr>
          <w:p w14:paraId="16F32657" w14:textId="4C93FF60" w:rsidR="006D3FD1" w:rsidRPr="00EE159A" w:rsidRDefault="003412A2" w:rsidP="008325CC">
            <w:pPr>
              <w:rPr>
                <w:rFonts w:cstheme="minorHAnsi"/>
                <w:b/>
              </w:rPr>
            </w:pPr>
            <w:r>
              <w:rPr>
                <w:rFonts w:cstheme="minorHAnsi"/>
                <w:b/>
              </w:rPr>
              <w:t>Appropriate</w:t>
            </w:r>
            <w:r w:rsidR="006D3FD1" w:rsidRPr="00EE159A">
              <w:rPr>
                <w:rFonts w:cstheme="minorHAnsi"/>
                <w:b/>
              </w:rPr>
              <w:t xml:space="preserve"> accreditation</w:t>
            </w:r>
          </w:p>
        </w:tc>
        <w:tc>
          <w:tcPr>
            <w:tcW w:w="4678" w:type="dxa"/>
            <w:vAlign w:val="center"/>
          </w:tcPr>
          <w:p w14:paraId="09128F95" w14:textId="77777777" w:rsidR="006D3FD1" w:rsidRPr="00EE159A" w:rsidRDefault="006D3FD1" w:rsidP="00484BFD">
            <w:pPr>
              <w:rPr>
                <w:rFonts w:cstheme="minorHAnsi"/>
              </w:rPr>
            </w:pPr>
            <w:r w:rsidRPr="00EE159A">
              <w:rPr>
                <w:rFonts w:cstheme="minorHAnsi"/>
              </w:rPr>
              <w:t>Self-certification as to whether your practice has appropriate accreditation.</w:t>
            </w:r>
          </w:p>
        </w:tc>
        <w:tc>
          <w:tcPr>
            <w:tcW w:w="1276" w:type="dxa"/>
            <w:vAlign w:val="center"/>
          </w:tcPr>
          <w:p w14:paraId="281B058C"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5FE5F84E" w14:textId="77777777" w:rsidTr="003844EE">
        <w:trPr>
          <w:trHeight w:val="938"/>
        </w:trPr>
        <w:tc>
          <w:tcPr>
            <w:tcW w:w="992" w:type="dxa"/>
            <w:vMerge w:val="restart"/>
            <w:vAlign w:val="center"/>
          </w:tcPr>
          <w:p w14:paraId="22D5239D" w14:textId="77777777" w:rsidR="006D3FD1" w:rsidRPr="00EE159A" w:rsidRDefault="006D3FD1" w:rsidP="00484BFD">
            <w:pPr>
              <w:rPr>
                <w:rFonts w:cstheme="minorHAnsi"/>
                <w:b/>
              </w:rPr>
            </w:pPr>
            <w:r w:rsidRPr="00EE159A">
              <w:rPr>
                <w:rFonts w:cstheme="minorHAnsi"/>
                <w:b/>
              </w:rPr>
              <w:t>Quality</w:t>
            </w:r>
          </w:p>
          <w:p w14:paraId="65C3F63B" w14:textId="77777777" w:rsidR="006D3FD1" w:rsidRPr="00EE159A" w:rsidRDefault="006D3FD1" w:rsidP="00484BFD">
            <w:pPr>
              <w:rPr>
                <w:rFonts w:cstheme="minorHAnsi"/>
                <w:b/>
              </w:rPr>
            </w:pPr>
          </w:p>
          <w:p w14:paraId="29CA181E" w14:textId="77777777" w:rsidR="006D3FD1" w:rsidRPr="00EE159A" w:rsidRDefault="006D3FD1" w:rsidP="00484BFD">
            <w:pPr>
              <w:rPr>
                <w:rFonts w:cstheme="minorHAnsi"/>
                <w:b/>
              </w:rPr>
            </w:pPr>
          </w:p>
          <w:p w14:paraId="490BF2D7" w14:textId="77777777" w:rsidR="006D3FD1" w:rsidRPr="00EE159A" w:rsidRDefault="006D3FD1" w:rsidP="00484BFD">
            <w:pPr>
              <w:rPr>
                <w:rFonts w:cstheme="minorHAnsi"/>
                <w:b/>
              </w:rPr>
            </w:pPr>
          </w:p>
          <w:p w14:paraId="6A7007EE" w14:textId="77777777" w:rsidR="006D3FD1" w:rsidRPr="00EE159A" w:rsidRDefault="006D3FD1" w:rsidP="00484BFD">
            <w:pPr>
              <w:rPr>
                <w:rFonts w:cstheme="minorHAnsi"/>
                <w:b/>
              </w:rPr>
            </w:pPr>
          </w:p>
        </w:tc>
        <w:tc>
          <w:tcPr>
            <w:tcW w:w="2126" w:type="dxa"/>
            <w:gridSpan w:val="2"/>
            <w:vAlign w:val="center"/>
          </w:tcPr>
          <w:p w14:paraId="66ED2FE4" w14:textId="77777777" w:rsidR="006D3FD1" w:rsidRPr="00EE159A" w:rsidRDefault="006D3FD1" w:rsidP="00484BFD">
            <w:pPr>
              <w:rPr>
                <w:rFonts w:cstheme="minorHAnsi"/>
              </w:rPr>
            </w:pPr>
            <w:r w:rsidRPr="00EE159A">
              <w:rPr>
                <w:rFonts w:cstheme="minorHAnsi"/>
              </w:rPr>
              <w:t>Interpretation of the Brief</w:t>
            </w:r>
          </w:p>
        </w:tc>
        <w:tc>
          <w:tcPr>
            <w:tcW w:w="4678" w:type="dxa"/>
            <w:vAlign w:val="center"/>
          </w:tcPr>
          <w:p w14:paraId="34533664" w14:textId="15FAE93D" w:rsidR="006D3FD1" w:rsidRPr="00EE159A" w:rsidRDefault="003412A2" w:rsidP="003412A2">
            <w:pPr>
              <w:rPr>
                <w:rFonts w:cstheme="minorHAnsi"/>
              </w:rPr>
            </w:pPr>
            <w:r>
              <w:rPr>
                <w:rFonts w:cstheme="minorHAnsi"/>
              </w:rPr>
              <w:t>Understanding of the Padiham town centre public realm plans and principles,</w:t>
            </w:r>
            <w:r w:rsidR="006D3FD1" w:rsidRPr="00EE159A">
              <w:rPr>
                <w:rFonts w:cstheme="minorHAnsi"/>
              </w:rPr>
              <w:t xml:space="preserve"> and requirements of the work.</w:t>
            </w:r>
          </w:p>
        </w:tc>
        <w:tc>
          <w:tcPr>
            <w:tcW w:w="1276" w:type="dxa"/>
            <w:vAlign w:val="center"/>
          </w:tcPr>
          <w:p w14:paraId="775A57C4" w14:textId="68766519" w:rsidR="006D3FD1" w:rsidRPr="00EE159A" w:rsidRDefault="003412A2" w:rsidP="00484BFD">
            <w:pPr>
              <w:jc w:val="center"/>
              <w:rPr>
                <w:rFonts w:cstheme="minorHAnsi"/>
                <w:b/>
              </w:rPr>
            </w:pPr>
            <w:r>
              <w:rPr>
                <w:rFonts w:cstheme="minorHAnsi"/>
                <w:b/>
              </w:rPr>
              <w:t>15</w:t>
            </w:r>
          </w:p>
        </w:tc>
      </w:tr>
      <w:tr w:rsidR="006D3FD1" w:rsidRPr="00EE159A" w14:paraId="3F4AAD46" w14:textId="77777777" w:rsidTr="003844EE">
        <w:trPr>
          <w:trHeight w:val="844"/>
        </w:trPr>
        <w:tc>
          <w:tcPr>
            <w:tcW w:w="992" w:type="dxa"/>
            <w:vMerge/>
            <w:vAlign w:val="center"/>
          </w:tcPr>
          <w:p w14:paraId="1473BD27" w14:textId="77777777" w:rsidR="006D3FD1" w:rsidRPr="00EE159A" w:rsidRDefault="006D3FD1" w:rsidP="00484BFD">
            <w:pPr>
              <w:rPr>
                <w:rFonts w:cstheme="minorHAnsi"/>
                <w:b/>
              </w:rPr>
            </w:pPr>
          </w:p>
        </w:tc>
        <w:tc>
          <w:tcPr>
            <w:tcW w:w="2126" w:type="dxa"/>
            <w:gridSpan w:val="2"/>
            <w:vAlign w:val="center"/>
          </w:tcPr>
          <w:p w14:paraId="372C3B77" w14:textId="77777777" w:rsidR="006D3FD1" w:rsidRPr="00EE159A" w:rsidRDefault="006D3FD1" w:rsidP="00484BFD">
            <w:pPr>
              <w:rPr>
                <w:rFonts w:cstheme="minorHAnsi"/>
              </w:rPr>
            </w:pPr>
            <w:r w:rsidRPr="00EE159A">
              <w:rPr>
                <w:rFonts w:cstheme="minorHAnsi"/>
              </w:rPr>
              <w:t>Methodology proposed</w:t>
            </w:r>
          </w:p>
        </w:tc>
        <w:tc>
          <w:tcPr>
            <w:tcW w:w="4678" w:type="dxa"/>
            <w:vAlign w:val="center"/>
          </w:tcPr>
          <w:p w14:paraId="36F203D8" w14:textId="77777777" w:rsidR="006D3FD1" w:rsidRPr="00EE159A" w:rsidRDefault="006D3FD1" w:rsidP="00484BFD">
            <w:pPr>
              <w:rPr>
                <w:rFonts w:cstheme="minorHAnsi"/>
              </w:rPr>
            </w:pPr>
            <w:r w:rsidRPr="00EE159A">
              <w:rPr>
                <w:rFonts w:cstheme="minorHAnsi"/>
              </w:rPr>
              <w:t>A clear overall approach to the work and an appropriate methodology outlined for completing each section of the brief.</w:t>
            </w:r>
          </w:p>
        </w:tc>
        <w:tc>
          <w:tcPr>
            <w:tcW w:w="1276" w:type="dxa"/>
            <w:vAlign w:val="center"/>
          </w:tcPr>
          <w:p w14:paraId="7D8A5779" w14:textId="795C64BA" w:rsidR="006D3FD1" w:rsidRPr="00EE159A" w:rsidRDefault="003412A2" w:rsidP="00484BFD">
            <w:pPr>
              <w:jc w:val="center"/>
              <w:rPr>
                <w:rFonts w:cstheme="minorHAnsi"/>
                <w:b/>
              </w:rPr>
            </w:pPr>
            <w:r>
              <w:rPr>
                <w:rFonts w:cstheme="minorHAnsi"/>
                <w:b/>
              </w:rPr>
              <w:t>15</w:t>
            </w:r>
          </w:p>
        </w:tc>
      </w:tr>
      <w:tr w:rsidR="006D3FD1" w:rsidRPr="00EE159A" w14:paraId="65469F2A" w14:textId="77777777" w:rsidTr="003844EE">
        <w:tc>
          <w:tcPr>
            <w:tcW w:w="992" w:type="dxa"/>
            <w:vMerge/>
            <w:vAlign w:val="center"/>
          </w:tcPr>
          <w:p w14:paraId="2EE63B0F" w14:textId="77777777" w:rsidR="006D3FD1" w:rsidRPr="00EE159A" w:rsidRDefault="006D3FD1" w:rsidP="00484BFD">
            <w:pPr>
              <w:rPr>
                <w:rFonts w:cstheme="minorHAnsi"/>
                <w:b/>
              </w:rPr>
            </w:pPr>
          </w:p>
        </w:tc>
        <w:tc>
          <w:tcPr>
            <w:tcW w:w="2126" w:type="dxa"/>
            <w:gridSpan w:val="2"/>
            <w:vAlign w:val="center"/>
          </w:tcPr>
          <w:p w14:paraId="5174861D" w14:textId="77777777" w:rsidR="006D3FD1" w:rsidRPr="00EE159A" w:rsidRDefault="006D3FD1" w:rsidP="00484BFD">
            <w:pPr>
              <w:rPr>
                <w:rFonts w:cstheme="minorHAnsi"/>
              </w:rPr>
            </w:pPr>
            <w:r w:rsidRPr="00EE159A">
              <w:rPr>
                <w:rFonts w:cstheme="minorHAnsi"/>
              </w:rPr>
              <w:t>Identified team / staff</w:t>
            </w:r>
          </w:p>
        </w:tc>
        <w:tc>
          <w:tcPr>
            <w:tcW w:w="4678" w:type="dxa"/>
            <w:vAlign w:val="center"/>
          </w:tcPr>
          <w:p w14:paraId="7E49F44D" w14:textId="77777777" w:rsidR="006D3FD1" w:rsidRPr="00EE159A" w:rsidRDefault="006D3FD1" w:rsidP="00484BFD">
            <w:pPr>
              <w:rPr>
                <w:rFonts w:cstheme="minorHAnsi"/>
              </w:rPr>
            </w:pPr>
            <w:r w:rsidRPr="00EE159A">
              <w:rPr>
                <w:rFonts w:cstheme="minorHAnsi"/>
              </w:rPr>
              <w:t>Suitably qualified staff/s identified with relevant experience of undertaking this type of work.</w:t>
            </w:r>
          </w:p>
        </w:tc>
        <w:tc>
          <w:tcPr>
            <w:tcW w:w="1276" w:type="dxa"/>
            <w:vAlign w:val="center"/>
          </w:tcPr>
          <w:p w14:paraId="762E3225" w14:textId="1561B0BE" w:rsidR="006D3FD1" w:rsidRPr="00EE159A" w:rsidRDefault="003412A2" w:rsidP="00484BFD">
            <w:pPr>
              <w:jc w:val="center"/>
              <w:rPr>
                <w:rFonts w:cstheme="minorHAnsi"/>
                <w:b/>
              </w:rPr>
            </w:pPr>
            <w:r>
              <w:rPr>
                <w:rFonts w:cstheme="minorHAnsi"/>
                <w:b/>
              </w:rPr>
              <w:t>10</w:t>
            </w:r>
          </w:p>
        </w:tc>
      </w:tr>
      <w:tr w:rsidR="006D3FD1" w:rsidRPr="00EE159A" w14:paraId="1727BA33" w14:textId="77777777" w:rsidTr="003844EE">
        <w:trPr>
          <w:trHeight w:val="702"/>
        </w:trPr>
        <w:tc>
          <w:tcPr>
            <w:tcW w:w="992" w:type="dxa"/>
            <w:vMerge/>
            <w:vAlign w:val="center"/>
          </w:tcPr>
          <w:p w14:paraId="6154F37C" w14:textId="77777777" w:rsidR="006D3FD1" w:rsidRPr="00EE159A" w:rsidRDefault="006D3FD1" w:rsidP="00484BFD">
            <w:pPr>
              <w:rPr>
                <w:rFonts w:cstheme="minorHAnsi"/>
                <w:b/>
              </w:rPr>
            </w:pPr>
          </w:p>
        </w:tc>
        <w:tc>
          <w:tcPr>
            <w:tcW w:w="2126" w:type="dxa"/>
            <w:gridSpan w:val="2"/>
            <w:vAlign w:val="center"/>
          </w:tcPr>
          <w:p w14:paraId="130DC519" w14:textId="77777777" w:rsidR="006D3FD1" w:rsidRPr="00EE159A" w:rsidRDefault="006D3FD1" w:rsidP="00484BFD">
            <w:pPr>
              <w:rPr>
                <w:rFonts w:cstheme="minorHAnsi"/>
              </w:rPr>
            </w:pPr>
            <w:r w:rsidRPr="00EE159A">
              <w:rPr>
                <w:rFonts w:cstheme="minorHAnsi"/>
              </w:rPr>
              <w:t>Timetable</w:t>
            </w:r>
          </w:p>
        </w:tc>
        <w:tc>
          <w:tcPr>
            <w:tcW w:w="4678" w:type="dxa"/>
            <w:vAlign w:val="center"/>
          </w:tcPr>
          <w:p w14:paraId="124F1CE3" w14:textId="77777777" w:rsidR="006D3FD1" w:rsidRPr="00EE159A" w:rsidRDefault="006D3FD1" w:rsidP="00484BFD">
            <w:pPr>
              <w:rPr>
                <w:rFonts w:cstheme="minorHAnsi"/>
              </w:rPr>
            </w:pPr>
            <w:r w:rsidRPr="00EE159A">
              <w:rPr>
                <w:rFonts w:cstheme="minorHAnsi"/>
              </w:rPr>
              <w:t>Ability to work within the timescales outlined in the brief.</w:t>
            </w:r>
          </w:p>
        </w:tc>
        <w:tc>
          <w:tcPr>
            <w:tcW w:w="1276" w:type="dxa"/>
            <w:vAlign w:val="center"/>
          </w:tcPr>
          <w:p w14:paraId="0013EAEA" w14:textId="27973020" w:rsidR="006D3FD1" w:rsidRPr="00EE159A" w:rsidRDefault="003412A2" w:rsidP="00484BFD">
            <w:pPr>
              <w:jc w:val="center"/>
              <w:rPr>
                <w:rFonts w:cstheme="minorHAnsi"/>
                <w:b/>
              </w:rPr>
            </w:pPr>
            <w:r>
              <w:rPr>
                <w:rFonts w:cstheme="minorHAnsi"/>
                <w:b/>
              </w:rPr>
              <w:t>10</w:t>
            </w:r>
          </w:p>
        </w:tc>
      </w:tr>
      <w:tr w:rsidR="006D3FD1" w:rsidRPr="00EE159A" w14:paraId="633967A0" w14:textId="77777777" w:rsidTr="003844EE">
        <w:trPr>
          <w:trHeight w:val="564"/>
        </w:trPr>
        <w:tc>
          <w:tcPr>
            <w:tcW w:w="992" w:type="dxa"/>
            <w:vMerge/>
            <w:vAlign w:val="center"/>
          </w:tcPr>
          <w:p w14:paraId="6A1EE9ED" w14:textId="77777777" w:rsidR="006D3FD1" w:rsidRPr="00EE159A" w:rsidRDefault="006D3FD1" w:rsidP="00484BFD">
            <w:pPr>
              <w:rPr>
                <w:rFonts w:cstheme="minorHAnsi"/>
                <w:b/>
              </w:rPr>
            </w:pPr>
          </w:p>
        </w:tc>
        <w:tc>
          <w:tcPr>
            <w:tcW w:w="2126" w:type="dxa"/>
            <w:gridSpan w:val="2"/>
            <w:vAlign w:val="center"/>
          </w:tcPr>
          <w:p w14:paraId="3F0127D2" w14:textId="77777777" w:rsidR="006D3FD1" w:rsidRPr="00EE159A" w:rsidRDefault="006D3FD1" w:rsidP="00484BFD">
            <w:pPr>
              <w:rPr>
                <w:rFonts w:cstheme="minorHAnsi"/>
              </w:rPr>
            </w:pPr>
            <w:r w:rsidRPr="00EE159A">
              <w:rPr>
                <w:rFonts w:cstheme="minorHAnsi"/>
              </w:rPr>
              <w:t>Past Experience</w:t>
            </w:r>
          </w:p>
        </w:tc>
        <w:tc>
          <w:tcPr>
            <w:tcW w:w="4678" w:type="dxa"/>
            <w:vAlign w:val="center"/>
          </w:tcPr>
          <w:p w14:paraId="2A617B2E" w14:textId="77777777" w:rsidR="006D3FD1" w:rsidRPr="00EE159A" w:rsidRDefault="006D3FD1" w:rsidP="00484BFD">
            <w:pPr>
              <w:rPr>
                <w:rFonts w:cstheme="minorHAnsi"/>
              </w:rPr>
            </w:pPr>
            <w:r w:rsidRPr="00EE159A">
              <w:rPr>
                <w:rFonts w:cstheme="minorHAnsi"/>
              </w:rPr>
              <w:t>Relevant experience of undertaking this type of work.</w:t>
            </w:r>
          </w:p>
        </w:tc>
        <w:tc>
          <w:tcPr>
            <w:tcW w:w="1276" w:type="dxa"/>
            <w:vAlign w:val="center"/>
          </w:tcPr>
          <w:p w14:paraId="78BF7005" w14:textId="5B92AD64" w:rsidR="006D3FD1" w:rsidRPr="00EE159A" w:rsidRDefault="003412A2" w:rsidP="00484BFD">
            <w:pPr>
              <w:jc w:val="center"/>
              <w:rPr>
                <w:rFonts w:cstheme="minorHAnsi"/>
                <w:b/>
              </w:rPr>
            </w:pPr>
            <w:r>
              <w:rPr>
                <w:rFonts w:cstheme="minorHAnsi"/>
                <w:b/>
              </w:rPr>
              <w:t>20</w:t>
            </w:r>
          </w:p>
        </w:tc>
      </w:tr>
      <w:tr w:rsidR="006D3FD1" w:rsidRPr="00EE159A" w14:paraId="5658DCA7" w14:textId="77777777" w:rsidTr="003844EE">
        <w:trPr>
          <w:trHeight w:val="527"/>
        </w:trPr>
        <w:tc>
          <w:tcPr>
            <w:tcW w:w="992" w:type="dxa"/>
            <w:vAlign w:val="center"/>
          </w:tcPr>
          <w:p w14:paraId="2C49500D" w14:textId="77777777" w:rsidR="006D3FD1" w:rsidRPr="00EE159A" w:rsidRDefault="006D3FD1" w:rsidP="00484BFD">
            <w:pPr>
              <w:rPr>
                <w:rFonts w:cstheme="minorHAnsi"/>
                <w:b/>
              </w:rPr>
            </w:pPr>
            <w:r w:rsidRPr="00EE159A">
              <w:rPr>
                <w:rFonts w:cstheme="minorHAnsi"/>
                <w:b/>
              </w:rPr>
              <w:t>Price</w:t>
            </w:r>
          </w:p>
        </w:tc>
        <w:tc>
          <w:tcPr>
            <w:tcW w:w="6804" w:type="dxa"/>
            <w:gridSpan w:val="3"/>
            <w:vAlign w:val="center"/>
          </w:tcPr>
          <w:p w14:paraId="1390BDEB" w14:textId="77777777" w:rsidR="006D3FD1" w:rsidRPr="00EE159A" w:rsidRDefault="006D3FD1" w:rsidP="00484BFD">
            <w:pPr>
              <w:rPr>
                <w:rFonts w:cstheme="minorHAnsi"/>
              </w:rPr>
            </w:pPr>
            <w:r w:rsidRPr="00EE159A">
              <w:rPr>
                <w:rFonts w:cstheme="minorHAnsi"/>
              </w:rPr>
              <w:t>Fees and Rates</w:t>
            </w:r>
          </w:p>
        </w:tc>
        <w:tc>
          <w:tcPr>
            <w:tcW w:w="1276" w:type="dxa"/>
            <w:vAlign w:val="center"/>
          </w:tcPr>
          <w:p w14:paraId="32D2A6E1" w14:textId="77777777" w:rsidR="006D3FD1" w:rsidRPr="00EE159A" w:rsidRDefault="006D3FD1" w:rsidP="00484BFD">
            <w:pPr>
              <w:jc w:val="center"/>
              <w:rPr>
                <w:rFonts w:cstheme="minorHAnsi"/>
                <w:b/>
              </w:rPr>
            </w:pPr>
            <w:r w:rsidRPr="00EE159A">
              <w:rPr>
                <w:rFonts w:cstheme="minorHAnsi"/>
                <w:b/>
              </w:rPr>
              <w:t>30</w:t>
            </w:r>
          </w:p>
        </w:tc>
      </w:tr>
      <w:tr w:rsidR="006D3FD1" w:rsidRPr="00EE159A" w14:paraId="2AF10196" w14:textId="77777777" w:rsidTr="003844EE">
        <w:trPr>
          <w:trHeight w:val="407"/>
        </w:trPr>
        <w:tc>
          <w:tcPr>
            <w:tcW w:w="7796" w:type="dxa"/>
            <w:gridSpan w:val="4"/>
            <w:vAlign w:val="center"/>
          </w:tcPr>
          <w:p w14:paraId="2A15E77C" w14:textId="77777777" w:rsidR="006D3FD1" w:rsidRPr="00EE159A" w:rsidRDefault="006D3FD1" w:rsidP="00484BFD">
            <w:pPr>
              <w:rPr>
                <w:rFonts w:cstheme="minorHAnsi"/>
                <w:b/>
              </w:rPr>
            </w:pPr>
            <w:r w:rsidRPr="00EE159A">
              <w:rPr>
                <w:rFonts w:cstheme="minorHAnsi"/>
                <w:b/>
              </w:rPr>
              <w:t>References*</w:t>
            </w:r>
          </w:p>
        </w:tc>
        <w:tc>
          <w:tcPr>
            <w:tcW w:w="1276" w:type="dxa"/>
            <w:vAlign w:val="center"/>
          </w:tcPr>
          <w:p w14:paraId="255E3A58" w14:textId="77777777" w:rsidR="006D3FD1" w:rsidRPr="00EE159A" w:rsidRDefault="006D3FD1" w:rsidP="00484BFD">
            <w:pPr>
              <w:jc w:val="center"/>
              <w:rPr>
                <w:rFonts w:cstheme="minorHAnsi"/>
                <w:b/>
              </w:rPr>
            </w:pPr>
            <w:r w:rsidRPr="00EE159A">
              <w:rPr>
                <w:rFonts w:cstheme="minorHAnsi"/>
                <w:b/>
              </w:rPr>
              <w:t>Pass/Fail</w:t>
            </w:r>
          </w:p>
        </w:tc>
      </w:tr>
      <w:tr w:rsidR="006D3FD1" w:rsidRPr="00EE159A" w14:paraId="27E3D7C0" w14:textId="77777777" w:rsidTr="003844EE">
        <w:trPr>
          <w:trHeight w:val="388"/>
        </w:trPr>
        <w:tc>
          <w:tcPr>
            <w:tcW w:w="7796" w:type="dxa"/>
            <w:gridSpan w:val="4"/>
            <w:vAlign w:val="center"/>
          </w:tcPr>
          <w:p w14:paraId="7AD69322" w14:textId="77777777" w:rsidR="006D3FD1" w:rsidRPr="00EE159A" w:rsidRDefault="006D3FD1" w:rsidP="00484BFD">
            <w:pPr>
              <w:rPr>
                <w:rFonts w:cstheme="minorHAnsi"/>
                <w:b/>
              </w:rPr>
            </w:pPr>
            <w:r w:rsidRPr="00EE159A">
              <w:rPr>
                <w:rFonts w:cstheme="minorHAnsi"/>
                <w:b/>
              </w:rPr>
              <w:t>Total Score Available</w:t>
            </w:r>
          </w:p>
        </w:tc>
        <w:tc>
          <w:tcPr>
            <w:tcW w:w="1276" w:type="dxa"/>
            <w:vAlign w:val="center"/>
          </w:tcPr>
          <w:p w14:paraId="14D76FAC" w14:textId="77777777" w:rsidR="006D3FD1" w:rsidRPr="00EE159A" w:rsidRDefault="006D3FD1" w:rsidP="00484BFD">
            <w:pPr>
              <w:jc w:val="center"/>
              <w:rPr>
                <w:rFonts w:cstheme="minorHAnsi"/>
                <w:b/>
              </w:rPr>
            </w:pPr>
            <w:r w:rsidRPr="00EE159A">
              <w:rPr>
                <w:rFonts w:cstheme="minorHAnsi"/>
                <w:b/>
              </w:rPr>
              <w:t>100</w:t>
            </w:r>
          </w:p>
        </w:tc>
      </w:tr>
    </w:tbl>
    <w:p w14:paraId="76C66E6E" w14:textId="77777777" w:rsidR="006D3FD1" w:rsidRDefault="006D3FD1" w:rsidP="00EE159A">
      <w:pPr>
        <w:spacing w:after="0"/>
        <w:rPr>
          <w:rFonts w:cstheme="minorHAnsi"/>
          <w:color w:val="000000"/>
        </w:rPr>
      </w:pPr>
    </w:p>
    <w:p w14:paraId="716B023B" w14:textId="77777777" w:rsidR="006D3FD1" w:rsidRDefault="006D3FD1" w:rsidP="006D3FD1">
      <w:pPr>
        <w:spacing w:after="0"/>
        <w:ind w:left="284"/>
      </w:pPr>
      <w:r>
        <w:t>*References will only be taken up for the preferred Tenderer. References will be subject to a Pass/Fail assessment and in the case of inadequate references being supplied, the Council will take up references for the next highest scoring Tenderer.</w:t>
      </w:r>
    </w:p>
    <w:p w14:paraId="3582ED13" w14:textId="77777777" w:rsidR="006D3FD1" w:rsidRPr="00EE159A" w:rsidRDefault="006D3FD1" w:rsidP="00EE159A">
      <w:pPr>
        <w:spacing w:after="0"/>
        <w:rPr>
          <w:rFonts w:cstheme="minorHAnsi"/>
          <w:color w:val="000000"/>
        </w:rPr>
      </w:pPr>
    </w:p>
    <w:p w14:paraId="2F0BE91F" w14:textId="7834F864" w:rsidR="00A2405E" w:rsidRPr="00A2405E" w:rsidRDefault="00770109" w:rsidP="000A2D0F">
      <w:pPr>
        <w:pStyle w:val="IntenseQuote"/>
        <w:numPr>
          <w:ilvl w:val="0"/>
          <w:numId w:val="4"/>
        </w:numPr>
        <w:ind w:left="284" w:hanging="578"/>
        <w:rPr>
          <w:i w:val="0"/>
          <w:color w:val="244061" w:themeColor="accent1" w:themeShade="80"/>
          <w:sz w:val="28"/>
          <w:szCs w:val="28"/>
        </w:rPr>
      </w:pPr>
      <w:r w:rsidRPr="00770109">
        <w:rPr>
          <w:i w:val="0"/>
          <w:color w:val="244061" w:themeColor="accent1" w:themeShade="80"/>
          <w:sz w:val="28"/>
          <w:szCs w:val="28"/>
        </w:rPr>
        <w:t>Instructions</w:t>
      </w:r>
      <w:r>
        <w:t xml:space="preserve"> </w:t>
      </w:r>
      <w:r w:rsidRPr="00770109">
        <w:rPr>
          <w:i w:val="0"/>
          <w:color w:val="244061" w:themeColor="accent1" w:themeShade="80"/>
          <w:sz w:val="28"/>
          <w:szCs w:val="28"/>
        </w:rPr>
        <w:t>for</w:t>
      </w:r>
      <w:r>
        <w:t xml:space="preserve"> </w:t>
      </w:r>
      <w:r w:rsidRPr="00770109">
        <w:rPr>
          <w:i w:val="0"/>
          <w:color w:val="244061" w:themeColor="accent1" w:themeShade="80"/>
          <w:sz w:val="28"/>
          <w:szCs w:val="28"/>
        </w:rPr>
        <w:t>tendering</w:t>
      </w:r>
    </w:p>
    <w:p w14:paraId="7962B9CC" w14:textId="07762ECC" w:rsidR="00770109" w:rsidRPr="00770109" w:rsidRDefault="00770109" w:rsidP="000A2D0F">
      <w:pPr>
        <w:pStyle w:val="ListParagraph"/>
        <w:numPr>
          <w:ilvl w:val="1"/>
          <w:numId w:val="4"/>
        </w:numPr>
        <w:spacing w:after="0"/>
        <w:ind w:left="284" w:hanging="578"/>
        <w:rPr>
          <w:rFonts w:cstheme="minorHAnsi"/>
          <w:color w:val="000000"/>
        </w:rPr>
      </w:pPr>
      <w:r w:rsidRPr="00770109">
        <w:rPr>
          <w:rFonts w:cstheme="minorHAnsi"/>
          <w:color w:val="000000"/>
        </w:rPr>
        <w:t xml:space="preserve">In the first instance, please acknowledge receipt of the Tender Brief and Invitation to Tender (ITT) documents and confirm </w:t>
      </w:r>
      <w:r w:rsidR="00874D80">
        <w:rPr>
          <w:rFonts w:cstheme="minorHAnsi"/>
          <w:color w:val="000000"/>
        </w:rPr>
        <w:t>via T</w:t>
      </w:r>
      <w:r w:rsidR="00B04EA5">
        <w:rPr>
          <w:rFonts w:cstheme="minorHAnsi"/>
          <w:color w:val="000000"/>
        </w:rPr>
        <w:t xml:space="preserve">he Chest </w:t>
      </w:r>
      <w:r w:rsidRPr="00770109">
        <w:rPr>
          <w:rFonts w:cstheme="minorHAnsi"/>
          <w:color w:val="000000"/>
        </w:rPr>
        <w:t xml:space="preserve">that you intend to submit a tender </w:t>
      </w:r>
      <w:r w:rsidR="00B04EA5">
        <w:rPr>
          <w:rFonts w:cstheme="minorHAnsi"/>
          <w:color w:val="000000"/>
        </w:rPr>
        <w:t>response</w:t>
      </w:r>
      <w:r w:rsidRPr="00770109">
        <w:rPr>
          <w:rFonts w:cstheme="minorHAnsi"/>
          <w:color w:val="000000"/>
        </w:rPr>
        <w:t xml:space="preserve">. </w:t>
      </w:r>
    </w:p>
    <w:p w14:paraId="59BDB6DF" w14:textId="77777777" w:rsidR="00D055DA" w:rsidRDefault="00D055DA" w:rsidP="00D055DA">
      <w:pPr>
        <w:pStyle w:val="ListParagraph"/>
        <w:spacing w:after="0"/>
        <w:ind w:left="284"/>
        <w:rPr>
          <w:rFonts w:cstheme="minorHAnsi"/>
          <w:color w:val="000000"/>
        </w:rPr>
      </w:pPr>
    </w:p>
    <w:p w14:paraId="5B7EAF69" w14:textId="314048CE" w:rsidR="00770109" w:rsidRDefault="00770109" w:rsidP="000A2D0F">
      <w:pPr>
        <w:pStyle w:val="ListParagraph"/>
        <w:numPr>
          <w:ilvl w:val="1"/>
          <w:numId w:val="4"/>
        </w:numPr>
        <w:spacing w:after="0"/>
        <w:ind w:left="284" w:hanging="578"/>
        <w:rPr>
          <w:rFonts w:cstheme="minorHAnsi"/>
          <w:color w:val="000000"/>
        </w:rPr>
      </w:pPr>
      <w:r w:rsidRPr="00770109">
        <w:rPr>
          <w:rFonts w:cstheme="minorHAnsi"/>
          <w:color w:val="000000"/>
        </w:rPr>
        <w:t xml:space="preserve">Please note that this Tender Brief is a summary version of the process by which the tender should be completed and submitted; please refer to the ITT document for comprehensive instructions. </w:t>
      </w:r>
    </w:p>
    <w:p w14:paraId="470BC42B" w14:textId="77777777" w:rsidR="00770109" w:rsidRPr="00770109" w:rsidRDefault="00770109" w:rsidP="000A2D0F">
      <w:pPr>
        <w:pStyle w:val="ListParagraph"/>
        <w:spacing w:after="0"/>
        <w:ind w:left="284" w:hanging="578"/>
        <w:rPr>
          <w:rFonts w:cstheme="minorHAnsi"/>
          <w:color w:val="000000"/>
        </w:rPr>
      </w:pPr>
    </w:p>
    <w:p w14:paraId="3532B9D1" w14:textId="77777777" w:rsidR="00BD5905" w:rsidRPr="00E2141D" w:rsidRDefault="00816FAE" w:rsidP="000A2D0F">
      <w:pPr>
        <w:pStyle w:val="ListParagraph"/>
        <w:numPr>
          <w:ilvl w:val="1"/>
          <w:numId w:val="4"/>
        </w:numPr>
        <w:spacing w:after="0"/>
        <w:ind w:left="284" w:hanging="578"/>
        <w:rPr>
          <w:rFonts w:cstheme="minorHAnsi"/>
          <w:color w:val="000000"/>
        </w:rPr>
      </w:pPr>
      <w:r w:rsidRPr="00E2141D">
        <w:rPr>
          <w:rFonts w:cstheme="minorHAnsi"/>
          <w:color w:val="000000"/>
        </w:rPr>
        <w:t>T</w:t>
      </w:r>
      <w:r w:rsidR="00BD5905" w:rsidRPr="00E2141D">
        <w:rPr>
          <w:rFonts w:cstheme="minorHAnsi"/>
          <w:color w:val="000000"/>
        </w:rPr>
        <w:t xml:space="preserve">ender responses should be submitted </w:t>
      </w:r>
      <w:r w:rsidRPr="00E2141D">
        <w:rPr>
          <w:rFonts w:cstheme="minorHAnsi"/>
          <w:color w:val="000000"/>
        </w:rPr>
        <w:t xml:space="preserve">electronically via The Chest </w:t>
      </w:r>
      <w:r w:rsidRPr="00E2141D">
        <w:rPr>
          <w:b/>
          <w:color w:val="0B0C0C"/>
        </w:rPr>
        <w:t xml:space="preserve">https://www.the-chest.org.uk/ </w:t>
      </w:r>
      <w:r w:rsidRPr="00E2141D">
        <w:rPr>
          <w:color w:val="0B0C0C"/>
        </w:rPr>
        <w:t>(registration is free)</w:t>
      </w:r>
      <w:r w:rsidRPr="00E2141D">
        <w:rPr>
          <w:b/>
          <w:color w:val="0B0C0C"/>
        </w:rPr>
        <w:t>.</w:t>
      </w:r>
      <w:r w:rsidRPr="00E2141D">
        <w:rPr>
          <w:color w:val="0B0C0C"/>
        </w:rPr>
        <w:t xml:space="preserve"> </w:t>
      </w:r>
    </w:p>
    <w:p w14:paraId="44E968EE" w14:textId="77777777" w:rsidR="00BD5905" w:rsidRPr="00E2141D" w:rsidRDefault="00BD5905" w:rsidP="00BD5905">
      <w:pPr>
        <w:pStyle w:val="ListParagraph"/>
        <w:rPr>
          <w:rFonts w:cstheme="minorHAnsi"/>
          <w:color w:val="000000"/>
        </w:rPr>
      </w:pPr>
    </w:p>
    <w:p w14:paraId="20772791" w14:textId="4EBCF27B" w:rsidR="00770109" w:rsidRPr="00F963B0" w:rsidRDefault="00770109" w:rsidP="000A2D0F">
      <w:pPr>
        <w:pStyle w:val="ListParagraph"/>
        <w:numPr>
          <w:ilvl w:val="1"/>
          <w:numId w:val="4"/>
        </w:numPr>
        <w:spacing w:after="0"/>
        <w:ind w:left="284" w:hanging="578"/>
        <w:rPr>
          <w:rFonts w:cstheme="minorHAnsi"/>
          <w:color w:val="000000"/>
        </w:rPr>
      </w:pPr>
      <w:r w:rsidRPr="00E2141D">
        <w:rPr>
          <w:rFonts w:cstheme="minorHAnsi"/>
          <w:color w:val="000000"/>
        </w:rPr>
        <w:t xml:space="preserve">The last date and time by which the Tender submission should be </w:t>
      </w:r>
      <w:r w:rsidR="00BD5905" w:rsidRPr="00E2141D">
        <w:rPr>
          <w:rFonts w:cstheme="minorHAnsi"/>
          <w:color w:val="000000"/>
        </w:rPr>
        <w:t>submitted to the Counci</w:t>
      </w:r>
      <w:r w:rsidR="00901EAC">
        <w:rPr>
          <w:rFonts w:cstheme="minorHAnsi"/>
          <w:color w:val="000000"/>
        </w:rPr>
        <w:t>l</w:t>
      </w:r>
      <w:r w:rsidRPr="00E2141D">
        <w:rPr>
          <w:rFonts w:cstheme="minorHAnsi"/>
          <w:color w:val="000000"/>
        </w:rPr>
        <w:t xml:space="preserve"> is: </w:t>
      </w:r>
      <w:r w:rsidR="00A532BC" w:rsidRPr="00CB7A38">
        <w:rPr>
          <w:rFonts w:cstheme="minorHAnsi"/>
          <w:b/>
          <w:bCs/>
          <w:color w:val="000000"/>
        </w:rPr>
        <w:t xml:space="preserve">15:00 hours on </w:t>
      </w:r>
      <w:r w:rsidR="00CB7A38" w:rsidRPr="00CB7A38">
        <w:rPr>
          <w:rFonts w:cstheme="minorHAnsi"/>
          <w:b/>
          <w:bCs/>
          <w:color w:val="000000"/>
        </w:rPr>
        <w:t>Friday 13</w:t>
      </w:r>
      <w:r w:rsidR="00CB7A38" w:rsidRPr="00CB7A38">
        <w:rPr>
          <w:rFonts w:cstheme="minorHAnsi"/>
          <w:b/>
          <w:bCs/>
          <w:color w:val="000000"/>
          <w:vertAlign w:val="superscript"/>
        </w:rPr>
        <w:t>th</w:t>
      </w:r>
      <w:r w:rsidR="00CB7A38" w:rsidRPr="00CB7A38">
        <w:rPr>
          <w:rFonts w:cstheme="minorHAnsi"/>
          <w:b/>
          <w:bCs/>
          <w:color w:val="000000"/>
        </w:rPr>
        <w:t xml:space="preserve"> July 2018.</w:t>
      </w:r>
    </w:p>
    <w:p w14:paraId="6B05DB6D" w14:textId="77777777" w:rsidR="00F963B0" w:rsidRPr="00F963B0" w:rsidRDefault="00F963B0" w:rsidP="00F963B0">
      <w:pPr>
        <w:pStyle w:val="ListParagraph"/>
        <w:rPr>
          <w:rFonts w:cstheme="minorHAnsi"/>
          <w:color w:val="000000"/>
        </w:rPr>
      </w:pPr>
    </w:p>
    <w:p w14:paraId="50E7E33F" w14:textId="77777777" w:rsidR="00F963B0" w:rsidRPr="00E2141D" w:rsidRDefault="00F963B0" w:rsidP="00F963B0">
      <w:pPr>
        <w:pStyle w:val="ListParagraph"/>
        <w:spacing w:after="0"/>
        <w:ind w:left="284"/>
        <w:rPr>
          <w:rFonts w:cstheme="minorHAnsi"/>
          <w:color w:val="000000"/>
        </w:rPr>
      </w:pPr>
    </w:p>
    <w:p w14:paraId="628BFB11" w14:textId="60CD726D" w:rsidR="00363BB9" w:rsidRDefault="00363BB9" w:rsidP="000A2D0F">
      <w:pPr>
        <w:pStyle w:val="IntenseQuote"/>
        <w:numPr>
          <w:ilvl w:val="0"/>
          <w:numId w:val="4"/>
        </w:numPr>
        <w:ind w:left="284" w:hanging="578"/>
      </w:pPr>
      <w:r w:rsidRPr="00363BB9">
        <w:rPr>
          <w:i w:val="0"/>
          <w:color w:val="244061" w:themeColor="accent1" w:themeShade="80"/>
          <w:sz w:val="28"/>
          <w:szCs w:val="28"/>
        </w:rPr>
        <w:t>Further</w:t>
      </w:r>
      <w:r>
        <w:t xml:space="preserve"> </w:t>
      </w:r>
      <w:r w:rsidRPr="00363BB9">
        <w:rPr>
          <w:i w:val="0"/>
          <w:color w:val="244061" w:themeColor="accent1" w:themeShade="80"/>
          <w:sz w:val="28"/>
          <w:szCs w:val="28"/>
        </w:rPr>
        <w:t>Information</w:t>
      </w:r>
    </w:p>
    <w:p w14:paraId="7EAA6F56" w14:textId="3F918157" w:rsidR="008441E8" w:rsidRDefault="008441E8" w:rsidP="00EE159A">
      <w:pPr>
        <w:pStyle w:val="ListParagraph"/>
        <w:numPr>
          <w:ilvl w:val="1"/>
          <w:numId w:val="4"/>
        </w:numPr>
        <w:spacing w:after="0"/>
        <w:ind w:left="284" w:hanging="578"/>
      </w:pPr>
      <w:r>
        <w:t xml:space="preserve">Any </w:t>
      </w:r>
      <w:r w:rsidRPr="008441E8">
        <w:rPr>
          <w:rFonts w:cstheme="minorHAnsi"/>
          <w:color w:val="000000"/>
        </w:rPr>
        <w:t>questions</w:t>
      </w:r>
      <w:r>
        <w:t xml:space="preserve"> </w:t>
      </w:r>
      <w:r w:rsidRPr="008441E8">
        <w:rPr>
          <w:rFonts w:cstheme="minorHAnsi"/>
          <w:color w:val="000000"/>
        </w:rPr>
        <w:t>concerning</w:t>
      </w:r>
      <w:r>
        <w:t xml:space="preserve"> any aspect of this Tender Brief, ITT Document or the tender </w:t>
      </w:r>
      <w:r w:rsidRPr="008441E8">
        <w:rPr>
          <w:rFonts w:cstheme="minorHAnsi"/>
          <w:color w:val="000000"/>
        </w:rPr>
        <w:t>process</w:t>
      </w:r>
      <w:r>
        <w:t xml:space="preserve"> should be </w:t>
      </w:r>
      <w:r w:rsidR="00B04EA5">
        <w:t xml:space="preserve">raised with the Council via The Chest. </w:t>
      </w:r>
    </w:p>
    <w:p w14:paraId="1A721521" w14:textId="6975101B" w:rsidR="008441E8" w:rsidRDefault="008441E8" w:rsidP="0004391C">
      <w:pPr>
        <w:spacing w:after="0"/>
        <w:ind w:left="-294"/>
      </w:pPr>
    </w:p>
    <w:p w14:paraId="0FB0A73A" w14:textId="39D006D4" w:rsidR="008441E8" w:rsidRDefault="008441E8" w:rsidP="00EE159A">
      <w:pPr>
        <w:pStyle w:val="ListParagraph"/>
        <w:numPr>
          <w:ilvl w:val="1"/>
          <w:numId w:val="4"/>
        </w:numPr>
        <w:spacing w:after="0"/>
        <w:ind w:left="284" w:hanging="578"/>
      </w:pPr>
      <w:r>
        <w:t xml:space="preserve">The </w:t>
      </w:r>
      <w:r w:rsidRPr="008441E8">
        <w:rPr>
          <w:rFonts w:cstheme="minorHAnsi"/>
          <w:color w:val="000000"/>
        </w:rPr>
        <w:t>following</w:t>
      </w:r>
      <w:r>
        <w:t xml:space="preserve"> documents have been provided for further information:</w:t>
      </w:r>
    </w:p>
    <w:p w14:paraId="4B0FBBBB" w14:textId="1F2795BE" w:rsidR="00E509CC" w:rsidRDefault="00EA2EA7" w:rsidP="00E509CC">
      <w:pPr>
        <w:pStyle w:val="ListParagraph"/>
        <w:numPr>
          <w:ilvl w:val="0"/>
          <w:numId w:val="30"/>
        </w:numPr>
        <w:spacing w:after="0"/>
      </w:pPr>
      <w:r>
        <w:t>Padiham Townscape Heritage Project Map</w:t>
      </w:r>
    </w:p>
    <w:p w14:paraId="3368E137" w14:textId="0CFE01EC" w:rsidR="00F963B0" w:rsidRDefault="00EA2EA7" w:rsidP="00F963B0">
      <w:pPr>
        <w:pStyle w:val="ListParagraph"/>
        <w:numPr>
          <w:ilvl w:val="0"/>
          <w:numId w:val="30"/>
        </w:numPr>
        <w:spacing w:after="0"/>
      </w:pPr>
      <w:r>
        <w:t>Design and Access Statement – Phase 1 works</w:t>
      </w:r>
    </w:p>
    <w:p w14:paraId="4D889D0E" w14:textId="35492A0E" w:rsidR="00EA2EA7" w:rsidRPr="00AE68F7" w:rsidRDefault="00EA2EA7" w:rsidP="00F963B0">
      <w:pPr>
        <w:pStyle w:val="ListParagraph"/>
        <w:numPr>
          <w:ilvl w:val="0"/>
          <w:numId w:val="30"/>
        </w:numPr>
        <w:spacing w:after="0"/>
      </w:pPr>
      <w:r>
        <w:t>Design and Access Statement – Phase 2 works</w:t>
      </w:r>
    </w:p>
    <w:sectPr w:rsidR="00EA2EA7" w:rsidRPr="00AE68F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5B568" w14:textId="77777777" w:rsidR="00C13A4A" w:rsidRDefault="00C13A4A" w:rsidP="008C200A">
      <w:pPr>
        <w:spacing w:after="0" w:line="240" w:lineRule="auto"/>
      </w:pPr>
      <w:r>
        <w:separator/>
      </w:r>
    </w:p>
  </w:endnote>
  <w:endnote w:type="continuationSeparator" w:id="0">
    <w:p w14:paraId="0B9572AA" w14:textId="77777777" w:rsidR="00C13A4A" w:rsidRDefault="00C13A4A" w:rsidP="008C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F0802" w14:textId="77777777" w:rsidR="003412A2" w:rsidRDefault="00341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28782"/>
      <w:docPartObj>
        <w:docPartGallery w:val="Page Numbers (Bottom of Page)"/>
        <w:docPartUnique/>
      </w:docPartObj>
    </w:sdtPr>
    <w:sdtEndPr>
      <w:rPr>
        <w:color w:val="808080" w:themeColor="background1" w:themeShade="80"/>
        <w:spacing w:val="60"/>
      </w:rPr>
    </w:sdtEndPr>
    <w:sdtContent>
      <w:p w14:paraId="5C4219D8" w14:textId="13F16438" w:rsidR="00841D83" w:rsidRDefault="00841D8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36F5B">
          <w:rPr>
            <w:noProof/>
          </w:rPr>
          <w:t>1</w:t>
        </w:r>
        <w:r>
          <w:rPr>
            <w:noProof/>
          </w:rPr>
          <w:fldChar w:fldCharType="end"/>
        </w:r>
        <w:r>
          <w:t xml:space="preserve"> | </w:t>
        </w:r>
        <w:r>
          <w:rPr>
            <w:color w:val="808080" w:themeColor="background1" w:themeShade="80"/>
            <w:spacing w:val="60"/>
          </w:rPr>
          <w:t>Page</w:t>
        </w:r>
      </w:p>
    </w:sdtContent>
  </w:sdt>
  <w:p w14:paraId="6895B34B" w14:textId="77777777" w:rsidR="00841D83" w:rsidRDefault="00841D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28FB2" w14:textId="77777777" w:rsidR="003412A2" w:rsidRDefault="00341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70EB7" w14:textId="77777777" w:rsidR="00C13A4A" w:rsidRDefault="00C13A4A" w:rsidP="008C200A">
      <w:pPr>
        <w:spacing w:after="0" w:line="240" w:lineRule="auto"/>
      </w:pPr>
      <w:r>
        <w:separator/>
      </w:r>
    </w:p>
  </w:footnote>
  <w:footnote w:type="continuationSeparator" w:id="0">
    <w:p w14:paraId="12DD4C7E" w14:textId="77777777" w:rsidR="00C13A4A" w:rsidRDefault="00C13A4A" w:rsidP="008C2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0BB7" w14:textId="77777777" w:rsidR="003412A2" w:rsidRDefault="00341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BF99" w14:textId="61E4AC15" w:rsidR="003412A2" w:rsidRDefault="003412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B60F" w14:textId="77777777" w:rsidR="003412A2" w:rsidRDefault="00341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EB"/>
    <w:multiLevelType w:val="hybridMultilevel"/>
    <w:tmpl w:val="0EAC456C"/>
    <w:lvl w:ilvl="0" w:tplc="796CB6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4B0D9B"/>
    <w:multiLevelType w:val="hybridMultilevel"/>
    <w:tmpl w:val="6F882F92"/>
    <w:lvl w:ilvl="0" w:tplc="B4F800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17C66"/>
    <w:multiLevelType w:val="hybridMultilevel"/>
    <w:tmpl w:val="6660F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257906"/>
    <w:multiLevelType w:val="multilevel"/>
    <w:tmpl w:val="F5D6A0C0"/>
    <w:lvl w:ilvl="0">
      <w:start w:val="1"/>
      <w:numFmt w:val="decimal"/>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bullet"/>
      <w:lvlText w:val=""/>
      <w:lvlJc w:val="left"/>
      <w:pPr>
        <w:ind w:left="360" w:hanging="360"/>
      </w:pPr>
      <w:rPr>
        <w:rFonts w:ascii="Symbol" w:hAnsi="Symbol"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4">
    <w:nsid w:val="07A036BC"/>
    <w:multiLevelType w:val="hybridMultilevel"/>
    <w:tmpl w:val="2174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96BCB"/>
    <w:multiLevelType w:val="hybridMultilevel"/>
    <w:tmpl w:val="28CA3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95ADA"/>
    <w:multiLevelType w:val="hybridMultilevel"/>
    <w:tmpl w:val="46301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6762A"/>
    <w:multiLevelType w:val="multilevel"/>
    <w:tmpl w:val="1F7667B8"/>
    <w:lvl w:ilvl="0">
      <w:start w:val="1"/>
      <w:numFmt w:val="decimal"/>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decimal"/>
      <w:isLgl/>
      <w:lvlText w:val="%1.%2"/>
      <w:lvlJc w:val="left"/>
      <w:pPr>
        <w:ind w:left="360" w:hanging="360"/>
      </w:pPr>
      <w:rPr>
        <w:rFonts w:cstheme="minorHAnsi"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8">
    <w:nsid w:val="10820064"/>
    <w:multiLevelType w:val="hybridMultilevel"/>
    <w:tmpl w:val="4DD2C4F2"/>
    <w:lvl w:ilvl="0" w:tplc="04090001">
      <w:start w:val="1"/>
      <w:numFmt w:val="bullet"/>
      <w:lvlText w:val=""/>
      <w:lvlJc w:val="left"/>
      <w:pPr>
        <w:ind w:left="6018" w:hanging="360"/>
      </w:pPr>
      <w:rPr>
        <w:rFonts w:ascii="Symbol" w:hAnsi="Symbol" w:hint="default"/>
      </w:rPr>
    </w:lvl>
    <w:lvl w:ilvl="1" w:tplc="04090003" w:tentative="1">
      <w:start w:val="1"/>
      <w:numFmt w:val="bullet"/>
      <w:lvlText w:val="o"/>
      <w:lvlJc w:val="left"/>
      <w:pPr>
        <w:ind w:left="6738" w:hanging="360"/>
      </w:pPr>
      <w:rPr>
        <w:rFonts w:ascii="Courier New" w:hAnsi="Courier New" w:cs="Courier New" w:hint="default"/>
      </w:rPr>
    </w:lvl>
    <w:lvl w:ilvl="2" w:tplc="04090005" w:tentative="1">
      <w:start w:val="1"/>
      <w:numFmt w:val="bullet"/>
      <w:lvlText w:val=""/>
      <w:lvlJc w:val="left"/>
      <w:pPr>
        <w:ind w:left="7458" w:hanging="360"/>
      </w:pPr>
      <w:rPr>
        <w:rFonts w:ascii="Wingdings" w:hAnsi="Wingdings" w:hint="default"/>
      </w:rPr>
    </w:lvl>
    <w:lvl w:ilvl="3" w:tplc="04090001" w:tentative="1">
      <w:start w:val="1"/>
      <w:numFmt w:val="bullet"/>
      <w:lvlText w:val=""/>
      <w:lvlJc w:val="left"/>
      <w:pPr>
        <w:ind w:left="8178" w:hanging="360"/>
      </w:pPr>
      <w:rPr>
        <w:rFonts w:ascii="Symbol" w:hAnsi="Symbol" w:hint="default"/>
      </w:rPr>
    </w:lvl>
    <w:lvl w:ilvl="4" w:tplc="04090003" w:tentative="1">
      <w:start w:val="1"/>
      <w:numFmt w:val="bullet"/>
      <w:lvlText w:val="o"/>
      <w:lvlJc w:val="left"/>
      <w:pPr>
        <w:ind w:left="8898" w:hanging="360"/>
      </w:pPr>
      <w:rPr>
        <w:rFonts w:ascii="Courier New" w:hAnsi="Courier New" w:cs="Courier New" w:hint="default"/>
      </w:rPr>
    </w:lvl>
    <w:lvl w:ilvl="5" w:tplc="04090005" w:tentative="1">
      <w:start w:val="1"/>
      <w:numFmt w:val="bullet"/>
      <w:lvlText w:val=""/>
      <w:lvlJc w:val="left"/>
      <w:pPr>
        <w:ind w:left="9618" w:hanging="360"/>
      </w:pPr>
      <w:rPr>
        <w:rFonts w:ascii="Wingdings" w:hAnsi="Wingdings" w:hint="default"/>
      </w:rPr>
    </w:lvl>
    <w:lvl w:ilvl="6" w:tplc="04090001" w:tentative="1">
      <w:start w:val="1"/>
      <w:numFmt w:val="bullet"/>
      <w:lvlText w:val=""/>
      <w:lvlJc w:val="left"/>
      <w:pPr>
        <w:ind w:left="10338" w:hanging="360"/>
      </w:pPr>
      <w:rPr>
        <w:rFonts w:ascii="Symbol" w:hAnsi="Symbol" w:hint="default"/>
      </w:rPr>
    </w:lvl>
    <w:lvl w:ilvl="7" w:tplc="04090003" w:tentative="1">
      <w:start w:val="1"/>
      <w:numFmt w:val="bullet"/>
      <w:lvlText w:val="o"/>
      <w:lvlJc w:val="left"/>
      <w:pPr>
        <w:ind w:left="11058" w:hanging="360"/>
      </w:pPr>
      <w:rPr>
        <w:rFonts w:ascii="Courier New" w:hAnsi="Courier New" w:cs="Courier New" w:hint="default"/>
      </w:rPr>
    </w:lvl>
    <w:lvl w:ilvl="8" w:tplc="04090005" w:tentative="1">
      <w:start w:val="1"/>
      <w:numFmt w:val="bullet"/>
      <w:lvlText w:val=""/>
      <w:lvlJc w:val="left"/>
      <w:pPr>
        <w:ind w:left="11778" w:hanging="360"/>
      </w:pPr>
      <w:rPr>
        <w:rFonts w:ascii="Wingdings" w:hAnsi="Wingdings" w:hint="default"/>
      </w:rPr>
    </w:lvl>
  </w:abstractNum>
  <w:abstractNum w:abstractNumId="9">
    <w:nsid w:val="1123276B"/>
    <w:multiLevelType w:val="hybridMultilevel"/>
    <w:tmpl w:val="C38C6B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97C64"/>
    <w:multiLevelType w:val="multilevel"/>
    <w:tmpl w:val="F9BC6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3914A1E"/>
    <w:multiLevelType w:val="multilevel"/>
    <w:tmpl w:val="E7E4B79C"/>
    <w:lvl w:ilvl="0">
      <w:start w:val="1"/>
      <w:numFmt w:val="bullet"/>
      <w:lvlText w:val=""/>
      <w:lvlJc w:val="left"/>
      <w:pPr>
        <w:ind w:left="720" w:hanging="360"/>
      </w:pPr>
      <w:rPr>
        <w:rFonts w:ascii="Symbol" w:hAnsi="Symbol" w:hint="default"/>
        <w:b/>
        <w:i w:val="0"/>
        <w:color w:val="244061" w:themeColor="accent1" w:themeShade="80"/>
        <w:sz w:val="22"/>
        <w:szCs w:val="22"/>
      </w:rPr>
    </w:lvl>
    <w:lvl w:ilvl="1">
      <w:start w:val="1"/>
      <w:numFmt w:val="bullet"/>
      <w:lvlText w:val=""/>
      <w:lvlJc w:val="left"/>
      <w:pPr>
        <w:ind w:left="360" w:hanging="360"/>
      </w:pPr>
      <w:rPr>
        <w:rFonts w:ascii="Symbol" w:hAnsi="Symbol"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12">
    <w:nsid w:val="142D394F"/>
    <w:multiLevelType w:val="hybridMultilevel"/>
    <w:tmpl w:val="98A2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D19B9"/>
    <w:multiLevelType w:val="multilevel"/>
    <w:tmpl w:val="7E2A9E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382DFE"/>
    <w:multiLevelType w:val="hybridMultilevel"/>
    <w:tmpl w:val="244E4C06"/>
    <w:lvl w:ilvl="0" w:tplc="B4F8008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EC12F0"/>
    <w:multiLevelType w:val="hybridMultilevel"/>
    <w:tmpl w:val="E9389A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325F17EB"/>
    <w:multiLevelType w:val="hybridMultilevel"/>
    <w:tmpl w:val="A0DA6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5139D9"/>
    <w:multiLevelType w:val="multilevel"/>
    <w:tmpl w:val="F5D6A0C0"/>
    <w:lvl w:ilvl="0">
      <w:start w:val="1"/>
      <w:numFmt w:val="decimal"/>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bullet"/>
      <w:lvlText w:val=""/>
      <w:lvlJc w:val="left"/>
      <w:pPr>
        <w:ind w:left="360" w:hanging="360"/>
      </w:pPr>
      <w:rPr>
        <w:rFonts w:ascii="Symbol" w:hAnsi="Symbol"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18">
    <w:nsid w:val="37CF3F44"/>
    <w:multiLevelType w:val="hybridMultilevel"/>
    <w:tmpl w:val="BA70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C06AC7"/>
    <w:multiLevelType w:val="hybridMultilevel"/>
    <w:tmpl w:val="9F5C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F9039C"/>
    <w:multiLevelType w:val="hybridMultilevel"/>
    <w:tmpl w:val="53846A62"/>
    <w:lvl w:ilvl="0" w:tplc="08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E6C0121"/>
    <w:multiLevelType w:val="hybridMultilevel"/>
    <w:tmpl w:val="EF2626F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0B94875"/>
    <w:multiLevelType w:val="hybridMultilevel"/>
    <w:tmpl w:val="A96E64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nsid w:val="448A2441"/>
    <w:multiLevelType w:val="hybridMultilevel"/>
    <w:tmpl w:val="1018E0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143F45"/>
    <w:multiLevelType w:val="hybridMultilevel"/>
    <w:tmpl w:val="E7DED9E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nsid w:val="46283A58"/>
    <w:multiLevelType w:val="hybridMultilevel"/>
    <w:tmpl w:val="FDA67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4A1475"/>
    <w:multiLevelType w:val="hybridMultilevel"/>
    <w:tmpl w:val="E8EEA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A1956BE"/>
    <w:multiLevelType w:val="hybridMultilevel"/>
    <w:tmpl w:val="07FEE572"/>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28">
    <w:nsid w:val="531802C4"/>
    <w:multiLevelType w:val="hybridMultilevel"/>
    <w:tmpl w:val="7A2A3CD0"/>
    <w:lvl w:ilvl="0" w:tplc="08090013">
      <w:start w:val="1"/>
      <w:numFmt w:val="upperRoman"/>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9AF5C68"/>
    <w:multiLevelType w:val="multilevel"/>
    <w:tmpl w:val="A58A4814"/>
    <w:lvl w:ilvl="0">
      <w:start w:val="1"/>
      <w:numFmt w:val="bullet"/>
      <w:lvlText w:val=""/>
      <w:lvlJc w:val="left"/>
      <w:pPr>
        <w:ind w:left="720" w:hanging="360"/>
      </w:pPr>
      <w:rPr>
        <w:rFonts w:ascii="Symbol" w:hAnsi="Symbol" w:hint="default"/>
        <w:b/>
        <w:i w:val="0"/>
        <w:color w:val="244061" w:themeColor="accent1" w:themeShade="80"/>
        <w:sz w:val="28"/>
        <w:szCs w:val="28"/>
      </w:rPr>
    </w:lvl>
    <w:lvl w:ilvl="1">
      <w:start w:val="1"/>
      <w:numFmt w:val="bullet"/>
      <w:lvlText w:val=""/>
      <w:lvlJc w:val="left"/>
      <w:pPr>
        <w:ind w:left="360" w:hanging="360"/>
      </w:pPr>
      <w:rPr>
        <w:rFonts w:ascii="Symbol" w:hAnsi="Symbol"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30">
    <w:nsid w:val="59C35FC6"/>
    <w:multiLevelType w:val="hybridMultilevel"/>
    <w:tmpl w:val="774AB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370D7E"/>
    <w:multiLevelType w:val="hybridMultilevel"/>
    <w:tmpl w:val="8196FD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nsid w:val="6E4D5F18"/>
    <w:multiLevelType w:val="hybridMultilevel"/>
    <w:tmpl w:val="D22EDA24"/>
    <w:lvl w:ilvl="0" w:tplc="0409001B">
      <w:start w:val="1"/>
      <w:numFmt w:val="lowerRoman"/>
      <w:lvlText w:val="%1."/>
      <w:lvlJc w:val="right"/>
      <w:pPr>
        <w:ind w:left="2890" w:hanging="3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33">
    <w:nsid w:val="73DE6C53"/>
    <w:multiLevelType w:val="multilevel"/>
    <w:tmpl w:val="F5D6A0C0"/>
    <w:lvl w:ilvl="0">
      <w:start w:val="1"/>
      <w:numFmt w:val="decimal"/>
      <w:lvlText w:val="%1."/>
      <w:lvlJc w:val="left"/>
      <w:pPr>
        <w:ind w:left="720" w:hanging="360"/>
      </w:pPr>
      <w:rPr>
        <w:rFonts w:asciiTheme="minorHAnsi" w:eastAsiaTheme="minorHAnsi" w:hAnsiTheme="minorHAnsi" w:cstheme="minorBidi" w:hint="default"/>
        <w:b/>
        <w:i w:val="0"/>
        <w:color w:val="244061" w:themeColor="accent1" w:themeShade="80"/>
        <w:sz w:val="28"/>
        <w:szCs w:val="28"/>
      </w:rPr>
    </w:lvl>
    <w:lvl w:ilvl="1">
      <w:start w:val="1"/>
      <w:numFmt w:val="bullet"/>
      <w:lvlText w:val=""/>
      <w:lvlJc w:val="left"/>
      <w:pPr>
        <w:ind w:left="360" w:hanging="360"/>
      </w:pPr>
      <w:rPr>
        <w:rFonts w:ascii="Symbol" w:hAnsi="Symbol" w:hint="default"/>
        <w:b/>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34">
    <w:nsid w:val="7CE661CA"/>
    <w:multiLevelType w:val="hybridMultilevel"/>
    <w:tmpl w:val="A300B0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nsid w:val="7CE70661"/>
    <w:multiLevelType w:val="hybridMultilevel"/>
    <w:tmpl w:val="DA884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D0517B"/>
    <w:multiLevelType w:val="hybridMultilevel"/>
    <w:tmpl w:val="62D0392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30"/>
  </w:num>
  <w:num w:numId="2">
    <w:abstractNumId w:val="10"/>
  </w:num>
  <w:num w:numId="3">
    <w:abstractNumId w:val="5"/>
  </w:num>
  <w:num w:numId="4">
    <w:abstractNumId w:val="7"/>
  </w:num>
  <w:num w:numId="5">
    <w:abstractNumId w:val="6"/>
  </w:num>
  <w:num w:numId="6">
    <w:abstractNumId w:val="23"/>
  </w:num>
  <w:num w:numId="7">
    <w:abstractNumId w:val="9"/>
  </w:num>
  <w:num w:numId="8">
    <w:abstractNumId w:val="0"/>
  </w:num>
  <w:num w:numId="9">
    <w:abstractNumId w:val="8"/>
  </w:num>
  <w:num w:numId="10">
    <w:abstractNumId w:val="4"/>
  </w:num>
  <w:num w:numId="11">
    <w:abstractNumId w:val="1"/>
  </w:num>
  <w:num w:numId="12">
    <w:abstractNumId w:val="14"/>
  </w:num>
  <w:num w:numId="13">
    <w:abstractNumId w:val="18"/>
  </w:num>
  <w:num w:numId="14">
    <w:abstractNumId w:val="19"/>
  </w:num>
  <w:num w:numId="15">
    <w:abstractNumId w:val="2"/>
  </w:num>
  <w:num w:numId="16">
    <w:abstractNumId w:val="12"/>
  </w:num>
  <w:num w:numId="17">
    <w:abstractNumId w:val="35"/>
  </w:num>
  <w:num w:numId="18">
    <w:abstractNumId w:val="26"/>
  </w:num>
  <w:num w:numId="19">
    <w:abstractNumId w:val="16"/>
  </w:num>
  <w:num w:numId="20">
    <w:abstractNumId w:val="21"/>
  </w:num>
  <w:num w:numId="21">
    <w:abstractNumId w:val="32"/>
  </w:num>
  <w:num w:numId="22">
    <w:abstractNumId w:val="27"/>
  </w:num>
  <w:num w:numId="23">
    <w:abstractNumId w:val="25"/>
  </w:num>
  <w:num w:numId="24">
    <w:abstractNumId w:val="20"/>
  </w:num>
  <w:num w:numId="25">
    <w:abstractNumId w:val="24"/>
  </w:num>
  <w:num w:numId="26">
    <w:abstractNumId w:val="34"/>
  </w:num>
  <w:num w:numId="27">
    <w:abstractNumId w:val="31"/>
  </w:num>
  <w:num w:numId="28">
    <w:abstractNumId w:val="15"/>
  </w:num>
  <w:num w:numId="29">
    <w:abstractNumId w:val="22"/>
  </w:num>
  <w:num w:numId="30">
    <w:abstractNumId w:val="36"/>
  </w:num>
  <w:num w:numId="31">
    <w:abstractNumId w:val="13"/>
  </w:num>
  <w:num w:numId="32">
    <w:abstractNumId w:val="33"/>
  </w:num>
  <w:num w:numId="33">
    <w:abstractNumId w:val="17"/>
  </w:num>
  <w:num w:numId="34">
    <w:abstractNumId w:val="3"/>
  </w:num>
  <w:num w:numId="35">
    <w:abstractNumId w:val="29"/>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ED"/>
    <w:rsid w:val="00007879"/>
    <w:rsid w:val="0002560C"/>
    <w:rsid w:val="000277E1"/>
    <w:rsid w:val="000371CA"/>
    <w:rsid w:val="0004391C"/>
    <w:rsid w:val="00054741"/>
    <w:rsid w:val="000613D2"/>
    <w:rsid w:val="00062F83"/>
    <w:rsid w:val="000656EF"/>
    <w:rsid w:val="00093271"/>
    <w:rsid w:val="00093E68"/>
    <w:rsid w:val="000A2D0F"/>
    <w:rsid w:val="000A55C1"/>
    <w:rsid w:val="000E7752"/>
    <w:rsid w:val="001040F8"/>
    <w:rsid w:val="0010614B"/>
    <w:rsid w:val="001100ED"/>
    <w:rsid w:val="001136EC"/>
    <w:rsid w:val="001444BC"/>
    <w:rsid w:val="00146EDB"/>
    <w:rsid w:val="00165943"/>
    <w:rsid w:val="001774E8"/>
    <w:rsid w:val="0019443D"/>
    <w:rsid w:val="001B0C42"/>
    <w:rsid w:val="001B60A9"/>
    <w:rsid w:val="001E1341"/>
    <w:rsid w:val="001F6A19"/>
    <w:rsid w:val="002322B3"/>
    <w:rsid w:val="00234141"/>
    <w:rsid w:val="00285C27"/>
    <w:rsid w:val="00286B5F"/>
    <w:rsid w:val="002931FB"/>
    <w:rsid w:val="002933A9"/>
    <w:rsid w:val="002956DC"/>
    <w:rsid w:val="002B360B"/>
    <w:rsid w:val="002E52C1"/>
    <w:rsid w:val="002F7202"/>
    <w:rsid w:val="002F7FCC"/>
    <w:rsid w:val="0031685F"/>
    <w:rsid w:val="00325CD9"/>
    <w:rsid w:val="003305CA"/>
    <w:rsid w:val="003373CC"/>
    <w:rsid w:val="00337B98"/>
    <w:rsid w:val="003412A2"/>
    <w:rsid w:val="003471BB"/>
    <w:rsid w:val="00363BB9"/>
    <w:rsid w:val="00382BD8"/>
    <w:rsid w:val="003844EE"/>
    <w:rsid w:val="003A50DB"/>
    <w:rsid w:val="003B3426"/>
    <w:rsid w:val="003E50CA"/>
    <w:rsid w:val="00411AAD"/>
    <w:rsid w:val="00425E94"/>
    <w:rsid w:val="00436F5B"/>
    <w:rsid w:val="004432C9"/>
    <w:rsid w:val="00484BFD"/>
    <w:rsid w:val="00497B30"/>
    <w:rsid w:val="004A7650"/>
    <w:rsid w:val="004C3E65"/>
    <w:rsid w:val="004C4EC8"/>
    <w:rsid w:val="00553A00"/>
    <w:rsid w:val="005632B1"/>
    <w:rsid w:val="00594EBB"/>
    <w:rsid w:val="005B51E3"/>
    <w:rsid w:val="005C1C8E"/>
    <w:rsid w:val="005F5463"/>
    <w:rsid w:val="00602BCF"/>
    <w:rsid w:val="00616A3E"/>
    <w:rsid w:val="00617632"/>
    <w:rsid w:val="00660437"/>
    <w:rsid w:val="006B1419"/>
    <w:rsid w:val="006C34EA"/>
    <w:rsid w:val="006D3FD1"/>
    <w:rsid w:val="006E5A1D"/>
    <w:rsid w:val="006F589B"/>
    <w:rsid w:val="00770109"/>
    <w:rsid w:val="00784F94"/>
    <w:rsid w:val="007B6395"/>
    <w:rsid w:val="007E66EC"/>
    <w:rsid w:val="007F1D19"/>
    <w:rsid w:val="007F2F92"/>
    <w:rsid w:val="00816FAE"/>
    <w:rsid w:val="008208BC"/>
    <w:rsid w:val="0082296C"/>
    <w:rsid w:val="008325CC"/>
    <w:rsid w:val="00835839"/>
    <w:rsid w:val="00841D83"/>
    <w:rsid w:val="008441E8"/>
    <w:rsid w:val="008513CE"/>
    <w:rsid w:val="00865077"/>
    <w:rsid w:val="00874D80"/>
    <w:rsid w:val="008A714B"/>
    <w:rsid w:val="008B774B"/>
    <w:rsid w:val="008C200A"/>
    <w:rsid w:val="008D0914"/>
    <w:rsid w:val="008E3593"/>
    <w:rsid w:val="008F5E6E"/>
    <w:rsid w:val="00901EAC"/>
    <w:rsid w:val="0091080B"/>
    <w:rsid w:val="00980D57"/>
    <w:rsid w:val="00982D1A"/>
    <w:rsid w:val="009D0F90"/>
    <w:rsid w:val="009D264B"/>
    <w:rsid w:val="009D4A57"/>
    <w:rsid w:val="009E57D5"/>
    <w:rsid w:val="00A2405E"/>
    <w:rsid w:val="00A42E77"/>
    <w:rsid w:val="00A47980"/>
    <w:rsid w:val="00A532BC"/>
    <w:rsid w:val="00A81890"/>
    <w:rsid w:val="00A97937"/>
    <w:rsid w:val="00AB12BD"/>
    <w:rsid w:val="00AE24A6"/>
    <w:rsid w:val="00AE68F7"/>
    <w:rsid w:val="00AF7162"/>
    <w:rsid w:val="00B04EA5"/>
    <w:rsid w:val="00B2618F"/>
    <w:rsid w:val="00B62A29"/>
    <w:rsid w:val="00BD5905"/>
    <w:rsid w:val="00BD7456"/>
    <w:rsid w:val="00BF0386"/>
    <w:rsid w:val="00BF707B"/>
    <w:rsid w:val="00BF7D19"/>
    <w:rsid w:val="00C1059F"/>
    <w:rsid w:val="00C13A4A"/>
    <w:rsid w:val="00C249DA"/>
    <w:rsid w:val="00C33A2C"/>
    <w:rsid w:val="00C444A4"/>
    <w:rsid w:val="00C4768A"/>
    <w:rsid w:val="00C62FB4"/>
    <w:rsid w:val="00C659AA"/>
    <w:rsid w:val="00CA4D6C"/>
    <w:rsid w:val="00CB4A31"/>
    <w:rsid w:val="00CB6865"/>
    <w:rsid w:val="00CB7A38"/>
    <w:rsid w:val="00CD55E7"/>
    <w:rsid w:val="00CE63CF"/>
    <w:rsid w:val="00D055DA"/>
    <w:rsid w:val="00D10F6D"/>
    <w:rsid w:val="00D50A85"/>
    <w:rsid w:val="00D51F62"/>
    <w:rsid w:val="00D60978"/>
    <w:rsid w:val="00D66F62"/>
    <w:rsid w:val="00DA1A53"/>
    <w:rsid w:val="00DC638C"/>
    <w:rsid w:val="00DD3A8E"/>
    <w:rsid w:val="00DE14E0"/>
    <w:rsid w:val="00E022FC"/>
    <w:rsid w:val="00E12762"/>
    <w:rsid w:val="00E2141D"/>
    <w:rsid w:val="00E509CC"/>
    <w:rsid w:val="00E90076"/>
    <w:rsid w:val="00EA2EA7"/>
    <w:rsid w:val="00EB4AF5"/>
    <w:rsid w:val="00EE159A"/>
    <w:rsid w:val="00EE5691"/>
    <w:rsid w:val="00EF4B74"/>
    <w:rsid w:val="00F26885"/>
    <w:rsid w:val="00F50210"/>
    <w:rsid w:val="00F558D0"/>
    <w:rsid w:val="00F64DC1"/>
    <w:rsid w:val="00F848AE"/>
    <w:rsid w:val="00F963B0"/>
    <w:rsid w:val="00FA434F"/>
    <w:rsid w:val="00FB5F44"/>
    <w:rsid w:val="00FE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C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GVA Heading"/>
    <w:basedOn w:val="Normal"/>
    <w:next w:val="Normal"/>
    <w:link w:val="Heading1Char"/>
    <w:qFormat/>
    <w:rsid w:val="00110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ED"/>
    <w:rPr>
      <w:rFonts w:ascii="Tahoma" w:hAnsi="Tahoma" w:cs="Tahoma"/>
      <w:sz w:val="16"/>
      <w:szCs w:val="16"/>
    </w:rPr>
  </w:style>
  <w:style w:type="paragraph" w:styleId="ListParagraph">
    <w:name w:val="List Paragraph"/>
    <w:basedOn w:val="Normal"/>
    <w:uiPriority w:val="34"/>
    <w:qFormat/>
    <w:rsid w:val="001100ED"/>
    <w:pPr>
      <w:ind w:left="720"/>
      <w:contextualSpacing/>
    </w:pPr>
  </w:style>
  <w:style w:type="character" w:customStyle="1" w:styleId="Heading1Char">
    <w:name w:val="Heading 1 Char"/>
    <w:aliases w:val="GVA Heading Char"/>
    <w:basedOn w:val="DefaultParagraphFont"/>
    <w:link w:val="Heading1"/>
    <w:uiPriority w:val="9"/>
    <w:rsid w:val="001100ED"/>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5632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2B1"/>
    <w:rPr>
      <w:b/>
      <w:bCs/>
      <w:i/>
      <w:iCs/>
      <w:color w:val="4F81BD" w:themeColor="accent1"/>
    </w:rPr>
  </w:style>
  <w:style w:type="paragraph" w:styleId="Header">
    <w:name w:val="header"/>
    <w:basedOn w:val="Normal"/>
    <w:link w:val="HeaderChar"/>
    <w:uiPriority w:val="99"/>
    <w:unhideWhenUsed/>
    <w:rsid w:val="008C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0A"/>
  </w:style>
  <w:style w:type="paragraph" w:styleId="Footer">
    <w:name w:val="footer"/>
    <w:basedOn w:val="Normal"/>
    <w:link w:val="FooterChar"/>
    <w:uiPriority w:val="99"/>
    <w:unhideWhenUsed/>
    <w:rsid w:val="008C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0A"/>
  </w:style>
  <w:style w:type="table" w:styleId="TableGrid">
    <w:name w:val="Table Grid"/>
    <w:basedOn w:val="TableNormal"/>
    <w:uiPriority w:val="59"/>
    <w:rsid w:val="0038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7B9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3BB9"/>
    <w:rPr>
      <w:color w:val="0000FF" w:themeColor="hyperlink"/>
      <w:u w:val="single"/>
    </w:rPr>
  </w:style>
  <w:style w:type="table" w:customStyle="1" w:styleId="TableGrid9">
    <w:name w:val="Table Grid9"/>
    <w:basedOn w:val="TableNormal"/>
    <w:next w:val="TableGrid"/>
    <w:uiPriority w:val="59"/>
    <w:rsid w:val="00EE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E159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numbered"/>
    <w:basedOn w:val="Heading1"/>
    <w:link w:val="NormalnumberedChar"/>
    <w:qFormat/>
    <w:rsid w:val="006D3FD1"/>
    <w:pPr>
      <w:keepNext w:val="0"/>
      <w:keepLines w:val="0"/>
      <w:spacing w:before="120" w:after="120" w:line="312" w:lineRule="auto"/>
      <w:ind w:left="792" w:hanging="792"/>
    </w:pPr>
    <w:rPr>
      <w:rFonts w:ascii="Arial" w:eastAsia="Calibri" w:hAnsi="Arial" w:cs="Arial"/>
      <w:b w:val="0"/>
      <w:noProof/>
      <w:color w:val="auto"/>
      <w:spacing w:val="-3"/>
      <w:kern w:val="32"/>
      <w:sz w:val="22"/>
      <w:szCs w:val="22"/>
      <w:lang w:val="en-GB"/>
    </w:rPr>
  </w:style>
  <w:style w:type="character" w:customStyle="1" w:styleId="NormalnumberedChar">
    <w:name w:val="Normal numbered Char"/>
    <w:basedOn w:val="DefaultParagraphFont"/>
    <w:link w:val="Normalnumbered"/>
    <w:rsid w:val="006D3FD1"/>
    <w:rPr>
      <w:rFonts w:ascii="Arial" w:eastAsia="Calibri" w:hAnsi="Arial" w:cs="Arial"/>
      <w:bCs/>
      <w:noProof/>
      <w:spacing w:val="-3"/>
      <w:kern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GVA Heading"/>
    <w:basedOn w:val="Normal"/>
    <w:next w:val="Normal"/>
    <w:link w:val="Heading1Char"/>
    <w:qFormat/>
    <w:rsid w:val="001100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ED"/>
    <w:rPr>
      <w:rFonts w:ascii="Tahoma" w:hAnsi="Tahoma" w:cs="Tahoma"/>
      <w:sz w:val="16"/>
      <w:szCs w:val="16"/>
    </w:rPr>
  </w:style>
  <w:style w:type="paragraph" w:styleId="ListParagraph">
    <w:name w:val="List Paragraph"/>
    <w:basedOn w:val="Normal"/>
    <w:uiPriority w:val="34"/>
    <w:qFormat/>
    <w:rsid w:val="001100ED"/>
    <w:pPr>
      <w:ind w:left="720"/>
      <w:contextualSpacing/>
    </w:pPr>
  </w:style>
  <w:style w:type="character" w:customStyle="1" w:styleId="Heading1Char">
    <w:name w:val="Heading 1 Char"/>
    <w:aliases w:val="GVA Heading Char"/>
    <w:basedOn w:val="DefaultParagraphFont"/>
    <w:link w:val="Heading1"/>
    <w:uiPriority w:val="9"/>
    <w:rsid w:val="001100ED"/>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5632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2B1"/>
    <w:rPr>
      <w:b/>
      <w:bCs/>
      <w:i/>
      <w:iCs/>
      <w:color w:val="4F81BD" w:themeColor="accent1"/>
    </w:rPr>
  </w:style>
  <w:style w:type="paragraph" w:styleId="Header">
    <w:name w:val="header"/>
    <w:basedOn w:val="Normal"/>
    <w:link w:val="HeaderChar"/>
    <w:uiPriority w:val="99"/>
    <w:unhideWhenUsed/>
    <w:rsid w:val="008C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0A"/>
  </w:style>
  <w:style w:type="paragraph" w:styleId="Footer">
    <w:name w:val="footer"/>
    <w:basedOn w:val="Normal"/>
    <w:link w:val="FooterChar"/>
    <w:uiPriority w:val="99"/>
    <w:unhideWhenUsed/>
    <w:rsid w:val="008C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0A"/>
  </w:style>
  <w:style w:type="table" w:styleId="TableGrid">
    <w:name w:val="Table Grid"/>
    <w:basedOn w:val="TableNormal"/>
    <w:uiPriority w:val="59"/>
    <w:rsid w:val="0038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7B9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3BB9"/>
    <w:rPr>
      <w:color w:val="0000FF" w:themeColor="hyperlink"/>
      <w:u w:val="single"/>
    </w:rPr>
  </w:style>
  <w:style w:type="table" w:customStyle="1" w:styleId="TableGrid9">
    <w:name w:val="Table Grid9"/>
    <w:basedOn w:val="TableNormal"/>
    <w:next w:val="TableGrid"/>
    <w:uiPriority w:val="59"/>
    <w:rsid w:val="00EE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E159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numbered"/>
    <w:basedOn w:val="Heading1"/>
    <w:link w:val="NormalnumberedChar"/>
    <w:qFormat/>
    <w:rsid w:val="006D3FD1"/>
    <w:pPr>
      <w:keepNext w:val="0"/>
      <w:keepLines w:val="0"/>
      <w:spacing w:before="120" w:after="120" w:line="312" w:lineRule="auto"/>
      <w:ind w:left="792" w:hanging="792"/>
    </w:pPr>
    <w:rPr>
      <w:rFonts w:ascii="Arial" w:eastAsia="Calibri" w:hAnsi="Arial" w:cs="Arial"/>
      <w:b w:val="0"/>
      <w:noProof/>
      <w:color w:val="auto"/>
      <w:spacing w:val="-3"/>
      <w:kern w:val="32"/>
      <w:sz w:val="22"/>
      <w:szCs w:val="22"/>
      <w:lang w:val="en-GB"/>
    </w:rPr>
  </w:style>
  <w:style w:type="character" w:customStyle="1" w:styleId="NormalnumberedChar">
    <w:name w:val="Normal numbered Char"/>
    <w:basedOn w:val="DefaultParagraphFont"/>
    <w:link w:val="Normalnumbered"/>
    <w:rsid w:val="006D3FD1"/>
    <w:rPr>
      <w:rFonts w:ascii="Arial" w:eastAsia="Calibri" w:hAnsi="Arial" w:cs="Arial"/>
      <w:bCs/>
      <w:noProof/>
      <w:spacing w:val="-3"/>
      <w:kern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75A601755F24E807457A23F411A54" ma:contentTypeVersion="6" ma:contentTypeDescription="Create a new document." ma:contentTypeScope="" ma:versionID="440c6f023b38a3fbe81753e89be581d7">
  <xsd:schema xmlns:xsd="http://www.w3.org/2001/XMLSchema" xmlns:xs="http://www.w3.org/2001/XMLSchema" xmlns:p="http://schemas.microsoft.com/office/2006/metadata/properties" xmlns:ns1="http://schemas.microsoft.com/sharepoint/v3" xmlns:ns2="df6a8514-03da-4d2b-89a2-9651e9ef3e95" xmlns:ns3="6c3e5470-60f7-4c2f-b610-751de88a776c" targetNamespace="http://schemas.microsoft.com/office/2006/metadata/properties" ma:root="true" ma:fieldsID="43cece110ccdce14662bd70b80097989" ns1:_="" ns2:_="" ns3:_="">
    <xsd:import namespace="http://schemas.microsoft.com/sharepoint/v3"/>
    <xsd:import namespace="df6a8514-03da-4d2b-89a2-9651e9ef3e95"/>
    <xsd:import namespace="6c3e5470-60f7-4c2f-b610-751de88a776c"/>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a7ea1b0a70fd4ee4984f2628739b9c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3e5470-60f7-4c2f-b610-751de88a776c" elementFormDefault="qualified">
    <xsd:import namespace="http://schemas.microsoft.com/office/2006/documentManagement/types"/>
    <xsd:import namespace="http://schemas.microsoft.com/office/infopath/2007/PartnerControls"/>
    <xsd:element name="a7ea1b0a70fd4ee4984f2628739b9cbe" ma:index="15" nillable="true" ma:taxonomy="true" ma:internalName="a7ea1b0a70fd4ee4984f2628739b9cbe" ma:taxonomyFieldName="Development_x0020_Keywords" ma:displayName="Development Keywords" ma:default="" ma:fieldId="{a7ea1b0a-70fd-4ee4-984f-2628739b9cbe}" ma:taxonomyMulti="true" ma:sspId="78123ac9-58a5-4ca3-8489-be74de4028bf" ma:termSetId="3d2e161b-5ea9-40c4-b3ec-6840d7d5a7e0" ma:anchorId="c67792f5-78bc-40d1-8673-1e26380f8ae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7ea1b0a70fd4ee4984f2628739b9cbe xmlns="6c3e5470-60f7-4c2f-b610-751de88a776c">
      <Terms xmlns="http://schemas.microsoft.com/office/infopath/2007/PartnerControls"/>
    </a7ea1b0a70fd4ee4984f2628739b9cbe>
    <_dlc_DocId xmlns="df6a8514-03da-4d2b-89a2-9651e9ef3e95">TVA5FK4ZVZMZ-1082-1605</_dlc_DocId>
    <_dlc_DocIdUrl xmlns="df6a8514-03da-4d2b-89a2-9651e9ef3e95">
      <Url>http://sharepoint/CEO/regenandplanning/Developmentteam/_layouts/DocIdRedir.aspx?ID=TVA5FK4ZVZMZ-1082-1605</Url>
      <Description>TVA5FK4ZVZMZ-1082-1605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77273B-6265-4F58-98EF-222030F8B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6a8514-03da-4d2b-89a2-9651e9ef3e95"/>
    <ds:schemaRef ds:uri="6c3e5470-60f7-4c2f-b610-751de88a7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91F4B-382D-4288-A31B-AB9B962D41E3}">
  <ds:schemaRefs>
    <ds:schemaRef ds:uri="http://schemas.microsoft.com/office/2006/metadata/properties"/>
    <ds:schemaRef ds:uri="http://schemas.microsoft.com/office/infopath/2007/PartnerControls"/>
    <ds:schemaRef ds:uri="6c3e5470-60f7-4c2f-b610-751de88a776c"/>
    <ds:schemaRef ds:uri="df6a8514-03da-4d2b-89a2-9651e9ef3e95"/>
  </ds:schemaRefs>
</ds:datastoreItem>
</file>

<file path=customXml/itemProps3.xml><?xml version="1.0" encoding="utf-8"?>
<ds:datastoreItem xmlns:ds="http://schemas.openxmlformats.org/officeDocument/2006/customXml" ds:itemID="{A51F0167-0E86-430D-B3CD-8778EAD7979F}">
  <ds:schemaRefs>
    <ds:schemaRef ds:uri="http://schemas.microsoft.com/sharepoint/v3/contenttype/forms"/>
  </ds:schemaRefs>
</ds:datastoreItem>
</file>

<file path=customXml/itemProps4.xml><?xml version="1.0" encoding="utf-8"?>
<ds:datastoreItem xmlns:ds="http://schemas.openxmlformats.org/officeDocument/2006/customXml" ds:itemID="{098B62F9-3A25-4A36-97AF-308069DFF7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Pickering</dc:creator>
  <cp:lastModifiedBy>Chris Gay</cp:lastModifiedBy>
  <cp:revision>2</cp:revision>
  <cp:lastPrinted>2018-04-10T12:07:00Z</cp:lastPrinted>
  <dcterms:created xsi:type="dcterms:W3CDTF">2018-06-29T09:34:00Z</dcterms:created>
  <dcterms:modified xsi:type="dcterms:W3CDTF">2018-06-29T09:34:00Z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0x01010091E75A601755F24E807457A23F411A54</vt:lpwstr>
  </property>
  <property fmtid="{D5CDD505-2E9C-101B-9397-08002B2CF9AE}" pid="3" name="Development_x0020_Keywords">
    <vt:lpwstr/>
  </property>
  <property fmtid="{D5CDD505-2E9C-101B-9397-08002B2CF9AE}" pid="4" name="TaxCatchAll">
    <vt:lpwstr/>
  </property>
  <property fmtid="{D5CDD505-2E9C-101B-9397-08002B2CF9AE}" pid="5" name="Development Keywords">
    <vt:lpwstr/>
  </property>
  <property fmtid="{D5CDD505-2E9C-101B-9397-08002B2CF9AE}" pid="6" name="_dlc_policyId">
    <vt:lpwstr>/CEO/regenandplanning/Developmentteam/Padiham TH</vt:lpwstr>
  </property>
  <property fmtid="{D5CDD505-2E9C-101B-9397-08002B2CF9AE}" pid="7" name="ItemRetentionFormula">
    <vt:lpwstr/>
  </property>
  <property fmtid="{D5CDD505-2E9C-101B-9397-08002B2CF9AE}" pid="8" name="_dlc_DocIdItemGuid">
    <vt:lpwstr>b58c8183-348e-418a-a016-50f8ac9bafeb</vt:lpwstr>
  </property>
</Properties>
</file>