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9B1AA" w14:textId="72DE8F41" w:rsidR="007614C4" w:rsidRPr="00C5286E" w:rsidRDefault="00C5286E" w:rsidP="007614C4">
      <w:pPr>
        <w:pStyle w:val="Heading3"/>
        <w:rPr>
          <w:sz w:val="24"/>
          <w:szCs w:val="24"/>
          <w:u w:val="single"/>
        </w:rPr>
      </w:pPr>
      <w:r>
        <w:rPr>
          <w:sz w:val="24"/>
          <w:szCs w:val="24"/>
          <w:u w:val="single"/>
        </w:rPr>
        <w:t>UK</w:t>
      </w:r>
      <w:r w:rsidRPr="00C5286E">
        <w:rPr>
          <w:sz w:val="24"/>
          <w:szCs w:val="24"/>
          <w:u w:val="single"/>
        </w:rPr>
        <w:t xml:space="preserve"> </w:t>
      </w:r>
      <w:r>
        <w:rPr>
          <w:sz w:val="24"/>
          <w:szCs w:val="24"/>
          <w:u w:val="single"/>
        </w:rPr>
        <w:t>G</w:t>
      </w:r>
      <w:r w:rsidRPr="00C5286E">
        <w:rPr>
          <w:sz w:val="24"/>
          <w:szCs w:val="24"/>
          <w:u w:val="single"/>
        </w:rPr>
        <w:t xml:space="preserve">overnment </w:t>
      </w:r>
      <w:r>
        <w:rPr>
          <w:sz w:val="24"/>
          <w:szCs w:val="24"/>
          <w:u w:val="single"/>
        </w:rPr>
        <w:t>B</w:t>
      </w:r>
      <w:r w:rsidRPr="00C5286E">
        <w:rPr>
          <w:sz w:val="24"/>
          <w:szCs w:val="24"/>
          <w:u w:val="single"/>
        </w:rPr>
        <w:t xml:space="preserve">uying </w:t>
      </w:r>
      <w:r>
        <w:rPr>
          <w:sz w:val="24"/>
          <w:szCs w:val="24"/>
          <w:u w:val="single"/>
        </w:rPr>
        <w:t>S</w:t>
      </w:r>
      <w:r w:rsidRPr="00C5286E">
        <w:rPr>
          <w:sz w:val="24"/>
          <w:szCs w:val="24"/>
          <w:u w:val="single"/>
        </w:rPr>
        <w:t xml:space="preserve">tandards </w:t>
      </w:r>
    </w:p>
    <w:p w14:paraId="70AFC031" w14:textId="77777777" w:rsidR="007614C4" w:rsidRDefault="007614C4" w:rsidP="007614C4">
      <w:pPr>
        <w:pStyle w:val="BodyText"/>
        <w:jc w:val="both"/>
        <w:rPr>
          <w:rFonts w:ascii="Arial" w:hAnsi="Arial" w:cs="Arial"/>
          <w:color w:val="000000" w:themeColor="text1"/>
          <w:sz w:val="20"/>
        </w:rPr>
      </w:pPr>
    </w:p>
    <w:p w14:paraId="2A019DC0" w14:textId="302E062D" w:rsidR="007614C4" w:rsidRPr="007614C4" w:rsidRDefault="007614C4" w:rsidP="007614C4">
      <w:pPr>
        <w:pStyle w:val="BodyText"/>
        <w:jc w:val="both"/>
        <w:rPr>
          <w:rFonts w:ascii="Arial" w:hAnsi="Arial" w:cs="Arial"/>
          <w:color w:val="000000" w:themeColor="text1"/>
          <w:sz w:val="20"/>
        </w:rPr>
      </w:pPr>
      <w:r w:rsidRPr="007614C4">
        <w:rPr>
          <w:rFonts w:ascii="Arial" w:hAnsi="Arial" w:cs="Arial"/>
          <w:color w:val="000000" w:themeColor="text1"/>
          <w:sz w:val="20"/>
        </w:rPr>
        <w:t>The Environment Agency will assess compliance with Government Buying Standards at regular points throughout a contract.</w:t>
      </w:r>
    </w:p>
    <w:p w14:paraId="1B0DA42C" w14:textId="77777777" w:rsidR="007614C4" w:rsidRPr="007614C4" w:rsidRDefault="007614C4" w:rsidP="007614C4">
      <w:pPr>
        <w:pStyle w:val="BodyText"/>
        <w:jc w:val="both"/>
        <w:rPr>
          <w:rFonts w:ascii="Arial" w:hAnsi="Arial" w:cs="Arial"/>
          <w:color w:val="000000" w:themeColor="text1"/>
          <w:sz w:val="20"/>
        </w:rPr>
      </w:pPr>
    </w:p>
    <w:p w14:paraId="755FE228" w14:textId="77777777" w:rsidR="007614C4" w:rsidRPr="007614C4" w:rsidRDefault="007614C4" w:rsidP="007614C4">
      <w:pPr>
        <w:pStyle w:val="BodyText"/>
        <w:spacing w:after="0"/>
        <w:jc w:val="both"/>
        <w:rPr>
          <w:rFonts w:ascii="Arial" w:hAnsi="Arial" w:cs="Arial"/>
          <w:b/>
          <w:color w:val="000000" w:themeColor="text1"/>
          <w:sz w:val="20"/>
        </w:rPr>
      </w:pPr>
      <w:r w:rsidRPr="007614C4">
        <w:rPr>
          <w:rFonts w:ascii="Arial" w:hAnsi="Arial" w:cs="Arial"/>
          <w:b/>
          <w:color w:val="000000" w:themeColor="text1"/>
          <w:sz w:val="20"/>
        </w:rPr>
        <w:t>HYDRAULIC FLUIDS AND LUBRICANTS</w:t>
      </w:r>
    </w:p>
    <w:p w14:paraId="7A73FEE1" w14:textId="77777777" w:rsidR="007614C4" w:rsidRPr="007614C4" w:rsidRDefault="007614C4" w:rsidP="007614C4">
      <w:pPr>
        <w:pStyle w:val="Heading2"/>
        <w:spacing w:before="0"/>
        <w:rPr>
          <w:i w:val="0"/>
          <w:color w:val="000000" w:themeColor="text1"/>
          <w:sz w:val="20"/>
          <w:szCs w:val="20"/>
          <w:lang w:val="en"/>
        </w:rPr>
      </w:pPr>
      <w:r w:rsidRPr="007614C4">
        <w:rPr>
          <w:rStyle w:val="Emphasis"/>
          <w:color w:val="000000" w:themeColor="text1"/>
          <w:sz w:val="20"/>
          <w:szCs w:val="20"/>
        </w:rPr>
        <w:t>Specifications</w:t>
      </w:r>
      <w:r w:rsidRPr="007614C4">
        <w:rPr>
          <w:i w:val="0"/>
          <w:color w:val="000000" w:themeColor="text1"/>
          <w:sz w:val="20"/>
          <w:szCs w:val="20"/>
          <w:lang w:val="en"/>
        </w:rPr>
        <w:t xml:space="preserve"> for hydraulic fluids and chainsaw lubricants online</w:t>
      </w:r>
    </w:p>
    <w:p w14:paraId="4F0602BC" w14:textId="77777777" w:rsidR="007614C4" w:rsidRPr="007614C4" w:rsidRDefault="007614C4" w:rsidP="007614C4">
      <w:pPr>
        <w:pStyle w:val="Heading3"/>
        <w:shd w:val="clear" w:color="auto" w:fill="FFFFFF"/>
        <w:rPr>
          <w:color w:val="000000" w:themeColor="text1"/>
          <w:sz w:val="20"/>
          <w:szCs w:val="20"/>
          <w:lang w:val="en"/>
        </w:rPr>
      </w:pPr>
      <w:r w:rsidRPr="007614C4">
        <w:rPr>
          <w:color w:val="000000" w:themeColor="text1"/>
          <w:sz w:val="20"/>
          <w:szCs w:val="20"/>
          <w:lang w:val="en"/>
        </w:rPr>
        <w:t>Example equipment standards</w:t>
      </w:r>
    </w:p>
    <w:tbl>
      <w:tblPr>
        <w:tblW w:w="0" w:type="auto"/>
        <w:tblCellSpacing w:w="15" w:type="dxa"/>
        <w:tblBorders>
          <w:top w:val="single" w:sz="6" w:space="0" w:color="333333"/>
          <w:left w:val="single" w:sz="6" w:space="0" w:color="333333"/>
        </w:tblBorders>
        <w:tblCellMar>
          <w:top w:w="15" w:type="dxa"/>
          <w:left w:w="15" w:type="dxa"/>
          <w:bottom w:w="15" w:type="dxa"/>
          <w:right w:w="15" w:type="dxa"/>
        </w:tblCellMar>
        <w:tblLook w:val="0000" w:firstRow="0" w:lastRow="0" w:firstColumn="0" w:lastColumn="0" w:noHBand="0" w:noVBand="0"/>
      </w:tblPr>
      <w:tblGrid>
        <w:gridCol w:w="1497"/>
        <w:gridCol w:w="6584"/>
        <w:gridCol w:w="5871"/>
      </w:tblGrid>
      <w:tr w:rsidR="007614C4" w:rsidRPr="007614C4" w14:paraId="0786BF46" w14:textId="77777777" w:rsidTr="00434D0C">
        <w:trPr>
          <w:tblCellSpacing w:w="15" w:type="dxa"/>
        </w:trPr>
        <w:tc>
          <w:tcPr>
            <w:tcW w:w="0" w:type="auto"/>
            <w:tcBorders>
              <w:top w:val="single" w:sz="2" w:space="0" w:color="BFBFBF" w:themeColor="background1" w:themeShade="BF"/>
              <w:left w:val="single" w:sz="2" w:space="0" w:color="BFBFBF" w:themeColor="background1" w:themeShade="BF"/>
              <w:bottom w:val="nil"/>
              <w:right w:val="single" w:sz="2" w:space="0" w:color="BFBFBF" w:themeColor="background1" w:themeShade="BF"/>
            </w:tcBorders>
            <w:shd w:val="clear" w:color="auto" w:fill="D9D9D9"/>
            <w:tcMar>
              <w:top w:w="45" w:type="dxa"/>
              <w:left w:w="45" w:type="dxa"/>
              <w:bottom w:w="45" w:type="dxa"/>
              <w:right w:w="45" w:type="dxa"/>
            </w:tcMar>
          </w:tcPr>
          <w:p w14:paraId="34A3D006" w14:textId="77777777" w:rsidR="007614C4" w:rsidRPr="007614C4" w:rsidRDefault="007614C4" w:rsidP="00DC17CD">
            <w:pPr>
              <w:spacing w:before="240" w:after="240"/>
              <w:rPr>
                <w:rFonts w:ascii="Arial" w:hAnsi="Arial" w:cs="Arial"/>
                <w:b/>
                <w:bCs/>
                <w:color w:val="000000" w:themeColor="text1"/>
                <w:sz w:val="19"/>
                <w:szCs w:val="19"/>
              </w:rPr>
            </w:pPr>
            <w:r w:rsidRPr="007614C4">
              <w:rPr>
                <w:rFonts w:ascii="Arial" w:hAnsi="Arial" w:cs="Arial"/>
                <w:b/>
                <w:bCs/>
                <w:color w:val="000000" w:themeColor="text1"/>
                <w:sz w:val="19"/>
                <w:szCs w:val="19"/>
              </w:rPr>
              <w:t>IMPACT AREA</w:t>
            </w:r>
          </w:p>
        </w:tc>
        <w:tc>
          <w:tcPr>
            <w:tcW w:w="0" w:type="auto"/>
            <w:tcBorders>
              <w:top w:val="single" w:sz="2" w:space="0" w:color="BFBFBF" w:themeColor="background1" w:themeShade="BF"/>
              <w:bottom w:val="nil"/>
              <w:right w:val="single" w:sz="2" w:space="0" w:color="BFBFBF" w:themeColor="background1" w:themeShade="BF"/>
            </w:tcBorders>
            <w:shd w:val="clear" w:color="auto" w:fill="D9D9D9"/>
            <w:tcMar>
              <w:top w:w="45" w:type="dxa"/>
              <w:left w:w="45" w:type="dxa"/>
              <w:bottom w:w="45" w:type="dxa"/>
              <w:right w:w="45" w:type="dxa"/>
            </w:tcMar>
          </w:tcPr>
          <w:p w14:paraId="0B7034F9" w14:textId="77777777" w:rsidR="007614C4" w:rsidRPr="007614C4" w:rsidRDefault="007614C4" w:rsidP="00DC17CD">
            <w:pPr>
              <w:spacing w:before="240" w:after="240"/>
              <w:rPr>
                <w:rFonts w:ascii="Arial" w:hAnsi="Arial" w:cs="Arial"/>
                <w:b/>
                <w:bCs/>
                <w:color w:val="000000" w:themeColor="text1"/>
                <w:sz w:val="19"/>
                <w:szCs w:val="19"/>
              </w:rPr>
            </w:pPr>
            <w:r w:rsidRPr="007614C4">
              <w:rPr>
                <w:rFonts w:ascii="Arial" w:hAnsi="Arial" w:cs="Arial"/>
                <w:b/>
                <w:bCs/>
                <w:color w:val="000000" w:themeColor="text1"/>
                <w:sz w:val="19"/>
                <w:szCs w:val="19"/>
              </w:rPr>
              <w:t>MANDATORY</w:t>
            </w:r>
          </w:p>
        </w:tc>
        <w:tc>
          <w:tcPr>
            <w:tcW w:w="0" w:type="auto"/>
            <w:tcBorders>
              <w:top w:val="single" w:sz="2" w:space="0" w:color="BFBFBF" w:themeColor="background1" w:themeShade="BF"/>
              <w:bottom w:val="nil"/>
              <w:right w:val="single" w:sz="2" w:space="0" w:color="auto"/>
            </w:tcBorders>
            <w:shd w:val="clear" w:color="auto" w:fill="D9D9D9"/>
            <w:tcMar>
              <w:top w:w="45" w:type="dxa"/>
              <w:left w:w="45" w:type="dxa"/>
              <w:bottom w:w="45" w:type="dxa"/>
              <w:right w:w="45" w:type="dxa"/>
            </w:tcMar>
          </w:tcPr>
          <w:p w14:paraId="6AACF02C" w14:textId="77777777" w:rsidR="007614C4" w:rsidRPr="007614C4" w:rsidRDefault="007614C4" w:rsidP="00DC17CD">
            <w:pPr>
              <w:spacing w:before="240" w:after="240"/>
              <w:rPr>
                <w:rFonts w:ascii="Arial" w:hAnsi="Arial" w:cs="Arial"/>
                <w:b/>
                <w:bCs/>
                <w:color w:val="000000" w:themeColor="text1"/>
                <w:sz w:val="19"/>
                <w:szCs w:val="19"/>
              </w:rPr>
            </w:pPr>
            <w:r w:rsidRPr="007614C4">
              <w:rPr>
                <w:rFonts w:ascii="Arial" w:hAnsi="Arial" w:cs="Arial"/>
                <w:b/>
                <w:bCs/>
                <w:color w:val="000000" w:themeColor="text1"/>
                <w:sz w:val="19"/>
                <w:szCs w:val="19"/>
              </w:rPr>
              <w:t>BEST PRACTICE</w:t>
            </w:r>
          </w:p>
        </w:tc>
      </w:tr>
      <w:tr w:rsidR="007614C4" w:rsidRPr="007614C4" w14:paraId="0924F0FA" w14:textId="77777777" w:rsidTr="00434D0C">
        <w:trPr>
          <w:tblCellSpacing w:w="15" w:type="dxa"/>
        </w:trPr>
        <w:tc>
          <w:tcPr>
            <w:tcW w:w="0" w:type="auto"/>
            <w:tcBorders>
              <w:left w:val="single" w:sz="2" w:space="0" w:color="BFBFBF" w:themeColor="background1" w:themeShade="BF"/>
              <w:bottom w:val="single" w:sz="2" w:space="0" w:color="BFBFBF" w:themeColor="background1" w:themeShade="BF"/>
              <w:right w:val="single" w:sz="2" w:space="0" w:color="BFBFBF" w:themeColor="background1" w:themeShade="BF"/>
            </w:tcBorders>
            <w:tcMar>
              <w:top w:w="45" w:type="dxa"/>
              <w:left w:w="45" w:type="dxa"/>
              <w:bottom w:w="45" w:type="dxa"/>
              <w:right w:w="45" w:type="dxa"/>
            </w:tcMar>
          </w:tcPr>
          <w:p w14:paraId="57649A7F" w14:textId="77777777" w:rsidR="007614C4" w:rsidRPr="007614C4" w:rsidRDefault="007614C4" w:rsidP="00DC17CD">
            <w:pPr>
              <w:spacing w:before="240" w:after="240"/>
              <w:rPr>
                <w:rFonts w:ascii="Arial" w:hAnsi="Arial" w:cs="Arial"/>
                <w:color w:val="000000" w:themeColor="text1"/>
                <w:sz w:val="19"/>
                <w:szCs w:val="19"/>
              </w:rPr>
            </w:pPr>
            <w:r w:rsidRPr="007614C4">
              <w:rPr>
                <w:rFonts w:ascii="Arial" w:hAnsi="Arial" w:cs="Arial"/>
                <w:color w:val="000000" w:themeColor="text1"/>
                <w:sz w:val="19"/>
                <w:szCs w:val="19"/>
              </w:rPr>
              <w:t>Biodegradability</w:t>
            </w:r>
          </w:p>
        </w:tc>
        <w:tc>
          <w:tcPr>
            <w:tcW w:w="0" w:type="auto"/>
            <w:tcBorders>
              <w:bottom w:val="single" w:sz="2" w:space="0" w:color="BFBFBF" w:themeColor="background1" w:themeShade="BF"/>
              <w:right w:val="single" w:sz="2" w:space="0" w:color="BFBFBF" w:themeColor="background1" w:themeShade="BF"/>
            </w:tcBorders>
            <w:tcMar>
              <w:top w:w="45" w:type="dxa"/>
              <w:left w:w="45" w:type="dxa"/>
              <w:bottom w:w="45" w:type="dxa"/>
              <w:right w:w="45" w:type="dxa"/>
            </w:tcMar>
          </w:tcPr>
          <w:p w14:paraId="4987F192" w14:textId="77777777" w:rsidR="007614C4" w:rsidRPr="007614C4" w:rsidRDefault="007614C4" w:rsidP="00DC17CD">
            <w:pPr>
              <w:spacing w:before="240" w:after="240"/>
              <w:rPr>
                <w:rFonts w:ascii="Arial" w:hAnsi="Arial" w:cs="Arial"/>
                <w:color w:val="000000" w:themeColor="text1"/>
                <w:sz w:val="19"/>
                <w:szCs w:val="19"/>
              </w:rPr>
            </w:pPr>
            <w:r w:rsidRPr="007614C4">
              <w:rPr>
                <w:rFonts w:ascii="Arial" w:hAnsi="Arial" w:cs="Arial"/>
                <w:color w:val="000000" w:themeColor="text1"/>
                <w:sz w:val="19"/>
                <w:szCs w:val="19"/>
              </w:rPr>
              <w:t>Must pass, or equivalent, the OECD 301B - Ready Biodegradability, CO</w:t>
            </w:r>
            <w:r w:rsidRPr="007614C4">
              <w:rPr>
                <w:rFonts w:ascii="Arial" w:hAnsi="Arial" w:cs="Arial"/>
                <w:color w:val="000000" w:themeColor="text1"/>
                <w:sz w:val="19"/>
                <w:szCs w:val="19"/>
                <w:vertAlign w:val="subscript"/>
              </w:rPr>
              <w:t>2</w:t>
            </w:r>
            <w:r w:rsidRPr="007614C4">
              <w:rPr>
                <w:rFonts w:ascii="Arial" w:hAnsi="Arial" w:cs="Arial"/>
                <w:color w:val="000000" w:themeColor="text1"/>
                <w:sz w:val="19"/>
                <w:szCs w:val="19"/>
              </w:rPr>
              <w:t xml:space="preserve"> evolution test (see from page 18)</w:t>
            </w:r>
          </w:p>
        </w:tc>
        <w:tc>
          <w:tcPr>
            <w:tcW w:w="0" w:type="auto"/>
            <w:tcBorders>
              <w:bottom w:val="single" w:sz="2" w:space="0" w:color="BFBFBF" w:themeColor="background1" w:themeShade="BF"/>
              <w:right w:val="single" w:sz="2" w:space="0" w:color="auto"/>
            </w:tcBorders>
            <w:tcMar>
              <w:top w:w="45" w:type="dxa"/>
              <w:left w:w="45" w:type="dxa"/>
              <w:bottom w:w="45" w:type="dxa"/>
              <w:right w:w="45" w:type="dxa"/>
            </w:tcMar>
          </w:tcPr>
          <w:p w14:paraId="7F4B5C68" w14:textId="77777777" w:rsidR="007614C4" w:rsidRPr="007614C4" w:rsidRDefault="007614C4" w:rsidP="00DC17CD">
            <w:pPr>
              <w:spacing w:before="240" w:after="240"/>
              <w:rPr>
                <w:rFonts w:ascii="Arial" w:hAnsi="Arial" w:cs="Arial"/>
                <w:color w:val="000000" w:themeColor="text1"/>
                <w:sz w:val="19"/>
                <w:szCs w:val="19"/>
              </w:rPr>
            </w:pPr>
            <w:r w:rsidRPr="007614C4">
              <w:rPr>
                <w:rFonts w:ascii="Arial" w:hAnsi="Arial" w:cs="Arial"/>
                <w:color w:val="000000" w:themeColor="text1"/>
                <w:sz w:val="19"/>
                <w:szCs w:val="19"/>
              </w:rPr>
              <w:t>Should meet the EU Green Public Procurement comprehensive criteria (see pages 14 and 19)</w:t>
            </w:r>
          </w:p>
        </w:tc>
      </w:tr>
      <w:tr w:rsidR="007614C4" w:rsidRPr="007614C4" w14:paraId="783858BE" w14:textId="77777777" w:rsidTr="00434D0C">
        <w:trPr>
          <w:tblCellSpacing w:w="15" w:type="dxa"/>
        </w:trPr>
        <w:tc>
          <w:tcPr>
            <w:tcW w:w="0" w:type="auto"/>
            <w:tcBorders>
              <w:left w:val="single" w:sz="2" w:space="0" w:color="BFBFBF" w:themeColor="background1" w:themeShade="BF"/>
              <w:bottom w:val="single" w:sz="2" w:space="0" w:color="BFBFBF" w:themeColor="background1" w:themeShade="BF"/>
              <w:right w:val="single" w:sz="2" w:space="0" w:color="BFBFBF" w:themeColor="background1" w:themeShade="BF"/>
            </w:tcBorders>
            <w:tcMar>
              <w:top w:w="45" w:type="dxa"/>
              <w:left w:w="45" w:type="dxa"/>
              <w:bottom w:w="45" w:type="dxa"/>
              <w:right w:w="45" w:type="dxa"/>
            </w:tcMar>
          </w:tcPr>
          <w:p w14:paraId="693D6F93" w14:textId="77777777" w:rsidR="007614C4" w:rsidRPr="007614C4" w:rsidRDefault="007614C4" w:rsidP="00DC17CD">
            <w:pPr>
              <w:spacing w:before="240" w:after="240"/>
              <w:rPr>
                <w:rFonts w:ascii="Arial" w:hAnsi="Arial" w:cs="Arial"/>
                <w:color w:val="000000" w:themeColor="text1"/>
                <w:sz w:val="19"/>
                <w:szCs w:val="19"/>
              </w:rPr>
            </w:pPr>
            <w:r w:rsidRPr="007614C4">
              <w:rPr>
                <w:rFonts w:ascii="Arial" w:hAnsi="Arial" w:cs="Arial"/>
                <w:color w:val="000000" w:themeColor="text1"/>
                <w:sz w:val="19"/>
                <w:szCs w:val="19"/>
              </w:rPr>
              <w:t>Ecotoxicity</w:t>
            </w:r>
          </w:p>
        </w:tc>
        <w:tc>
          <w:tcPr>
            <w:tcW w:w="0" w:type="auto"/>
            <w:tcBorders>
              <w:bottom w:val="single" w:sz="2" w:space="0" w:color="BFBFBF" w:themeColor="background1" w:themeShade="BF"/>
              <w:right w:val="single" w:sz="2" w:space="0" w:color="BFBFBF" w:themeColor="background1" w:themeShade="BF"/>
            </w:tcBorders>
            <w:tcMar>
              <w:top w:w="45" w:type="dxa"/>
              <w:left w:w="45" w:type="dxa"/>
              <w:bottom w:w="45" w:type="dxa"/>
              <w:right w:w="45" w:type="dxa"/>
            </w:tcMar>
          </w:tcPr>
          <w:p w14:paraId="74EE428D" w14:textId="77777777" w:rsidR="007614C4" w:rsidRPr="007614C4" w:rsidRDefault="007614C4" w:rsidP="00DC17CD">
            <w:pPr>
              <w:spacing w:before="240" w:after="240"/>
              <w:rPr>
                <w:rFonts w:ascii="Arial" w:hAnsi="Arial" w:cs="Arial"/>
                <w:color w:val="000000" w:themeColor="text1"/>
                <w:sz w:val="19"/>
                <w:szCs w:val="19"/>
              </w:rPr>
            </w:pPr>
            <w:r w:rsidRPr="007614C4">
              <w:rPr>
                <w:rFonts w:ascii="Arial" w:hAnsi="Arial" w:cs="Arial"/>
                <w:color w:val="000000" w:themeColor="text1"/>
                <w:sz w:val="19"/>
                <w:szCs w:val="19"/>
              </w:rPr>
              <w:t xml:space="preserve">Must pass or equivalent the OECD 201 - Alga, Growth Inhibition Test </w:t>
            </w:r>
          </w:p>
        </w:tc>
        <w:tc>
          <w:tcPr>
            <w:tcW w:w="0" w:type="auto"/>
            <w:tcBorders>
              <w:bottom w:val="single" w:sz="2" w:space="0" w:color="BFBFBF" w:themeColor="background1" w:themeShade="BF"/>
              <w:right w:val="single" w:sz="2" w:space="0" w:color="auto"/>
            </w:tcBorders>
            <w:tcMar>
              <w:top w:w="45" w:type="dxa"/>
              <w:left w:w="45" w:type="dxa"/>
              <w:bottom w:w="45" w:type="dxa"/>
              <w:right w:w="45" w:type="dxa"/>
            </w:tcMar>
          </w:tcPr>
          <w:p w14:paraId="737C077E" w14:textId="77777777" w:rsidR="007614C4" w:rsidRPr="007614C4" w:rsidRDefault="007614C4" w:rsidP="00DC17CD">
            <w:pPr>
              <w:spacing w:before="240" w:after="240"/>
              <w:rPr>
                <w:rFonts w:ascii="Arial" w:hAnsi="Arial" w:cs="Arial"/>
                <w:color w:val="000000" w:themeColor="text1"/>
                <w:sz w:val="19"/>
                <w:szCs w:val="19"/>
              </w:rPr>
            </w:pPr>
            <w:r w:rsidRPr="007614C4">
              <w:rPr>
                <w:rFonts w:ascii="Arial" w:hAnsi="Arial" w:cs="Arial"/>
                <w:color w:val="000000" w:themeColor="text1"/>
                <w:sz w:val="19"/>
                <w:szCs w:val="19"/>
              </w:rPr>
              <w:t>Should meet the EU Green Public Procurement comprehensive criteria (see pages 14 and 19)</w:t>
            </w:r>
          </w:p>
        </w:tc>
      </w:tr>
      <w:tr w:rsidR="007614C4" w:rsidRPr="007614C4" w14:paraId="7A6D7143" w14:textId="77777777" w:rsidTr="00434D0C">
        <w:trPr>
          <w:tblCellSpacing w:w="15" w:type="dxa"/>
        </w:trPr>
        <w:tc>
          <w:tcPr>
            <w:tcW w:w="0" w:type="auto"/>
            <w:tcBorders>
              <w:left w:val="single" w:sz="2" w:space="0" w:color="BFBFBF" w:themeColor="background1" w:themeShade="BF"/>
              <w:bottom w:val="single" w:sz="2" w:space="0" w:color="BFBFBF" w:themeColor="background1" w:themeShade="BF"/>
              <w:right w:val="single" w:sz="2" w:space="0" w:color="BFBFBF" w:themeColor="background1" w:themeShade="BF"/>
            </w:tcBorders>
            <w:tcMar>
              <w:top w:w="45" w:type="dxa"/>
              <w:left w:w="45" w:type="dxa"/>
              <w:bottom w:w="45" w:type="dxa"/>
              <w:right w:w="45" w:type="dxa"/>
            </w:tcMar>
          </w:tcPr>
          <w:p w14:paraId="24B1677D" w14:textId="77777777" w:rsidR="007614C4" w:rsidRPr="007614C4" w:rsidRDefault="007614C4" w:rsidP="00DC17CD">
            <w:pPr>
              <w:spacing w:before="240" w:after="240"/>
              <w:rPr>
                <w:rFonts w:ascii="Arial" w:hAnsi="Arial" w:cs="Arial"/>
                <w:color w:val="000000" w:themeColor="text1"/>
                <w:sz w:val="19"/>
                <w:szCs w:val="19"/>
              </w:rPr>
            </w:pPr>
            <w:r w:rsidRPr="007614C4">
              <w:rPr>
                <w:rFonts w:ascii="Arial" w:hAnsi="Arial" w:cs="Arial"/>
                <w:color w:val="000000" w:themeColor="text1"/>
                <w:sz w:val="19"/>
                <w:szCs w:val="19"/>
              </w:rPr>
              <w:t>Ecotoxicity</w:t>
            </w:r>
          </w:p>
        </w:tc>
        <w:tc>
          <w:tcPr>
            <w:tcW w:w="0" w:type="auto"/>
            <w:tcBorders>
              <w:bottom w:val="single" w:sz="2" w:space="0" w:color="BFBFBF" w:themeColor="background1" w:themeShade="BF"/>
              <w:right w:val="single" w:sz="2" w:space="0" w:color="BFBFBF" w:themeColor="background1" w:themeShade="BF"/>
            </w:tcBorders>
            <w:tcMar>
              <w:top w:w="45" w:type="dxa"/>
              <w:left w:w="45" w:type="dxa"/>
              <w:bottom w:w="45" w:type="dxa"/>
              <w:right w:w="45" w:type="dxa"/>
            </w:tcMar>
          </w:tcPr>
          <w:p w14:paraId="44DBE0A1" w14:textId="77777777" w:rsidR="007614C4" w:rsidRPr="007614C4" w:rsidRDefault="007614C4" w:rsidP="00DC17CD">
            <w:pPr>
              <w:spacing w:before="240" w:after="240"/>
              <w:rPr>
                <w:rFonts w:ascii="Arial" w:hAnsi="Arial" w:cs="Arial"/>
                <w:color w:val="000000" w:themeColor="text1"/>
                <w:sz w:val="19"/>
                <w:szCs w:val="19"/>
              </w:rPr>
            </w:pPr>
            <w:r w:rsidRPr="007614C4">
              <w:rPr>
                <w:rFonts w:ascii="Arial" w:hAnsi="Arial" w:cs="Arial"/>
                <w:color w:val="000000" w:themeColor="text1"/>
                <w:sz w:val="19"/>
                <w:szCs w:val="19"/>
              </w:rPr>
              <w:t xml:space="preserve">Must pass or equivalent the OECD 202 - Daphnia sp. Acute Immobilisation Test and Reproduction Test </w:t>
            </w:r>
          </w:p>
        </w:tc>
        <w:tc>
          <w:tcPr>
            <w:tcW w:w="0" w:type="auto"/>
            <w:tcBorders>
              <w:bottom w:val="single" w:sz="2" w:space="0" w:color="BFBFBF" w:themeColor="background1" w:themeShade="BF"/>
              <w:right w:val="single" w:sz="2" w:space="0" w:color="auto"/>
            </w:tcBorders>
            <w:tcMar>
              <w:top w:w="45" w:type="dxa"/>
              <w:left w:w="45" w:type="dxa"/>
              <w:bottom w:w="45" w:type="dxa"/>
              <w:right w:w="45" w:type="dxa"/>
            </w:tcMar>
          </w:tcPr>
          <w:p w14:paraId="42455F7F" w14:textId="77777777" w:rsidR="007614C4" w:rsidRPr="007614C4" w:rsidRDefault="007614C4" w:rsidP="00DC17CD">
            <w:pPr>
              <w:spacing w:before="240" w:after="240"/>
              <w:rPr>
                <w:rFonts w:ascii="Arial" w:hAnsi="Arial" w:cs="Arial"/>
                <w:color w:val="000000" w:themeColor="text1"/>
                <w:sz w:val="19"/>
                <w:szCs w:val="19"/>
              </w:rPr>
            </w:pPr>
            <w:r w:rsidRPr="007614C4">
              <w:rPr>
                <w:rFonts w:ascii="Arial" w:hAnsi="Arial" w:cs="Arial"/>
                <w:color w:val="000000" w:themeColor="text1"/>
                <w:sz w:val="19"/>
                <w:szCs w:val="19"/>
              </w:rPr>
              <w:t>Should meet the EU Green Public Procurement comprehensive criteria (see pages 14 and 19)</w:t>
            </w:r>
          </w:p>
        </w:tc>
      </w:tr>
      <w:tr w:rsidR="007614C4" w:rsidRPr="007614C4" w14:paraId="3F1B2119" w14:textId="77777777" w:rsidTr="00434D0C">
        <w:trPr>
          <w:tblCellSpacing w:w="15" w:type="dxa"/>
        </w:trPr>
        <w:tc>
          <w:tcPr>
            <w:tcW w:w="0" w:type="auto"/>
            <w:tcBorders>
              <w:top w:val="single" w:sz="2" w:space="0" w:color="BFBFBF" w:themeColor="background1" w:themeShade="BF"/>
              <w:left w:val="single" w:sz="2" w:space="0" w:color="BFBFBF" w:themeColor="background1" w:themeShade="BF"/>
              <w:bottom w:val="single" w:sz="2" w:space="0" w:color="auto"/>
              <w:right w:val="single" w:sz="2" w:space="0" w:color="BFBFBF" w:themeColor="background1" w:themeShade="BF"/>
            </w:tcBorders>
            <w:tcMar>
              <w:top w:w="45" w:type="dxa"/>
              <w:left w:w="45" w:type="dxa"/>
              <w:bottom w:w="45" w:type="dxa"/>
              <w:right w:w="45" w:type="dxa"/>
            </w:tcMar>
          </w:tcPr>
          <w:p w14:paraId="539F0748" w14:textId="77777777" w:rsidR="007614C4" w:rsidRPr="007614C4" w:rsidRDefault="007614C4" w:rsidP="00DC17CD">
            <w:pPr>
              <w:spacing w:before="240" w:after="240"/>
              <w:rPr>
                <w:rFonts w:ascii="Arial" w:hAnsi="Arial" w:cs="Arial"/>
                <w:color w:val="000000" w:themeColor="text1"/>
                <w:sz w:val="19"/>
                <w:szCs w:val="19"/>
              </w:rPr>
            </w:pPr>
            <w:r w:rsidRPr="007614C4">
              <w:rPr>
                <w:rFonts w:ascii="Arial" w:hAnsi="Arial" w:cs="Arial"/>
                <w:color w:val="000000" w:themeColor="text1"/>
                <w:sz w:val="19"/>
                <w:szCs w:val="19"/>
              </w:rPr>
              <w:t>Ecotoxicity</w:t>
            </w:r>
          </w:p>
        </w:tc>
        <w:tc>
          <w:tcPr>
            <w:tcW w:w="0" w:type="auto"/>
            <w:tcBorders>
              <w:top w:val="single" w:sz="2" w:space="0" w:color="BFBFBF" w:themeColor="background1" w:themeShade="BF"/>
              <w:bottom w:val="single" w:sz="2" w:space="0" w:color="auto"/>
              <w:right w:val="single" w:sz="2" w:space="0" w:color="BFBFBF" w:themeColor="background1" w:themeShade="BF"/>
            </w:tcBorders>
            <w:tcMar>
              <w:top w:w="45" w:type="dxa"/>
              <w:left w:w="45" w:type="dxa"/>
              <w:bottom w:w="45" w:type="dxa"/>
              <w:right w:w="45" w:type="dxa"/>
            </w:tcMar>
          </w:tcPr>
          <w:p w14:paraId="16E73D62" w14:textId="77777777" w:rsidR="007614C4" w:rsidRPr="007614C4" w:rsidRDefault="007614C4" w:rsidP="00DC17CD">
            <w:pPr>
              <w:spacing w:before="240" w:after="240"/>
              <w:rPr>
                <w:rFonts w:ascii="Arial" w:hAnsi="Arial" w:cs="Arial"/>
                <w:color w:val="000000" w:themeColor="text1"/>
                <w:sz w:val="19"/>
                <w:szCs w:val="19"/>
              </w:rPr>
            </w:pPr>
            <w:r w:rsidRPr="007614C4">
              <w:rPr>
                <w:rFonts w:ascii="Arial" w:hAnsi="Arial" w:cs="Arial"/>
                <w:color w:val="000000" w:themeColor="text1"/>
                <w:sz w:val="19"/>
                <w:szCs w:val="19"/>
              </w:rPr>
              <w:t xml:space="preserve">Must pass or equivalent the OECD 203 - Fish, Acute Toxicity Test </w:t>
            </w:r>
          </w:p>
        </w:tc>
        <w:tc>
          <w:tcPr>
            <w:tcW w:w="0" w:type="auto"/>
            <w:tcBorders>
              <w:top w:val="single" w:sz="2" w:space="0" w:color="BFBFBF" w:themeColor="background1" w:themeShade="BF"/>
              <w:bottom w:val="single" w:sz="2" w:space="0" w:color="auto"/>
              <w:right w:val="single" w:sz="2" w:space="0" w:color="auto"/>
            </w:tcBorders>
            <w:tcMar>
              <w:top w:w="45" w:type="dxa"/>
              <w:left w:w="45" w:type="dxa"/>
              <w:bottom w:w="45" w:type="dxa"/>
              <w:right w:w="45" w:type="dxa"/>
            </w:tcMar>
          </w:tcPr>
          <w:p w14:paraId="402AA57A" w14:textId="77777777" w:rsidR="007614C4" w:rsidRPr="007614C4" w:rsidRDefault="007614C4" w:rsidP="00DC17CD">
            <w:pPr>
              <w:spacing w:before="240" w:after="240"/>
              <w:rPr>
                <w:rFonts w:ascii="Arial" w:hAnsi="Arial" w:cs="Arial"/>
                <w:color w:val="000000" w:themeColor="text1"/>
                <w:sz w:val="19"/>
                <w:szCs w:val="19"/>
              </w:rPr>
            </w:pPr>
            <w:r w:rsidRPr="007614C4">
              <w:rPr>
                <w:rFonts w:ascii="Arial" w:hAnsi="Arial" w:cs="Arial"/>
                <w:color w:val="000000" w:themeColor="text1"/>
                <w:sz w:val="19"/>
                <w:szCs w:val="19"/>
              </w:rPr>
              <w:t>Should meet the EU Green Public Procurement comprehensive criteria (see pages 14 and 19)</w:t>
            </w:r>
          </w:p>
        </w:tc>
      </w:tr>
    </w:tbl>
    <w:p w14:paraId="16FBCCBB" w14:textId="0DCDF63D" w:rsidR="007614C4" w:rsidRDefault="007614C4" w:rsidP="007614C4">
      <w:pPr>
        <w:shd w:val="clear" w:color="auto" w:fill="FFFFFF"/>
        <w:spacing w:before="360" w:after="120"/>
        <w:outlineLvl w:val="2"/>
        <w:rPr>
          <w:rFonts w:ascii="Arial" w:hAnsi="Arial" w:cs="Arial"/>
          <w:bCs/>
          <w:color w:val="000000" w:themeColor="text1"/>
          <w:sz w:val="20"/>
          <w:szCs w:val="20"/>
          <w:lang w:val="en"/>
        </w:rPr>
      </w:pPr>
      <w:r w:rsidRPr="007614C4">
        <w:rPr>
          <w:rFonts w:ascii="Arial" w:hAnsi="Arial" w:cs="Arial"/>
          <w:color w:val="000000" w:themeColor="text1"/>
          <w:sz w:val="20"/>
          <w:szCs w:val="20"/>
          <w:lang w:val="en"/>
        </w:rPr>
        <w:t xml:space="preserve">Please also refer to Government Buying Standards for hydraulic fluids and chainsaw lubricants. The mandatory standards for lubricants follow established </w:t>
      </w:r>
      <w:proofErr w:type="spellStart"/>
      <w:r w:rsidRPr="007614C4">
        <w:rPr>
          <w:rFonts w:ascii="Arial" w:hAnsi="Arial" w:cs="Arial"/>
          <w:color w:val="000000" w:themeColor="text1"/>
          <w:sz w:val="20"/>
          <w:szCs w:val="20"/>
          <w:lang w:val="en"/>
        </w:rPr>
        <w:t>Organisation</w:t>
      </w:r>
      <w:proofErr w:type="spellEnd"/>
      <w:r w:rsidRPr="007614C4">
        <w:rPr>
          <w:rFonts w:ascii="Arial" w:hAnsi="Arial" w:cs="Arial"/>
          <w:color w:val="000000" w:themeColor="text1"/>
          <w:sz w:val="20"/>
          <w:szCs w:val="20"/>
          <w:lang w:val="en"/>
        </w:rPr>
        <w:t xml:space="preserve"> for Economic Cooperation and Development (OECD)</w:t>
      </w:r>
      <w:r w:rsidRPr="007614C4">
        <w:rPr>
          <w:rFonts w:ascii="Arial" w:hAnsi="Arial" w:cs="Arial"/>
          <w:bCs/>
          <w:color w:val="000000" w:themeColor="text1"/>
          <w:sz w:val="20"/>
          <w:szCs w:val="20"/>
          <w:lang w:val="en"/>
        </w:rPr>
        <w:t xml:space="preserve"> can be found at:</w:t>
      </w:r>
    </w:p>
    <w:p w14:paraId="316C4406" w14:textId="049F9204" w:rsidR="007614C4" w:rsidRPr="007614C4" w:rsidRDefault="00731F94" w:rsidP="007614C4">
      <w:pPr>
        <w:rPr>
          <w:rFonts w:ascii="Arial" w:hAnsi="Arial" w:cs="Arial"/>
          <w:bCs/>
          <w:color w:val="000000" w:themeColor="text1"/>
          <w:sz w:val="20"/>
          <w:szCs w:val="20"/>
          <w:lang w:val="en"/>
        </w:rPr>
      </w:pPr>
      <w:hyperlink r:id="rId7" w:history="1">
        <w:r w:rsidR="007614C4" w:rsidRPr="007614C4">
          <w:rPr>
            <w:rStyle w:val="Hyperlink"/>
            <w:rFonts w:ascii="Arial" w:hAnsi="Arial" w:cs="Arial"/>
            <w:sz w:val="20"/>
            <w:szCs w:val="20"/>
          </w:rPr>
          <w:t>Government Buying Standards for hydraulic fluids and chainsaw lubricant (publishing.service.gov.uk)</w:t>
        </w:r>
      </w:hyperlink>
      <w:r w:rsidR="007614C4" w:rsidRPr="007614C4">
        <w:rPr>
          <w:rFonts w:ascii="Arial" w:hAnsi="Arial" w:cs="Arial"/>
          <w:sz w:val="20"/>
          <w:szCs w:val="20"/>
        </w:rPr>
        <w:t xml:space="preserve"> </w:t>
      </w:r>
    </w:p>
    <w:p w14:paraId="2CA0ECCE" w14:textId="77777777" w:rsidR="007614C4" w:rsidRPr="007614C4" w:rsidRDefault="007614C4" w:rsidP="007614C4">
      <w:pPr>
        <w:rPr>
          <w:rFonts w:ascii="Arial" w:hAnsi="Arial" w:cs="Arial"/>
          <w:color w:val="000000" w:themeColor="text1"/>
        </w:rPr>
      </w:pPr>
    </w:p>
    <w:p w14:paraId="34A96A90" w14:textId="77777777" w:rsidR="007614C4" w:rsidRPr="007614C4" w:rsidRDefault="007614C4" w:rsidP="007614C4">
      <w:pPr>
        <w:pStyle w:val="BodyText"/>
        <w:jc w:val="both"/>
        <w:rPr>
          <w:rFonts w:ascii="Arial" w:hAnsi="Arial" w:cs="Arial"/>
          <w:color w:val="000000" w:themeColor="text1"/>
          <w:sz w:val="20"/>
        </w:rPr>
      </w:pPr>
      <w:r w:rsidRPr="007614C4">
        <w:rPr>
          <w:rFonts w:ascii="Arial" w:hAnsi="Arial" w:cs="Arial"/>
          <w:color w:val="000000" w:themeColor="text1"/>
          <w:sz w:val="20"/>
        </w:rPr>
        <w:t>Where information is contained within the wider specification clauses, in particular clause Q34:490, the expected standard to be adhered to will be that of the criteria in the above web link, except where the standard of the specification exceeds it in which case that standard shall apply.</w:t>
      </w:r>
    </w:p>
    <w:p w14:paraId="6269D3FA" w14:textId="77777777" w:rsidR="007614C4" w:rsidRPr="007614C4" w:rsidRDefault="007614C4" w:rsidP="007614C4">
      <w:pPr>
        <w:pStyle w:val="BodyText"/>
        <w:rPr>
          <w:rFonts w:ascii="Arial" w:hAnsi="Arial" w:cs="Arial"/>
          <w:color w:val="000000" w:themeColor="text1"/>
          <w:sz w:val="20"/>
        </w:rPr>
      </w:pPr>
    </w:p>
    <w:p w14:paraId="10F60A78" w14:textId="77777777" w:rsidR="007614C4" w:rsidRPr="007614C4" w:rsidRDefault="007614C4" w:rsidP="007614C4">
      <w:pPr>
        <w:pStyle w:val="BodyText"/>
        <w:rPr>
          <w:rFonts w:ascii="Arial" w:hAnsi="Arial" w:cs="Arial"/>
          <w:b/>
          <w:color w:val="000000" w:themeColor="text1"/>
          <w:sz w:val="20"/>
        </w:rPr>
      </w:pPr>
      <w:r w:rsidRPr="007614C4">
        <w:rPr>
          <w:rFonts w:ascii="Arial" w:hAnsi="Arial" w:cs="Arial"/>
          <w:b/>
          <w:color w:val="000000" w:themeColor="text1"/>
          <w:sz w:val="20"/>
        </w:rPr>
        <w:t>HORTICULTURAL AND PARK SERVICES</w:t>
      </w:r>
    </w:p>
    <w:tbl>
      <w:tblPr>
        <w:tblW w:w="5000" w:type="pct"/>
        <w:tblCellSpacing w:w="15" w:type="dxa"/>
        <w:tblBorders>
          <w:top w:val="single" w:sz="6" w:space="0" w:color="BEB3D8"/>
          <w:left w:val="single" w:sz="6" w:space="0" w:color="BEB3D8"/>
        </w:tblBorders>
        <w:tblCellMar>
          <w:left w:w="0" w:type="dxa"/>
          <w:right w:w="0" w:type="dxa"/>
        </w:tblCellMar>
        <w:tblLook w:val="04A0" w:firstRow="1" w:lastRow="0" w:firstColumn="1" w:lastColumn="0" w:noHBand="0" w:noVBand="1"/>
      </w:tblPr>
      <w:tblGrid>
        <w:gridCol w:w="1628"/>
        <w:gridCol w:w="12322"/>
      </w:tblGrid>
      <w:tr w:rsidR="007614C4" w:rsidRPr="007614C4" w14:paraId="111BA85E" w14:textId="77777777" w:rsidTr="00DC17CD">
        <w:trPr>
          <w:tblCellSpacing w:w="15"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49FC5F9B"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Soil improvers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71EC981E"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Soil improvers must not contain peat or sewage sludge </w:t>
            </w:r>
          </w:p>
          <w:p w14:paraId="1C94BCCC"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Bidders must provide the detailed composition of the product, the origin of organic matter and a declaration of compliance with the above requirements. Products carrying the EU Ecolabel will be deemed to comply. Other appropriate means of </w:t>
            </w:r>
            <w:r w:rsidRPr="007614C4">
              <w:rPr>
                <w:rFonts w:ascii="Arial" w:hAnsi="Arial" w:cs="Arial"/>
                <w:color w:val="000000" w:themeColor="text1"/>
                <w:sz w:val="20"/>
                <w:szCs w:val="20"/>
              </w:rPr>
              <w:lastRenderedPageBreak/>
              <w:t>proof, such as a technical dossier of the manufacturer or a test report of an independent body, will also be accepted.</w:t>
            </w:r>
          </w:p>
        </w:tc>
      </w:tr>
      <w:tr w:rsidR="007614C4" w:rsidRPr="007614C4" w14:paraId="26B5813F" w14:textId="77777777" w:rsidTr="00DC17CD">
        <w:trPr>
          <w:tblCellSpacing w:w="15"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6D16D1D9"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lastRenderedPageBreak/>
              <w:t>Media Products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1F7D5869"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Growing media must not contain peat</w:t>
            </w:r>
          </w:p>
        </w:tc>
      </w:tr>
      <w:tr w:rsidR="007614C4" w:rsidRPr="007614C4" w14:paraId="14AC9F0E" w14:textId="77777777" w:rsidTr="00DC17CD">
        <w:trPr>
          <w:tblCellSpacing w:w="15"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1C2C2435"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Invasive non-native species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6475C252"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All products and services procured should comply with the latest version of the Horticultural Code of Practice covering invasive non-native plants </w:t>
            </w:r>
            <w:hyperlink r:id="rId8" w:history="1">
              <w:r w:rsidRPr="007614C4">
                <w:rPr>
                  <w:rStyle w:val="Hyperlink"/>
                  <w:rFonts w:ascii="Arial" w:hAnsi="Arial" w:cs="Arial"/>
                  <w:color w:val="000000" w:themeColor="text1"/>
                  <w:sz w:val="20"/>
                  <w:szCs w:val="20"/>
                </w:rPr>
                <w:t>https://secure.fera.defra.gov.uk/</w:t>
              </w:r>
              <w:r w:rsidRPr="007614C4">
                <w:rPr>
                  <w:rFonts w:ascii="Arial" w:hAnsi="Arial" w:cs="Arial"/>
                  <w:color w:val="000000" w:themeColor="text1"/>
                  <w:sz w:val="20"/>
                  <w:szCs w:val="20"/>
                </w:rPr>
                <w:br/>
              </w:r>
              <w:proofErr w:type="spellStart"/>
              <w:r w:rsidRPr="007614C4">
                <w:rPr>
                  <w:rStyle w:val="Hyperlink"/>
                  <w:rFonts w:ascii="Arial" w:hAnsi="Arial" w:cs="Arial"/>
                  <w:color w:val="000000" w:themeColor="text1"/>
                  <w:sz w:val="20"/>
                  <w:szCs w:val="20"/>
                </w:rPr>
                <w:t>nonnativespecies</w:t>
              </w:r>
              <w:proofErr w:type="spellEnd"/>
              <w:r w:rsidRPr="007614C4">
                <w:rPr>
                  <w:rStyle w:val="Hyperlink"/>
                  <w:rFonts w:ascii="Arial" w:hAnsi="Arial" w:cs="Arial"/>
                  <w:color w:val="000000" w:themeColor="text1"/>
                  <w:sz w:val="20"/>
                  <w:szCs w:val="20"/>
                </w:rPr>
                <w:t>/</w:t>
              </w:r>
              <w:proofErr w:type="spellStart"/>
              <w:r w:rsidRPr="007614C4">
                <w:rPr>
                  <w:rStyle w:val="Hyperlink"/>
                  <w:rFonts w:ascii="Arial" w:hAnsi="Arial" w:cs="Arial"/>
                  <w:color w:val="000000" w:themeColor="text1"/>
                  <w:sz w:val="20"/>
                  <w:szCs w:val="20"/>
                </w:rPr>
                <w:t>index.cfm?pageid</w:t>
              </w:r>
              <w:proofErr w:type="spellEnd"/>
              <w:r w:rsidRPr="007614C4">
                <w:rPr>
                  <w:rStyle w:val="Hyperlink"/>
                  <w:rFonts w:ascii="Arial" w:hAnsi="Arial" w:cs="Arial"/>
                  <w:color w:val="000000" w:themeColor="text1"/>
                  <w:sz w:val="20"/>
                  <w:szCs w:val="20"/>
                </w:rPr>
                <w:t>=299</w:t>
              </w:r>
            </w:hyperlink>
          </w:p>
        </w:tc>
      </w:tr>
      <w:tr w:rsidR="007614C4" w:rsidRPr="007614C4" w14:paraId="4F0F0B99" w14:textId="77777777" w:rsidTr="00DC17CD">
        <w:trPr>
          <w:tblCellSpacing w:w="15"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3D5E98B4"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Hazardous Substances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71150934"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Growing media should meet quality standards as set out in PAS100 and the Quality Protocol. See </w:t>
            </w:r>
            <w:hyperlink r:id="rId9" w:history="1">
              <w:r w:rsidRPr="007614C4">
                <w:rPr>
                  <w:rStyle w:val="Hyperlink"/>
                  <w:rFonts w:ascii="Arial" w:hAnsi="Arial" w:cs="Arial"/>
                  <w:color w:val="000000" w:themeColor="text1"/>
                  <w:sz w:val="20"/>
                  <w:szCs w:val="20"/>
                </w:rPr>
                <w:t>http://www.wrap.org.uk/content/bsi-pas-100-compost-specification</w:t>
              </w:r>
            </w:hyperlink>
          </w:p>
        </w:tc>
      </w:tr>
      <w:tr w:rsidR="007614C4" w:rsidRPr="007614C4" w14:paraId="7FB3F05A" w14:textId="77777777" w:rsidTr="00731F94">
        <w:trPr>
          <w:tblCellSpacing w:w="15" w:type="dxa"/>
        </w:trPr>
        <w:tc>
          <w:tcPr>
            <w:tcW w:w="0" w:type="auto"/>
            <w:tcBorders>
              <w:top w:val="nil"/>
              <w:left w:val="nil"/>
              <w:bottom w:val="nil"/>
              <w:right w:val="single" w:sz="6" w:space="0" w:color="BEB3D8"/>
            </w:tcBorders>
            <w:tcMar>
              <w:top w:w="48" w:type="dxa"/>
              <w:left w:w="45" w:type="dxa"/>
              <w:bottom w:w="48" w:type="dxa"/>
              <w:right w:w="45" w:type="dxa"/>
            </w:tcMar>
            <w:hideMark/>
          </w:tcPr>
          <w:p w14:paraId="0F3CC23A"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Plants</w:t>
            </w:r>
          </w:p>
        </w:tc>
        <w:tc>
          <w:tcPr>
            <w:tcW w:w="0" w:type="auto"/>
            <w:tcBorders>
              <w:top w:val="nil"/>
              <w:left w:val="nil"/>
              <w:bottom w:val="nil"/>
              <w:right w:val="single" w:sz="6" w:space="0" w:color="BEB3D8"/>
            </w:tcBorders>
            <w:tcMar>
              <w:top w:w="48" w:type="dxa"/>
              <w:left w:w="45" w:type="dxa"/>
              <w:bottom w:w="48" w:type="dxa"/>
              <w:right w:w="45" w:type="dxa"/>
            </w:tcMar>
            <w:hideMark/>
          </w:tcPr>
          <w:p w14:paraId="28F3F626"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From 2015 plants must not be supplied in or with growing media containing peat. It is accepted that a residual amount of peat may remain from its use in the original propagation of a plant. </w:t>
            </w:r>
          </w:p>
          <w:p w14:paraId="6BA3C33D" w14:textId="77777777" w:rsidR="00731F94" w:rsidRDefault="007614C4" w:rsidP="00DC17CD">
            <w:pPr>
              <w:spacing w:line="360" w:lineRule="atLeast"/>
              <w:rPr>
                <w:rFonts w:ascii="Arial" w:hAnsi="Arial" w:cs="Arial"/>
                <w:color w:val="000000" w:themeColor="text1"/>
                <w:sz w:val="20"/>
                <w:szCs w:val="20"/>
              </w:rPr>
            </w:pPr>
            <w:r w:rsidRPr="007614C4">
              <w:rPr>
                <w:rStyle w:val="Strong"/>
                <w:rFonts w:ascii="Arial" w:hAnsi="Arial" w:cs="Arial"/>
                <w:color w:val="000000" w:themeColor="text1"/>
                <w:sz w:val="20"/>
                <w:szCs w:val="20"/>
              </w:rPr>
              <w:t>Verification</w:t>
            </w:r>
            <w:r w:rsidRPr="007614C4">
              <w:rPr>
                <w:rFonts w:ascii="Arial" w:hAnsi="Arial" w:cs="Arial"/>
                <w:color w:val="000000" w:themeColor="text1"/>
                <w:sz w:val="20"/>
                <w:szCs w:val="20"/>
              </w:rPr>
              <w:t>: Bidders must provide a signed declaration that they will meet this criterion.</w:t>
            </w:r>
          </w:p>
          <w:p w14:paraId="3236E9CB" w14:textId="425901B8" w:rsidR="00731F94" w:rsidRPr="007614C4" w:rsidRDefault="00731F94" w:rsidP="00DC17CD">
            <w:pPr>
              <w:spacing w:line="360" w:lineRule="atLeast"/>
              <w:rPr>
                <w:rFonts w:ascii="Arial" w:hAnsi="Arial" w:cs="Arial"/>
                <w:color w:val="000000" w:themeColor="text1"/>
                <w:sz w:val="20"/>
                <w:szCs w:val="20"/>
              </w:rPr>
            </w:pPr>
          </w:p>
        </w:tc>
      </w:tr>
      <w:tr w:rsidR="00731F94" w:rsidRPr="007614C4" w14:paraId="079BBA03" w14:textId="77777777" w:rsidTr="00731F94">
        <w:trPr>
          <w:trHeight w:val="503"/>
          <w:tblCellSpacing w:w="15"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tcPr>
          <w:p w14:paraId="1CBF4659" w14:textId="77777777" w:rsidR="00731F94" w:rsidRDefault="00731F94" w:rsidP="00DC17CD">
            <w:pPr>
              <w:spacing w:line="360" w:lineRule="atLeast"/>
              <w:rPr>
                <w:rFonts w:ascii="Arial" w:hAnsi="Arial" w:cs="Arial"/>
                <w:color w:val="000000" w:themeColor="text1"/>
                <w:sz w:val="20"/>
                <w:szCs w:val="20"/>
              </w:rPr>
            </w:pPr>
          </w:p>
          <w:p w14:paraId="543A8D37" w14:textId="77777777" w:rsidR="00731F94" w:rsidRDefault="00731F94" w:rsidP="00DC17CD">
            <w:pPr>
              <w:spacing w:line="360" w:lineRule="atLeast"/>
              <w:rPr>
                <w:sz w:val="20"/>
                <w:szCs w:val="20"/>
              </w:rPr>
            </w:pPr>
          </w:p>
          <w:p w14:paraId="5B669838" w14:textId="70FA7A81" w:rsidR="00731F94" w:rsidRPr="007614C4" w:rsidRDefault="00731F94" w:rsidP="00DC17CD">
            <w:pPr>
              <w:spacing w:line="360" w:lineRule="atLeast"/>
              <w:rPr>
                <w:rFonts w:ascii="Arial" w:hAnsi="Arial" w:cs="Arial"/>
                <w:color w:val="000000" w:themeColor="text1"/>
                <w:sz w:val="20"/>
                <w:szCs w:val="20"/>
              </w:rPr>
            </w:pPr>
          </w:p>
        </w:tc>
        <w:tc>
          <w:tcPr>
            <w:tcW w:w="0" w:type="auto"/>
            <w:tcBorders>
              <w:top w:val="nil"/>
              <w:left w:val="nil"/>
              <w:bottom w:val="single" w:sz="6" w:space="0" w:color="BEB3D8"/>
              <w:right w:val="single" w:sz="6" w:space="0" w:color="BEB3D8"/>
            </w:tcBorders>
            <w:tcMar>
              <w:top w:w="48" w:type="dxa"/>
              <w:left w:w="45" w:type="dxa"/>
              <w:bottom w:w="48" w:type="dxa"/>
              <w:right w:w="45" w:type="dxa"/>
            </w:tcMar>
          </w:tcPr>
          <w:p w14:paraId="09EA967C" w14:textId="77777777" w:rsidR="00731F94" w:rsidRPr="007614C4" w:rsidRDefault="00731F94" w:rsidP="00DC17CD">
            <w:pPr>
              <w:spacing w:line="360" w:lineRule="atLeast"/>
              <w:rPr>
                <w:rFonts w:ascii="Arial" w:hAnsi="Arial" w:cs="Arial"/>
                <w:color w:val="000000" w:themeColor="text1"/>
                <w:sz w:val="20"/>
                <w:szCs w:val="20"/>
              </w:rPr>
            </w:pPr>
          </w:p>
        </w:tc>
      </w:tr>
    </w:tbl>
    <w:p w14:paraId="3518A435" w14:textId="77777777" w:rsidR="007614C4" w:rsidRPr="007614C4" w:rsidRDefault="007614C4" w:rsidP="007614C4">
      <w:pPr>
        <w:shd w:val="clear" w:color="auto" w:fill="FFFFFF"/>
        <w:rPr>
          <w:rFonts w:ascii="Arial" w:hAnsi="Arial" w:cs="Arial"/>
          <w:vanish/>
          <w:color w:val="000000" w:themeColor="text1"/>
          <w:sz w:val="19"/>
          <w:szCs w:val="19"/>
          <w:lang w:val="en-US"/>
        </w:rPr>
      </w:pPr>
    </w:p>
    <w:tbl>
      <w:tblPr>
        <w:tblW w:w="5000" w:type="pct"/>
        <w:tblCellSpacing w:w="15" w:type="dxa"/>
        <w:tblBorders>
          <w:top w:val="single" w:sz="6" w:space="0" w:color="BEB3D8"/>
          <w:left w:val="single" w:sz="6" w:space="0" w:color="BEB3D8"/>
        </w:tblBorders>
        <w:tblCellMar>
          <w:left w:w="0" w:type="dxa"/>
          <w:right w:w="0" w:type="dxa"/>
        </w:tblCellMar>
        <w:tblLook w:val="04A0" w:firstRow="1" w:lastRow="0" w:firstColumn="1" w:lastColumn="0" w:noHBand="0" w:noVBand="1"/>
      </w:tblPr>
      <w:tblGrid>
        <w:gridCol w:w="2166"/>
        <w:gridCol w:w="11784"/>
      </w:tblGrid>
      <w:tr w:rsidR="007614C4" w:rsidRPr="007614C4" w14:paraId="60005E76" w14:textId="77777777" w:rsidTr="007614C4">
        <w:trPr>
          <w:tblCellSpacing w:w="15" w:type="dxa"/>
        </w:trPr>
        <w:tc>
          <w:tcPr>
            <w:tcW w:w="757" w:type="pct"/>
            <w:tcBorders>
              <w:top w:val="outset" w:sz="6" w:space="0" w:color="auto"/>
              <w:left w:val="outset" w:sz="6" w:space="0" w:color="auto"/>
              <w:bottom w:val="nil"/>
              <w:right w:val="nil"/>
            </w:tcBorders>
            <w:shd w:val="clear" w:color="auto" w:fill="BFBFBF"/>
            <w:tcMar>
              <w:top w:w="120" w:type="dxa"/>
              <w:left w:w="45" w:type="dxa"/>
              <w:bottom w:w="120" w:type="dxa"/>
              <w:right w:w="45" w:type="dxa"/>
            </w:tcMar>
            <w:hideMark/>
          </w:tcPr>
          <w:p w14:paraId="0D60544F" w14:textId="64BFA5F3" w:rsidR="007614C4" w:rsidRPr="007614C4" w:rsidRDefault="007614C4" w:rsidP="00DC17CD">
            <w:pPr>
              <w:spacing w:before="240" w:after="240"/>
              <w:rPr>
                <w:rFonts w:ascii="Arial" w:hAnsi="Arial" w:cs="Arial"/>
                <w:b/>
                <w:bCs/>
                <w:color w:val="000000" w:themeColor="text1"/>
                <w:sz w:val="19"/>
                <w:szCs w:val="19"/>
              </w:rPr>
            </w:pPr>
            <w:r w:rsidRPr="007614C4">
              <w:rPr>
                <w:rStyle w:val="Strong"/>
                <w:rFonts w:ascii="Arial" w:hAnsi="Arial" w:cs="Arial"/>
                <w:color w:val="000000" w:themeColor="text1"/>
                <w:sz w:val="19"/>
                <w:szCs w:val="19"/>
              </w:rPr>
              <w:t>IMPACT AREA</w:t>
            </w:r>
          </w:p>
        </w:tc>
        <w:tc>
          <w:tcPr>
            <w:tcW w:w="4193" w:type="pct"/>
            <w:tcBorders>
              <w:top w:val="outset" w:sz="6" w:space="0" w:color="auto"/>
              <w:left w:val="outset" w:sz="6" w:space="0" w:color="auto"/>
              <w:bottom w:val="nil"/>
              <w:right w:val="nil"/>
            </w:tcBorders>
            <w:shd w:val="clear" w:color="auto" w:fill="BFBFBF"/>
            <w:tcMar>
              <w:top w:w="120" w:type="dxa"/>
              <w:left w:w="45" w:type="dxa"/>
              <w:bottom w:w="120" w:type="dxa"/>
              <w:right w:w="45" w:type="dxa"/>
            </w:tcMar>
            <w:hideMark/>
          </w:tcPr>
          <w:p w14:paraId="438F0003" w14:textId="77777777" w:rsidR="007614C4" w:rsidRPr="007614C4" w:rsidRDefault="007614C4" w:rsidP="00DC17CD">
            <w:pPr>
              <w:spacing w:before="240" w:after="240"/>
              <w:rPr>
                <w:rFonts w:ascii="Arial" w:hAnsi="Arial" w:cs="Arial"/>
                <w:b/>
                <w:bCs/>
                <w:color w:val="000000" w:themeColor="text1"/>
                <w:sz w:val="19"/>
                <w:szCs w:val="19"/>
              </w:rPr>
            </w:pPr>
            <w:r w:rsidRPr="007614C4">
              <w:rPr>
                <w:rStyle w:val="Strong"/>
                <w:rFonts w:ascii="Arial" w:hAnsi="Arial" w:cs="Arial"/>
                <w:color w:val="000000" w:themeColor="text1"/>
                <w:sz w:val="19"/>
                <w:szCs w:val="19"/>
              </w:rPr>
              <w:t>BEST PRACTICE/How Landscape Contractors can ensure compliance with the Government Buying Standards</w:t>
            </w:r>
          </w:p>
        </w:tc>
      </w:tr>
      <w:tr w:rsidR="007614C4" w:rsidRPr="007614C4" w14:paraId="23E3C4C1" w14:textId="77777777" w:rsidTr="007614C4">
        <w:trPr>
          <w:tblCellSpacing w:w="15" w:type="dxa"/>
        </w:trPr>
        <w:tc>
          <w:tcPr>
            <w:tcW w:w="757" w:type="pct"/>
            <w:tcBorders>
              <w:top w:val="nil"/>
              <w:left w:val="nil"/>
              <w:bottom w:val="single" w:sz="6" w:space="0" w:color="BEB3D8"/>
              <w:right w:val="single" w:sz="6" w:space="0" w:color="BEB3D8"/>
            </w:tcBorders>
            <w:tcMar>
              <w:top w:w="48" w:type="dxa"/>
              <w:left w:w="45" w:type="dxa"/>
              <w:bottom w:w="48" w:type="dxa"/>
              <w:right w:w="45" w:type="dxa"/>
            </w:tcMar>
            <w:hideMark/>
          </w:tcPr>
          <w:p w14:paraId="0934B9E0"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Organic Ingredients</w:t>
            </w:r>
          </w:p>
        </w:tc>
        <w:tc>
          <w:tcPr>
            <w:tcW w:w="4193" w:type="pct"/>
            <w:tcBorders>
              <w:top w:val="nil"/>
              <w:left w:val="nil"/>
              <w:bottom w:val="single" w:sz="6" w:space="0" w:color="BEB3D8"/>
              <w:right w:val="single" w:sz="6" w:space="0" w:color="BEB3D8"/>
            </w:tcBorders>
            <w:tcMar>
              <w:top w:w="48" w:type="dxa"/>
              <w:left w:w="45" w:type="dxa"/>
              <w:bottom w:w="48" w:type="dxa"/>
              <w:right w:w="45" w:type="dxa"/>
            </w:tcMar>
            <w:hideMark/>
          </w:tcPr>
          <w:p w14:paraId="46CB7428" w14:textId="77777777" w:rsidR="007614C4" w:rsidRPr="007614C4" w:rsidRDefault="007614C4" w:rsidP="00DC17CD">
            <w:pPr>
              <w:spacing w:before="100" w:beforeAutospacing="1" w:after="150" w:line="360" w:lineRule="atLeast"/>
              <w:rPr>
                <w:rFonts w:ascii="Arial" w:hAnsi="Arial" w:cs="Arial"/>
                <w:color w:val="000000" w:themeColor="text1"/>
                <w:sz w:val="20"/>
                <w:szCs w:val="20"/>
              </w:rPr>
            </w:pPr>
            <w:r w:rsidRPr="007614C4">
              <w:rPr>
                <w:rFonts w:ascii="Arial" w:hAnsi="Arial" w:cs="Arial"/>
                <w:color w:val="000000" w:themeColor="text1"/>
                <w:sz w:val="20"/>
                <w:szCs w:val="20"/>
              </w:rPr>
              <w:t>Organic matter content must be derived from the processing and/or re-use of waste (as defined in Council Directive 2006/12/EC of 5 April 2006 on waste and its Annex I</w:t>
            </w:r>
            <w:proofErr w:type="gramStart"/>
            <w:r w:rsidRPr="007614C4">
              <w:rPr>
                <w:rFonts w:ascii="Arial" w:hAnsi="Arial" w:cs="Arial"/>
                <w:color w:val="000000" w:themeColor="text1"/>
                <w:sz w:val="20"/>
                <w:szCs w:val="20"/>
              </w:rPr>
              <w:t>);</w:t>
            </w:r>
            <w:proofErr w:type="gramEnd"/>
          </w:p>
          <w:p w14:paraId="0633FBB3" w14:textId="77777777" w:rsidR="007614C4" w:rsidRPr="007614C4" w:rsidRDefault="007614C4" w:rsidP="00DC17CD">
            <w:pPr>
              <w:spacing w:before="100" w:beforeAutospacing="1" w:after="150"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(Non-sewage) sludges are allowed only if they are identified as one of the following wastes according to the European list of wastes (as defined by Commission Decision 2001/118/EC of 16 January 2001amending Decision 2000/532/EC as regards the list of wastes and when these have not been mixed with effluents or sludge outside the specific production process): </w:t>
            </w:r>
          </w:p>
          <w:p w14:paraId="134BBB5A" w14:textId="77777777" w:rsidR="007614C4" w:rsidRPr="007614C4" w:rsidRDefault="007614C4" w:rsidP="00DC17CD">
            <w:pPr>
              <w:spacing w:before="100" w:beforeAutospacing="1" w:after="30" w:line="360" w:lineRule="atLeast"/>
              <w:rPr>
                <w:rFonts w:ascii="Arial" w:hAnsi="Arial" w:cs="Arial"/>
                <w:color w:val="000000" w:themeColor="text1"/>
                <w:sz w:val="19"/>
                <w:szCs w:val="19"/>
              </w:rPr>
            </w:pPr>
            <w:r w:rsidRPr="007614C4">
              <w:rPr>
                <w:rFonts w:ascii="Arial" w:hAnsi="Arial" w:cs="Arial"/>
                <w:color w:val="000000" w:themeColor="text1"/>
                <w:sz w:val="19"/>
                <w:szCs w:val="19"/>
              </w:rPr>
              <w:t xml:space="preserve">020305 sludges from on-site effluent treatment in the preparation and processing of fruit, vegetables, cereals, edible oils, cocoa, coffee, tea and tobacco; conserve production; yeast and yeast extract production, molasses preparation and </w:t>
            </w:r>
            <w:proofErr w:type="gramStart"/>
            <w:r w:rsidRPr="007614C4">
              <w:rPr>
                <w:rFonts w:ascii="Arial" w:hAnsi="Arial" w:cs="Arial"/>
                <w:color w:val="000000" w:themeColor="text1"/>
                <w:sz w:val="19"/>
                <w:szCs w:val="19"/>
              </w:rPr>
              <w:t>fermentation;</w:t>
            </w:r>
            <w:proofErr w:type="gramEnd"/>
          </w:p>
          <w:p w14:paraId="5B5F1D72" w14:textId="77777777" w:rsidR="007614C4" w:rsidRPr="007614C4" w:rsidRDefault="007614C4" w:rsidP="00DC17CD">
            <w:pPr>
              <w:spacing w:before="100" w:beforeAutospacing="1" w:after="30" w:line="360" w:lineRule="atLeast"/>
              <w:rPr>
                <w:rFonts w:ascii="Arial" w:hAnsi="Arial" w:cs="Arial"/>
                <w:color w:val="000000" w:themeColor="text1"/>
                <w:sz w:val="19"/>
                <w:szCs w:val="19"/>
              </w:rPr>
            </w:pPr>
            <w:r w:rsidRPr="007614C4">
              <w:rPr>
                <w:rFonts w:ascii="Arial" w:hAnsi="Arial" w:cs="Arial"/>
                <w:color w:val="000000" w:themeColor="text1"/>
                <w:sz w:val="19"/>
                <w:szCs w:val="19"/>
              </w:rPr>
              <w:t xml:space="preserve">020403 sludges from on-site effluent treatment in sugar </w:t>
            </w:r>
            <w:proofErr w:type="gramStart"/>
            <w:r w:rsidRPr="007614C4">
              <w:rPr>
                <w:rFonts w:ascii="Arial" w:hAnsi="Arial" w:cs="Arial"/>
                <w:color w:val="000000" w:themeColor="text1"/>
                <w:sz w:val="19"/>
                <w:szCs w:val="19"/>
              </w:rPr>
              <w:t>processing;</w:t>
            </w:r>
            <w:proofErr w:type="gramEnd"/>
          </w:p>
          <w:p w14:paraId="6AF98FA1" w14:textId="77777777" w:rsidR="007614C4" w:rsidRPr="007614C4" w:rsidRDefault="007614C4" w:rsidP="00DC17CD">
            <w:pPr>
              <w:spacing w:before="100" w:beforeAutospacing="1" w:after="30" w:line="360" w:lineRule="atLeast"/>
              <w:rPr>
                <w:rFonts w:ascii="Arial" w:hAnsi="Arial" w:cs="Arial"/>
                <w:color w:val="000000" w:themeColor="text1"/>
                <w:sz w:val="19"/>
                <w:szCs w:val="19"/>
              </w:rPr>
            </w:pPr>
            <w:r w:rsidRPr="007614C4">
              <w:rPr>
                <w:rFonts w:ascii="Arial" w:hAnsi="Arial" w:cs="Arial"/>
                <w:color w:val="000000" w:themeColor="text1"/>
                <w:sz w:val="19"/>
                <w:szCs w:val="19"/>
              </w:rPr>
              <w:t xml:space="preserve">020502 sludges from on-site effluent treatment in dairy products </w:t>
            </w:r>
            <w:proofErr w:type="gramStart"/>
            <w:r w:rsidRPr="007614C4">
              <w:rPr>
                <w:rFonts w:ascii="Arial" w:hAnsi="Arial" w:cs="Arial"/>
                <w:color w:val="000000" w:themeColor="text1"/>
                <w:sz w:val="19"/>
                <w:szCs w:val="19"/>
              </w:rPr>
              <w:t>industry;</w:t>
            </w:r>
            <w:proofErr w:type="gramEnd"/>
          </w:p>
          <w:p w14:paraId="0307FEF1" w14:textId="77777777" w:rsidR="007614C4" w:rsidRPr="007614C4" w:rsidRDefault="007614C4" w:rsidP="00DC17CD">
            <w:pPr>
              <w:spacing w:before="100" w:beforeAutospacing="1" w:after="30" w:line="360" w:lineRule="atLeast"/>
              <w:rPr>
                <w:rFonts w:ascii="Arial" w:hAnsi="Arial" w:cs="Arial"/>
                <w:color w:val="000000" w:themeColor="text1"/>
                <w:sz w:val="19"/>
                <w:szCs w:val="19"/>
              </w:rPr>
            </w:pPr>
            <w:r w:rsidRPr="007614C4">
              <w:rPr>
                <w:rFonts w:ascii="Arial" w:hAnsi="Arial" w:cs="Arial"/>
                <w:color w:val="000000" w:themeColor="text1"/>
                <w:sz w:val="19"/>
                <w:szCs w:val="19"/>
              </w:rPr>
              <w:lastRenderedPageBreak/>
              <w:t xml:space="preserve">020603 sludges from on-site effluent treatment in baking and confectionery </w:t>
            </w:r>
            <w:proofErr w:type="gramStart"/>
            <w:r w:rsidRPr="007614C4">
              <w:rPr>
                <w:rFonts w:ascii="Arial" w:hAnsi="Arial" w:cs="Arial"/>
                <w:color w:val="000000" w:themeColor="text1"/>
                <w:sz w:val="19"/>
                <w:szCs w:val="19"/>
              </w:rPr>
              <w:t>industry;</w:t>
            </w:r>
            <w:proofErr w:type="gramEnd"/>
          </w:p>
          <w:p w14:paraId="64CC02F2" w14:textId="77777777" w:rsidR="007614C4" w:rsidRPr="007614C4" w:rsidRDefault="007614C4" w:rsidP="00DC17CD">
            <w:pPr>
              <w:spacing w:before="100" w:beforeAutospacing="1" w:after="30" w:line="360" w:lineRule="atLeast"/>
              <w:rPr>
                <w:rFonts w:ascii="Arial" w:hAnsi="Arial" w:cs="Arial"/>
                <w:color w:val="000000" w:themeColor="text1"/>
                <w:sz w:val="19"/>
                <w:szCs w:val="19"/>
              </w:rPr>
            </w:pPr>
            <w:r w:rsidRPr="007614C4">
              <w:rPr>
                <w:rFonts w:ascii="Arial" w:hAnsi="Arial" w:cs="Arial"/>
                <w:color w:val="000000" w:themeColor="text1"/>
                <w:sz w:val="19"/>
                <w:szCs w:val="19"/>
              </w:rPr>
              <w:t xml:space="preserve">020705 sludges from on-site effluent treatment in the production of alcoholic and non-alcoholic beverages (except coffee, </w:t>
            </w:r>
            <w:proofErr w:type="gramStart"/>
            <w:r w:rsidRPr="007614C4">
              <w:rPr>
                <w:rFonts w:ascii="Arial" w:hAnsi="Arial" w:cs="Arial"/>
                <w:color w:val="000000" w:themeColor="text1"/>
                <w:sz w:val="19"/>
                <w:szCs w:val="19"/>
              </w:rPr>
              <w:t>tea</w:t>
            </w:r>
            <w:proofErr w:type="gramEnd"/>
            <w:r w:rsidRPr="007614C4">
              <w:rPr>
                <w:rFonts w:ascii="Arial" w:hAnsi="Arial" w:cs="Arial"/>
                <w:color w:val="000000" w:themeColor="text1"/>
                <w:sz w:val="19"/>
                <w:szCs w:val="19"/>
              </w:rPr>
              <w:t xml:space="preserve"> and cocoa).</w:t>
            </w:r>
          </w:p>
          <w:p w14:paraId="0199DBE1"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Maximum concentrations of heavy metals in the waste before treatment (mg/kg dry weight) must meet the requirements of the next criterion on hazardous substances.</w:t>
            </w:r>
          </w:p>
          <w:p w14:paraId="069508AE" w14:textId="77777777" w:rsidR="007614C4" w:rsidRPr="007614C4" w:rsidRDefault="007614C4" w:rsidP="00DC17CD">
            <w:pPr>
              <w:spacing w:line="360" w:lineRule="atLeast"/>
              <w:rPr>
                <w:rFonts w:ascii="Arial" w:hAnsi="Arial" w:cs="Arial"/>
                <w:color w:val="000000" w:themeColor="text1"/>
                <w:sz w:val="20"/>
                <w:szCs w:val="20"/>
              </w:rPr>
            </w:pPr>
            <w:r w:rsidRPr="007614C4">
              <w:rPr>
                <w:rStyle w:val="Strong"/>
                <w:rFonts w:ascii="Arial" w:hAnsi="Arial" w:cs="Arial"/>
                <w:color w:val="000000" w:themeColor="text1"/>
                <w:sz w:val="20"/>
                <w:szCs w:val="20"/>
              </w:rPr>
              <w:t xml:space="preserve">Verification (for specifications 1 &amp; 2): </w:t>
            </w:r>
            <w:r w:rsidRPr="007614C4">
              <w:rPr>
                <w:rFonts w:ascii="Arial" w:hAnsi="Arial" w:cs="Arial"/>
                <w:color w:val="000000" w:themeColor="text1"/>
                <w:sz w:val="20"/>
                <w:szCs w:val="20"/>
              </w:rPr>
              <w:br/>
              <w:t>Bidders must provide the detailed composition of the product, the origin of organic matter and a declaration of compliance with the above requirements. Products carrying the EU Ecolabel will be deemed to comply. Other appropriate means of proof, such as a technical dossier of the manufacturer or a test report of an independent body, will also be accepted.</w:t>
            </w:r>
          </w:p>
          <w:p w14:paraId="1E7AA8B2" w14:textId="77777777" w:rsidR="007614C4" w:rsidRPr="007614C4" w:rsidRDefault="007614C4" w:rsidP="00DC17CD">
            <w:pPr>
              <w:spacing w:before="100" w:beforeAutospacing="1" w:after="150" w:line="360" w:lineRule="atLeast"/>
              <w:rPr>
                <w:rStyle w:val="Strong"/>
                <w:rFonts w:ascii="Arial" w:hAnsi="Arial" w:cs="Arial"/>
                <w:color w:val="000000" w:themeColor="text1"/>
                <w:sz w:val="20"/>
                <w:szCs w:val="20"/>
              </w:rPr>
            </w:pPr>
            <w:r w:rsidRPr="007614C4">
              <w:rPr>
                <w:rStyle w:val="Strong"/>
                <w:rFonts w:ascii="Arial" w:hAnsi="Arial" w:cs="Arial"/>
                <w:color w:val="000000" w:themeColor="text1"/>
                <w:sz w:val="20"/>
                <w:szCs w:val="20"/>
              </w:rPr>
              <w:t>Hazardous substances:</w:t>
            </w:r>
          </w:p>
          <w:p w14:paraId="62A67D73" w14:textId="77777777" w:rsidR="007614C4" w:rsidRPr="007614C4" w:rsidRDefault="007614C4" w:rsidP="00DC17CD">
            <w:pPr>
              <w:spacing w:before="100" w:beforeAutospacing="1" w:after="150"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In the final product, the content of the following elements shall be lower than the values shown below, measured in terms of dry weight: </w:t>
            </w:r>
          </w:p>
          <w:p w14:paraId="28279BF4" w14:textId="77777777" w:rsidR="007614C4" w:rsidRPr="007614C4" w:rsidRDefault="007614C4" w:rsidP="00DC17CD">
            <w:pPr>
              <w:spacing w:after="100" w:afterAutospacing="1" w:line="360" w:lineRule="atLeast"/>
              <w:rPr>
                <w:rFonts w:ascii="Arial" w:hAnsi="Arial" w:cs="Arial"/>
                <w:color w:val="000000" w:themeColor="text1"/>
                <w:sz w:val="20"/>
                <w:szCs w:val="20"/>
              </w:rPr>
            </w:pPr>
            <w:r w:rsidRPr="007614C4">
              <w:rPr>
                <w:rStyle w:val="Strong"/>
                <w:rFonts w:ascii="Arial" w:hAnsi="Arial" w:cs="Arial"/>
                <w:color w:val="000000" w:themeColor="text1"/>
                <w:sz w:val="20"/>
                <w:szCs w:val="20"/>
              </w:rPr>
              <w:t>Element – mg/kg (dry weight)</w:t>
            </w:r>
            <w:r w:rsidRPr="007614C4">
              <w:rPr>
                <w:rFonts w:ascii="Arial" w:hAnsi="Arial" w:cs="Arial"/>
                <w:color w:val="000000" w:themeColor="text1"/>
                <w:sz w:val="20"/>
                <w:szCs w:val="20"/>
              </w:rPr>
              <w:br/>
              <w:t>Zn – 300; Cr – 100; Cu – 100; Mo (*) – 2; Ni – 50; Se (*) – 1.5; Cd – 1; As (*) – 10; Pb – 100; F (*) – 200; Hg – 1</w:t>
            </w:r>
          </w:p>
          <w:p w14:paraId="1296A27B" w14:textId="77777777" w:rsidR="007614C4" w:rsidRPr="007614C4" w:rsidRDefault="007614C4" w:rsidP="00DC17CD">
            <w:pPr>
              <w:spacing w:line="360" w:lineRule="atLeast"/>
              <w:rPr>
                <w:rFonts w:ascii="Arial" w:hAnsi="Arial" w:cs="Arial"/>
                <w:color w:val="000000" w:themeColor="text1"/>
                <w:sz w:val="20"/>
                <w:szCs w:val="20"/>
              </w:rPr>
            </w:pPr>
            <w:r w:rsidRPr="007614C4">
              <w:rPr>
                <w:rStyle w:val="Strong"/>
                <w:rFonts w:ascii="Arial" w:hAnsi="Arial" w:cs="Arial"/>
                <w:color w:val="000000" w:themeColor="text1"/>
                <w:sz w:val="20"/>
                <w:szCs w:val="20"/>
              </w:rPr>
              <w:t>Verification:</w:t>
            </w:r>
            <w:r w:rsidRPr="007614C4">
              <w:rPr>
                <w:rFonts w:ascii="Arial" w:hAnsi="Arial" w:cs="Arial"/>
                <w:color w:val="000000" w:themeColor="text1"/>
                <w:sz w:val="20"/>
                <w:szCs w:val="20"/>
              </w:rPr>
              <w:br/>
              <w:t>Bidders must provide the relevant test reports (EN 13650, ISO 16772 or equivalent) demonstrating that the above criterion is met. Products carrying the EU Ecolabel will be deemed to comply. Other appropriate means of proof, such as a technical dossier of the manufacturer or a test report of an independent body, will also be accepted.</w:t>
            </w:r>
          </w:p>
          <w:p w14:paraId="37E3FD0F" w14:textId="77777777" w:rsidR="007614C4" w:rsidRPr="007614C4" w:rsidRDefault="007614C4" w:rsidP="00DC17CD">
            <w:pPr>
              <w:spacing w:before="100" w:beforeAutospacing="1" w:after="150" w:line="360" w:lineRule="atLeast"/>
              <w:rPr>
                <w:rFonts w:ascii="Arial" w:hAnsi="Arial" w:cs="Arial"/>
                <w:color w:val="000000" w:themeColor="text1"/>
                <w:sz w:val="20"/>
                <w:szCs w:val="20"/>
              </w:rPr>
            </w:pPr>
            <w:r w:rsidRPr="007614C4">
              <w:rPr>
                <w:rStyle w:val="Strong"/>
                <w:rFonts w:ascii="Arial" w:hAnsi="Arial" w:cs="Arial"/>
                <w:color w:val="000000" w:themeColor="text1"/>
                <w:sz w:val="20"/>
                <w:szCs w:val="20"/>
              </w:rPr>
              <w:t>The Ecological requirements</w:t>
            </w:r>
            <w:r w:rsidRPr="007614C4">
              <w:rPr>
                <w:rFonts w:ascii="Arial" w:hAnsi="Arial" w:cs="Arial"/>
                <w:color w:val="000000" w:themeColor="text1"/>
                <w:sz w:val="20"/>
                <w:szCs w:val="20"/>
              </w:rPr>
              <w:t xml:space="preserve"> for the EU Ecolabel for soil improvers must be met – see </w:t>
            </w:r>
            <w:hyperlink r:id="rId10" w:tooltip="Link to PDF file" w:history="1">
              <w:r w:rsidRPr="007614C4">
                <w:rPr>
                  <w:rStyle w:val="Hyperlink"/>
                  <w:rFonts w:ascii="Arial" w:hAnsi="Arial" w:cs="Arial"/>
                  <w:color w:val="000000" w:themeColor="text1"/>
                  <w:sz w:val="20"/>
                  <w:szCs w:val="20"/>
                </w:rPr>
                <w:t>full criteria documents</w:t>
              </w:r>
            </w:hyperlink>
            <w:r w:rsidRPr="007614C4">
              <w:rPr>
                <w:rFonts w:ascii="Arial" w:hAnsi="Arial" w:cs="Arial"/>
                <w:color w:val="000000" w:themeColor="text1"/>
                <w:sz w:val="20"/>
                <w:szCs w:val="20"/>
              </w:rPr>
              <w:t xml:space="preserve"> (pdf).</w:t>
            </w:r>
          </w:p>
          <w:p w14:paraId="40700104" w14:textId="77777777" w:rsidR="007614C4" w:rsidRPr="007614C4" w:rsidRDefault="007614C4" w:rsidP="00DC17CD">
            <w:pPr>
              <w:spacing w:before="100" w:beforeAutospacing="1" w:after="150" w:line="360" w:lineRule="atLeast"/>
              <w:rPr>
                <w:rFonts w:ascii="Arial" w:hAnsi="Arial" w:cs="Arial"/>
                <w:color w:val="000000" w:themeColor="text1"/>
                <w:sz w:val="20"/>
                <w:szCs w:val="20"/>
              </w:rPr>
            </w:pPr>
            <w:r w:rsidRPr="007614C4">
              <w:rPr>
                <w:rStyle w:val="Strong"/>
                <w:rFonts w:ascii="Arial" w:hAnsi="Arial" w:cs="Arial"/>
                <w:color w:val="000000" w:themeColor="text1"/>
                <w:sz w:val="20"/>
                <w:szCs w:val="20"/>
              </w:rPr>
              <w:t xml:space="preserve">Verification: </w:t>
            </w:r>
            <w:r w:rsidRPr="007614C4">
              <w:rPr>
                <w:rFonts w:ascii="Arial" w:hAnsi="Arial" w:cs="Arial"/>
                <w:color w:val="000000" w:themeColor="text1"/>
                <w:sz w:val="20"/>
                <w:szCs w:val="20"/>
              </w:rPr>
              <w:br/>
              <w:t>The EU Ecolabel will be accepted as proof of compliance, as will any other appropriate means of proof, such as a technical dossier of the manufacturer or a test report from a recognised body.</w:t>
            </w:r>
          </w:p>
        </w:tc>
      </w:tr>
      <w:tr w:rsidR="007614C4" w:rsidRPr="007614C4" w14:paraId="57A711A2" w14:textId="77777777" w:rsidTr="007614C4">
        <w:trPr>
          <w:tblCellSpacing w:w="15" w:type="dxa"/>
        </w:trPr>
        <w:tc>
          <w:tcPr>
            <w:tcW w:w="757" w:type="pct"/>
            <w:tcBorders>
              <w:top w:val="nil"/>
              <w:left w:val="nil"/>
              <w:bottom w:val="single" w:sz="6" w:space="0" w:color="BEB3D8"/>
              <w:right w:val="single" w:sz="6" w:space="0" w:color="BEB3D8"/>
            </w:tcBorders>
            <w:tcMar>
              <w:top w:w="48" w:type="dxa"/>
              <w:left w:w="45" w:type="dxa"/>
              <w:bottom w:w="48" w:type="dxa"/>
              <w:right w:w="45" w:type="dxa"/>
            </w:tcMar>
            <w:hideMark/>
          </w:tcPr>
          <w:p w14:paraId="73FFF2D5"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lastRenderedPageBreak/>
              <w:t>Ornamental Plants</w:t>
            </w:r>
          </w:p>
        </w:tc>
        <w:tc>
          <w:tcPr>
            <w:tcW w:w="4193" w:type="pct"/>
            <w:tcBorders>
              <w:top w:val="nil"/>
              <w:left w:val="nil"/>
              <w:bottom w:val="single" w:sz="6" w:space="0" w:color="BEB3D8"/>
              <w:right w:val="single" w:sz="6" w:space="0" w:color="BEB3D8"/>
            </w:tcBorders>
            <w:tcMar>
              <w:top w:w="48" w:type="dxa"/>
              <w:left w:w="45" w:type="dxa"/>
              <w:bottom w:w="48" w:type="dxa"/>
              <w:right w:w="45" w:type="dxa"/>
            </w:tcMar>
            <w:hideMark/>
          </w:tcPr>
          <w:p w14:paraId="3D13C399" w14:textId="77777777" w:rsidR="007614C4" w:rsidRPr="007614C4" w:rsidRDefault="007614C4" w:rsidP="00DC17CD">
            <w:pPr>
              <w:spacing w:before="100" w:beforeAutospacing="1" w:after="150" w:line="360" w:lineRule="atLeast"/>
              <w:rPr>
                <w:rFonts w:ascii="Arial" w:hAnsi="Arial" w:cs="Arial"/>
                <w:color w:val="000000" w:themeColor="text1"/>
                <w:sz w:val="20"/>
                <w:szCs w:val="20"/>
              </w:rPr>
            </w:pPr>
            <w:r w:rsidRPr="007614C4">
              <w:rPr>
                <w:rStyle w:val="Strong"/>
                <w:rFonts w:ascii="Arial" w:hAnsi="Arial" w:cs="Arial"/>
                <w:color w:val="000000" w:themeColor="text1"/>
                <w:sz w:val="20"/>
                <w:szCs w:val="20"/>
              </w:rPr>
              <w:t>Plant containers</w:t>
            </w:r>
            <w:r w:rsidRPr="007614C4">
              <w:rPr>
                <w:rFonts w:ascii="Arial" w:hAnsi="Arial" w:cs="Arial"/>
                <w:color w:val="000000" w:themeColor="text1"/>
                <w:sz w:val="20"/>
                <w:szCs w:val="20"/>
              </w:rPr>
              <w:br/>
              <w:t xml:space="preserve">Plants must be delivered in reusable, recyclable or biodegradable containers. If plant containers are reusable, the company must take them back after the planting of the plants/trees. If plant containers are biodegradable, they must: </w:t>
            </w:r>
          </w:p>
          <w:p w14:paraId="3A43A5EA" w14:textId="77777777" w:rsidR="007614C4" w:rsidRPr="007614C4" w:rsidRDefault="007614C4" w:rsidP="007614C4">
            <w:pPr>
              <w:numPr>
                <w:ilvl w:val="0"/>
                <w:numId w:val="2"/>
              </w:numPr>
              <w:spacing w:before="100" w:beforeAutospacing="1" w:after="150" w:line="360" w:lineRule="atLeast"/>
              <w:rPr>
                <w:rFonts w:ascii="Arial" w:hAnsi="Arial" w:cs="Arial"/>
                <w:color w:val="000000" w:themeColor="text1"/>
                <w:sz w:val="19"/>
                <w:szCs w:val="19"/>
              </w:rPr>
            </w:pPr>
            <w:r w:rsidRPr="007614C4">
              <w:rPr>
                <w:rFonts w:ascii="Arial" w:hAnsi="Arial" w:cs="Arial"/>
                <w:color w:val="000000" w:themeColor="text1"/>
                <w:sz w:val="19"/>
                <w:szCs w:val="19"/>
              </w:rPr>
              <w:t>be made of 100% biodegradable (compostable) substances, such as straw, cork, wood flour, maize starch.</w:t>
            </w:r>
          </w:p>
          <w:p w14:paraId="5040D9F9" w14:textId="77777777" w:rsidR="007614C4" w:rsidRPr="007614C4" w:rsidRDefault="007614C4" w:rsidP="007614C4">
            <w:pPr>
              <w:numPr>
                <w:ilvl w:val="0"/>
                <w:numId w:val="2"/>
              </w:numPr>
              <w:spacing w:before="100" w:beforeAutospacing="1" w:after="150" w:line="360" w:lineRule="atLeast"/>
              <w:rPr>
                <w:rFonts w:ascii="Arial" w:hAnsi="Arial" w:cs="Arial"/>
                <w:color w:val="000000" w:themeColor="text1"/>
                <w:sz w:val="19"/>
                <w:szCs w:val="19"/>
              </w:rPr>
            </w:pPr>
            <w:r w:rsidRPr="007614C4">
              <w:rPr>
                <w:rFonts w:ascii="Arial" w:hAnsi="Arial" w:cs="Arial"/>
                <w:color w:val="000000" w:themeColor="text1"/>
                <w:sz w:val="19"/>
                <w:szCs w:val="19"/>
              </w:rPr>
              <w:t xml:space="preserve">not contain synthetic plastic materials, </w:t>
            </w:r>
            <w:proofErr w:type="gramStart"/>
            <w:r w:rsidRPr="007614C4">
              <w:rPr>
                <w:rFonts w:ascii="Arial" w:hAnsi="Arial" w:cs="Arial"/>
                <w:color w:val="000000" w:themeColor="text1"/>
                <w:sz w:val="19"/>
                <w:szCs w:val="19"/>
              </w:rPr>
              <w:t>plasticisers</w:t>
            </w:r>
            <w:proofErr w:type="gramEnd"/>
            <w:r w:rsidRPr="007614C4">
              <w:rPr>
                <w:rFonts w:ascii="Arial" w:hAnsi="Arial" w:cs="Arial"/>
                <w:color w:val="000000" w:themeColor="text1"/>
                <w:sz w:val="19"/>
                <w:szCs w:val="19"/>
              </w:rPr>
              <w:t xml:space="preserve"> or biocide substances, such as found for example in biocides or preservatives.</w:t>
            </w:r>
          </w:p>
          <w:p w14:paraId="62F708BC" w14:textId="77777777" w:rsidR="007614C4" w:rsidRPr="007614C4" w:rsidRDefault="007614C4" w:rsidP="00DC17CD">
            <w:pPr>
              <w:spacing w:line="360" w:lineRule="atLeast"/>
              <w:rPr>
                <w:rFonts w:ascii="Arial" w:hAnsi="Arial" w:cs="Arial"/>
                <w:color w:val="000000" w:themeColor="text1"/>
                <w:sz w:val="20"/>
                <w:szCs w:val="20"/>
              </w:rPr>
            </w:pPr>
            <w:r w:rsidRPr="007614C4">
              <w:rPr>
                <w:rStyle w:val="Strong"/>
                <w:rFonts w:ascii="Arial" w:hAnsi="Arial" w:cs="Arial"/>
                <w:color w:val="000000" w:themeColor="text1"/>
                <w:sz w:val="20"/>
                <w:szCs w:val="20"/>
              </w:rPr>
              <w:t xml:space="preserve">Verification: </w:t>
            </w:r>
            <w:r w:rsidRPr="007614C4">
              <w:rPr>
                <w:rFonts w:ascii="Arial" w:hAnsi="Arial" w:cs="Arial"/>
                <w:color w:val="000000" w:themeColor="text1"/>
                <w:sz w:val="20"/>
                <w:szCs w:val="20"/>
              </w:rPr>
              <w:br/>
              <w:t>If containers are reusable, bidders must present a signed declaration stating that they will take back the plant containers selectively collected by gardening staff. If containers are biodegradable, bidders must provide a list of the product ingredients and their respective shares together with a declaration that the specifications are met. Plant containers carrying a type I ecolabel meeting the above requirements will be deemed to comply as well as products classified as biodegradable and compostable according to the EN 13432:2000 standard or equivalent.</w:t>
            </w:r>
          </w:p>
          <w:p w14:paraId="3A1707FD" w14:textId="77777777" w:rsidR="007614C4" w:rsidRPr="007614C4" w:rsidRDefault="007614C4" w:rsidP="00DC17CD">
            <w:pPr>
              <w:spacing w:before="100" w:beforeAutospacing="1" w:after="150" w:line="360" w:lineRule="atLeast"/>
              <w:rPr>
                <w:rFonts w:ascii="Arial" w:hAnsi="Arial" w:cs="Arial"/>
                <w:color w:val="000000" w:themeColor="text1"/>
                <w:sz w:val="20"/>
                <w:szCs w:val="20"/>
              </w:rPr>
            </w:pPr>
            <w:r w:rsidRPr="007614C4">
              <w:rPr>
                <w:rStyle w:val="Strong"/>
                <w:rFonts w:ascii="Arial" w:hAnsi="Arial" w:cs="Arial"/>
                <w:color w:val="000000" w:themeColor="text1"/>
                <w:sz w:val="20"/>
                <w:szCs w:val="20"/>
              </w:rPr>
              <w:t>Packaging</w:t>
            </w:r>
            <w:r w:rsidRPr="007614C4">
              <w:rPr>
                <w:rFonts w:ascii="Arial" w:hAnsi="Arial" w:cs="Arial"/>
                <w:color w:val="000000" w:themeColor="text1"/>
                <w:sz w:val="20"/>
                <w:szCs w:val="20"/>
              </w:rPr>
              <w:br/>
              <w:t>Small plants must be supplied in returnable crates or boxes.</w:t>
            </w:r>
          </w:p>
          <w:p w14:paraId="209A39C6" w14:textId="77777777" w:rsidR="007614C4" w:rsidRPr="007614C4" w:rsidRDefault="007614C4" w:rsidP="00DC17CD">
            <w:pPr>
              <w:spacing w:before="100" w:beforeAutospacing="1" w:after="150" w:line="360" w:lineRule="atLeast"/>
              <w:rPr>
                <w:rFonts w:ascii="Arial" w:hAnsi="Arial" w:cs="Arial"/>
                <w:color w:val="000000" w:themeColor="text1"/>
                <w:sz w:val="20"/>
                <w:szCs w:val="20"/>
              </w:rPr>
            </w:pPr>
            <w:r w:rsidRPr="007614C4">
              <w:rPr>
                <w:rStyle w:val="Strong"/>
                <w:rFonts w:ascii="Arial" w:hAnsi="Arial" w:cs="Arial"/>
                <w:color w:val="000000" w:themeColor="text1"/>
                <w:sz w:val="20"/>
                <w:szCs w:val="20"/>
              </w:rPr>
              <w:t xml:space="preserve">Verification: </w:t>
            </w:r>
            <w:r w:rsidRPr="007614C4">
              <w:rPr>
                <w:rFonts w:ascii="Arial" w:hAnsi="Arial" w:cs="Arial"/>
                <w:color w:val="000000" w:themeColor="text1"/>
                <w:sz w:val="20"/>
                <w:szCs w:val="20"/>
              </w:rPr>
              <w:br/>
              <w:t>Bidders must provide a signed declaration that they will meet this criterion.</w:t>
            </w:r>
          </w:p>
        </w:tc>
      </w:tr>
      <w:tr w:rsidR="007614C4" w:rsidRPr="007614C4" w14:paraId="2BC0C0C3" w14:textId="77777777" w:rsidTr="007614C4">
        <w:trPr>
          <w:tblCellSpacing w:w="15" w:type="dxa"/>
        </w:trPr>
        <w:tc>
          <w:tcPr>
            <w:tcW w:w="757" w:type="pct"/>
            <w:tcBorders>
              <w:top w:val="nil"/>
              <w:left w:val="nil"/>
              <w:bottom w:val="single" w:sz="6" w:space="0" w:color="BEB3D8"/>
              <w:right w:val="single" w:sz="6" w:space="0" w:color="BEB3D8"/>
            </w:tcBorders>
            <w:tcMar>
              <w:top w:w="48" w:type="dxa"/>
              <w:left w:w="45" w:type="dxa"/>
              <w:bottom w:w="48" w:type="dxa"/>
              <w:right w:w="45" w:type="dxa"/>
            </w:tcMar>
            <w:hideMark/>
          </w:tcPr>
          <w:p w14:paraId="3F5C503D"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Irrigation Systems</w:t>
            </w:r>
          </w:p>
        </w:tc>
        <w:tc>
          <w:tcPr>
            <w:tcW w:w="4193" w:type="pct"/>
            <w:tcBorders>
              <w:top w:val="nil"/>
              <w:left w:val="nil"/>
              <w:bottom w:val="single" w:sz="6" w:space="0" w:color="BEB3D8"/>
              <w:right w:val="single" w:sz="6" w:space="0" w:color="BEB3D8"/>
            </w:tcBorders>
            <w:tcMar>
              <w:top w:w="48" w:type="dxa"/>
              <w:left w:w="45" w:type="dxa"/>
              <w:bottom w:w="48" w:type="dxa"/>
              <w:right w:w="45" w:type="dxa"/>
            </w:tcMar>
            <w:hideMark/>
          </w:tcPr>
          <w:p w14:paraId="537F0C93" w14:textId="77777777" w:rsidR="007614C4" w:rsidRPr="007614C4" w:rsidRDefault="007614C4" w:rsidP="00DC17CD">
            <w:pPr>
              <w:spacing w:before="100" w:beforeAutospacing="1" w:after="150" w:line="360" w:lineRule="atLeast"/>
              <w:rPr>
                <w:rFonts w:ascii="Arial" w:hAnsi="Arial" w:cs="Arial"/>
                <w:color w:val="000000" w:themeColor="text1"/>
                <w:sz w:val="20"/>
                <w:szCs w:val="20"/>
              </w:rPr>
            </w:pPr>
            <w:r w:rsidRPr="007614C4">
              <w:rPr>
                <w:rFonts w:ascii="Arial" w:hAnsi="Arial" w:cs="Arial"/>
                <w:color w:val="000000" w:themeColor="text1"/>
                <w:sz w:val="20"/>
                <w:szCs w:val="20"/>
              </w:rPr>
              <w:t>The irrigation system must be adjustable in terms of volume of dispensed water by zones.</w:t>
            </w:r>
          </w:p>
          <w:p w14:paraId="4C124A21" w14:textId="77777777" w:rsidR="007614C4" w:rsidRPr="007614C4" w:rsidRDefault="007614C4" w:rsidP="00DC17CD">
            <w:pPr>
              <w:spacing w:before="100" w:beforeAutospacing="1" w:after="150" w:line="360" w:lineRule="atLeast"/>
              <w:rPr>
                <w:rFonts w:ascii="Arial" w:hAnsi="Arial" w:cs="Arial"/>
                <w:color w:val="000000" w:themeColor="text1"/>
                <w:sz w:val="20"/>
                <w:szCs w:val="20"/>
              </w:rPr>
            </w:pPr>
            <w:r w:rsidRPr="007614C4">
              <w:rPr>
                <w:rFonts w:ascii="Arial" w:hAnsi="Arial" w:cs="Arial"/>
                <w:color w:val="000000" w:themeColor="text1"/>
                <w:sz w:val="20"/>
                <w:szCs w:val="20"/>
              </w:rPr>
              <w:t>The irrigation system must have adjustable timers, to programme the watering period.</w:t>
            </w:r>
          </w:p>
          <w:p w14:paraId="74B2AEF3" w14:textId="77777777" w:rsidR="007614C4" w:rsidRPr="007614C4" w:rsidRDefault="007614C4" w:rsidP="00DC17CD">
            <w:pPr>
              <w:spacing w:before="100" w:beforeAutospacing="1" w:after="150" w:line="360" w:lineRule="atLeast"/>
              <w:rPr>
                <w:rFonts w:ascii="Arial" w:hAnsi="Arial" w:cs="Arial"/>
                <w:color w:val="000000" w:themeColor="text1"/>
                <w:sz w:val="20"/>
                <w:szCs w:val="20"/>
              </w:rPr>
            </w:pPr>
            <w:r w:rsidRPr="007614C4">
              <w:rPr>
                <w:rFonts w:ascii="Arial" w:hAnsi="Arial" w:cs="Arial"/>
                <w:color w:val="000000" w:themeColor="text1"/>
                <w:sz w:val="20"/>
                <w:szCs w:val="20"/>
              </w:rPr>
              <w:t>The irrigation system must have hygrometers that measure soil humidity levels and automatically block irrigation when the humidity level of soil is high enough (for example after rain).</w:t>
            </w:r>
          </w:p>
          <w:p w14:paraId="05EE8DC0" w14:textId="77777777" w:rsidR="007614C4" w:rsidRPr="007614C4" w:rsidRDefault="007614C4" w:rsidP="00DC17CD">
            <w:pPr>
              <w:spacing w:line="360" w:lineRule="atLeast"/>
              <w:rPr>
                <w:rFonts w:ascii="Arial" w:hAnsi="Arial" w:cs="Arial"/>
                <w:color w:val="000000" w:themeColor="text1"/>
                <w:sz w:val="20"/>
                <w:szCs w:val="20"/>
              </w:rPr>
            </w:pPr>
            <w:r w:rsidRPr="007614C4">
              <w:rPr>
                <w:rStyle w:val="Strong"/>
                <w:rFonts w:ascii="Arial" w:hAnsi="Arial" w:cs="Arial"/>
                <w:color w:val="000000" w:themeColor="text1"/>
                <w:sz w:val="20"/>
                <w:szCs w:val="20"/>
              </w:rPr>
              <w:t>Verification (for specifications 1, 2 &amp; 3):</w:t>
            </w:r>
            <w:r w:rsidRPr="007614C4">
              <w:rPr>
                <w:rFonts w:ascii="Arial" w:hAnsi="Arial" w:cs="Arial"/>
                <w:color w:val="000000" w:themeColor="text1"/>
                <w:sz w:val="20"/>
                <w:szCs w:val="20"/>
              </w:rPr>
              <w:br/>
              <w:t>Bidders must provide appropriate technical documentation demonstrating that these criteria are met.</w:t>
            </w:r>
          </w:p>
        </w:tc>
      </w:tr>
      <w:tr w:rsidR="007614C4" w:rsidRPr="007614C4" w14:paraId="1C5B501D" w14:textId="77777777" w:rsidTr="007614C4">
        <w:trPr>
          <w:tblCellSpacing w:w="15" w:type="dxa"/>
        </w:trPr>
        <w:tc>
          <w:tcPr>
            <w:tcW w:w="757" w:type="pct"/>
            <w:tcBorders>
              <w:top w:val="nil"/>
              <w:left w:val="nil"/>
              <w:bottom w:val="single" w:sz="6" w:space="0" w:color="BEB3D8"/>
              <w:right w:val="single" w:sz="6" w:space="0" w:color="BEB3D8"/>
            </w:tcBorders>
            <w:tcMar>
              <w:top w:w="48" w:type="dxa"/>
              <w:left w:w="45" w:type="dxa"/>
              <w:bottom w:w="48" w:type="dxa"/>
              <w:right w:w="45" w:type="dxa"/>
            </w:tcMar>
            <w:hideMark/>
          </w:tcPr>
          <w:p w14:paraId="1CAFD3A8"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Garden Machinery</w:t>
            </w:r>
          </w:p>
        </w:tc>
        <w:tc>
          <w:tcPr>
            <w:tcW w:w="4193" w:type="pct"/>
            <w:tcBorders>
              <w:top w:val="nil"/>
              <w:left w:val="nil"/>
              <w:bottom w:val="single" w:sz="6" w:space="0" w:color="BEB3D8"/>
              <w:right w:val="single" w:sz="6" w:space="0" w:color="BEB3D8"/>
            </w:tcBorders>
            <w:tcMar>
              <w:top w:w="48" w:type="dxa"/>
              <w:left w:w="45" w:type="dxa"/>
              <w:bottom w:w="48" w:type="dxa"/>
              <w:right w:w="45" w:type="dxa"/>
            </w:tcMar>
            <w:hideMark/>
          </w:tcPr>
          <w:p w14:paraId="20578D34" w14:textId="77777777" w:rsidR="007614C4" w:rsidRPr="007614C4" w:rsidRDefault="007614C4" w:rsidP="00DC17CD">
            <w:pPr>
              <w:spacing w:line="360" w:lineRule="atLeast"/>
              <w:rPr>
                <w:rFonts w:ascii="Arial" w:hAnsi="Arial" w:cs="Arial"/>
                <w:color w:val="000000" w:themeColor="text1"/>
                <w:sz w:val="20"/>
                <w:szCs w:val="20"/>
              </w:rPr>
            </w:pPr>
            <w:r w:rsidRPr="007614C4">
              <w:rPr>
                <w:rStyle w:val="Strong"/>
                <w:rFonts w:ascii="Arial" w:hAnsi="Arial" w:cs="Arial"/>
                <w:color w:val="000000" w:themeColor="text1"/>
                <w:sz w:val="20"/>
                <w:szCs w:val="20"/>
              </w:rPr>
              <w:t xml:space="preserve">Note: </w:t>
            </w:r>
            <w:r w:rsidRPr="007614C4">
              <w:rPr>
                <w:rFonts w:ascii="Arial" w:hAnsi="Arial" w:cs="Arial"/>
                <w:color w:val="000000" w:themeColor="text1"/>
                <w:sz w:val="20"/>
                <w:szCs w:val="20"/>
              </w:rPr>
              <w:t xml:space="preserve">The following criteria apply only to the following gardening machines: </w:t>
            </w:r>
          </w:p>
          <w:p w14:paraId="59D0CE12" w14:textId="77777777" w:rsidR="007614C4" w:rsidRPr="007614C4" w:rsidRDefault="007614C4" w:rsidP="007614C4">
            <w:pPr>
              <w:numPr>
                <w:ilvl w:val="0"/>
                <w:numId w:val="1"/>
              </w:numPr>
              <w:spacing w:before="100" w:beforeAutospacing="1" w:after="30" w:line="360" w:lineRule="atLeast"/>
              <w:ind w:left="0"/>
              <w:rPr>
                <w:rFonts w:ascii="Arial" w:hAnsi="Arial" w:cs="Arial"/>
                <w:color w:val="000000" w:themeColor="text1"/>
                <w:sz w:val="20"/>
                <w:szCs w:val="20"/>
              </w:rPr>
            </w:pPr>
            <w:proofErr w:type="gramStart"/>
            <w:r w:rsidRPr="007614C4">
              <w:rPr>
                <w:rFonts w:ascii="Arial" w:hAnsi="Arial" w:cs="Arial"/>
                <w:color w:val="000000" w:themeColor="text1"/>
                <w:sz w:val="20"/>
                <w:szCs w:val="20"/>
              </w:rPr>
              <w:t>Lawn-mowers</w:t>
            </w:r>
            <w:proofErr w:type="gramEnd"/>
            <w:r w:rsidRPr="007614C4">
              <w:rPr>
                <w:rFonts w:ascii="Arial" w:hAnsi="Arial" w:cs="Arial"/>
                <w:color w:val="000000" w:themeColor="text1"/>
                <w:sz w:val="20"/>
                <w:szCs w:val="20"/>
              </w:rPr>
              <w:t xml:space="preserve"> (incl. lawn tractors) and </w:t>
            </w:r>
            <w:proofErr w:type="spellStart"/>
            <w:r w:rsidRPr="007614C4">
              <w:rPr>
                <w:rFonts w:ascii="Arial" w:hAnsi="Arial" w:cs="Arial"/>
                <w:color w:val="000000" w:themeColor="text1"/>
                <w:sz w:val="20"/>
                <w:szCs w:val="20"/>
              </w:rPr>
              <w:t>scarifiers</w:t>
            </w:r>
            <w:proofErr w:type="spellEnd"/>
          </w:p>
          <w:p w14:paraId="3A7E5BA3" w14:textId="77777777" w:rsidR="007614C4" w:rsidRPr="007614C4" w:rsidRDefault="007614C4" w:rsidP="007614C4">
            <w:pPr>
              <w:numPr>
                <w:ilvl w:val="0"/>
                <w:numId w:val="1"/>
              </w:numPr>
              <w:spacing w:before="100" w:beforeAutospacing="1" w:after="30" w:line="360" w:lineRule="atLeast"/>
              <w:ind w:left="0"/>
              <w:rPr>
                <w:rFonts w:ascii="Arial" w:hAnsi="Arial" w:cs="Arial"/>
                <w:color w:val="000000" w:themeColor="text1"/>
                <w:sz w:val="20"/>
                <w:szCs w:val="20"/>
              </w:rPr>
            </w:pPr>
            <w:r w:rsidRPr="007614C4">
              <w:rPr>
                <w:rFonts w:ascii="Arial" w:hAnsi="Arial" w:cs="Arial"/>
                <w:color w:val="000000" w:themeColor="text1"/>
                <w:sz w:val="20"/>
                <w:szCs w:val="20"/>
              </w:rPr>
              <w:t>Brush saws</w:t>
            </w:r>
          </w:p>
          <w:p w14:paraId="1C8E408D" w14:textId="77777777" w:rsidR="007614C4" w:rsidRPr="007614C4" w:rsidRDefault="007614C4" w:rsidP="007614C4">
            <w:pPr>
              <w:numPr>
                <w:ilvl w:val="0"/>
                <w:numId w:val="1"/>
              </w:numPr>
              <w:spacing w:before="100" w:beforeAutospacing="1" w:after="30" w:line="360" w:lineRule="atLeast"/>
              <w:ind w:left="0"/>
              <w:rPr>
                <w:rFonts w:ascii="Arial" w:hAnsi="Arial" w:cs="Arial"/>
                <w:color w:val="000000" w:themeColor="text1"/>
                <w:sz w:val="20"/>
                <w:szCs w:val="20"/>
              </w:rPr>
            </w:pPr>
            <w:r w:rsidRPr="007614C4">
              <w:rPr>
                <w:rFonts w:ascii="Arial" w:hAnsi="Arial" w:cs="Arial"/>
                <w:color w:val="000000" w:themeColor="text1"/>
                <w:sz w:val="20"/>
                <w:szCs w:val="20"/>
              </w:rPr>
              <w:t>Chainsaws</w:t>
            </w:r>
          </w:p>
          <w:p w14:paraId="184F2DE1" w14:textId="77777777" w:rsidR="007614C4" w:rsidRPr="007614C4" w:rsidRDefault="007614C4" w:rsidP="007614C4">
            <w:pPr>
              <w:numPr>
                <w:ilvl w:val="0"/>
                <w:numId w:val="1"/>
              </w:numPr>
              <w:spacing w:before="100" w:beforeAutospacing="1" w:after="30" w:line="360" w:lineRule="atLeast"/>
              <w:ind w:left="0"/>
              <w:rPr>
                <w:rFonts w:ascii="Arial" w:hAnsi="Arial" w:cs="Arial"/>
                <w:color w:val="000000" w:themeColor="text1"/>
                <w:sz w:val="20"/>
                <w:szCs w:val="20"/>
              </w:rPr>
            </w:pPr>
            <w:proofErr w:type="spellStart"/>
            <w:r w:rsidRPr="007614C4">
              <w:rPr>
                <w:rFonts w:ascii="Arial" w:hAnsi="Arial" w:cs="Arial"/>
                <w:color w:val="000000" w:themeColor="text1"/>
                <w:sz w:val="20"/>
                <w:szCs w:val="20"/>
              </w:rPr>
              <w:t>Strimmers</w:t>
            </w:r>
            <w:proofErr w:type="spellEnd"/>
          </w:p>
          <w:p w14:paraId="309FBD3F" w14:textId="77777777" w:rsidR="007614C4" w:rsidRPr="007614C4" w:rsidRDefault="007614C4" w:rsidP="007614C4">
            <w:pPr>
              <w:numPr>
                <w:ilvl w:val="0"/>
                <w:numId w:val="1"/>
              </w:numPr>
              <w:spacing w:before="100" w:beforeAutospacing="1" w:after="30" w:line="360" w:lineRule="atLeast"/>
              <w:ind w:left="0"/>
              <w:rPr>
                <w:rFonts w:ascii="Arial" w:hAnsi="Arial" w:cs="Arial"/>
                <w:color w:val="000000" w:themeColor="text1"/>
                <w:sz w:val="20"/>
                <w:szCs w:val="20"/>
              </w:rPr>
            </w:pPr>
            <w:r w:rsidRPr="007614C4">
              <w:rPr>
                <w:rFonts w:ascii="Arial" w:hAnsi="Arial" w:cs="Arial"/>
                <w:color w:val="000000" w:themeColor="text1"/>
                <w:sz w:val="20"/>
                <w:szCs w:val="20"/>
              </w:rPr>
              <w:t>Trimmers and hedge trimmers</w:t>
            </w:r>
          </w:p>
          <w:p w14:paraId="7B2BEFAD" w14:textId="77777777" w:rsidR="007614C4" w:rsidRPr="007614C4" w:rsidRDefault="007614C4" w:rsidP="007614C4">
            <w:pPr>
              <w:numPr>
                <w:ilvl w:val="0"/>
                <w:numId w:val="1"/>
              </w:numPr>
              <w:spacing w:before="100" w:beforeAutospacing="1" w:after="30" w:line="360" w:lineRule="atLeast"/>
              <w:ind w:left="0"/>
              <w:rPr>
                <w:rFonts w:ascii="Arial" w:hAnsi="Arial" w:cs="Arial"/>
                <w:color w:val="000000" w:themeColor="text1"/>
                <w:sz w:val="20"/>
                <w:szCs w:val="20"/>
              </w:rPr>
            </w:pPr>
            <w:r w:rsidRPr="007614C4">
              <w:rPr>
                <w:rFonts w:ascii="Arial" w:hAnsi="Arial" w:cs="Arial"/>
                <w:color w:val="000000" w:themeColor="text1"/>
                <w:sz w:val="20"/>
                <w:szCs w:val="20"/>
              </w:rPr>
              <w:t>Leaf collectors and leaf blowers</w:t>
            </w:r>
          </w:p>
          <w:p w14:paraId="5F96BF39" w14:textId="77777777" w:rsidR="007614C4" w:rsidRPr="007614C4" w:rsidRDefault="007614C4" w:rsidP="007614C4">
            <w:pPr>
              <w:numPr>
                <w:ilvl w:val="0"/>
                <w:numId w:val="1"/>
              </w:numPr>
              <w:spacing w:before="100" w:beforeAutospacing="1" w:after="30" w:line="360" w:lineRule="atLeast"/>
              <w:ind w:left="0"/>
              <w:rPr>
                <w:rFonts w:ascii="Arial" w:hAnsi="Arial" w:cs="Arial"/>
                <w:color w:val="000000" w:themeColor="text1"/>
                <w:sz w:val="20"/>
                <w:szCs w:val="20"/>
              </w:rPr>
            </w:pPr>
            <w:r w:rsidRPr="007614C4">
              <w:rPr>
                <w:rFonts w:ascii="Arial" w:hAnsi="Arial" w:cs="Arial"/>
                <w:color w:val="000000" w:themeColor="text1"/>
                <w:sz w:val="20"/>
                <w:szCs w:val="20"/>
              </w:rPr>
              <w:t>Auto-scythes</w:t>
            </w:r>
          </w:p>
          <w:p w14:paraId="3532E5D1" w14:textId="77777777" w:rsidR="007614C4" w:rsidRPr="007614C4" w:rsidRDefault="007614C4" w:rsidP="007614C4">
            <w:pPr>
              <w:numPr>
                <w:ilvl w:val="0"/>
                <w:numId w:val="1"/>
              </w:numPr>
              <w:spacing w:before="100" w:beforeAutospacing="1" w:after="30" w:line="360" w:lineRule="atLeast"/>
              <w:ind w:left="0"/>
              <w:rPr>
                <w:rFonts w:ascii="Arial" w:hAnsi="Arial" w:cs="Arial"/>
                <w:color w:val="000000" w:themeColor="text1"/>
                <w:sz w:val="20"/>
                <w:szCs w:val="20"/>
              </w:rPr>
            </w:pPr>
            <w:r w:rsidRPr="007614C4">
              <w:rPr>
                <w:rFonts w:ascii="Arial" w:hAnsi="Arial" w:cs="Arial"/>
                <w:color w:val="000000" w:themeColor="text1"/>
                <w:sz w:val="20"/>
                <w:szCs w:val="20"/>
              </w:rPr>
              <w:t>Auto-hoes</w:t>
            </w:r>
          </w:p>
          <w:p w14:paraId="7CA76348" w14:textId="77777777" w:rsidR="007614C4" w:rsidRPr="007614C4" w:rsidRDefault="007614C4" w:rsidP="007614C4">
            <w:pPr>
              <w:numPr>
                <w:ilvl w:val="0"/>
                <w:numId w:val="1"/>
              </w:numPr>
              <w:spacing w:before="100" w:beforeAutospacing="1" w:after="30" w:line="360" w:lineRule="atLeast"/>
              <w:ind w:left="0"/>
              <w:rPr>
                <w:rFonts w:ascii="Arial" w:hAnsi="Arial" w:cs="Arial"/>
                <w:color w:val="000000" w:themeColor="text1"/>
                <w:sz w:val="20"/>
                <w:szCs w:val="20"/>
              </w:rPr>
            </w:pPr>
            <w:r w:rsidRPr="007614C4">
              <w:rPr>
                <w:rFonts w:ascii="Arial" w:hAnsi="Arial" w:cs="Arial"/>
                <w:color w:val="000000" w:themeColor="text1"/>
                <w:sz w:val="20"/>
                <w:szCs w:val="20"/>
              </w:rPr>
              <w:t>Rotary cultivators</w:t>
            </w:r>
          </w:p>
          <w:p w14:paraId="3C98B1A0" w14:textId="77777777" w:rsidR="007614C4" w:rsidRPr="007614C4" w:rsidRDefault="007614C4" w:rsidP="007614C4">
            <w:pPr>
              <w:numPr>
                <w:ilvl w:val="0"/>
                <w:numId w:val="1"/>
              </w:numPr>
              <w:spacing w:before="100" w:beforeAutospacing="1" w:after="30" w:line="360" w:lineRule="atLeast"/>
              <w:ind w:left="0"/>
              <w:rPr>
                <w:rFonts w:ascii="Arial" w:hAnsi="Arial" w:cs="Arial"/>
                <w:color w:val="000000" w:themeColor="text1"/>
                <w:sz w:val="20"/>
                <w:szCs w:val="20"/>
              </w:rPr>
            </w:pPr>
            <w:r w:rsidRPr="007614C4">
              <w:rPr>
                <w:rFonts w:ascii="Arial" w:hAnsi="Arial" w:cs="Arial"/>
                <w:color w:val="000000" w:themeColor="text1"/>
                <w:sz w:val="20"/>
                <w:szCs w:val="20"/>
              </w:rPr>
              <w:t>Compost shredders</w:t>
            </w:r>
          </w:p>
          <w:p w14:paraId="48E31354" w14:textId="77777777" w:rsidR="007614C4" w:rsidRPr="007614C4" w:rsidRDefault="007614C4" w:rsidP="00DC17CD">
            <w:pPr>
              <w:spacing w:line="360" w:lineRule="atLeast"/>
              <w:rPr>
                <w:rFonts w:ascii="Arial" w:hAnsi="Arial" w:cs="Arial"/>
                <w:color w:val="000000" w:themeColor="text1"/>
                <w:sz w:val="20"/>
                <w:szCs w:val="20"/>
              </w:rPr>
            </w:pPr>
            <w:r w:rsidRPr="007614C4">
              <w:rPr>
                <w:rStyle w:val="Strong"/>
                <w:rFonts w:ascii="Arial" w:hAnsi="Arial" w:cs="Arial"/>
                <w:color w:val="000000" w:themeColor="text1"/>
                <w:sz w:val="20"/>
                <w:szCs w:val="20"/>
              </w:rPr>
              <w:t>1. Fuel types</w:t>
            </w:r>
          </w:p>
          <w:p w14:paraId="4A694CF0"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If the machine has a combustion engine, this shall be designed so that it can be run on one or more of the following fuel grades: unleaded petrol with a benzene content of &lt;1.0 % by volume, alkylate petrol, class A diesel oil, or biofuel-based engine fuel.</w:t>
            </w:r>
          </w:p>
          <w:p w14:paraId="44B981B5" w14:textId="77777777" w:rsidR="007614C4" w:rsidRPr="007614C4" w:rsidRDefault="007614C4" w:rsidP="00DC17CD">
            <w:pPr>
              <w:spacing w:line="360" w:lineRule="atLeast"/>
              <w:rPr>
                <w:rFonts w:ascii="Arial" w:hAnsi="Arial" w:cs="Arial"/>
                <w:color w:val="000000" w:themeColor="text1"/>
                <w:sz w:val="20"/>
                <w:szCs w:val="20"/>
              </w:rPr>
            </w:pPr>
            <w:r w:rsidRPr="007614C4">
              <w:rPr>
                <w:rStyle w:val="Strong"/>
                <w:rFonts w:ascii="Arial" w:hAnsi="Arial" w:cs="Arial"/>
                <w:color w:val="000000" w:themeColor="text1"/>
                <w:sz w:val="20"/>
                <w:szCs w:val="20"/>
              </w:rPr>
              <w:t xml:space="preserve">Verification: </w:t>
            </w:r>
            <w:r w:rsidRPr="007614C4">
              <w:rPr>
                <w:rFonts w:ascii="Arial" w:hAnsi="Arial" w:cs="Arial"/>
                <w:color w:val="000000" w:themeColor="text1"/>
                <w:sz w:val="20"/>
                <w:szCs w:val="20"/>
              </w:rPr>
              <w:br/>
              <w:t>Bidders must present a signed declaration of compliance. Machines carrying a type I Eco label meeting the above requirement will be deemed to comply.</w:t>
            </w:r>
          </w:p>
          <w:p w14:paraId="1BB1D386" w14:textId="77777777" w:rsidR="007614C4" w:rsidRPr="007614C4" w:rsidRDefault="007614C4" w:rsidP="00DC17CD">
            <w:pPr>
              <w:spacing w:line="360" w:lineRule="atLeast"/>
              <w:rPr>
                <w:rFonts w:ascii="Arial" w:hAnsi="Arial" w:cs="Arial"/>
                <w:color w:val="000000" w:themeColor="text1"/>
                <w:sz w:val="20"/>
                <w:szCs w:val="20"/>
              </w:rPr>
            </w:pPr>
            <w:r w:rsidRPr="007614C4">
              <w:rPr>
                <w:rStyle w:val="Strong"/>
                <w:rFonts w:ascii="Arial" w:hAnsi="Arial" w:cs="Arial"/>
                <w:color w:val="000000" w:themeColor="text1"/>
                <w:sz w:val="20"/>
                <w:szCs w:val="20"/>
              </w:rPr>
              <w:t>2. Noise emissions</w:t>
            </w:r>
          </w:p>
          <w:p w14:paraId="100C7C32"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The noise emission level of the machine shall be below the noise levels outlined in the table below. The machine shall be tested for noise output in accordance with the general standard specified in the EU Noise Directive (2000/14/EC), EN-ISO 3744/1995 and by a testing laboratory qualified under Article 15 of the same Directive.</w:t>
            </w:r>
          </w:p>
          <w:p w14:paraId="4A054CB3" w14:textId="77777777" w:rsidR="007614C4" w:rsidRPr="007614C4" w:rsidRDefault="007614C4" w:rsidP="00DC17CD">
            <w:pPr>
              <w:spacing w:line="360" w:lineRule="atLeast"/>
              <w:rPr>
                <w:rFonts w:ascii="Arial" w:hAnsi="Arial" w:cs="Arial"/>
                <w:color w:val="000000" w:themeColor="text1"/>
                <w:sz w:val="20"/>
                <w:szCs w:val="20"/>
              </w:rPr>
            </w:pPr>
          </w:p>
          <w:tbl>
            <w:tblPr>
              <w:tblW w:w="0" w:type="auto"/>
              <w:tblCellSpacing w:w="0" w:type="dxa"/>
              <w:tblBorders>
                <w:top w:val="single" w:sz="6" w:space="0" w:color="BEB3D8"/>
                <w:left w:val="single" w:sz="6" w:space="0" w:color="BEB3D8"/>
              </w:tblBorders>
              <w:tblCellMar>
                <w:left w:w="0" w:type="dxa"/>
                <w:right w:w="0" w:type="dxa"/>
              </w:tblCellMar>
              <w:tblLook w:val="04A0" w:firstRow="1" w:lastRow="0" w:firstColumn="1" w:lastColumn="0" w:noHBand="0" w:noVBand="1"/>
            </w:tblPr>
            <w:tblGrid>
              <w:gridCol w:w="4429"/>
              <w:gridCol w:w="1918"/>
              <w:gridCol w:w="5240"/>
            </w:tblGrid>
            <w:tr w:rsidR="007614C4" w:rsidRPr="007614C4" w14:paraId="0FB29D68" w14:textId="77777777" w:rsidTr="00DC17CD">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4531B6C2" w14:textId="6B081582" w:rsidR="007614C4" w:rsidRPr="007614C4" w:rsidRDefault="007614C4" w:rsidP="00DC17CD">
                  <w:pPr>
                    <w:spacing w:line="360" w:lineRule="atLeast"/>
                    <w:rPr>
                      <w:rFonts w:ascii="Arial" w:hAnsi="Arial" w:cs="Arial"/>
                      <w:color w:val="000000" w:themeColor="text1"/>
                      <w:sz w:val="20"/>
                      <w:szCs w:val="20"/>
                    </w:rPr>
                  </w:pPr>
                  <w:r>
                    <w:rPr>
                      <w:rStyle w:val="Strong"/>
                      <w:rFonts w:ascii="Arial" w:hAnsi="Arial" w:cs="Arial"/>
                      <w:color w:val="000000" w:themeColor="text1"/>
                      <w:sz w:val="20"/>
                      <w:szCs w:val="20"/>
                    </w:rPr>
                    <w:t>Ma</w:t>
                  </w:r>
                  <w:r w:rsidRPr="007614C4">
                    <w:rPr>
                      <w:rStyle w:val="Strong"/>
                      <w:rFonts w:ascii="Arial" w:hAnsi="Arial" w:cs="Arial"/>
                      <w:color w:val="000000" w:themeColor="text1"/>
                      <w:sz w:val="20"/>
                      <w:szCs w:val="20"/>
                    </w:rPr>
                    <w:t>chine</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1F3CFE08" w14:textId="77777777" w:rsidR="007614C4" w:rsidRPr="007614C4" w:rsidRDefault="007614C4" w:rsidP="00DC17CD">
                  <w:pPr>
                    <w:spacing w:line="360" w:lineRule="atLeast"/>
                    <w:rPr>
                      <w:rFonts w:ascii="Arial" w:hAnsi="Arial" w:cs="Arial"/>
                      <w:color w:val="000000" w:themeColor="text1"/>
                      <w:sz w:val="20"/>
                      <w:szCs w:val="20"/>
                    </w:rPr>
                  </w:pPr>
                  <w:r w:rsidRPr="007614C4">
                    <w:rPr>
                      <w:rStyle w:val="Strong"/>
                      <w:rFonts w:ascii="Arial" w:hAnsi="Arial" w:cs="Arial"/>
                      <w:color w:val="000000" w:themeColor="text1"/>
                      <w:sz w:val="20"/>
                      <w:szCs w:val="20"/>
                    </w:rPr>
                    <w:t>Details</w:t>
                  </w:r>
                  <w:r w:rsidRPr="007614C4">
                    <w:rPr>
                      <w:rFonts w:ascii="Arial" w:hAnsi="Arial" w:cs="Arial"/>
                      <w:b/>
                      <w:bCs/>
                      <w:color w:val="000000" w:themeColor="text1"/>
                      <w:sz w:val="20"/>
                      <w:szCs w:val="20"/>
                    </w:rPr>
                    <w:br/>
                  </w:r>
                  <w:r w:rsidRPr="007614C4">
                    <w:rPr>
                      <w:rStyle w:val="Strong"/>
                      <w:rFonts w:ascii="Arial" w:hAnsi="Arial" w:cs="Arial"/>
                      <w:color w:val="000000" w:themeColor="text1"/>
                      <w:sz w:val="20"/>
                      <w:szCs w:val="20"/>
                    </w:rPr>
                    <w:t>L = cutting width</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01EA2C50" w14:textId="77777777" w:rsidR="007614C4" w:rsidRPr="007614C4" w:rsidRDefault="007614C4" w:rsidP="00DC17CD">
                  <w:pPr>
                    <w:spacing w:line="360" w:lineRule="atLeast"/>
                    <w:rPr>
                      <w:rFonts w:ascii="Arial" w:hAnsi="Arial" w:cs="Arial"/>
                      <w:color w:val="000000" w:themeColor="text1"/>
                      <w:sz w:val="20"/>
                      <w:szCs w:val="20"/>
                    </w:rPr>
                  </w:pPr>
                  <w:r w:rsidRPr="007614C4">
                    <w:rPr>
                      <w:rStyle w:val="Strong"/>
                      <w:rFonts w:ascii="Arial" w:hAnsi="Arial" w:cs="Arial"/>
                      <w:color w:val="000000" w:themeColor="text1"/>
                      <w:sz w:val="20"/>
                      <w:szCs w:val="20"/>
                    </w:rPr>
                    <w:t>Maximum admissible value of sound power level LWA</w:t>
                  </w:r>
                </w:p>
              </w:tc>
            </w:tr>
            <w:tr w:rsidR="007614C4" w:rsidRPr="007614C4" w14:paraId="282DAAD7" w14:textId="77777777" w:rsidTr="00DC17CD">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524D55EE" w14:textId="77777777" w:rsidR="007614C4" w:rsidRPr="007614C4" w:rsidRDefault="007614C4" w:rsidP="00DC17CD">
                  <w:pPr>
                    <w:spacing w:line="360" w:lineRule="atLeast"/>
                    <w:rPr>
                      <w:rFonts w:ascii="Arial" w:hAnsi="Arial" w:cs="Arial"/>
                      <w:color w:val="000000" w:themeColor="text1"/>
                      <w:sz w:val="20"/>
                      <w:szCs w:val="20"/>
                    </w:rPr>
                  </w:pPr>
                  <w:proofErr w:type="gramStart"/>
                  <w:r w:rsidRPr="007614C4">
                    <w:rPr>
                      <w:rFonts w:ascii="Arial" w:hAnsi="Arial" w:cs="Arial"/>
                      <w:color w:val="000000" w:themeColor="text1"/>
                      <w:sz w:val="20"/>
                      <w:szCs w:val="20"/>
                    </w:rPr>
                    <w:t>Lawn-mowers</w:t>
                  </w:r>
                  <w:proofErr w:type="gramEnd"/>
                  <w:r w:rsidRPr="007614C4">
                    <w:rPr>
                      <w:rFonts w:ascii="Arial" w:hAnsi="Arial" w:cs="Arial"/>
                      <w:color w:val="000000" w:themeColor="text1"/>
                      <w:sz w:val="20"/>
                      <w:szCs w:val="20"/>
                    </w:rPr>
                    <w:t xml:space="preserve"> (including lawn tractors), </w:t>
                  </w:r>
                  <w:proofErr w:type="spellStart"/>
                  <w:r w:rsidRPr="007614C4">
                    <w:rPr>
                      <w:rFonts w:ascii="Arial" w:hAnsi="Arial" w:cs="Arial"/>
                      <w:color w:val="000000" w:themeColor="text1"/>
                      <w:sz w:val="20"/>
                      <w:szCs w:val="20"/>
                    </w:rPr>
                    <w:t>scarifiers</w:t>
                  </w:r>
                  <w:proofErr w:type="spellEnd"/>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7BE67050"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L &lt; 50 cm </w:t>
                  </w:r>
                </w:p>
                <w:p w14:paraId="526F99A2"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50 &lt; L &lt; 120 cm</w:t>
                  </w:r>
                </w:p>
                <w:p w14:paraId="1E65BD56"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L &lt; 120 cm</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401D4BC8"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94 dB/1pW </w:t>
                  </w:r>
                </w:p>
                <w:p w14:paraId="3EF112B2"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98 dB/1pW</w:t>
                  </w:r>
                </w:p>
                <w:p w14:paraId="416704BD"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103 dB/1pW</w:t>
                  </w:r>
                </w:p>
              </w:tc>
            </w:tr>
            <w:tr w:rsidR="007614C4" w:rsidRPr="007614C4" w14:paraId="69AB9A43" w14:textId="77777777" w:rsidTr="00DC17CD">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7AFFCE52"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Brush saws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429B2649"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1.5 kW </w:t>
                  </w:r>
                </w:p>
                <w:p w14:paraId="55189A28"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1.5 kW</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2BDECFFE"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107 dB/ 1pW </w:t>
                  </w:r>
                </w:p>
                <w:p w14:paraId="1DDE067D"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110 dB/1pW</w:t>
                  </w:r>
                </w:p>
              </w:tc>
            </w:tr>
            <w:tr w:rsidR="007614C4" w:rsidRPr="007614C4" w14:paraId="05C4E529" w14:textId="77777777" w:rsidTr="00DC17CD">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7749E6A9"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Chainsaws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6922D7EE"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2.5 kW </w:t>
                  </w:r>
                </w:p>
                <w:p w14:paraId="78C2AD15"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2.5 kW</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5F7706D9"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105 dB/ 1pW </w:t>
                  </w:r>
                </w:p>
                <w:p w14:paraId="744E955C"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110 dB/ 1pW</w:t>
                  </w:r>
                </w:p>
              </w:tc>
            </w:tr>
            <w:tr w:rsidR="007614C4" w:rsidRPr="007614C4" w14:paraId="0C90B6B5" w14:textId="77777777" w:rsidTr="00DC17CD">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6D97F763" w14:textId="77777777" w:rsidR="007614C4" w:rsidRPr="007614C4" w:rsidRDefault="007614C4" w:rsidP="00DC17CD">
                  <w:pPr>
                    <w:spacing w:line="360" w:lineRule="atLeast"/>
                    <w:rPr>
                      <w:rFonts w:ascii="Arial" w:hAnsi="Arial" w:cs="Arial"/>
                      <w:color w:val="000000" w:themeColor="text1"/>
                      <w:sz w:val="20"/>
                      <w:szCs w:val="20"/>
                    </w:rPr>
                  </w:pPr>
                  <w:proofErr w:type="spellStart"/>
                  <w:r w:rsidRPr="007614C4">
                    <w:rPr>
                      <w:rFonts w:ascii="Arial" w:hAnsi="Arial" w:cs="Arial"/>
                      <w:color w:val="000000" w:themeColor="text1"/>
                      <w:sz w:val="20"/>
                      <w:szCs w:val="20"/>
                    </w:rPr>
                    <w:t>Strimmers</w:t>
                  </w:r>
                  <w:proofErr w:type="spellEnd"/>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79FA7238"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Electric engine </w:t>
                  </w:r>
                </w:p>
                <w:p w14:paraId="17FCC5DB"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Combustion engine</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573F319B"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94 dB/ 1pW </w:t>
                  </w:r>
                </w:p>
                <w:p w14:paraId="2E5EF95A"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104 dB/1pW</w:t>
                  </w:r>
                </w:p>
              </w:tc>
            </w:tr>
            <w:tr w:rsidR="007614C4" w:rsidRPr="007614C4" w14:paraId="4CFA8DAF" w14:textId="77777777" w:rsidTr="00DC17CD">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26BDFC65"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Trimmers and hedge-trimmers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618882D6"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Electric engine </w:t>
                  </w:r>
                </w:p>
                <w:p w14:paraId="4D1024E8"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Combustion engine</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7F64B7F6"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96 dB/ 1pW </w:t>
                  </w:r>
                </w:p>
                <w:p w14:paraId="55F256D8"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103 dB/1pW</w:t>
                  </w:r>
                </w:p>
              </w:tc>
            </w:tr>
            <w:tr w:rsidR="007614C4" w:rsidRPr="007614C4" w14:paraId="2BCF2952" w14:textId="77777777" w:rsidTr="00DC17CD">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431A5E06"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Leaf collectors and leaf blowers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6595D1C9"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For professional use</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3F9E0268"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105dB/1pW</w:t>
                  </w:r>
                </w:p>
              </w:tc>
            </w:tr>
            <w:tr w:rsidR="007614C4" w:rsidRPr="007614C4" w14:paraId="2C274828" w14:textId="77777777" w:rsidTr="00DC17CD">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45710AF3"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Auto-scythes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1CBDF627"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1.5 kW </w:t>
                  </w:r>
                </w:p>
                <w:p w14:paraId="3E9902E5"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1.5 kW</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0F10E509"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107 dB/ 1pW </w:t>
                  </w:r>
                </w:p>
                <w:p w14:paraId="162F3595"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110 dB/1pW</w:t>
                  </w:r>
                </w:p>
              </w:tc>
            </w:tr>
            <w:tr w:rsidR="007614C4" w:rsidRPr="007614C4" w14:paraId="3BBAC5E6" w14:textId="77777777" w:rsidTr="00DC17CD">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7A07F4C1"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Auto-hoes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1E45823B" w14:textId="77777777" w:rsidR="007614C4" w:rsidRPr="007614C4" w:rsidRDefault="007614C4" w:rsidP="00DC17CD">
                  <w:pPr>
                    <w:spacing w:line="360" w:lineRule="atLeast"/>
                    <w:rPr>
                      <w:rFonts w:ascii="Arial" w:hAnsi="Arial" w:cs="Arial"/>
                      <w:color w:val="000000" w:themeColor="text1"/>
                      <w:sz w:val="20"/>
                      <w:szCs w:val="20"/>
                    </w:rPr>
                  </w:pP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6BA1DD7C"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96 dB/1pW</w:t>
                  </w:r>
                </w:p>
              </w:tc>
            </w:tr>
            <w:tr w:rsidR="007614C4" w:rsidRPr="007614C4" w14:paraId="17B6B66F" w14:textId="77777777" w:rsidTr="00DC17CD">
              <w:trPr>
                <w:tblCellSpacing w:w="0" w:type="dxa"/>
              </w:trPr>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0746D91B"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Rotary cultivators</w:t>
                  </w: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44039E66" w14:textId="77777777" w:rsidR="007614C4" w:rsidRPr="007614C4" w:rsidRDefault="007614C4" w:rsidP="00DC17CD">
                  <w:pPr>
                    <w:spacing w:line="360" w:lineRule="atLeast"/>
                    <w:rPr>
                      <w:rFonts w:ascii="Arial" w:hAnsi="Arial" w:cs="Arial"/>
                      <w:color w:val="000000" w:themeColor="text1"/>
                      <w:sz w:val="20"/>
                      <w:szCs w:val="20"/>
                    </w:rPr>
                  </w:pPr>
                </w:p>
              </w:tc>
              <w:tc>
                <w:tcPr>
                  <w:tcW w:w="0" w:type="auto"/>
                  <w:tcBorders>
                    <w:top w:val="nil"/>
                    <w:left w:val="nil"/>
                    <w:bottom w:val="single" w:sz="6" w:space="0" w:color="BEB3D8"/>
                    <w:right w:val="single" w:sz="6" w:space="0" w:color="BEB3D8"/>
                  </w:tcBorders>
                  <w:tcMar>
                    <w:top w:w="48" w:type="dxa"/>
                    <w:left w:w="45" w:type="dxa"/>
                    <w:bottom w:w="48" w:type="dxa"/>
                    <w:right w:w="45" w:type="dxa"/>
                  </w:tcMar>
                  <w:hideMark/>
                </w:tcPr>
                <w:p w14:paraId="59E094BB"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93 dB/1pW</w:t>
                  </w:r>
                </w:p>
              </w:tc>
            </w:tr>
          </w:tbl>
          <w:p w14:paraId="57817466" w14:textId="77777777" w:rsidR="007614C4" w:rsidRPr="007614C4" w:rsidRDefault="007614C4" w:rsidP="00DC17CD">
            <w:pPr>
              <w:spacing w:line="360" w:lineRule="atLeast"/>
              <w:rPr>
                <w:rFonts w:ascii="Arial" w:hAnsi="Arial" w:cs="Arial"/>
                <w:color w:val="000000" w:themeColor="text1"/>
                <w:sz w:val="20"/>
                <w:szCs w:val="20"/>
              </w:rPr>
            </w:pPr>
            <w:commentRangeStart w:id="0"/>
            <w:commentRangeStart w:id="1"/>
            <w:r w:rsidRPr="007614C4">
              <w:rPr>
                <w:rStyle w:val="Strong"/>
                <w:rFonts w:ascii="Arial" w:hAnsi="Arial" w:cs="Arial"/>
                <w:color w:val="000000" w:themeColor="text1"/>
                <w:sz w:val="20"/>
                <w:szCs w:val="20"/>
              </w:rPr>
              <w:t>Verification:</w:t>
            </w:r>
            <w:r w:rsidRPr="007614C4">
              <w:rPr>
                <w:rFonts w:ascii="Arial" w:hAnsi="Arial" w:cs="Arial"/>
                <w:color w:val="000000" w:themeColor="text1"/>
                <w:sz w:val="20"/>
                <w:szCs w:val="20"/>
              </w:rPr>
              <w:br/>
              <w:t>The bidder must present the laboratory test results or an appropriate technical dossier demonstrating compliance. Machine carrying a type I Eco label meeting the above requirements will be deemed to comply.</w:t>
            </w:r>
            <w:commentRangeEnd w:id="0"/>
            <w:r w:rsidRPr="007614C4">
              <w:rPr>
                <w:rStyle w:val="CommentReference"/>
                <w:rFonts w:ascii="Arial" w:hAnsi="Arial" w:cs="Arial"/>
                <w:color w:val="000000" w:themeColor="text1"/>
              </w:rPr>
              <w:commentReference w:id="0"/>
            </w:r>
            <w:commentRangeEnd w:id="1"/>
            <w:r w:rsidRPr="007614C4">
              <w:rPr>
                <w:rStyle w:val="CommentReference"/>
                <w:rFonts w:ascii="Arial" w:hAnsi="Arial" w:cs="Arial"/>
                <w:color w:val="000000" w:themeColor="text1"/>
              </w:rPr>
              <w:commentReference w:id="1"/>
            </w:r>
          </w:p>
        </w:tc>
      </w:tr>
    </w:tbl>
    <w:p w14:paraId="73C20F03" w14:textId="5FAA4A21" w:rsidR="007614C4" w:rsidRPr="007614C4" w:rsidRDefault="007614C4" w:rsidP="007614C4">
      <w:pPr>
        <w:pStyle w:val="BodyText"/>
        <w:rPr>
          <w:rFonts w:ascii="Arial" w:hAnsi="Arial" w:cs="Arial"/>
          <w:b/>
          <w:color w:val="000000" w:themeColor="text1"/>
          <w:sz w:val="20"/>
        </w:rPr>
      </w:pPr>
      <w:r w:rsidRPr="007614C4">
        <w:rPr>
          <w:rFonts w:ascii="Arial" w:hAnsi="Arial" w:cs="Arial"/>
          <w:b/>
          <w:color w:val="000000" w:themeColor="text1"/>
          <w:sz w:val="20"/>
        </w:rPr>
        <w:t>PAINTS AND VARNISHES</w:t>
      </w:r>
    </w:p>
    <w:tbl>
      <w:tblPr>
        <w:tblW w:w="4985" w:type="pct"/>
        <w:tblCellSpacing w:w="15" w:type="dxa"/>
        <w:tblBorders>
          <w:top w:val="single" w:sz="6" w:space="0" w:color="BEB3D8"/>
          <w:left w:val="single" w:sz="6" w:space="0" w:color="BEB3D8"/>
        </w:tblBorders>
        <w:tblCellMar>
          <w:top w:w="15" w:type="dxa"/>
          <w:left w:w="15" w:type="dxa"/>
          <w:bottom w:w="15" w:type="dxa"/>
          <w:right w:w="15" w:type="dxa"/>
        </w:tblCellMar>
        <w:tblLook w:val="04A0" w:firstRow="1" w:lastRow="0" w:firstColumn="1" w:lastColumn="0" w:noHBand="0" w:noVBand="1"/>
      </w:tblPr>
      <w:tblGrid>
        <w:gridCol w:w="2165"/>
        <w:gridCol w:w="11743"/>
      </w:tblGrid>
      <w:tr w:rsidR="007614C4" w:rsidRPr="007614C4" w14:paraId="0E4E176D" w14:textId="77777777" w:rsidTr="007614C4">
        <w:trPr>
          <w:tblCellSpacing w:w="15" w:type="dxa"/>
        </w:trPr>
        <w:tc>
          <w:tcPr>
            <w:tcW w:w="759" w:type="pct"/>
            <w:tcBorders>
              <w:bottom w:val="nil"/>
              <w:right w:val="nil"/>
            </w:tcBorders>
            <w:shd w:val="clear" w:color="auto" w:fill="BFBFBF"/>
            <w:tcMar>
              <w:top w:w="120" w:type="dxa"/>
              <w:left w:w="45" w:type="dxa"/>
              <w:bottom w:w="120" w:type="dxa"/>
              <w:right w:w="45" w:type="dxa"/>
            </w:tcMar>
            <w:hideMark/>
          </w:tcPr>
          <w:p w14:paraId="76C6CD0A" w14:textId="77777777" w:rsidR="007614C4" w:rsidRPr="007614C4" w:rsidRDefault="007614C4" w:rsidP="00DC17CD">
            <w:pPr>
              <w:spacing w:before="240" w:after="240"/>
              <w:rPr>
                <w:rFonts w:ascii="Arial" w:hAnsi="Arial" w:cs="Arial"/>
                <w:b/>
                <w:bCs/>
                <w:color w:val="000000" w:themeColor="text1"/>
                <w:sz w:val="19"/>
                <w:szCs w:val="19"/>
              </w:rPr>
            </w:pPr>
            <w:r w:rsidRPr="007614C4">
              <w:rPr>
                <w:rFonts w:ascii="Arial" w:hAnsi="Arial" w:cs="Arial"/>
                <w:b/>
                <w:bCs/>
                <w:color w:val="000000" w:themeColor="text1"/>
                <w:sz w:val="19"/>
                <w:szCs w:val="19"/>
              </w:rPr>
              <w:t>IMPACT AREA</w:t>
            </w:r>
          </w:p>
        </w:tc>
        <w:tc>
          <w:tcPr>
            <w:tcW w:w="4191" w:type="pct"/>
            <w:tcBorders>
              <w:bottom w:val="nil"/>
              <w:right w:val="nil"/>
            </w:tcBorders>
            <w:shd w:val="clear" w:color="auto" w:fill="BFBFBF"/>
            <w:tcMar>
              <w:top w:w="120" w:type="dxa"/>
              <w:left w:w="45" w:type="dxa"/>
              <w:bottom w:w="120" w:type="dxa"/>
              <w:right w:w="45" w:type="dxa"/>
            </w:tcMar>
            <w:hideMark/>
          </w:tcPr>
          <w:p w14:paraId="43B4E8A7" w14:textId="77777777" w:rsidR="007614C4" w:rsidRPr="007614C4" w:rsidRDefault="007614C4" w:rsidP="00DC17CD">
            <w:pPr>
              <w:spacing w:before="240" w:after="240"/>
              <w:rPr>
                <w:rFonts w:ascii="Arial" w:hAnsi="Arial" w:cs="Arial"/>
                <w:b/>
                <w:bCs/>
                <w:color w:val="000000" w:themeColor="text1"/>
                <w:sz w:val="19"/>
                <w:szCs w:val="19"/>
              </w:rPr>
            </w:pPr>
            <w:r w:rsidRPr="007614C4">
              <w:rPr>
                <w:rFonts w:ascii="Arial" w:hAnsi="Arial" w:cs="Arial"/>
                <w:b/>
                <w:bCs/>
                <w:color w:val="000000" w:themeColor="text1"/>
                <w:sz w:val="19"/>
                <w:szCs w:val="19"/>
              </w:rPr>
              <w:t xml:space="preserve">MANDATORY / </w:t>
            </w:r>
            <w:r w:rsidRPr="007614C4">
              <w:rPr>
                <w:rStyle w:val="Strong"/>
                <w:rFonts w:ascii="Arial" w:hAnsi="Arial" w:cs="Arial"/>
                <w:color w:val="000000" w:themeColor="text1"/>
                <w:sz w:val="19"/>
                <w:szCs w:val="19"/>
              </w:rPr>
              <w:t>How Landscape Contractors can ensure compliance with the Government Buying Standards</w:t>
            </w:r>
          </w:p>
        </w:tc>
      </w:tr>
      <w:tr w:rsidR="007614C4" w:rsidRPr="007614C4" w14:paraId="388827E9" w14:textId="77777777" w:rsidTr="007614C4">
        <w:trPr>
          <w:tblCellSpacing w:w="15" w:type="dxa"/>
        </w:trPr>
        <w:tc>
          <w:tcPr>
            <w:tcW w:w="759" w:type="pct"/>
            <w:tcBorders>
              <w:top w:val="nil"/>
              <w:left w:val="nil"/>
              <w:bottom w:val="single" w:sz="6" w:space="0" w:color="BEB3D8"/>
              <w:right w:val="single" w:sz="6" w:space="0" w:color="BEB3D8"/>
            </w:tcBorders>
            <w:tcMar>
              <w:top w:w="48" w:type="dxa"/>
              <w:left w:w="45" w:type="dxa"/>
              <w:bottom w:w="48" w:type="dxa"/>
              <w:right w:w="45" w:type="dxa"/>
            </w:tcMar>
            <w:hideMark/>
          </w:tcPr>
          <w:p w14:paraId="64E57262" w14:textId="77777777" w:rsidR="007614C4" w:rsidRPr="007614C4" w:rsidRDefault="007614C4" w:rsidP="00DC17CD">
            <w:pPr>
              <w:spacing w:line="360" w:lineRule="atLeast"/>
              <w:rPr>
                <w:rFonts w:ascii="Arial" w:hAnsi="Arial" w:cs="Arial"/>
                <w:color w:val="000000" w:themeColor="text1"/>
                <w:sz w:val="20"/>
                <w:szCs w:val="20"/>
              </w:rPr>
            </w:pPr>
          </w:p>
        </w:tc>
        <w:tc>
          <w:tcPr>
            <w:tcW w:w="4191" w:type="pct"/>
            <w:tcBorders>
              <w:top w:val="nil"/>
              <w:left w:val="nil"/>
              <w:bottom w:val="single" w:sz="6" w:space="0" w:color="BEB3D8"/>
              <w:right w:val="single" w:sz="6" w:space="0" w:color="BEB3D8"/>
            </w:tcBorders>
            <w:tcMar>
              <w:top w:w="48" w:type="dxa"/>
              <w:left w:w="45" w:type="dxa"/>
              <w:bottom w:w="48" w:type="dxa"/>
              <w:right w:w="45" w:type="dxa"/>
            </w:tcMar>
            <w:hideMark/>
          </w:tcPr>
          <w:p w14:paraId="516205DF" w14:textId="77777777" w:rsidR="007614C4" w:rsidRPr="007614C4" w:rsidRDefault="007614C4" w:rsidP="00DC17CD">
            <w:pPr>
              <w:spacing w:line="360" w:lineRule="atLeast"/>
              <w:rPr>
                <w:rFonts w:ascii="Arial" w:hAnsi="Arial" w:cs="Arial"/>
                <w:color w:val="000000" w:themeColor="text1"/>
                <w:sz w:val="20"/>
                <w:szCs w:val="20"/>
              </w:rPr>
            </w:pPr>
          </w:p>
        </w:tc>
      </w:tr>
      <w:tr w:rsidR="007614C4" w:rsidRPr="007614C4" w14:paraId="5DE39B9A" w14:textId="77777777" w:rsidTr="007614C4">
        <w:trPr>
          <w:tblCellSpacing w:w="15" w:type="dxa"/>
        </w:trPr>
        <w:tc>
          <w:tcPr>
            <w:tcW w:w="759" w:type="pct"/>
            <w:tcBorders>
              <w:top w:val="nil"/>
              <w:left w:val="nil"/>
              <w:bottom w:val="single" w:sz="6" w:space="0" w:color="BEB3D8"/>
              <w:right w:val="single" w:sz="6" w:space="0" w:color="BEB3D8"/>
            </w:tcBorders>
            <w:tcMar>
              <w:top w:w="48" w:type="dxa"/>
              <w:left w:w="45" w:type="dxa"/>
              <w:bottom w:w="48" w:type="dxa"/>
              <w:right w:w="45" w:type="dxa"/>
            </w:tcMar>
            <w:hideMark/>
          </w:tcPr>
          <w:p w14:paraId="5A6FDEB3"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All other paints and coatings (such as varnishes)</w:t>
            </w:r>
          </w:p>
        </w:tc>
        <w:tc>
          <w:tcPr>
            <w:tcW w:w="4191" w:type="pct"/>
            <w:tcBorders>
              <w:top w:val="nil"/>
              <w:left w:val="nil"/>
              <w:bottom w:val="single" w:sz="6" w:space="0" w:color="BEB3D8"/>
              <w:right w:val="single" w:sz="6" w:space="0" w:color="BEB3D8"/>
            </w:tcBorders>
            <w:tcMar>
              <w:top w:w="48" w:type="dxa"/>
              <w:left w:w="45" w:type="dxa"/>
              <w:bottom w:w="48" w:type="dxa"/>
              <w:right w:w="45" w:type="dxa"/>
            </w:tcMar>
            <w:hideMark/>
          </w:tcPr>
          <w:p w14:paraId="10BF56B1"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Must comply with the maximum VOC content limits in Directive 2004/42/CE (Annex II</w:t>
            </w:r>
            <w:r w:rsidRPr="007614C4">
              <w:rPr>
                <w:rStyle w:val="Emphasis"/>
                <w:rFonts w:ascii="Arial" w:hAnsi="Arial" w:cs="Arial"/>
                <w:color w:val="000000" w:themeColor="text1"/>
                <w:sz w:val="20"/>
                <w:szCs w:val="20"/>
              </w:rPr>
              <w:t>)</w:t>
            </w:r>
            <w:r w:rsidRPr="007614C4">
              <w:rPr>
                <w:rFonts w:ascii="Arial" w:hAnsi="Arial" w:cs="Arial"/>
                <w:color w:val="000000" w:themeColor="text1"/>
                <w:sz w:val="20"/>
                <w:szCs w:val="20"/>
              </w:rPr>
              <w:t xml:space="preserve"> </w:t>
            </w:r>
          </w:p>
          <w:p w14:paraId="176D79BA"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xml:space="preserve">In addition, Other </w:t>
            </w:r>
            <w:proofErr w:type="gramStart"/>
            <w:r w:rsidRPr="007614C4">
              <w:rPr>
                <w:rFonts w:ascii="Arial" w:hAnsi="Arial" w:cs="Arial"/>
                <w:color w:val="000000" w:themeColor="text1"/>
                <w:sz w:val="20"/>
                <w:szCs w:val="20"/>
              </w:rPr>
              <w:t>paints</w:t>
            </w:r>
            <w:proofErr w:type="gramEnd"/>
            <w:r w:rsidRPr="007614C4">
              <w:rPr>
                <w:rFonts w:ascii="Arial" w:hAnsi="Arial" w:cs="Arial"/>
                <w:color w:val="000000" w:themeColor="text1"/>
                <w:sz w:val="20"/>
                <w:szCs w:val="20"/>
              </w:rPr>
              <w:t xml:space="preserve"> and all other products (varnishes, etc.) must have a ‘Medium’ VOC content of 24.99% or less.</w:t>
            </w:r>
          </w:p>
        </w:tc>
      </w:tr>
      <w:tr w:rsidR="007614C4" w:rsidRPr="007614C4" w14:paraId="769759E0" w14:textId="77777777" w:rsidTr="007614C4">
        <w:trPr>
          <w:tblCellSpacing w:w="15" w:type="dxa"/>
        </w:trPr>
        <w:tc>
          <w:tcPr>
            <w:tcW w:w="759" w:type="pct"/>
            <w:tcBorders>
              <w:top w:val="nil"/>
              <w:left w:val="nil"/>
              <w:bottom w:val="single" w:sz="6" w:space="0" w:color="BEB3D8"/>
              <w:right w:val="single" w:sz="6" w:space="0" w:color="BEB3D8"/>
            </w:tcBorders>
            <w:tcMar>
              <w:top w:w="48" w:type="dxa"/>
              <w:left w:w="45" w:type="dxa"/>
              <w:bottom w:w="48" w:type="dxa"/>
              <w:right w:w="45" w:type="dxa"/>
            </w:tcMar>
            <w:hideMark/>
          </w:tcPr>
          <w:p w14:paraId="7FD54446"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All other paints and coatings (such as varnishes)</w:t>
            </w:r>
          </w:p>
        </w:tc>
        <w:tc>
          <w:tcPr>
            <w:tcW w:w="4191" w:type="pct"/>
            <w:tcBorders>
              <w:top w:val="nil"/>
              <w:left w:val="nil"/>
              <w:bottom w:val="single" w:sz="6" w:space="0" w:color="BEB3D8"/>
              <w:right w:val="single" w:sz="6" w:space="0" w:color="BEB3D8"/>
            </w:tcBorders>
            <w:tcMar>
              <w:top w:w="48" w:type="dxa"/>
              <w:left w:w="45" w:type="dxa"/>
              <w:bottom w:w="48" w:type="dxa"/>
              <w:right w:w="45" w:type="dxa"/>
            </w:tcMar>
            <w:hideMark/>
          </w:tcPr>
          <w:p w14:paraId="33A92FC3" w14:textId="77777777" w:rsidR="007614C4" w:rsidRPr="007614C4" w:rsidRDefault="007614C4" w:rsidP="00DC17CD">
            <w:pPr>
              <w:spacing w:line="360" w:lineRule="atLeast"/>
              <w:rPr>
                <w:rFonts w:ascii="Arial" w:hAnsi="Arial" w:cs="Arial"/>
                <w:color w:val="000000" w:themeColor="text1"/>
                <w:sz w:val="20"/>
                <w:szCs w:val="20"/>
              </w:rPr>
            </w:pPr>
            <w:r w:rsidRPr="007614C4">
              <w:rPr>
                <w:rStyle w:val="Emphasis"/>
                <w:rFonts w:ascii="Arial" w:hAnsi="Arial" w:cs="Arial"/>
                <w:i w:val="0"/>
                <w:iCs w:val="0"/>
                <w:color w:val="000000" w:themeColor="text1"/>
                <w:sz w:val="20"/>
                <w:szCs w:val="20"/>
              </w:rPr>
              <w:t>Over and above those excluded by the maximum VOC content limits in Directive 2004/42/CE as above, the following products shall not be used:</w:t>
            </w:r>
            <w:r w:rsidRPr="007614C4">
              <w:rPr>
                <w:rFonts w:ascii="Arial" w:hAnsi="Arial" w:cs="Arial"/>
                <w:color w:val="000000" w:themeColor="text1"/>
                <w:sz w:val="20"/>
                <w:szCs w:val="20"/>
              </w:rPr>
              <w:t xml:space="preserve"> </w:t>
            </w:r>
          </w:p>
          <w:p w14:paraId="7C9A08E7"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Indoor paints and varnishes with a content of solvents (VOCs with a boiling point of 250oC maximum) higher than:</w:t>
            </w:r>
          </w:p>
          <w:p w14:paraId="3C54878B"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For other paints with a spreading rate of at least 15 m2/l at a hiding power of 98% opacity: 250g/l (minus water)</w:t>
            </w:r>
          </w:p>
          <w:p w14:paraId="11E0C2A1" w14:textId="77777777" w:rsidR="007614C4" w:rsidRPr="007614C4" w:rsidRDefault="007614C4" w:rsidP="00DC17CD">
            <w:pPr>
              <w:spacing w:line="360" w:lineRule="atLeast"/>
              <w:rPr>
                <w:rFonts w:ascii="Arial" w:hAnsi="Arial" w:cs="Arial"/>
                <w:color w:val="000000" w:themeColor="text1"/>
                <w:sz w:val="20"/>
                <w:szCs w:val="20"/>
              </w:rPr>
            </w:pPr>
            <w:r w:rsidRPr="007614C4">
              <w:rPr>
                <w:rFonts w:ascii="Arial" w:hAnsi="Arial" w:cs="Arial"/>
                <w:color w:val="000000" w:themeColor="text1"/>
                <w:sz w:val="20"/>
                <w:szCs w:val="20"/>
              </w:rPr>
              <w:t>- For all other products (including paints that are not wall paints and that have a spreading rate of less than 15 m2/l, varnishes wood stains, floor coatings and floor paints, and related products): 180g/l (minus water)</w:t>
            </w:r>
          </w:p>
        </w:tc>
      </w:tr>
    </w:tbl>
    <w:p w14:paraId="511EC861" w14:textId="78B1611E" w:rsidR="008E0618" w:rsidRPr="007614C4" w:rsidRDefault="00731F94" w:rsidP="007614C4">
      <w:pPr>
        <w:pStyle w:val="BodyText"/>
        <w:rPr>
          <w:rFonts w:ascii="Arial" w:hAnsi="Arial"/>
          <w:color w:val="008000"/>
          <w:sz w:val="20"/>
        </w:rPr>
      </w:pPr>
    </w:p>
    <w:sectPr w:rsidR="008E0618" w:rsidRPr="007614C4" w:rsidSect="00731F94">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aley, Gary" w:date="2017-09-29T13:11:00Z" w:initials="HG">
    <w:p w14:paraId="3F086989" w14:textId="77777777" w:rsidR="007614C4" w:rsidRDefault="007614C4" w:rsidP="007614C4">
      <w:pPr>
        <w:pStyle w:val="CommentText"/>
      </w:pPr>
      <w:r>
        <w:rPr>
          <w:rStyle w:val="CommentReference"/>
        </w:rPr>
        <w:annotationRef/>
      </w:r>
      <w:r>
        <w:t>Do we have any competency based requirements for these bits of plant and tools ??</w:t>
      </w:r>
    </w:p>
  </w:comment>
  <w:comment w:id="1" w:author="Francis, Julian" w:date="2017-10-27T21:18:00Z" w:initials="FJ">
    <w:p w14:paraId="40C583E9" w14:textId="77777777" w:rsidR="007614C4" w:rsidRDefault="007614C4" w:rsidP="007614C4">
      <w:pPr>
        <w:pStyle w:val="CommentText"/>
      </w:pPr>
      <w:r>
        <w:rPr>
          <w:rStyle w:val="CommentReference"/>
        </w:rPr>
        <w:annotationRef/>
      </w:r>
      <w:r>
        <w:t>SOMETHING TO DISCUSS WITH SALLY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F086989" w15:done="0"/>
  <w15:commentEx w15:paraId="40C583E9" w15:paraIdParent="3F0869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086989" w16cid:durableId="1D78C4FD"/>
  <w16cid:commentId w16cid:paraId="40C583E9" w16cid:durableId="1D9E21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340DD" w14:textId="77777777" w:rsidR="007614C4" w:rsidRDefault="007614C4" w:rsidP="007614C4">
      <w:r>
        <w:separator/>
      </w:r>
    </w:p>
  </w:endnote>
  <w:endnote w:type="continuationSeparator" w:id="0">
    <w:p w14:paraId="7A977FD5" w14:textId="77777777" w:rsidR="007614C4" w:rsidRDefault="007614C4" w:rsidP="0076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B7117" w14:textId="77777777" w:rsidR="00C5286E" w:rsidRDefault="00C52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7045456"/>
      <w:docPartObj>
        <w:docPartGallery w:val="Page Numbers (Bottom of Page)"/>
        <w:docPartUnique/>
      </w:docPartObj>
    </w:sdtPr>
    <w:sdtEndPr>
      <w:rPr>
        <w:rFonts w:ascii="Arial" w:hAnsi="Arial" w:cs="Arial"/>
        <w:noProof/>
        <w:sz w:val="16"/>
        <w:szCs w:val="16"/>
      </w:rPr>
    </w:sdtEndPr>
    <w:sdtContent>
      <w:p w14:paraId="5C3007F0" w14:textId="4C0391F5" w:rsidR="00C5286E" w:rsidRPr="00C5286E" w:rsidRDefault="00C5286E">
        <w:pPr>
          <w:pStyle w:val="Footer"/>
          <w:jc w:val="right"/>
          <w:rPr>
            <w:rFonts w:ascii="Arial" w:hAnsi="Arial" w:cs="Arial"/>
            <w:sz w:val="16"/>
            <w:szCs w:val="16"/>
          </w:rPr>
        </w:pPr>
        <w:r w:rsidRPr="00C5286E">
          <w:rPr>
            <w:rFonts w:ascii="Arial" w:hAnsi="Arial" w:cs="Arial"/>
            <w:sz w:val="16"/>
            <w:szCs w:val="16"/>
          </w:rPr>
          <w:fldChar w:fldCharType="begin"/>
        </w:r>
        <w:r w:rsidRPr="00C5286E">
          <w:rPr>
            <w:rFonts w:ascii="Arial" w:hAnsi="Arial" w:cs="Arial"/>
            <w:sz w:val="16"/>
            <w:szCs w:val="16"/>
          </w:rPr>
          <w:instrText xml:space="preserve"> PAGE   \* MERGEFORMAT </w:instrText>
        </w:r>
        <w:r w:rsidRPr="00C5286E">
          <w:rPr>
            <w:rFonts w:ascii="Arial" w:hAnsi="Arial" w:cs="Arial"/>
            <w:sz w:val="16"/>
            <w:szCs w:val="16"/>
          </w:rPr>
          <w:fldChar w:fldCharType="separate"/>
        </w:r>
        <w:r w:rsidRPr="00C5286E">
          <w:rPr>
            <w:rFonts w:ascii="Arial" w:hAnsi="Arial" w:cs="Arial"/>
            <w:noProof/>
            <w:sz w:val="16"/>
            <w:szCs w:val="16"/>
          </w:rPr>
          <w:t>2</w:t>
        </w:r>
        <w:r w:rsidRPr="00C5286E">
          <w:rPr>
            <w:rFonts w:ascii="Arial" w:hAnsi="Arial" w:cs="Arial"/>
            <w:noProof/>
            <w:sz w:val="16"/>
            <w:szCs w:val="16"/>
          </w:rPr>
          <w:fldChar w:fldCharType="end"/>
        </w:r>
      </w:p>
    </w:sdtContent>
  </w:sdt>
  <w:p w14:paraId="3A956786" w14:textId="77777777" w:rsidR="00C5286E" w:rsidRDefault="00C52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28362" w14:textId="77777777" w:rsidR="00C5286E" w:rsidRDefault="00C52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06305" w14:textId="77777777" w:rsidR="007614C4" w:rsidRDefault="007614C4" w:rsidP="007614C4">
      <w:r>
        <w:separator/>
      </w:r>
    </w:p>
  </w:footnote>
  <w:footnote w:type="continuationSeparator" w:id="0">
    <w:p w14:paraId="77F11163" w14:textId="77777777" w:rsidR="007614C4" w:rsidRDefault="007614C4" w:rsidP="00761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CE714" w14:textId="77777777" w:rsidR="00C5286E" w:rsidRDefault="00C52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9B75C" w14:textId="77777777" w:rsidR="00C5286E" w:rsidRDefault="00C52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5211B" w14:textId="77777777" w:rsidR="00C5286E" w:rsidRDefault="00C52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022391"/>
    <w:multiLevelType w:val="multilevel"/>
    <w:tmpl w:val="61A6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EB08BB"/>
    <w:multiLevelType w:val="hybridMultilevel"/>
    <w:tmpl w:val="31C6C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ncis, Julian">
    <w15:presenceInfo w15:providerId="AD" w15:userId="S-1-5-21-5500852-3169274997-3744214685-64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4C4"/>
    <w:rsid w:val="00434D0C"/>
    <w:rsid w:val="006E4CA3"/>
    <w:rsid w:val="00731F94"/>
    <w:rsid w:val="007614C4"/>
    <w:rsid w:val="00C5286E"/>
    <w:rsid w:val="00D66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6A6331"/>
  <w15:chartTrackingRefBased/>
  <w15:docId w15:val="{57F4854B-DBDF-4012-B4E8-25A89724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4C4"/>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7614C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14C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14C4"/>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7614C4"/>
    <w:rPr>
      <w:rFonts w:ascii="Arial" w:eastAsia="Times New Roman" w:hAnsi="Arial" w:cs="Arial"/>
      <w:b/>
      <w:bCs/>
      <w:sz w:val="26"/>
      <w:szCs w:val="26"/>
      <w:lang w:eastAsia="en-GB"/>
    </w:rPr>
  </w:style>
  <w:style w:type="character" w:styleId="CommentReference">
    <w:name w:val="annotation reference"/>
    <w:semiHidden/>
    <w:rsid w:val="007614C4"/>
    <w:rPr>
      <w:sz w:val="16"/>
      <w:szCs w:val="16"/>
    </w:rPr>
  </w:style>
  <w:style w:type="paragraph" w:styleId="CommentText">
    <w:name w:val="annotation text"/>
    <w:basedOn w:val="Normal"/>
    <w:link w:val="CommentTextChar"/>
    <w:semiHidden/>
    <w:rsid w:val="007614C4"/>
    <w:rPr>
      <w:sz w:val="20"/>
      <w:szCs w:val="20"/>
    </w:rPr>
  </w:style>
  <w:style w:type="character" w:customStyle="1" w:styleId="CommentTextChar">
    <w:name w:val="Comment Text Char"/>
    <w:basedOn w:val="DefaultParagraphFont"/>
    <w:link w:val="CommentText"/>
    <w:semiHidden/>
    <w:rsid w:val="007614C4"/>
    <w:rPr>
      <w:rFonts w:ascii="Times New Roman" w:eastAsia="Times New Roman" w:hAnsi="Times New Roman" w:cs="Times New Roman"/>
      <w:sz w:val="20"/>
      <w:szCs w:val="20"/>
      <w:lang w:eastAsia="en-GB"/>
    </w:rPr>
  </w:style>
  <w:style w:type="character" w:styleId="Hyperlink">
    <w:name w:val="Hyperlink"/>
    <w:uiPriority w:val="99"/>
    <w:rsid w:val="007614C4"/>
    <w:rPr>
      <w:color w:val="0000FF"/>
      <w:u w:val="single"/>
    </w:rPr>
  </w:style>
  <w:style w:type="paragraph" w:styleId="BodyText">
    <w:name w:val="Body Text"/>
    <w:basedOn w:val="Normal"/>
    <w:link w:val="BodyTextChar"/>
    <w:rsid w:val="007614C4"/>
    <w:pPr>
      <w:spacing w:after="120"/>
    </w:pPr>
    <w:rPr>
      <w:szCs w:val="20"/>
    </w:rPr>
  </w:style>
  <w:style w:type="character" w:customStyle="1" w:styleId="BodyTextChar">
    <w:name w:val="Body Text Char"/>
    <w:basedOn w:val="DefaultParagraphFont"/>
    <w:link w:val="BodyText"/>
    <w:rsid w:val="007614C4"/>
    <w:rPr>
      <w:rFonts w:ascii="Times New Roman" w:eastAsia="Times New Roman" w:hAnsi="Times New Roman" w:cs="Times New Roman"/>
      <w:sz w:val="24"/>
      <w:szCs w:val="20"/>
      <w:lang w:eastAsia="en-GB"/>
    </w:rPr>
  </w:style>
  <w:style w:type="character" w:styleId="Strong">
    <w:name w:val="Strong"/>
    <w:uiPriority w:val="22"/>
    <w:qFormat/>
    <w:rsid w:val="007614C4"/>
    <w:rPr>
      <w:b/>
    </w:rPr>
  </w:style>
  <w:style w:type="character" w:styleId="Emphasis">
    <w:name w:val="Emphasis"/>
    <w:uiPriority w:val="20"/>
    <w:qFormat/>
    <w:rsid w:val="007614C4"/>
    <w:rPr>
      <w:i/>
      <w:iCs/>
    </w:rPr>
  </w:style>
  <w:style w:type="character" w:styleId="FollowedHyperlink">
    <w:name w:val="FollowedHyperlink"/>
    <w:basedOn w:val="DefaultParagraphFont"/>
    <w:uiPriority w:val="99"/>
    <w:semiHidden/>
    <w:unhideWhenUsed/>
    <w:rsid w:val="007614C4"/>
    <w:rPr>
      <w:color w:val="954F72" w:themeColor="followedHyperlink"/>
      <w:u w:val="single"/>
    </w:rPr>
  </w:style>
  <w:style w:type="paragraph" w:styleId="BalloonText">
    <w:name w:val="Balloon Text"/>
    <w:basedOn w:val="Normal"/>
    <w:link w:val="BalloonTextChar"/>
    <w:uiPriority w:val="99"/>
    <w:semiHidden/>
    <w:unhideWhenUsed/>
    <w:rsid w:val="00761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4C4"/>
    <w:rPr>
      <w:rFonts w:ascii="Segoe UI" w:eastAsia="Times New Roman" w:hAnsi="Segoe UI" w:cs="Segoe UI"/>
      <w:sz w:val="18"/>
      <w:szCs w:val="18"/>
      <w:lang w:eastAsia="en-GB"/>
    </w:rPr>
  </w:style>
  <w:style w:type="paragraph" w:styleId="Header">
    <w:name w:val="header"/>
    <w:basedOn w:val="Normal"/>
    <w:link w:val="HeaderChar"/>
    <w:uiPriority w:val="99"/>
    <w:unhideWhenUsed/>
    <w:rsid w:val="00C5286E"/>
    <w:pPr>
      <w:tabs>
        <w:tab w:val="center" w:pos="4513"/>
        <w:tab w:val="right" w:pos="9026"/>
      </w:tabs>
    </w:pPr>
  </w:style>
  <w:style w:type="character" w:customStyle="1" w:styleId="HeaderChar">
    <w:name w:val="Header Char"/>
    <w:basedOn w:val="DefaultParagraphFont"/>
    <w:link w:val="Header"/>
    <w:uiPriority w:val="99"/>
    <w:rsid w:val="00C5286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5286E"/>
    <w:pPr>
      <w:tabs>
        <w:tab w:val="center" w:pos="4513"/>
        <w:tab w:val="right" w:pos="9026"/>
      </w:tabs>
    </w:pPr>
  </w:style>
  <w:style w:type="character" w:customStyle="1" w:styleId="FooterChar">
    <w:name w:val="Footer Char"/>
    <w:basedOn w:val="DefaultParagraphFont"/>
    <w:link w:val="Footer"/>
    <w:uiPriority w:val="99"/>
    <w:rsid w:val="00C5286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fera.defra.gov.uk/nonnativespecies/index.cfm?pageid=299" TargetMode="Externa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assets.publishing.service.gov.uk/government/uploads/system/uploads/attachment_data/file/482147/gbs-hydraulics-2015.pdf"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eur-lex.europa.eu/LexUriServ/site/en/oj/2006/l_325/l_32520061124en00280034.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wrap.org.uk/content/bsi-pas-100-compost-specification"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1632</Words>
  <Characters>9304</Characters>
  <Application>Microsoft Office Word</Application>
  <DocSecurity>0</DocSecurity>
  <Lines>77</Lines>
  <Paragraphs>21</Paragraphs>
  <ScaleCrop>false</ScaleCrop>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Pickthall, Rebecca</dc:creator>
  <cp:keywords/>
  <dc:description/>
  <cp:lastModifiedBy>Pickthall, Rebecca</cp:lastModifiedBy>
  <cp:revision>4</cp:revision>
  <cp:lastPrinted>2021-08-03T09:55:00Z</cp:lastPrinted>
  <dcterms:created xsi:type="dcterms:W3CDTF">2021-07-29T10:13:00Z</dcterms:created>
  <dcterms:modified xsi:type="dcterms:W3CDTF">2021-08-03T09:58:00Z</dcterms:modified>
</cp:coreProperties>
</file>