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52" w:rsidRDefault="007F2207" w:rsidP="00271104">
      <w:pPr>
        <w:spacing w:after="0"/>
        <w:rPr>
          <w:b/>
          <w:u w:val="single"/>
        </w:rPr>
      </w:pPr>
      <w:r>
        <w:rPr>
          <w:b/>
          <w:u w:val="single"/>
        </w:rPr>
        <w:t>800</w:t>
      </w:r>
      <w:r w:rsidR="007B698E">
        <w:rPr>
          <w:b/>
          <w:u w:val="single"/>
        </w:rPr>
        <w:t>8</w:t>
      </w:r>
      <w:r>
        <w:rPr>
          <w:b/>
          <w:u w:val="single"/>
        </w:rPr>
        <w:t xml:space="preserve"> – </w:t>
      </w:r>
      <w:r w:rsidR="007B698E">
        <w:rPr>
          <w:b/>
          <w:u w:val="single"/>
        </w:rPr>
        <w:t>VICTORY PARK PAVILION, CAINCROSS, STROUD</w:t>
      </w:r>
    </w:p>
    <w:p w:rsidR="00271104" w:rsidRDefault="00271104" w:rsidP="00271104">
      <w:pPr>
        <w:spacing w:after="0"/>
        <w:rPr>
          <w:u w:val="single"/>
        </w:rPr>
      </w:pPr>
      <w:r>
        <w:br/>
      </w:r>
      <w:r w:rsidR="007419E9">
        <w:rPr>
          <w:u w:val="single"/>
        </w:rPr>
        <w:t>TENDER ADDENDUM No 4</w:t>
      </w:r>
    </w:p>
    <w:p w:rsidR="006324BC" w:rsidRDefault="006324BC" w:rsidP="00271104">
      <w:pPr>
        <w:spacing w:after="0"/>
        <w:rPr>
          <w:u w:val="single"/>
        </w:rPr>
      </w:pPr>
    </w:p>
    <w:p w:rsidR="007B698E" w:rsidRDefault="007B698E" w:rsidP="00271104">
      <w:pPr>
        <w:spacing w:after="0"/>
        <w:rPr>
          <w:u w:val="single"/>
        </w:rPr>
      </w:pPr>
    </w:p>
    <w:p w:rsidR="000B1D72" w:rsidRDefault="007419E9" w:rsidP="00271104">
      <w:pPr>
        <w:spacing w:after="0"/>
        <w:ind w:left="720" w:hanging="720"/>
      </w:pPr>
      <w:r>
        <w:t>4.1</w:t>
      </w:r>
      <w:r>
        <w:tab/>
        <w:t>The existing render on the external walls to be retained is to be hacked off and re-rendered with new to match that on the extension</w:t>
      </w:r>
    </w:p>
    <w:p w:rsidR="007419E9" w:rsidRDefault="007419E9" w:rsidP="00271104">
      <w:pPr>
        <w:spacing w:after="0"/>
        <w:ind w:left="720" w:hanging="720"/>
      </w:pPr>
    </w:p>
    <w:p w:rsidR="00836C08" w:rsidRDefault="007419E9" w:rsidP="00271104">
      <w:pPr>
        <w:spacing w:after="0"/>
        <w:ind w:left="720" w:hanging="720"/>
      </w:pPr>
      <w:r>
        <w:t>4.2</w:t>
      </w:r>
      <w:r>
        <w:tab/>
        <w:t xml:space="preserve">The </w:t>
      </w:r>
      <w:r w:rsidR="00836C08">
        <w:t>floor to the external lockable storage is to have a concrete slab with brushed finish/trowelled margins</w:t>
      </w:r>
    </w:p>
    <w:p w:rsidR="00836C08" w:rsidRDefault="00836C08" w:rsidP="00271104">
      <w:pPr>
        <w:spacing w:after="0"/>
        <w:ind w:left="720" w:hanging="720"/>
      </w:pPr>
    </w:p>
    <w:p w:rsidR="007419E9" w:rsidRDefault="00836C08" w:rsidP="00271104">
      <w:pPr>
        <w:spacing w:after="0"/>
        <w:ind w:left="720" w:hanging="720"/>
      </w:pPr>
      <w:r>
        <w:t>4.3</w:t>
      </w:r>
      <w:r>
        <w:tab/>
        <w:t>The external gates to the lockable storage area are to be as item 16.05 in the Schedule of Works….please omit Provisional Sum P6 (which was drafted before the updated Schedule of Works was provided)</w:t>
      </w:r>
      <w:r w:rsidR="007419E9">
        <w:t xml:space="preserve"> </w:t>
      </w:r>
    </w:p>
    <w:p w:rsidR="00284C8A" w:rsidRDefault="00284C8A" w:rsidP="00271104">
      <w:pPr>
        <w:spacing w:after="0"/>
        <w:ind w:left="720" w:hanging="720"/>
      </w:pPr>
    </w:p>
    <w:p w:rsidR="00284C8A" w:rsidRDefault="00284C8A" w:rsidP="00271104">
      <w:pPr>
        <w:spacing w:after="0"/>
        <w:ind w:left="720" w:hanging="720"/>
      </w:pPr>
      <w:r>
        <w:t>4.4</w:t>
      </w:r>
      <w:r>
        <w:tab/>
        <w:t>Schedule of Works 12.03 refers to electric roller shutter to the tea point and the reception counter (by D06) but NBS L20/610B refers to manual, please allow for manual</w:t>
      </w:r>
      <w:r w:rsidR="000C33A3">
        <w:t>; also include for the double hatch doors</w:t>
      </w:r>
    </w:p>
    <w:p w:rsidR="00284C8A" w:rsidRDefault="00284C8A" w:rsidP="00271104">
      <w:pPr>
        <w:spacing w:after="0"/>
        <w:ind w:left="720" w:hanging="720"/>
      </w:pPr>
    </w:p>
    <w:p w:rsidR="00284C8A" w:rsidRDefault="00284C8A" w:rsidP="00271104">
      <w:pPr>
        <w:spacing w:after="0"/>
        <w:ind w:left="720" w:hanging="720"/>
      </w:pPr>
      <w:r>
        <w:t>4.5</w:t>
      </w:r>
      <w:r>
        <w:tab/>
        <w:t>Schedule of Works 14.13 refe</w:t>
      </w:r>
      <w:r w:rsidR="000C33A3">
        <w:t>rences barrier matting as the Fi</w:t>
      </w:r>
      <w:r>
        <w:t>nish</w:t>
      </w:r>
      <w:r w:rsidR="000C33A3">
        <w:t>es</w:t>
      </w:r>
      <w:r>
        <w:t xml:space="preserve"> </w:t>
      </w:r>
      <w:r w:rsidR="000C33A3">
        <w:t>Schedule</w:t>
      </w:r>
      <w:r>
        <w:t xml:space="preserve"> and NBS M10/300, please ignore the reference to barrier matting and allow floor finishes as the Finishes Schedule</w:t>
      </w:r>
    </w:p>
    <w:p w:rsidR="00284C8A" w:rsidRDefault="00284C8A" w:rsidP="00271104">
      <w:pPr>
        <w:spacing w:after="0"/>
        <w:ind w:left="720" w:hanging="720"/>
      </w:pPr>
    </w:p>
    <w:p w:rsidR="00284C8A" w:rsidRDefault="00284C8A" w:rsidP="00271104">
      <w:pPr>
        <w:spacing w:after="0"/>
        <w:ind w:left="720" w:hanging="720"/>
      </w:pPr>
      <w:r>
        <w:t>4.6</w:t>
      </w:r>
      <w:r>
        <w:tab/>
      </w:r>
      <w:r w:rsidR="00FE49D1">
        <w:t>Assume the concrete ramps/steps adjacent ED05 as shown on Drawing No 10 are existing and no other steps or ramps are required</w:t>
      </w:r>
    </w:p>
    <w:p w:rsidR="00FE49D1" w:rsidRDefault="00FE49D1" w:rsidP="00271104">
      <w:pPr>
        <w:spacing w:after="0"/>
        <w:ind w:left="720" w:hanging="720"/>
      </w:pPr>
    </w:p>
    <w:p w:rsidR="00FE49D1" w:rsidRDefault="00FE49D1" w:rsidP="00271104">
      <w:pPr>
        <w:spacing w:after="0"/>
        <w:ind w:left="720" w:hanging="720"/>
      </w:pPr>
      <w:r>
        <w:t>4.7</w:t>
      </w:r>
      <w:r>
        <w:tab/>
        <w:t xml:space="preserve">Reference Schedule of Works 5.05 allow for an </w:t>
      </w:r>
      <w:proofErr w:type="spellStart"/>
      <w:r>
        <w:t>Aco</w:t>
      </w:r>
      <w:proofErr w:type="spellEnd"/>
      <w:r>
        <w:t xml:space="preserve"> drain outside ED01 as shown on Drawing No 15 and outfall to drain as attached</w:t>
      </w:r>
    </w:p>
    <w:p w:rsidR="000B1D72" w:rsidRDefault="000B1D72" w:rsidP="00271104">
      <w:pPr>
        <w:spacing w:after="0"/>
        <w:ind w:left="720" w:hanging="720"/>
      </w:pPr>
    </w:p>
    <w:p w:rsidR="00513CE9" w:rsidRDefault="00513CE9" w:rsidP="00271104">
      <w:pPr>
        <w:spacing w:after="0"/>
        <w:ind w:left="720" w:hanging="720"/>
      </w:pPr>
      <w:r>
        <w:t>4.8</w:t>
      </w:r>
      <w:r>
        <w:tab/>
        <w:t>Miles Ironmongery will be providing their Schedule/Quotation in the next couple of days…please exclude this and we will include a Provisional Sum in all tenders received next week to cover this.</w:t>
      </w:r>
      <w:bookmarkStart w:id="0" w:name="_GoBack"/>
      <w:bookmarkEnd w:id="0"/>
    </w:p>
    <w:p w:rsidR="000B1D72" w:rsidRDefault="000B1D72" w:rsidP="00271104">
      <w:pPr>
        <w:spacing w:after="0"/>
        <w:ind w:left="720" w:hanging="720"/>
      </w:pPr>
    </w:p>
    <w:p w:rsidR="0006560C" w:rsidRDefault="0006560C" w:rsidP="00271104">
      <w:pPr>
        <w:spacing w:after="0"/>
        <w:ind w:left="720" w:hanging="720"/>
      </w:pPr>
    </w:p>
    <w:p w:rsidR="0006560C" w:rsidRDefault="0006560C" w:rsidP="00271104">
      <w:pPr>
        <w:spacing w:after="0"/>
        <w:ind w:left="720" w:hanging="720"/>
      </w:pPr>
    </w:p>
    <w:p w:rsidR="0006560C" w:rsidRDefault="0006560C" w:rsidP="00271104">
      <w:pPr>
        <w:spacing w:after="0"/>
        <w:ind w:left="720" w:hanging="720"/>
      </w:pPr>
    </w:p>
    <w:p w:rsidR="00271104" w:rsidRDefault="00271104" w:rsidP="00271104">
      <w:pPr>
        <w:spacing w:after="0"/>
        <w:ind w:left="720" w:hanging="720"/>
      </w:pPr>
    </w:p>
    <w:p w:rsidR="00271104" w:rsidRDefault="00271104" w:rsidP="00271104">
      <w:pPr>
        <w:spacing w:after="0"/>
        <w:ind w:left="720" w:hanging="720"/>
      </w:pPr>
    </w:p>
    <w:p w:rsidR="00271104" w:rsidRDefault="00271104" w:rsidP="00271104">
      <w:pPr>
        <w:spacing w:after="0"/>
        <w:ind w:left="720" w:hanging="720"/>
      </w:pPr>
    </w:p>
    <w:p w:rsidR="00271104" w:rsidRDefault="00271104" w:rsidP="00271104">
      <w:pPr>
        <w:spacing w:after="0"/>
        <w:ind w:left="720" w:hanging="720"/>
      </w:pPr>
    </w:p>
    <w:p w:rsidR="00271104" w:rsidRDefault="00271104" w:rsidP="00271104">
      <w:pPr>
        <w:spacing w:after="0"/>
        <w:ind w:left="720" w:hanging="720"/>
      </w:pPr>
    </w:p>
    <w:p w:rsidR="00271104" w:rsidRPr="00271104" w:rsidRDefault="00271104" w:rsidP="00271104">
      <w:pPr>
        <w:spacing w:after="0"/>
        <w:ind w:left="720" w:hanging="720"/>
        <w:rPr>
          <w:b/>
        </w:rPr>
      </w:pPr>
    </w:p>
    <w:p w:rsidR="00271104" w:rsidRPr="00271104" w:rsidRDefault="00271104" w:rsidP="00271104">
      <w:pPr>
        <w:spacing w:after="0"/>
        <w:ind w:left="720" w:hanging="720"/>
        <w:rPr>
          <w:b/>
        </w:rPr>
      </w:pPr>
      <w:r w:rsidRPr="00271104">
        <w:rPr>
          <w:b/>
        </w:rPr>
        <w:t>Clark Associates</w:t>
      </w:r>
    </w:p>
    <w:p w:rsidR="00271104" w:rsidRPr="00271104" w:rsidRDefault="007F2207" w:rsidP="00271104">
      <w:pPr>
        <w:spacing w:after="0"/>
        <w:ind w:left="720" w:hanging="720"/>
        <w:rPr>
          <w:b/>
        </w:rPr>
      </w:pPr>
      <w:r>
        <w:rPr>
          <w:b/>
        </w:rPr>
        <w:t>800</w:t>
      </w:r>
      <w:r w:rsidR="007B698E">
        <w:rPr>
          <w:b/>
        </w:rPr>
        <w:t>8</w:t>
      </w:r>
      <w:r w:rsidR="008E43D1">
        <w:rPr>
          <w:b/>
        </w:rPr>
        <w:t>/WAC/</w:t>
      </w:r>
      <w:proofErr w:type="spellStart"/>
      <w:r w:rsidR="006473E6">
        <w:rPr>
          <w:b/>
        </w:rPr>
        <w:t>seb</w:t>
      </w:r>
      <w:proofErr w:type="spellEnd"/>
    </w:p>
    <w:p w:rsidR="00271104" w:rsidRPr="00271104" w:rsidRDefault="007419E9" w:rsidP="007F2207">
      <w:pPr>
        <w:spacing w:after="0"/>
        <w:ind w:left="720" w:hanging="720"/>
        <w:rPr>
          <w:b/>
        </w:rPr>
      </w:pPr>
      <w:r>
        <w:rPr>
          <w:b/>
        </w:rPr>
        <w:t>5</w:t>
      </w:r>
      <w:r w:rsidR="000B1D72">
        <w:rPr>
          <w:b/>
        </w:rPr>
        <w:t xml:space="preserve"> December</w:t>
      </w:r>
      <w:r w:rsidR="00C048AA">
        <w:rPr>
          <w:b/>
        </w:rPr>
        <w:t xml:space="preserve"> </w:t>
      </w:r>
      <w:r w:rsidR="00B80832">
        <w:rPr>
          <w:b/>
        </w:rPr>
        <w:t>2017</w:t>
      </w:r>
    </w:p>
    <w:sectPr w:rsidR="00271104" w:rsidRPr="00271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23197"/>
    <w:multiLevelType w:val="hybridMultilevel"/>
    <w:tmpl w:val="3CCA5C5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CBC2D61"/>
    <w:multiLevelType w:val="hybridMultilevel"/>
    <w:tmpl w:val="4C724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DC759DE"/>
    <w:multiLevelType w:val="hybridMultilevel"/>
    <w:tmpl w:val="AD9E104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04"/>
    <w:rsid w:val="00007F1B"/>
    <w:rsid w:val="0001527F"/>
    <w:rsid w:val="0006560C"/>
    <w:rsid w:val="000B1D72"/>
    <w:rsid w:val="000C33A3"/>
    <w:rsid w:val="000F0831"/>
    <w:rsid w:val="001A620A"/>
    <w:rsid w:val="00251889"/>
    <w:rsid w:val="00256252"/>
    <w:rsid w:val="00265EA6"/>
    <w:rsid w:val="00271104"/>
    <w:rsid w:val="00284C8A"/>
    <w:rsid w:val="002C2D82"/>
    <w:rsid w:val="00333013"/>
    <w:rsid w:val="00366F9D"/>
    <w:rsid w:val="004076AE"/>
    <w:rsid w:val="004A2656"/>
    <w:rsid w:val="004F7283"/>
    <w:rsid w:val="00513CE9"/>
    <w:rsid w:val="005D154F"/>
    <w:rsid w:val="006324BC"/>
    <w:rsid w:val="006473E6"/>
    <w:rsid w:val="006A22C3"/>
    <w:rsid w:val="006C21DB"/>
    <w:rsid w:val="006D626C"/>
    <w:rsid w:val="006F06DA"/>
    <w:rsid w:val="007419E9"/>
    <w:rsid w:val="007B698E"/>
    <w:rsid w:val="007E41FA"/>
    <w:rsid w:val="007F2207"/>
    <w:rsid w:val="00836C08"/>
    <w:rsid w:val="00875308"/>
    <w:rsid w:val="008B005C"/>
    <w:rsid w:val="008D3968"/>
    <w:rsid w:val="008E43D1"/>
    <w:rsid w:val="00983AF5"/>
    <w:rsid w:val="009D6AF6"/>
    <w:rsid w:val="009E5B2D"/>
    <w:rsid w:val="00A96F46"/>
    <w:rsid w:val="00AF00DE"/>
    <w:rsid w:val="00B63A7A"/>
    <w:rsid w:val="00B6610C"/>
    <w:rsid w:val="00B7480A"/>
    <w:rsid w:val="00B77F36"/>
    <w:rsid w:val="00B80832"/>
    <w:rsid w:val="00B954E4"/>
    <w:rsid w:val="00BA45FE"/>
    <w:rsid w:val="00C02C70"/>
    <w:rsid w:val="00C048AA"/>
    <w:rsid w:val="00D22B0A"/>
    <w:rsid w:val="00D95B52"/>
    <w:rsid w:val="00DA6FF8"/>
    <w:rsid w:val="00F70ADC"/>
    <w:rsid w:val="00FE49D1"/>
    <w:rsid w:val="00FF2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2D"/>
    <w:pPr>
      <w:spacing w:after="80"/>
    </w:pPr>
    <w:rPr>
      <w:rFonts w:ascii="Times New Roman" w:hAnsi="Times New Roman"/>
      <w:sz w:val="24"/>
    </w:rPr>
  </w:style>
  <w:style w:type="paragraph" w:styleId="Heading2">
    <w:name w:val="heading 2"/>
    <w:basedOn w:val="Normal"/>
    <w:next w:val="Normal"/>
    <w:link w:val="Heading2Char"/>
    <w:uiPriority w:val="9"/>
    <w:semiHidden/>
    <w:unhideWhenUsed/>
    <w:qFormat/>
    <w:rsid w:val="00C048AA"/>
    <w:pPr>
      <w:keepNext/>
      <w:keepLines/>
      <w:spacing w:before="200" w:after="0" w:line="276" w:lineRule="auto"/>
      <w:outlineLvl w:val="1"/>
    </w:pPr>
    <w:rPr>
      <w:rFonts w:asciiTheme="majorHAnsi" w:eastAsiaTheme="majorEastAsia" w:hAnsiTheme="majorHAnsi" w:cstheme="majorBidi"/>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48AA"/>
    <w:rPr>
      <w:rFonts w:asciiTheme="majorHAnsi" w:eastAsiaTheme="majorEastAsia" w:hAnsiTheme="majorHAnsi" w:cstheme="majorBidi"/>
      <w:b/>
      <w:bCs/>
      <w:sz w:val="26"/>
      <w:szCs w:val="26"/>
      <w:lang w:eastAsia="en-GB"/>
    </w:rPr>
  </w:style>
  <w:style w:type="paragraph" w:styleId="ListParagraph">
    <w:name w:val="List Paragraph"/>
    <w:basedOn w:val="Normal"/>
    <w:uiPriority w:val="34"/>
    <w:qFormat/>
    <w:rsid w:val="00C048AA"/>
    <w:pPr>
      <w:spacing w:after="200" w:line="276" w:lineRule="auto"/>
      <w:ind w:left="720"/>
      <w:contextualSpacing/>
    </w:pPr>
    <w:rPr>
      <w:rFonts w:asciiTheme="minorHAnsi" w:eastAsiaTheme="minorEastAsia" w:hAnsiTheme="minorHAnsi"/>
      <w:sz w:val="22"/>
      <w:lang w:eastAsia="en-GB"/>
    </w:rPr>
  </w:style>
  <w:style w:type="character" w:styleId="Strong">
    <w:name w:val="Strong"/>
    <w:basedOn w:val="DefaultParagraphFont"/>
    <w:uiPriority w:val="22"/>
    <w:qFormat/>
    <w:rsid w:val="00C048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2D"/>
    <w:pPr>
      <w:spacing w:after="80"/>
    </w:pPr>
    <w:rPr>
      <w:rFonts w:ascii="Times New Roman" w:hAnsi="Times New Roman"/>
      <w:sz w:val="24"/>
    </w:rPr>
  </w:style>
  <w:style w:type="paragraph" w:styleId="Heading2">
    <w:name w:val="heading 2"/>
    <w:basedOn w:val="Normal"/>
    <w:next w:val="Normal"/>
    <w:link w:val="Heading2Char"/>
    <w:uiPriority w:val="9"/>
    <w:semiHidden/>
    <w:unhideWhenUsed/>
    <w:qFormat/>
    <w:rsid w:val="00C048AA"/>
    <w:pPr>
      <w:keepNext/>
      <w:keepLines/>
      <w:spacing w:before="200" w:after="0" w:line="276" w:lineRule="auto"/>
      <w:outlineLvl w:val="1"/>
    </w:pPr>
    <w:rPr>
      <w:rFonts w:asciiTheme="majorHAnsi" w:eastAsiaTheme="majorEastAsia" w:hAnsiTheme="majorHAnsi" w:cstheme="majorBidi"/>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48AA"/>
    <w:rPr>
      <w:rFonts w:asciiTheme="majorHAnsi" w:eastAsiaTheme="majorEastAsia" w:hAnsiTheme="majorHAnsi" w:cstheme="majorBidi"/>
      <w:b/>
      <w:bCs/>
      <w:sz w:val="26"/>
      <w:szCs w:val="26"/>
      <w:lang w:eastAsia="en-GB"/>
    </w:rPr>
  </w:style>
  <w:style w:type="paragraph" w:styleId="ListParagraph">
    <w:name w:val="List Paragraph"/>
    <w:basedOn w:val="Normal"/>
    <w:uiPriority w:val="34"/>
    <w:qFormat/>
    <w:rsid w:val="00C048AA"/>
    <w:pPr>
      <w:spacing w:after="200" w:line="276" w:lineRule="auto"/>
      <w:ind w:left="720"/>
      <w:contextualSpacing/>
    </w:pPr>
    <w:rPr>
      <w:rFonts w:asciiTheme="minorHAnsi" w:eastAsiaTheme="minorEastAsia" w:hAnsiTheme="minorHAnsi"/>
      <w:sz w:val="22"/>
      <w:lang w:eastAsia="en-GB"/>
    </w:rPr>
  </w:style>
  <w:style w:type="character" w:styleId="Strong">
    <w:name w:val="Strong"/>
    <w:basedOn w:val="DefaultParagraphFont"/>
    <w:uiPriority w:val="22"/>
    <w:qFormat/>
    <w:rsid w:val="00C04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7</cp:revision>
  <cp:lastPrinted>2017-12-01T12:09:00Z</cp:lastPrinted>
  <dcterms:created xsi:type="dcterms:W3CDTF">2017-12-05T14:12:00Z</dcterms:created>
  <dcterms:modified xsi:type="dcterms:W3CDTF">2017-12-05T15:40:00Z</dcterms:modified>
</cp:coreProperties>
</file>