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2E91" w14:textId="77777777" w:rsidR="009772B5" w:rsidRDefault="00AB4F90">
      <w:bookmarkStart w:id="0" w:name="_Hlk104216461"/>
      <w:r>
        <w:rPr>
          <w:noProof/>
        </w:rPr>
        <w:drawing>
          <wp:anchor distT="0" distB="0" distL="114300" distR="114300" simplePos="0" relativeHeight="251658240" behindDoc="0" locked="0" layoutInCell="1" allowOverlap="1" wp14:anchorId="6A766C69" wp14:editId="4F082E9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rsidR="00480D15">
        <w:br/>
      </w:r>
    </w:p>
    <w:p w14:paraId="4F082E92" w14:textId="77777777" w:rsidR="009772B5" w:rsidRDefault="009772B5">
      <w:pPr>
        <w:pStyle w:val="Heading1"/>
      </w:pPr>
      <w:bookmarkStart w:id="1" w:name="_Toc32303547"/>
    </w:p>
    <w:p w14:paraId="4F082E93" w14:textId="77777777" w:rsidR="009772B5" w:rsidRDefault="00480D15">
      <w:pPr>
        <w:pStyle w:val="Heading1"/>
      </w:pPr>
      <w:bookmarkStart w:id="2" w:name="_Toc33176231"/>
      <w:bookmarkStart w:id="3" w:name="_Toc104216510"/>
      <w:r>
        <w:t>G-Cloud 12 Call-Off Contract</w:t>
      </w:r>
      <w:bookmarkEnd w:id="1"/>
      <w:bookmarkEnd w:id="2"/>
      <w:bookmarkEnd w:id="3"/>
      <w:r>
        <w:t xml:space="preserve"> </w:t>
      </w:r>
    </w:p>
    <w:p w14:paraId="4F082E94" w14:textId="77777777" w:rsidR="009772B5" w:rsidRDefault="009772B5">
      <w:pPr>
        <w:rPr>
          <w:sz w:val="28"/>
          <w:szCs w:val="28"/>
        </w:rPr>
      </w:pPr>
    </w:p>
    <w:p w14:paraId="4F082E95" w14:textId="77777777" w:rsidR="009772B5" w:rsidRDefault="009772B5">
      <w:pPr>
        <w:rPr>
          <w:sz w:val="28"/>
          <w:szCs w:val="28"/>
        </w:rPr>
      </w:pPr>
    </w:p>
    <w:p w14:paraId="4F082E96" w14:textId="77777777" w:rsidR="009772B5" w:rsidRDefault="00480D15">
      <w:pPr>
        <w:rPr>
          <w:rFonts w:eastAsia="Times New Roman"/>
          <w:lang w:eastAsia="en-US"/>
        </w:rPr>
      </w:pPr>
      <w:r>
        <w:rPr>
          <w:rFonts w:eastAsia="Times New Roman"/>
          <w:lang w:eastAsia="en-US"/>
        </w:rPr>
        <w:t>This Call-Off Contract for the G-Cloud 12 Framework Agreement (RM1557.12) includes:</w:t>
      </w:r>
    </w:p>
    <w:p w14:paraId="28A74729" w14:textId="640F0B77" w:rsidR="00C96E54" w:rsidRDefault="00480D15">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C96E54">
        <w:rPr>
          <w:noProof/>
        </w:rPr>
        <w:t>G-Cloud 12 Call-Off Contract</w:t>
      </w:r>
      <w:r w:rsidR="00C96E54">
        <w:rPr>
          <w:noProof/>
        </w:rPr>
        <w:tab/>
      </w:r>
      <w:r w:rsidR="00C96E54">
        <w:rPr>
          <w:noProof/>
        </w:rPr>
        <w:fldChar w:fldCharType="begin"/>
      </w:r>
      <w:r w:rsidR="00C96E54">
        <w:rPr>
          <w:noProof/>
        </w:rPr>
        <w:instrText xml:space="preserve"> PAGEREF _Toc104216510 \h </w:instrText>
      </w:r>
      <w:r w:rsidR="00C96E54">
        <w:rPr>
          <w:noProof/>
        </w:rPr>
      </w:r>
      <w:r w:rsidR="00C96E54">
        <w:rPr>
          <w:noProof/>
        </w:rPr>
        <w:fldChar w:fldCharType="separate"/>
      </w:r>
      <w:r w:rsidR="00C96E54">
        <w:rPr>
          <w:noProof/>
        </w:rPr>
        <w:t>1</w:t>
      </w:r>
      <w:r w:rsidR="00C96E54">
        <w:rPr>
          <w:noProof/>
        </w:rPr>
        <w:fldChar w:fldCharType="end"/>
      </w:r>
    </w:p>
    <w:p w14:paraId="3461AB3D" w14:textId="6474C66C" w:rsidR="00C96E54" w:rsidRDefault="00C96E54">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_Toc104216511 \h </w:instrText>
      </w:r>
      <w:r>
        <w:rPr>
          <w:noProof/>
        </w:rPr>
      </w:r>
      <w:r>
        <w:rPr>
          <w:noProof/>
        </w:rPr>
        <w:fldChar w:fldCharType="separate"/>
      </w:r>
      <w:r>
        <w:rPr>
          <w:noProof/>
        </w:rPr>
        <w:t>2</w:t>
      </w:r>
      <w:r>
        <w:rPr>
          <w:noProof/>
        </w:rPr>
        <w:fldChar w:fldCharType="end"/>
      </w:r>
    </w:p>
    <w:p w14:paraId="21F3179B" w14:textId="0E0335DE" w:rsidR="00C96E54" w:rsidRDefault="00C96E54">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_Toc104216512 \h </w:instrText>
      </w:r>
      <w:r>
        <w:rPr>
          <w:noProof/>
        </w:rPr>
      </w:r>
      <w:r>
        <w:rPr>
          <w:noProof/>
        </w:rPr>
        <w:fldChar w:fldCharType="separate"/>
      </w:r>
      <w:r>
        <w:rPr>
          <w:noProof/>
        </w:rPr>
        <w:t>15</w:t>
      </w:r>
      <w:r>
        <w:rPr>
          <w:noProof/>
        </w:rPr>
        <w:fldChar w:fldCharType="end"/>
      </w:r>
    </w:p>
    <w:p w14:paraId="05DD63FD" w14:textId="4DA03DB3" w:rsidR="00C96E54" w:rsidRDefault="00C96E54">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_Toc104216513 \h </w:instrText>
      </w:r>
      <w:r>
        <w:rPr>
          <w:noProof/>
        </w:rPr>
      </w:r>
      <w:r>
        <w:rPr>
          <w:noProof/>
        </w:rPr>
        <w:fldChar w:fldCharType="separate"/>
      </w:r>
      <w:r>
        <w:rPr>
          <w:noProof/>
        </w:rPr>
        <w:t>15</w:t>
      </w:r>
      <w:r>
        <w:rPr>
          <w:noProof/>
        </w:rPr>
        <w:fldChar w:fldCharType="end"/>
      </w:r>
    </w:p>
    <w:p w14:paraId="195189C0" w14:textId="68151AA7" w:rsidR="00C96E54" w:rsidRDefault="00C96E54">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_Toc104216514 \h </w:instrText>
      </w:r>
      <w:r>
        <w:rPr>
          <w:noProof/>
        </w:rPr>
      </w:r>
      <w:r>
        <w:rPr>
          <w:noProof/>
        </w:rPr>
        <w:fldChar w:fldCharType="separate"/>
      </w:r>
      <w:r>
        <w:rPr>
          <w:noProof/>
        </w:rPr>
        <w:t>16</w:t>
      </w:r>
      <w:r>
        <w:rPr>
          <w:noProof/>
        </w:rPr>
        <w:fldChar w:fldCharType="end"/>
      </w:r>
    </w:p>
    <w:p w14:paraId="681E3E00" w14:textId="20DD183F" w:rsidR="00C96E54" w:rsidRDefault="00C96E54">
      <w:pPr>
        <w:pStyle w:val="TOC2"/>
        <w:rPr>
          <w:rFonts w:asciiTheme="minorHAnsi" w:eastAsiaTheme="minorEastAsia" w:hAnsiTheme="minorHAnsi" w:cstheme="minorBidi"/>
          <w:b w:val="0"/>
          <w:bCs w:val="0"/>
          <w:noProof/>
        </w:rPr>
      </w:pPr>
      <w:r>
        <w:rPr>
          <w:noProof/>
        </w:rPr>
        <w:t>Schedule 3: Collaboration agreement</w:t>
      </w:r>
      <w:r>
        <w:rPr>
          <w:noProof/>
        </w:rPr>
        <w:tab/>
      </w:r>
      <w:r>
        <w:rPr>
          <w:noProof/>
        </w:rPr>
        <w:fldChar w:fldCharType="begin"/>
      </w:r>
      <w:r>
        <w:rPr>
          <w:noProof/>
        </w:rPr>
        <w:instrText xml:space="preserve"> PAGEREF _Toc104216515 \h </w:instrText>
      </w:r>
      <w:r>
        <w:rPr>
          <w:noProof/>
        </w:rPr>
      </w:r>
      <w:r>
        <w:rPr>
          <w:noProof/>
        </w:rPr>
        <w:fldChar w:fldCharType="separate"/>
      </w:r>
      <w:r>
        <w:rPr>
          <w:noProof/>
        </w:rPr>
        <w:t>35</w:t>
      </w:r>
      <w:r>
        <w:rPr>
          <w:noProof/>
        </w:rPr>
        <w:fldChar w:fldCharType="end"/>
      </w:r>
    </w:p>
    <w:p w14:paraId="6B3D6921" w14:textId="65050C55" w:rsidR="00C96E54" w:rsidRDefault="00C96E54">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_Toc104216516 \h </w:instrText>
      </w:r>
      <w:r>
        <w:rPr>
          <w:noProof/>
        </w:rPr>
      </w:r>
      <w:r>
        <w:rPr>
          <w:noProof/>
        </w:rPr>
        <w:fldChar w:fldCharType="separate"/>
      </w:r>
      <w:r>
        <w:rPr>
          <w:noProof/>
        </w:rPr>
        <w:t>35</w:t>
      </w:r>
      <w:r>
        <w:rPr>
          <w:noProof/>
        </w:rPr>
        <w:fldChar w:fldCharType="end"/>
      </w:r>
    </w:p>
    <w:p w14:paraId="2DF6FCBE" w14:textId="50D4F17D" w:rsidR="00C96E54" w:rsidRDefault="00C96E54">
      <w:pPr>
        <w:pStyle w:val="TOC2"/>
        <w:rPr>
          <w:rFonts w:asciiTheme="minorHAnsi" w:eastAsiaTheme="minorEastAsia" w:hAnsiTheme="minorHAnsi" w:cstheme="minorBidi"/>
          <w:b w:val="0"/>
          <w:bCs w:val="0"/>
          <w:noProof/>
        </w:rPr>
      </w:pPr>
      <w:r>
        <w:rPr>
          <w:noProof/>
        </w:rPr>
        <w:t>Schedule 5: Guarantee</w:t>
      </w:r>
      <w:r>
        <w:rPr>
          <w:noProof/>
        </w:rPr>
        <w:tab/>
      </w:r>
      <w:r>
        <w:rPr>
          <w:noProof/>
        </w:rPr>
        <w:fldChar w:fldCharType="begin"/>
      </w:r>
      <w:r>
        <w:rPr>
          <w:noProof/>
        </w:rPr>
        <w:instrText xml:space="preserve"> PAGEREF _Toc104216517 \h </w:instrText>
      </w:r>
      <w:r>
        <w:rPr>
          <w:noProof/>
        </w:rPr>
      </w:r>
      <w:r>
        <w:rPr>
          <w:noProof/>
        </w:rPr>
        <w:fldChar w:fldCharType="separate"/>
      </w:r>
      <w:r>
        <w:rPr>
          <w:noProof/>
        </w:rPr>
        <w:t>36</w:t>
      </w:r>
      <w:r>
        <w:rPr>
          <w:noProof/>
        </w:rPr>
        <w:fldChar w:fldCharType="end"/>
      </w:r>
    </w:p>
    <w:p w14:paraId="774AD245" w14:textId="1CF5AEC9" w:rsidR="00C96E54" w:rsidRDefault="00C96E54">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_Toc104216518 \h </w:instrText>
      </w:r>
      <w:r>
        <w:rPr>
          <w:noProof/>
        </w:rPr>
      </w:r>
      <w:r>
        <w:rPr>
          <w:noProof/>
        </w:rPr>
        <w:fldChar w:fldCharType="separate"/>
      </w:r>
      <w:r>
        <w:rPr>
          <w:noProof/>
        </w:rPr>
        <w:t>37</w:t>
      </w:r>
      <w:r>
        <w:rPr>
          <w:noProof/>
        </w:rPr>
        <w:fldChar w:fldCharType="end"/>
      </w:r>
    </w:p>
    <w:p w14:paraId="0C71ABB0" w14:textId="617AD2D4" w:rsidR="00C96E54" w:rsidRDefault="00C96E54">
      <w:pPr>
        <w:pStyle w:val="TOC2"/>
        <w:rPr>
          <w:rFonts w:asciiTheme="minorHAnsi" w:eastAsiaTheme="minorEastAsia" w:hAnsiTheme="minorHAnsi" w:cstheme="minorBidi"/>
          <w:b w:val="0"/>
          <w:bCs w:val="0"/>
          <w:noProof/>
        </w:rPr>
      </w:pPr>
      <w:r>
        <w:rPr>
          <w:noProof/>
        </w:rPr>
        <w:t>Annex 1: Processing Personal Data</w:t>
      </w:r>
      <w:r>
        <w:rPr>
          <w:noProof/>
        </w:rPr>
        <w:tab/>
      </w:r>
      <w:r>
        <w:rPr>
          <w:noProof/>
        </w:rPr>
        <w:fldChar w:fldCharType="begin"/>
      </w:r>
      <w:r>
        <w:rPr>
          <w:noProof/>
        </w:rPr>
        <w:instrText xml:space="preserve"> PAGEREF _Toc104216519 \h </w:instrText>
      </w:r>
      <w:r>
        <w:rPr>
          <w:noProof/>
        </w:rPr>
      </w:r>
      <w:r>
        <w:rPr>
          <w:noProof/>
        </w:rPr>
        <w:fldChar w:fldCharType="separate"/>
      </w:r>
      <w:r>
        <w:rPr>
          <w:noProof/>
        </w:rPr>
        <w:t>48</w:t>
      </w:r>
      <w:r>
        <w:rPr>
          <w:noProof/>
        </w:rPr>
        <w:fldChar w:fldCharType="end"/>
      </w:r>
    </w:p>
    <w:p w14:paraId="4F082EA1" w14:textId="7FD433E9" w:rsidR="009772B5" w:rsidRDefault="00480D15">
      <w:pPr>
        <w:pStyle w:val="Heading2"/>
      </w:pPr>
      <w:r>
        <w:rPr>
          <w:rFonts w:ascii="Cambria" w:hAnsi="Cambria"/>
          <w:b/>
          <w:bCs/>
        </w:rPr>
        <w:fldChar w:fldCharType="end"/>
      </w:r>
    </w:p>
    <w:p w14:paraId="4F082EA2" w14:textId="77777777" w:rsidR="009772B5" w:rsidRDefault="009772B5">
      <w:pPr>
        <w:pageBreakBefore/>
      </w:pPr>
    </w:p>
    <w:p w14:paraId="4F082EA3" w14:textId="77777777" w:rsidR="009772B5" w:rsidRDefault="00480D15">
      <w:pPr>
        <w:pStyle w:val="Heading2"/>
      </w:pPr>
      <w:bookmarkStart w:id="4" w:name="_Toc33176232"/>
      <w:bookmarkStart w:id="5" w:name="_Toc104216511"/>
      <w:r>
        <w:t>Part A: Order Form</w:t>
      </w:r>
      <w:bookmarkEnd w:id="4"/>
      <w:bookmarkEnd w:id="5"/>
    </w:p>
    <w:p w14:paraId="4F082EA4" w14:textId="77777777" w:rsidR="009772B5" w:rsidRDefault="00480D1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9772B5" w14:paraId="4F082EA7" w14:textId="77777777" w:rsidTr="6C07500F">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5" w14:textId="77777777" w:rsidR="009772B5" w:rsidRDefault="00480D15">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6" w14:textId="77777777" w:rsidR="009772B5" w:rsidRDefault="00480D15">
            <w:pPr>
              <w:spacing w:before="240"/>
            </w:pPr>
            <w:r>
              <w:t>4600 4314 6169 630</w:t>
            </w:r>
          </w:p>
        </w:tc>
      </w:tr>
      <w:tr w:rsidR="009772B5" w14:paraId="4F082EAA"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8" w14:textId="77777777" w:rsidR="009772B5" w:rsidRDefault="00480D15">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9" w14:textId="77777777" w:rsidR="009772B5" w:rsidRDefault="00480D15">
            <w:pPr>
              <w:spacing w:before="240"/>
            </w:pPr>
            <w:r>
              <w:t>PS/21/136</w:t>
            </w:r>
          </w:p>
        </w:tc>
      </w:tr>
      <w:tr w:rsidR="009772B5" w14:paraId="4F082EAD"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B" w14:textId="77777777" w:rsidR="009772B5" w:rsidRDefault="00480D15">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C" w14:textId="77777777" w:rsidR="009772B5" w:rsidRDefault="00480D15">
            <w:pPr>
              <w:spacing w:before="240"/>
            </w:pPr>
            <w:r>
              <w:t>Provision of Robotic Process Automation</w:t>
            </w:r>
          </w:p>
        </w:tc>
      </w:tr>
      <w:tr w:rsidR="009772B5" w14:paraId="4F082EB3"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E" w14:textId="77777777" w:rsidR="009772B5" w:rsidRDefault="00480D15">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AF" w14:textId="77777777" w:rsidR="009772B5" w:rsidRDefault="00480D15">
            <w:pPr>
              <w:spacing w:before="240"/>
            </w:pPr>
            <w:r>
              <w:t>This contract is to introduce Robotic Process Automation (RPA) beginning with three transactions (Change of Keeper (</w:t>
            </w:r>
            <w:proofErr w:type="spellStart"/>
            <w:r>
              <w:t>CoK</w:t>
            </w:r>
            <w:proofErr w:type="spellEnd"/>
            <w:r>
              <w:t>), Change of Address (CoA) and Disposal).</w:t>
            </w:r>
          </w:p>
          <w:p w14:paraId="4F082EB0" w14:textId="77777777" w:rsidR="009772B5" w:rsidRDefault="00480D15">
            <w:pPr>
              <w:spacing w:before="240"/>
            </w:pPr>
            <w:r>
              <w:t xml:space="preserve">Upon implementation of these three transactions the benefit and cost savings will be considered, with scope to automate additional transactions if successful. </w:t>
            </w:r>
          </w:p>
          <w:p w14:paraId="4F082EB1" w14:textId="77777777" w:rsidR="009772B5" w:rsidRDefault="00480D15">
            <w:pPr>
              <w:spacing w:before="240"/>
            </w:pPr>
            <w:r>
              <w:t>DVLA currently has a backlog of work caused by the pandemic and there is a real focus on reducing this; RPA is considered to a solution that can help achieve this goal.</w:t>
            </w:r>
          </w:p>
          <w:p w14:paraId="4F082EB2" w14:textId="77777777" w:rsidR="009772B5" w:rsidRDefault="009772B5">
            <w:pPr>
              <w:spacing w:before="240"/>
            </w:pPr>
          </w:p>
        </w:tc>
      </w:tr>
      <w:tr w:rsidR="00C96E54" w14:paraId="3A75DC90"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063929" w14:textId="1AE6EE0C" w:rsidR="00C96E54" w:rsidRDefault="00C96E54">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CBB89A" w14:textId="361503A9" w:rsidR="00C96E54" w:rsidRDefault="003F71F1">
            <w:pPr>
              <w:spacing w:before="240"/>
            </w:pPr>
            <w:r>
              <w:t>26/05/2022</w:t>
            </w:r>
            <w:r w:rsidR="00C96E54">
              <w:t xml:space="preserve"> - </w:t>
            </w:r>
            <w:r w:rsidR="00C96E54" w:rsidRPr="00C96E54">
              <w:t>Please note that this is the start date of the overarching Call-Off Contract only and service deliverables, sign-off and payments will be managed via Statements of Work</w:t>
            </w:r>
          </w:p>
        </w:tc>
      </w:tr>
      <w:tr w:rsidR="00C96E54" w14:paraId="2A68BEEF"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9AE856" w14:textId="7482CA41" w:rsidR="00C96E54" w:rsidRDefault="00C96E54">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CFF7F8" w14:textId="1FC8DFAC" w:rsidR="00C96E54" w:rsidRDefault="003F71F1">
            <w:pPr>
              <w:spacing w:before="240"/>
            </w:pPr>
            <w:r>
              <w:t>25/05/2024</w:t>
            </w:r>
          </w:p>
        </w:tc>
      </w:tr>
      <w:tr w:rsidR="009772B5" w14:paraId="4F082EBC"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BA" w14:textId="77777777" w:rsidR="009772B5" w:rsidRDefault="00480D15">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BB" w14:textId="3606D7D3" w:rsidR="009772B5" w:rsidRDefault="00480D15">
            <w:pPr>
              <w:spacing w:before="240"/>
            </w:pPr>
            <w:r>
              <w:t>Up to £4,166,000</w:t>
            </w:r>
            <w:r w:rsidR="0007327C">
              <w:t xml:space="preserve"> (excluding VAT)</w:t>
            </w:r>
          </w:p>
        </w:tc>
      </w:tr>
      <w:tr w:rsidR="00C96E54" w14:paraId="49099E96"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B9E816" w14:textId="087804A4" w:rsidR="00C96E54" w:rsidRDefault="00C96E54">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76A5C6" w14:textId="77777777" w:rsidR="00C96E54" w:rsidRDefault="00C96E54" w:rsidP="00C96E54">
            <w:pPr>
              <w:spacing w:before="240"/>
            </w:pPr>
            <w:r>
              <w:t>Annually in advance for Licencing</w:t>
            </w:r>
          </w:p>
          <w:p w14:paraId="090968E4" w14:textId="56C25965" w:rsidR="00C96E54" w:rsidRDefault="00C96E54" w:rsidP="00C96E54">
            <w:pPr>
              <w:spacing w:before="240"/>
            </w:pPr>
            <w:r>
              <w:t>Capped Time and Materials (T&amp;M) for appropriate Supplier resource.</w:t>
            </w:r>
          </w:p>
        </w:tc>
      </w:tr>
      <w:tr w:rsidR="009772B5" w14:paraId="4F082EC3" w14:textId="77777777" w:rsidTr="6C07500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C1" w14:textId="77777777" w:rsidR="009772B5" w:rsidRDefault="00480D15">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C2" w14:textId="77777777" w:rsidR="009772B5" w:rsidRDefault="00480D15">
            <w:pPr>
              <w:spacing w:before="240"/>
            </w:pPr>
            <w:r>
              <w:t>To be raised post contract signing</w:t>
            </w:r>
          </w:p>
        </w:tc>
      </w:tr>
    </w:tbl>
    <w:p w14:paraId="4F082EC4" w14:textId="77777777" w:rsidR="009772B5" w:rsidRDefault="00480D15">
      <w:pPr>
        <w:spacing w:before="240"/>
      </w:pPr>
      <w:r>
        <w:t xml:space="preserve"> </w:t>
      </w:r>
    </w:p>
    <w:p w14:paraId="4F082EC5" w14:textId="77777777" w:rsidR="009772B5" w:rsidRDefault="00480D15">
      <w:pPr>
        <w:spacing w:before="240" w:after="240"/>
      </w:pPr>
      <w:r>
        <w:t>This Order Form is issued under the G-Cloud 12 Framework Agreement (RM1557.12).</w:t>
      </w:r>
    </w:p>
    <w:p w14:paraId="4F082EC6" w14:textId="77777777" w:rsidR="009772B5" w:rsidRDefault="00480D15">
      <w:pPr>
        <w:spacing w:before="240"/>
      </w:pPr>
      <w:r>
        <w:t>Buyers can use this Order Form to specify their G-Cloud service requirements when placing an Order.</w:t>
      </w:r>
    </w:p>
    <w:p w14:paraId="4F082EC7" w14:textId="77777777" w:rsidR="009772B5" w:rsidRDefault="00480D15">
      <w:pPr>
        <w:spacing w:before="240"/>
      </w:pPr>
      <w:r>
        <w:t>The Order Form cannot be used to alter existing terms or add any extra terms that materially change the Deliverables offered by the Supplier and defined in the Application.</w:t>
      </w:r>
    </w:p>
    <w:p w14:paraId="4F082EC8" w14:textId="77777777" w:rsidR="009772B5" w:rsidRDefault="00480D1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9772B5" w14:paraId="4F082ECF"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EC9" w14:textId="77777777" w:rsidR="009772B5" w:rsidRDefault="00480D15">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ECA" w14:textId="77777777" w:rsidR="009772B5" w:rsidRDefault="00480D15">
            <w:pPr>
              <w:spacing w:before="240"/>
            </w:pPr>
            <w:r>
              <w:t xml:space="preserve">DVLA </w:t>
            </w:r>
          </w:p>
          <w:p w14:paraId="4F082ECB" w14:textId="77777777" w:rsidR="009772B5" w:rsidRDefault="00480D15">
            <w:pPr>
              <w:spacing w:before="240"/>
            </w:pPr>
            <w:r>
              <w:t>Longview Road,</w:t>
            </w:r>
          </w:p>
          <w:p w14:paraId="4F082ECC" w14:textId="77777777" w:rsidR="009772B5" w:rsidRDefault="00480D15">
            <w:pPr>
              <w:spacing w:before="240"/>
            </w:pPr>
            <w:r>
              <w:t>Morriston,</w:t>
            </w:r>
          </w:p>
          <w:p w14:paraId="4F082ECD" w14:textId="77777777" w:rsidR="009772B5" w:rsidRDefault="00480D15">
            <w:pPr>
              <w:spacing w:before="240"/>
            </w:pPr>
            <w:r>
              <w:t>Swansea,</w:t>
            </w:r>
          </w:p>
          <w:p w14:paraId="4F082ECE" w14:textId="77777777" w:rsidR="009772B5" w:rsidRDefault="00480D15">
            <w:pPr>
              <w:spacing w:before="240"/>
            </w:pPr>
            <w:r>
              <w:t>SA6 7JL</w:t>
            </w:r>
          </w:p>
        </w:tc>
      </w:tr>
      <w:tr w:rsidR="009772B5" w14:paraId="4F082ED9"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ED0" w14:textId="77777777" w:rsidR="009772B5" w:rsidRDefault="00480D1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F082ED1" w14:textId="77777777" w:rsidR="009772B5" w:rsidRDefault="00480D15">
            <w:pPr>
              <w:spacing w:before="240"/>
            </w:pPr>
            <w:r>
              <w:t>Codebase8 Limited</w:t>
            </w:r>
          </w:p>
          <w:p w14:paraId="4F082ED2" w14:textId="77777777" w:rsidR="009772B5" w:rsidRDefault="00480D15">
            <w:pPr>
              <w:spacing w:before="240"/>
            </w:pPr>
            <w:r>
              <w:t xml:space="preserve">01554700371 </w:t>
            </w:r>
          </w:p>
          <w:p w14:paraId="4F082ED3" w14:textId="77777777" w:rsidR="009772B5" w:rsidRDefault="00480D15">
            <w:pPr>
              <w:spacing w:before="240"/>
            </w:pPr>
            <w:r>
              <w:t xml:space="preserve">7th Floor, 1 Minster Court, </w:t>
            </w:r>
          </w:p>
          <w:p w14:paraId="4F082ED4" w14:textId="77777777" w:rsidR="009772B5" w:rsidRDefault="00480D15">
            <w:pPr>
              <w:spacing w:before="240"/>
            </w:pPr>
            <w:r>
              <w:t xml:space="preserve">Mincing Lane, </w:t>
            </w:r>
          </w:p>
          <w:p w14:paraId="4F082ED5" w14:textId="77777777" w:rsidR="009772B5" w:rsidRDefault="00480D15">
            <w:pPr>
              <w:spacing w:before="240"/>
            </w:pPr>
            <w:r>
              <w:t xml:space="preserve">London, </w:t>
            </w:r>
          </w:p>
          <w:p w14:paraId="4F082ED6" w14:textId="77777777" w:rsidR="009772B5" w:rsidRDefault="00480D15">
            <w:pPr>
              <w:spacing w:before="240"/>
            </w:pPr>
            <w:r>
              <w:t>EC3R 7AA</w:t>
            </w:r>
          </w:p>
          <w:p w14:paraId="4F082ED7" w14:textId="77777777" w:rsidR="009772B5" w:rsidRDefault="00480D15">
            <w:pPr>
              <w:spacing w:before="240"/>
            </w:pPr>
            <w:r>
              <w:t xml:space="preserve">United Kingdom </w:t>
            </w:r>
          </w:p>
          <w:p w14:paraId="4F082ED8" w14:textId="77777777" w:rsidR="009772B5" w:rsidRDefault="00480D15">
            <w:pPr>
              <w:spacing w:before="240"/>
            </w:pPr>
            <w:r>
              <w:t>Company number: 02696599</w:t>
            </w:r>
          </w:p>
        </w:tc>
      </w:tr>
      <w:tr w:rsidR="009772B5" w14:paraId="4F082ED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EDA" w14:textId="77777777" w:rsidR="009772B5" w:rsidRDefault="00480D15">
            <w:pPr>
              <w:spacing w:before="240" w:after="240"/>
              <w:rPr>
                <w:b/>
              </w:rPr>
            </w:pPr>
            <w:r>
              <w:rPr>
                <w:b/>
              </w:rPr>
              <w:t>Together the ‘Parties’</w:t>
            </w:r>
          </w:p>
        </w:tc>
      </w:tr>
    </w:tbl>
    <w:p w14:paraId="4F082EDC" w14:textId="77777777" w:rsidR="009772B5" w:rsidRDefault="009772B5">
      <w:pPr>
        <w:spacing w:before="240" w:after="240"/>
        <w:rPr>
          <w:b/>
        </w:rPr>
      </w:pPr>
    </w:p>
    <w:p w14:paraId="4F082EDD" w14:textId="77777777" w:rsidR="009772B5" w:rsidRDefault="00480D15">
      <w:pPr>
        <w:pStyle w:val="Heading3"/>
      </w:pPr>
      <w:r>
        <w:t>Principal contact details</w:t>
      </w:r>
    </w:p>
    <w:p w14:paraId="4F082EDE" w14:textId="2062C25C" w:rsidR="009772B5" w:rsidRDefault="00480D15">
      <w:pPr>
        <w:spacing w:before="240" w:after="120" w:line="480" w:lineRule="auto"/>
      </w:pPr>
      <w:r>
        <w:rPr>
          <w:b/>
        </w:rPr>
        <w:t xml:space="preserve">For the Buyer: </w:t>
      </w:r>
    </w:p>
    <w:p w14:paraId="4F082EDF" w14:textId="0D6F5FAB" w:rsidR="009772B5" w:rsidRDefault="00480D15">
      <w:pPr>
        <w:spacing w:after="120"/>
      </w:pPr>
      <w:r>
        <w:t>Title:</w:t>
      </w:r>
      <w:r w:rsidR="008D38A9">
        <w:t xml:space="preserve"> </w:t>
      </w:r>
      <w:r w:rsidR="00E91B6F">
        <w:t>IT Controls Manager</w:t>
      </w:r>
    </w:p>
    <w:p w14:paraId="4F082EE0" w14:textId="27C72FE8" w:rsidR="009772B5" w:rsidRDefault="00480D15">
      <w:pPr>
        <w:spacing w:after="120" w:line="240" w:lineRule="auto"/>
      </w:pPr>
      <w:r>
        <w:t xml:space="preserve">Name: </w:t>
      </w:r>
      <w:proofErr w:type="spellStart"/>
      <w:r w:rsidR="0090167F">
        <w:t>xxxxxx</w:t>
      </w:r>
      <w:proofErr w:type="spellEnd"/>
      <w:r w:rsidR="0090167F">
        <w:t xml:space="preserve"> redacted under FOIA section 40</w:t>
      </w:r>
    </w:p>
    <w:p w14:paraId="4F082EE1" w14:textId="304F6754" w:rsidR="009772B5" w:rsidRDefault="00480D15">
      <w:pPr>
        <w:spacing w:after="120" w:line="240" w:lineRule="auto"/>
      </w:pPr>
      <w:r>
        <w:t>Email:</w:t>
      </w:r>
      <w:r w:rsidR="0090167F" w:rsidRPr="0090167F">
        <w:t xml:space="preserve"> </w:t>
      </w:r>
      <w:proofErr w:type="spellStart"/>
      <w:r w:rsidR="0090167F">
        <w:t>xxxxxx</w:t>
      </w:r>
      <w:proofErr w:type="spellEnd"/>
      <w:r w:rsidR="0090167F">
        <w:t xml:space="preserve"> redacted under FOIA section 40</w:t>
      </w:r>
    </w:p>
    <w:p w14:paraId="4F082EE2" w14:textId="238DE1AC" w:rsidR="009772B5" w:rsidRDefault="00480D15">
      <w:pPr>
        <w:spacing w:after="120" w:line="360" w:lineRule="auto"/>
      </w:pPr>
      <w:r>
        <w:t xml:space="preserve">Phone: </w:t>
      </w:r>
      <w:r w:rsidR="00E91B6F">
        <w:t>01792 7</w:t>
      </w:r>
      <w:r w:rsidR="00E91B6F">
        <w:rPr>
          <w:lang w:val="en-US"/>
        </w:rPr>
        <w:t>86637</w:t>
      </w:r>
    </w:p>
    <w:p w14:paraId="4F082EE3" w14:textId="77777777" w:rsidR="009772B5" w:rsidRDefault="009772B5">
      <w:pPr>
        <w:rPr>
          <w:b/>
        </w:rPr>
      </w:pPr>
    </w:p>
    <w:p w14:paraId="4F082EE4" w14:textId="77777777" w:rsidR="009772B5" w:rsidRDefault="00480D15">
      <w:pPr>
        <w:spacing w:line="480" w:lineRule="auto"/>
        <w:rPr>
          <w:b/>
        </w:rPr>
      </w:pPr>
      <w:r>
        <w:rPr>
          <w:b/>
        </w:rPr>
        <w:t>For the Supplier:</w:t>
      </w:r>
    </w:p>
    <w:p w14:paraId="4F082EE5" w14:textId="125236D4" w:rsidR="009772B5" w:rsidRDefault="00480D15">
      <w:pPr>
        <w:spacing w:after="120" w:line="240" w:lineRule="auto"/>
      </w:pPr>
      <w:r>
        <w:t xml:space="preserve">Title: </w:t>
      </w:r>
      <w:r w:rsidR="003D12EC">
        <w:t xml:space="preserve"> Global Innovation Director</w:t>
      </w:r>
    </w:p>
    <w:p w14:paraId="4F082EE6" w14:textId="20104718" w:rsidR="009772B5" w:rsidRDefault="00480D15">
      <w:pPr>
        <w:spacing w:after="120" w:line="240" w:lineRule="auto"/>
      </w:pPr>
      <w:r>
        <w:t xml:space="preserve">Name: </w:t>
      </w:r>
      <w:r w:rsidR="003D12EC">
        <w:t xml:space="preserve"> </w:t>
      </w:r>
      <w:proofErr w:type="spellStart"/>
      <w:r w:rsidR="0090167F">
        <w:t>xxxxxx</w:t>
      </w:r>
      <w:proofErr w:type="spellEnd"/>
      <w:r w:rsidR="0090167F">
        <w:t xml:space="preserve"> redacted under FOIA section 40</w:t>
      </w:r>
    </w:p>
    <w:p w14:paraId="4F082EE7" w14:textId="09F8771C" w:rsidR="009772B5" w:rsidRDefault="00480D15">
      <w:pPr>
        <w:spacing w:after="120" w:line="240" w:lineRule="auto"/>
      </w:pPr>
      <w:r>
        <w:t xml:space="preserve">Email: </w:t>
      </w:r>
      <w:r w:rsidR="003D12EC">
        <w:t xml:space="preserve"> </w:t>
      </w:r>
      <w:proofErr w:type="spellStart"/>
      <w:r w:rsidR="0090167F">
        <w:t>xxxxxx</w:t>
      </w:r>
      <w:proofErr w:type="spellEnd"/>
      <w:r w:rsidR="0090167F">
        <w:t xml:space="preserve"> redacted under FOIA section 40</w:t>
      </w:r>
    </w:p>
    <w:p w14:paraId="4F082EE8" w14:textId="74BF7604" w:rsidR="009772B5" w:rsidRDefault="00480D15">
      <w:pPr>
        <w:spacing w:after="120" w:line="240" w:lineRule="auto"/>
      </w:pPr>
      <w:r>
        <w:t xml:space="preserve">Phone: </w:t>
      </w:r>
      <w:r w:rsidR="003D12EC">
        <w:t xml:space="preserve"> 01554 700371</w:t>
      </w:r>
    </w:p>
    <w:p w14:paraId="4F082EE9" w14:textId="77777777" w:rsidR="009772B5" w:rsidRDefault="009772B5">
      <w:pPr>
        <w:spacing w:before="240" w:after="240"/>
      </w:pPr>
    </w:p>
    <w:p w14:paraId="4F082EEA" w14:textId="77777777" w:rsidR="009772B5" w:rsidRDefault="00480D15">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772B5" w14:paraId="4F082EED" w14:textId="77777777" w:rsidTr="6C07500F">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EB" w14:textId="77777777" w:rsidR="009772B5" w:rsidRDefault="00480D15">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EC" w14:textId="17BBB95A" w:rsidR="009772B5" w:rsidRDefault="00480D15">
            <w:pPr>
              <w:spacing w:before="240"/>
            </w:pPr>
            <w:r>
              <w:t>This Call-Off Contract Starts on</w:t>
            </w:r>
            <w:r w:rsidR="009C47D9">
              <w:t xml:space="preserve"> 2</w:t>
            </w:r>
            <w:r w:rsidR="008572B5">
              <w:t>6</w:t>
            </w:r>
            <w:r w:rsidR="009C47D9">
              <w:t xml:space="preserve">/05/2022 </w:t>
            </w:r>
            <w:r>
              <w:t>and is valid for an initial period of 24 (Twenty-Four) months.</w:t>
            </w:r>
          </w:p>
        </w:tc>
      </w:tr>
      <w:tr w:rsidR="009772B5" w14:paraId="4F082EF2" w14:textId="77777777" w:rsidTr="6C07500F">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EE" w14:textId="77777777" w:rsidR="009772B5" w:rsidRDefault="00480D15">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EF" w14:textId="3FF6E974" w:rsidR="009772B5" w:rsidRDefault="00480D15" w:rsidP="00556476">
            <w:pPr>
              <w:pStyle w:val="TableParagraph"/>
              <w:spacing w:line="276" w:lineRule="auto"/>
              <w:ind w:right="141"/>
            </w:pPr>
            <w:r>
              <w:t xml:space="preserve">The notice period for the Supplier needed for Ending the Call-Off Contract is at least </w:t>
            </w:r>
            <w:r w:rsidRPr="6C07500F">
              <w:rPr>
                <w:b/>
                <w:bCs/>
                <w:color w:val="00B050"/>
                <w:lang w:val="en-GB" w:eastAsia="en-GB"/>
              </w:rPr>
              <w:t>90</w:t>
            </w:r>
            <w:r w:rsidRPr="6C07500F">
              <w:rPr>
                <w:color w:val="00B050"/>
                <w:lang w:val="en-GB" w:eastAsia="en-GB"/>
              </w:rPr>
              <w:t xml:space="preserve"> </w:t>
            </w:r>
            <w:r>
              <w:t>Working Days from the date of written notice for undisputed sums (as per clause 18.6).</w:t>
            </w:r>
          </w:p>
          <w:p w14:paraId="4F082EF0" w14:textId="77777777" w:rsidR="009772B5" w:rsidRDefault="009772B5">
            <w:pPr>
              <w:pStyle w:val="TableParagraph"/>
              <w:spacing w:before="6"/>
            </w:pPr>
          </w:p>
          <w:p w14:paraId="1D5031AF" w14:textId="3B930DB0" w:rsidR="009772B5" w:rsidRDefault="00480D15">
            <w:pPr>
              <w:spacing w:before="240"/>
            </w:pPr>
            <w:r>
              <w:t xml:space="preserve">The notice period for the Buyer is </w:t>
            </w:r>
            <w:r w:rsidR="3AF80492">
              <w:t>a</w:t>
            </w:r>
            <w:r w:rsidR="003D12EC">
              <w:t>t least</w:t>
            </w:r>
            <w:r w:rsidR="006A3DEE">
              <w:t xml:space="preserve"> </w:t>
            </w:r>
            <w:r w:rsidRPr="719D22F0">
              <w:rPr>
                <w:b/>
                <w:bCs/>
                <w:color w:val="00B050"/>
              </w:rPr>
              <w:t>30</w:t>
            </w:r>
            <w:r w:rsidRPr="719D22F0">
              <w:rPr>
                <w:b/>
                <w:bCs/>
              </w:rPr>
              <w:t xml:space="preserve"> </w:t>
            </w:r>
            <w:r>
              <w:t>days from the date of written notice for Ending without cause (as per clause 18.1)</w:t>
            </w:r>
            <w:r w:rsidR="2A9EDF1A">
              <w:t xml:space="preserve"> for Services</w:t>
            </w:r>
            <w:r w:rsidR="00556476">
              <w:t>.</w:t>
            </w:r>
          </w:p>
          <w:p w14:paraId="0B1641C3" w14:textId="77777777" w:rsidR="0075100B" w:rsidRDefault="0075100B">
            <w:pPr>
              <w:spacing w:before="240"/>
            </w:pPr>
          </w:p>
          <w:p w14:paraId="4F082EF1" w14:textId="622A5AFA" w:rsidR="0075100B" w:rsidRDefault="0075100B" w:rsidP="004C0B6A">
            <w:pPr>
              <w:spacing w:before="240"/>
            </w:pPr>
          </w:p>
        </w:tc>
      </w:tr>
      <w:tr w:rsidR="009772B5" w14:paraId="4F082EF6" w14:textId="77777777" w:rsidTr="6C07500F">
        <w:trPr>
          <w:trHeight w:val="522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F3" w14:textId="77777777" w:rsidR="009772B5" w:rsidRDefault="00480D15">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EF4" w14:textId="77777777" w:rsidR="009772B5" w:rsidRDefault="00480D15">
            <w:pPr>
              <w:spacing w:before="240"/>
            </w:pPr>
            <w:r>
              <w:t xml:space="preserve">This Call-off Contract can be extended by the Buyer for </w:t>
            </w:r>
            <w:r>
              <w:rPr>
                <w:b/>
                <w:bCs/>
              </w:rPr>
              <w:t>two</w:t>
            </w:r>
            <w:r>
              <w:t xml:space="preserve"> period(s) of up to </w:t>
            </w:r>
            <w:r>
              <w:rPr>
                <w:b/>
                <w:bCs/>
              </w:rPr>
              <w:t>12 months</w:t>
            </w:r>
            <w:r>
              <w:t xml:space="preserve"> each, by giving the Supplier </w:t>
            </w:r>
            <w:r>
              <w:rPr>
                <w:b/>
                <w:bCs/>
              </w:rPr>
              <w:t>one month</w:t>
            </w:r>
            <w:r>
              <w:t xml:space="preserve"> written notice before its expiry. The extension periods are subject to clauses 1.3 and 1.4 in Part B below.</w:t>
            </w:r>
          </w:p>
          <w:p w14:paraId="4F082EF5" w14:textId="77777777" w:rsidR="009772B5" w:rsidRDefault="00480D15">
            <w:pPr>
              <w:spacing w:before="240"/>
            </w:pPr>
            <w:r>
              <w:t>Extensions which extend the Term beyond 24 months are only permitted if the Supplier complies with the additional exit plan requirements at clauses 21.3 to 21.8.</w:t>
            </w:r>
          </w:p>
        </w:tc>
      </w:tr>
    </w:tbl>
    <w:p w14:paraId="4F082EF7" w14:textId="77777777" w:rsidR="009772B5" w:rsidRDefault="00480D15">
      <w:pPr>
        <w:pStyle w:val="Heading3"/>
      </w:pPr>
      <w:r>
        <w:t>Buyer contractual details</w:t>
      </w:r>
    </w:p>
    <w:p w14:paraId="4F082EF8" w14:textId="77777777" w:rsidR="009772B5" w:rsidRDefault="00480D1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C96E54" w14:paraId="258A6EA8" w14:textId="77777777" w:rsidTr="47D7F6C3">
        <w:trPr>
          <w:trHeight w:val="1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31107A" w14:textId="7F15FA85" w:rsidR="00C96E54" w:rsidRDefault="00C96E54">
            <w:pPr>
              <w:spacing w:before="240"/>
              <w:rPr>
                <w:b/>
              </w:rPr>
            </w:pPr>
            <w:r>
              <w:rPr>
                <w:b/>
              </w:rPr>
              <w:t>G-Cloud lot</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8CA9A3" w14:textId="2F734598" w:rsidR="00C96E54" w:rsidRDefault="00C96E54" w:rsidP="00C96E54">
            <w:r>
              <w:t>This Call-Off Contract is for the provision of Services under:</w:t>
            </w:r>
          </w:p>
          <w:p w14:paraId="7441B2E1" w14:textId="77777777" w:rsidR="00C96E54" w:rsidRDefault="00C96E54" w:rsidP="00C96E54"/>
          <w:p w14:paraId="1F51F0AA" w14:textId="3454ACBB" w:rsidR="00C96E54" w:rsidRDefault="00C96E54" w:rsidP="00C96E54">
            <w:r>
              <w:t>•</w:t>
            </w:r>
            <w:r>
              <w:tab/>
              <w:t>Lot 2: Cloud software</w:t>
            </w:r>
          </w:p>
        </w:tc>
      </w:tr>
      <w:tr w:rsidR="00C96E54" w14:paraId="4F328BF3" w14:textId="77777777" w:rsidTr="47D7F6C3">
        <w:trPr>
          <w:trHeight w:val="1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47A60B" w14:textId="31D40111" w:rsidR="00C96E54" w:rsidRDefault="00C96E54">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B090EB" w14:textId="77777777" w:rsidR="00C96E54" w:rsidRDefault="00C96E54" w:rsidP="00C96E54">
            <w:r>
              <w:t xml:space="preserve">The Services to be provided by the Supplier under the above Lot are listed in Framework Section 2 and are made of 3 core components below: </w:t>
            </w:r>
          </w:p>
          <w:p w14:paraId="57D90E8C" w14:textId="77777777" w:rsidR="00C96E54" w:rsidRDefault="00C96E54" w:rsidP="00C96E54"/>
          <w:p w14:paraId="3D100539" w14:textId="77777777" w:rsidR="00C96E54" w:rsidRDefault="00C96E54" w:rsidP="00C96E54">
            <w:pPr>
              <w:pStyle w:val="ListParagraph"/>
              <w:numPr>
                <w:ilvl w:val="0"/>
                <w:numId w:val="44"/>
              </w:numPr>
            </w:pPr>
            <w:r>
              <w:t>Licences</w:t>
            </w:r>
          </w:p>
          <w:p w14:paraId="2AA538EB" w14:textId="77777777" w:rsidR="00C96E54" w:rsidRDefault="00C96E54" w:rsidP="00C96E54"/>
          <w:p w14:paraId="1F8567B7" w14:textId="77777777" w:rsidR="00C96E54" w:rsidRDefault="00C96E54" w:rsidP="00C96E54">
            <w:pPr>
              <w:pStyle w:val="ListParagraph"/>
              <w:numPr>
                <w:ilvl w:val="0"/>
                <w:numId w:val="44"/>
              </w:numPr>
            </w:pPr>
            <w:r>
              <w:t>Support</w:t>
            </w:r>
          </w:p>
          <w:p w14:paraId="5BE890E0" w14:textId="77777777" w:rsidR="00C96E54" w:rsidRDefault="00C96E54" w:rsidP="00C96E54"/>
          <w:p w14:paraId="040AC077" w14:textId="77777777" w:rsidR="00C96E54" w:rsidRDefault="00C96E54" w:rsidP="00C96E54">
            <w:pPr>
              <w:pStyle w:val="ListParagraph"/>
              <w:numPr>
                <w:ilvl w:val="0"/>
                <w:numId w:val="44"/>
              </w:numPr>
            </w:pPr>
            <w:r>
              <w:t>Professional Services</w:t>
            </w:r>
          </w:p>
          <w:p w14:paraId="2B86359A" w14:textId="77777777" w:rsidR="00C96E54" w:rsidRDefault="00C96E54" w:rsidP="00C96E54"/>
          <w:p w14:paraId="3FB99FC1" w14:textId="56C31A67" w:rsidR="00C96E54" w:rsidRDefault="00C96E54" w:rsidP="00C96E54">
            <w:r>
              <w:t>Each of the services will carry its own Onboarding, Offboarding and Termination terms within their own SoW.</w:t>
            </w:r>
          </w:p>
        </w:tc>
      </w:tr>
      <w:tr w:rsidR="009772B5" w14:paraId="4F082F0A" w14:textId="77777777" w:rsidTr="47D7F6C3">
        <w:trPr>
          <w:trHeight w:val="1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07" w14:textId="77777777" w:rsidR="009772B5" w:rsidRDefault="00480D15">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DEB263" w14:textId="52C70DA5" w:rsidR="00FC437E" w:rsidRPr="00A32511" w:rsidRDefault="00FC437E" w:rsidP="00A32511">
            <w:r>
              <w:t>None anticipated.</w:t>
            </w:r>
          </w:p>
          <w:p w14:paraId="21F95FB1" w14:textId="77777777" w:rsidR="00FC437E" w:rsidRDefault="00FC437E">
            <w:pPr>
              <w:spacing w:before="240"/>
              <w:rPr>
                <w:b/>
                <w:shd w:val="clear" w:color="auto" w:fill="FFFF00"/>
              </w:rPr>
            </w:pPr>
          </w:p>
          <w:p w14:paraId="4F082F09" w14:textId="0F992AE1" w:rsidR="0079229D" w:rsidRPr="00A32511" w:rsidRDefault="0079229D">
            <w:pPr>
              <w:spacing w:before="240"/>
              <w:rPr>
                <w:b/>
                <w:shd w:val="clear" w:color="auto" w:fill="FFFF00"/>
              </w:rPr>
            </w:pPr>
          </w:p>
        </w:tc>
      </w:tr>
      <w:tr w:rsidR="009772B5" w14:paraId="4F082F0F" w14:textId="77777777" w:rsidTr="47D7F6C3">
        <w:trPr>
          <w:trHeight w:val="26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0B" w14:textId="77777777" w:rsidR="009772B5" w:rsidRDefault="00480D15">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55A570" w14:textId="6A46B308" w:rsidR="00A32511" w:rsidRDefault="004846AD">
            <w:pPr>
              <w:spacing w:before="240"/>
            </w:pPr>
            <w:r>
              <w:t>The Services</w:t>
            </w:r>
            <w:r w:rsidR="00EE6347">
              <w:t xml:space="preserve"> across Lot</w:t>
            </w:r>
            <w:r w:rsidR="00556476">
              <w:t xml:space="preserve"> 2 </w:t>
            </w:r>
            <w:r>
              <w:t>will be delivered to the Buyer’s main address from the Supplier’s main address predominantly as remote services.  On occasion it is appreciated that the Supplier would need to visit the Buyer’s sites to deliver services at relevant points within the contract</w:t>
            </w:r>
            <w:r w:rsidR="00A32511">
              <w:t xml:space="preserve"> (address below): -</w:t>
            </w:r>
          </w:p>
          <w:p w14:paraId="08A5247F" w14:textId="77777777" w:rsidR="00A32511" w:rsidRDefault="00A32511">
            <w:pPr>
              <w:spacing w:before="240"/>
            </w:pPr>
            <w:r>
              <w:t>Driver and Vehicle Licensing Agency</w:t>
            </w:r>
          </w:p>
          <w:p w14:paraId="60771FA6" w14:textId="77777777" w:rsidR="00A32511" w:rsidRDefault="00A32511">
            <w:pPr>
              <w:spacing w:before="240"/>
            </w:pPr>
            <w:r>
              <w:t>Longview Road</w:t>
            </w:r>
          </w:p>
          <w:p w14:paraId="36BF2B8C" w14:textId="77777777" w:rsidR="00A32511" w:rsidRDefault="00A32511">
            <w:pPr>
              <w:spacing w:before="240"/>
            </w:pPr>
            <w:r>
              <w:t>Morriston</w:t>
            </w:r>
          </w:p>
          <w:p w14:paraId="290CB257" w14:textId="77777777" w:rsidR="00A32511" w:rsidRDefault="00A32511">
            <w:pPr>
              <w:spacing w:before="240"/>
            </w:pPr>
            <w:r>
              <w:t>Swansea</w:t>
            </w:r>
          </w:p>
          <w:p w14:paraId="1959E020" w14:textId="124829C5" w:rsidR="004846AD" w:rsidRPr="00556476" w:rsidRDefault="00A32511">
            <w:pPr>
              <w:spacing w:before="240"/>
            </w:pPr>
            <w:r>
              <w:t>SA6 7JL</w:t>
            </w:r>
          </w:p>
          <w:p w14:paraId="6D1F6421" w14:textId="77777777" w:rsidR="004846AD" w:rsidRDefault="004846AD">
            <w:pPr>
              <w:spacing w:before="240"/>
              <w:rPr>
                <w:shd w:val="clear" w:color="auto" w:fill="FFFF00"/>
              </w:rPr>
            </w:pPr>
          </w:p>
          <w:p w14:paraId="550AFBA6" w14:textId="321E9676" w:rsidR="009772B5" w:rsidRDefault="00CD7279">
            <w:pPr>
              <w:spacing w:before="240"/>
              <w:rPr>
                <w:shd w:val="clear" w:color="auto" w:fill="FFFF00"/>
              </w:rPr>
            </w:pPr>
            <w:r>
              <w:rPr>
                <w:shd w:val="clear" w:color="auto" w:fill="FFFF00"/>
              </w:rPr>
              <w:t xml:space="preserve"> </w:t>
            </w:r>
          </w:p>
          <w:p w14:paraId="4F082F0E" w14:textId="2BD02117" w:rsidR="005A2CE5" w:rsidRDefault="005A2CE5">
            <w:pPr>
              <w:spacing w:before="240"/>
              <w:rPr>
                <w:shd w:val="clear" w:color="auto" w:fill="FFFF00"/>
              </w:rPr>
            </w:pPr>
            <w:r>
              <w:rPr>
                <w:shd w:val="clear" w:color="auto" w:fill="FFFF00"/>
              </w:rPr>
              <w:br/>
            </w:r>
          </w:p>
        </w:tc>
      </w:tr>
      <w:tr w:rsidR="009772B5" w14:paraId="4F082F14" w14:textId="77777777" w:rsidTr="47D7F6C3">
        <w:trPr>
          <w:trHeight w:val="4578"/>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10" w14:textId="77777777" w:rsidR="009772B5" w:rsidRDefault="00480D15">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FC8B4A" w14:textId="7C10CD87" w:rsidR="009772B5" w:rsidRDefault="00341819">
            <w:pPr>
              <w:spacing w:before="240"/>
              <w:rPr>
                <w:shd w:val="clear" w:color="auto" w:fill="FFFF00"/>
              </w:rPr>
            </w:pPr>
            <w:r>
              <w:rPr>
                <w:shd w:val="clear" w:color="auto" w:fill="FFFF00"/>
              </w:rPr>
              <w:t xml:space="preserve"> </w:t>
            </w:r>
          </w:p>
          <w:p w14:paraId="0A575E66" w14:textId="77777777" w:rsidR="00341819" w:rsidRDefault="00341819">
            <w:pPr>
              <w:spacing w:before="240"/>
              <w:rPr>
                <w:shd w:val="clear" w:color="auto" w:fill="FFFF00"/>
              </w:rPr>
            </w:pPr>
          </w:p>
          <w:p w14:paraId="6663C363" w14:textId="7C122622" w:rsidR="001528D9" w:rsidRDefault="3CBA1EA3" w:rsidP="00341819">
            <w:r>
              <w:t>The quality standards required for this Call-Off Contract are to deliver</w:t>
            </w:r>
            <w:r w:rsidR="76814F67">
              <w:t xml:space="preserve"> Services</w:t>
            </w:r>
            <w:r w:rsidR="69AF3E63">
              <w:t xml:space="preserve"> to appropriate skill and quality</w:t>
            </w:r>
            <w:r w:rsidR="76814F67">
              <w:t xml:space="preserve"> </w:t>
            </w:r>
            <w:r w:rsidR="76CD8965">
              <w:t>t</w:t>
            </w:r>
            <w:r w:rsidR="69AF3E63">
              <w:t xml:space="preserve">o meet set requirements.  </w:t>
            </w:r>
            <w:r w:rsidR="00E91B6F">
              <w:t>The following services will be managed via separate SoW’s with the appropriate quality standards applied.</w:t>
            </w:r>
          </w:p>
          <w:p w14:paraId="1AFD81CD" w14:textId="77777777" w:rsidR="001528D9" w:rsidRDefault="001528D9" w:rsidP="00341819"/>
          <w:p w14:paraId="1FCDF695" w14:textId="3D5A2041" w:rsidR="001528D9" w:rsidRPr="00F27E4F" w:rsidRDefault="00E22B08" w:rsidP="00341819">
            <w:pPr>
              <w:rPr>
                <w:b/>
                <w:bCs/>
              </w:rPr>
            </w:pPr>
            <w:r>
              <w:rPr>
                <w:b/>
                <w:bCs/>
              </w:rPr>
              <w:t>Professional Services</w:t>
            </w:r>
          </w:p>
          <w:p w14:paraId="68EDE7EC" w14:textId="77777777" w:rsidR="001528D9" w:rsidRDefault="001528D9" w:rsidP="00341819"/>
          <w:p w14:paraId="47823E2C" w14:textId="783FA6F4" w:rsidR="001528D9" w:rsidRPr="00F27E4F" w:rsidRDefault="001528D9" w:rsidP="00341819">
            <w:pPr>
              <w:rPr>
                <w:b/>
                <w:bCs/>
              </w:rPr>
            </w:pPr>
            <w:r w:rsidRPr="00F27E4F">
              <w:rPr>
                <w:b/>
                <w:bCs/>
              </w:rPr>
              <w:t>Support</w:t>
            </w:r>
          </w:p>
          <w:p w14:paraId="07EDCE87" w14:textId="4EC58014" w:rsidR="00C231DD" w:rsidRDefault="00376BD2" w:rsidP="00341819">
            <w:r>
              <w:t xml:space="preserve"> </w:t>
            </w:r>
          </w:p>
          <w:p w14:paraId="1AB4456D" w14:textId="6164CE79" w:rsidR="00973BDA" w:rsidRDefault="00973BDA" w:rsidP="00341819">
            <w:r>
              <w:t>Any additional quality standards are outlined in the Specification.</w:t>
            </w:r>
          </w:p>
          <w:p w14:paraId="1B4104A7" w14:textId="77777777" w:rsidR="00973BDA" w:rsidRDefault="00973BDA" w:rsidP="00341819"/>
          <w:p w14:paraId="4F082F12" w14:textId="6903C18C" w:rsidR="00D05F61" w:rsidRDefault="742A2601" w:rsidP="00DE03D4">
            <w:r>
              <w:t>Please also see Service level agreement section below.</w:t>
            </w:r>
          </w:p>
        </w:tc>
        <w:tc>
          <w:tcPr>
            <w:tcW w:w="40" w:type="dxa"/>
            <w:shd w:val="clear" w:color="auto" w:fill="auto"/>
            <w:tcMar>
              <w:top w:w="0" w:type="dxa"/>
              <w:left w:w="10" w:type="dxa"/>
              <w:bottom w:w="0" w:type="dxa"/>
              <w:right w:w="10" w:type="dxa"/>
            </w:tcMar>
          </w:tcPr>
          <w:p w14:paraId="4F082F13" w14:textId="77777777" w:rsidR="009772B5" w:rsidRDefault="009772B5">
            <w:pPr>
              <w:spacing w:before="240"/>
            </w:pPr>
          </w:p>
        </w:tc>
      </w:tr>
      <w:tr w:rsidR="009772B5" w14:paraId="4F082F19" w14:textId="77777777" w:rsidTr="47D7F6C3">
        <w:trPr>
          <w:trHeight w:val="188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15" w14:textId="77777777" w:rsidR="009772B5" w:rsidRDefault="00480D15">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698064" w14:textId="77777777" w:rsidR="002956EA" w:rsidRDefault="00603858">
            <w:r w:rsidRPr="00E40D9D">
              <w:t>The technical</w:t>
            </w:r>
            <w:r>
              <w:t xml:space="preserve"> </w:t>
            </w:r>
            <w:r w:rsidRPr="00E40D9D">
              <w:t xml:space="preserve">standards used as a requirement for this Call-Off Contract </w:t>
            </w:r>
            <w:r w:rsidR="00D7075C">
              <w:t>is</w:t>
            </w:r>
            <w:r w:rsidRPr="00E40D9D">
              <w:t xml:space="preserve"> to </w:t>
            </w:r>
            <w:r>
              <w:t>d</w:t>
            </w:r>
            <w:r w:rsidR="00D7075C">
              <w:t xml:space="preserve">eliver services to </w:t>
            </w:r>
            <w:r w:rsidRPr="00E40D9D">
              <w:t>ISO27001</w:t>
            </w:r>
            <w:r>
              <w:t xml:space="preserve"> standards</w:t>
            </w:r>
            <w:r w:rsidR="004037B3">
              <w:t xml:space="preserve"> and industry recognised </w:t>
            </w:r>
            <w:r w:rsidR="00241649">
              <w:t>standards.</w:t>
            </w:r>
          </w:p>
          <w:p w14:paraId="4F082F17" w14:textId="4B53F993" w:rsidR="00435EA1" w:rsidRDefault="00435EA1" w:rsidP="00061C58">
            <w:r>
              <w:t>Any additional technical standards are outlined in the Specification.</w:t>
            </w:r>
          </w:p>
        </w:tc>
        <w:tc>
          <w:tcPr>
            <w:tcW w:w="40" w:type="dxa"/>
            <w:shd w:val="clear" w:color="auto" w:fill="auto"/>
            <w:tcMar>
              <w:top w:w="0" w:type="dxa"/>
              <w:left w:w="10" w:type="dxa"/>
              <w:bottom w:w="0" w:type="dxa"/>
              <w:right w:w="10" w:type="dxa"/>
            </w:tcMar>
          </w:tcPr>
          <w:p w14:paraId="4F082F18" w14:textId="77777777" w:rsidR="009772B5" w:rsidRDefault="009772B5">
            <w:pPr>
              <w:spacing w:before="240"/>
            </w:pPr>
          </w:p>
        </w:tc>
      </w:tr>
      <w:tr w:rsidR="009772B5" w14:paraId="4F082F21" w14:textId="77777777" w:rsidTr="47D7F6C3">
        <w:trPr>
          <w:trHeight w:val="302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1A" w14:textId="77777777" w:rsidR="009772B5" w:rsidRDefault="00480D15">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DB7FA8" w14:textId="32ECE712" w:rsidR="005B3310" w:rsidRDefault="00DD1BB4" w:rsidP="005B3310">
            <w:r>
              <w:t>SLA’s to be agreed following Service Design.</w:t>
            </w:r>
          </w:p>
          <w:p w14:paraId="3A4531A8" w14:textId="35619B33" w:rsidR="005B3310" w:rsidRDefault="005B3310" w:rsidP="00061C58">
            <w:r>
              <w:t>Once defined the SLA’s will be captured within the relevant SoW.</w:t>
            </w:r>
          </w:p>
          <w:p w14:paraId="1A88DC7D" w14:textId="77777777" w:rsidR="00EA3734" w:rsidRDefault="00EA3734" w:rsidP="00EA3734"/>
          <w:p w14:paraId="4F082F1F" w14:textId="58D13277" w:rsidR="005B3310" w:rsidRDefault="005B3310" w:rsidP="00061C58"/>
        </w:tc>
        <w:tc>
          <w:tcPr>
            <w:tcW w:w="40" w:type="dxa"/>
            <w:shd w:val="clear" w:color="auto" w:fill="auto"/>
            <w:tcMar>
              <w:top w:w="0" w:type="dxa"/>
              <w:left w:w="10" w:type="dxa"/>
              <w:bottom w:w="0" w:type="dxa"/>
              <w:right w:w="10" w:type="dxa"/>
            </w:tcMar>
          </w:tcPr>
          <w:p w14:paraId="4F082F20" w14:textId="77777777" w:rsidR="009772B5" w:rsidRDefault="009772B5">
            <w:pPr>
              <w:pStyle w:val="ListParagraph"/>
            </w:pPr>
          </w:p>
        </w:tc>
      </w:tr>
      <w:tr w:rsidR="009772B5" w14:paraId="4F082F28" w14:textId="77777777" w:rsidTr="47D7F6C3">
        <w:trPr>
          <w:trHeight w:val="10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22" w14:textId="77777777" w:rsidR="009772B5" w:rsidRDefault="00480D15">
            <w:pPr>
              <w:spacing w:before="240"/>
              <w:rPr>
                <w:b/>
              </w:rPr>
            </w:pPr>
            <w:r>
              <w:rPr>
                <w:b/>
              </w:rPr>
              <w:t>Onboarding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22ECB2" w14:textId="5A7F001C" w:rsidR="009772B5" w:rsidRDefault="009772B5" w:rsidP="00BA77D3">
            <w:pPr>
              <w:pStyle w:val="ListParagraph"/>
            </w:pPr>
          </w:p>
          <w:p w14:paraId="38BA114A" w14:textId="55361F85" w:rsidR="00712F31" w:rsidRDefault="00712F31" w:rsidP="00712F31">
            <w:pPr>
              <w:pStyle w:val="ListParagraph"/>
            </w:pPr>
          </w:p>
          <w:p w14:paraId="19359B25" w14:textId="77777777" w:rsidR="00712F31" w:rsidRPr="00712F31" w:rsidRDefault="00712F31" w:rsidP="00712F31">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DVLA will be responsible for working with the Supplier to undertake the On and Off Boarding of resources pertaining to the delivery of this service.</w:t>
            </w:r>
          </w:p>
          <w:p w14:paraId="388D8BE5" w14:textId="77777777" w:rsidR="00712F31" w:rsidRPr="00712F31" w:rsidRDefault="00712F31" w:rsidP="00712F31">
            <w:pPr>
              <w:shd w:val="clear" w:color="auto" w:fill="FFFFFF"/>
              <w:suppressAutoHyphens w:val="0"/>
              <w:autoSpaceDN/>
              <w:spacing w:line="240" w:lineRule="auto"/>
              <w:textAlignment w:val="auto"/>
              <w:rPr>
                <w:rFonts w:ascii="Segoe UI" w:eastAsia="Times New Roman" w:hAnsi="Segoe UI" w:cs="Segoe UI"/>
                <w:color w:val="242424"/>
                <w:sz w:val="21"/>
                <w:szCs w:val="21"/>
              </w:rPr>
            </w:pPr>
          </w:p>
          <w:p w14:paraId="293CA589" w14:textId="77777777" w:rsidR="00712F31" w:rsidRPr="00712F31" w:rsidRDefault="00712F31" w:rsidP="00712F31">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 xml:space="preserve">This will include carrying out the </w:t>
            </w:r>
            <w:proofErr w:type="gramStart"/>
            <w:r w:rsidRPr="00712F31">
              <w:rPr>
                <w:rFonts w:ascii="Segoe UI" w:eastAsia="Times New Roman" w:hAnsi="Segoe UI" w:cs="Segoe UI"/>
                <w:color w:val="242424"/>
              </w:rPr>
              <w:t>following:-</w:t>
            </w:r>
            <w:proofErr w:type="gramEnd"/>
          </w:p>
          <w:p w14:paraId="16A74E57" w14:textId="77777777" w:rsidR="00712F31" w:rsidRPr="00712F31" w:rsidRDefault="00712F31" w:rsidP="00712F31">
            <w:pPr>
              <w:shd w:val="clear" w:color="auto" w:fill="FFFFFF"/>
              <w:suppressAutoHyphens w:val="0"/>
              <w:autoSpaceDN/>
              <w:spacing w:line="240" w:lineRule="auto"/>
              <w:textAlignment w:val="auto"/>
              <w:rPr>
                <w:rFonts w:ascii="Segoe UI" w:eastAsia="Times New Roman" w:hAnsi="Segoe UI" w:cs="Segoe UI"/>
                <w:color w:val="242424"/>
                <w:sz w:val="21"/>
                <w:szCs w:val="21"/>
              </w:rPr>
            </w:pPr>
          </w:p>
          <w:p w14:paraId="2B7523B8" w14:textId="77777777" w:rsidR="00712F31" w:rsidRPr="00712F31" w:rsidRDefault="00712F31" w:rsidP="00712F31">
            <w:pPr>
              <w:numPr>
                <w:ilvl w:val="0"/>
                <w:numId w:val="34"/>
              </w:numPr>
              <w:shd w:val="clear" w:color="auto" w:fill="FFFFFF"/>
              <w:suppressAutoHyphens w:val="0"/>
              <w:autoSpaceDN/>
              <w:spacing w:before="100" w:beforeAutospacing="1" w:after="100" w:afterAutospacing="1"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Eligibility to work in the UK</w:t>
            </w:r>
          </w:p>
          <w:p w14:paraId="47E80197" w14:textId="77777777" w:rsidR="00712F31" w:rsidRPr="00712F31" w:rsidRDefault="00712F31" w:rsidP="00712F31">
            <w:pPr>
              <w:numPr>
                <w:ilvl w:val="0"/>
                <w:numId w:val="34"/>
              </w:numPr>
              <w:shd w:val="clear" w:color="auto" w:fill="FFFFFF"/>
              <w:suppressAutoHyphens w:val="0"/>
              <w:autoSpaceDN/>
              <w:spacing w:before="100" w:beforeAutospacing="1" w:after="100" w:afterAutospacing="1"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Security Clearance checks (If required)</w:t>
            </w:r>
          </w:p>
          <w:p w14:paraId="2A91DD17" w14:textId="77777777" w:rsidR="00712F31" w:rsidRPr="00712F31" w:rsidRDefault="00712F31" w:rsidP="00712F31">
            <w:pPr>
              <w:numPr>
                <w:ilvl w:val="0"/>
                <w:numId w:val="34"/>
              </w:numPr>
              <w:shd w:val="clear" w:color="auto" w:fill="FFFFFF"/>
              <w:suppressAutoHyphens w:val="0"/>
              <w:autoSpaceDN/>
              <w:spacing w:before="100" w:beforeAutospacing="1" w:after="100" w:afterAutospacing="1"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DVLA and Site Induction (If required)</w:t>
            </w:r>
          </w:p>
          <w:p w14:paraId="38DB9006" w14:textId="77777777" w:rsidR="00712F31" w:rsidRPr="00712F31" w:rsidRDefault="00712F31" w:rsidP="00712F31">
            <w:pPr>
              <w:numPr>
                <w:ilvl w:val="0"/>
                <w:numId w:val="34"/>
              </w:numPr>
              <w:shd w:val="clear" w:color="auto" w:fill="FFFFFF"/>
              <w:suppressAutoHyphens w:val="0"/>
              <w:autoSpaceDN/>
              <w:spacing w:before="100" w:beforeAutospacing="1" w:after="100" w:afterAutospacing="1"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Allocation of IT devices to undertake services on DVLA Infrastructure.</w:t>
            </w:r>
          </w:p>
          <w:p w14:paraId="5A3119C2" w14:textId="77777777" w:rsidR="00712F31" w:rsidRPr="00712F31" w:rsidRDefault="00712F31" w:rsidP="00712F31">
            <w:pPr>
              <w:shd w:val="clear" w:color="auto" w:fill="FFFFFF"/>
              <w:suppressAutoHyphens w:val="0"/>
              <w:autoSpaceDN/>
              <w:spacing w:line="240" w:lineRule="auto"/>
              <w:textAlignment w:val="auto"/>
              <w:rPr>
                <w:rFonts w:ascii="Segoe UI" w:eastAsia="Times New Roman" w:hAnsi="Segoe UI" w:cs="Segoe UI"/>
                <w:color w:val="242424"/>
                <w:sz w:val="21"/>
                <w:szCs w:val="21"/>
              </w:rPr>
            </w:pPr>
          </w:p>
          <w:p w14:paraId="28B610AD" w14:textId="77777777" w:rsidR="00712F31" w:rsidRPr="00712F31" w:rsidRDefault="00712F31" w:rsidP="00712F31">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712F31">
              <w:rPr>
                <w:rFonts w:ascii="Segoe UI" w:eastAsia="Times New Roman" w:hAnsi="Segoe UI" w:cs="Segoe UI"/>
                <w:color w:val="242424"/>
              </w:rPr>
              <w:t>All resources will be required to read and sign DVLA policies and procedures relating to working on the DVLA estate/infrastructure.</w:t>
            </w:r>
          </w:p>
          <w:p w14:paraId="186410C7" w14:textId="77777777" w:rsidR="00712F31" w:rsidRDefault="00712F31" w:rsidP="006301BC"/>
          <w:p w14:paraId="17C6555B" w14:textId="77777777" w:rsidR="00806F5C" w:rsidRDefault="00806F5C" w:rsidP="00806F5C"/>
          <w:p w14:paraId="4F082F26" w14:textId="43042963" w:rsidR="00806F5C" w:rsidRDefault="00806F5C" w:rsidP="006301BC"/>
        </w:tc>
        <w:tc>
          <w:tcPr>
            <w:tcW w:w="40" w:type="dxa"/>
            <w:shd w:val="clear" w:color="auto" w:fill="auto"/>
            <w:tcMar>
              <w:top w:w="0" w:type="dxa"/>
              <w:left w:w="10" w:type="dxa"/>
              <w:bottom w:w="0" w:type="dxa"/>
              <w:right w:w="10" w:type="dxa"/>
            </w:tcMar>
          </w:tcPr>
          <w:p w14:paraId="4F082F27" w14:textId="77777777" w:rsidR="009772B5" w:rsidRDefault="009772B5">
            <w:pPr>
              <w:pStyle w:val="ListParagraph"/>
            </w:pPr>
          </w:p>
        </w:tc>
      </w:tr>
      <w:tr w:rsidR="0009169F" w14:paraId="4F082F2F" w14:textId="77777777" w:rsidTr="47D7F6C3">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29" w14:textId="77777777" w:rsidR="0009169F" w:rsidRDefault="0009169F" w:rsidP="0009169F">
            <w:pPr>
              <w:spacing w:before="240"/>
              <w:rPr>
                <w:b/>
              </w:rPr>
            </w:pPr>
            <w:r>
              <w:rPr>
                <w:b/>
              </w:rPr>
              <w:t>Offboarding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8045B6" w14:textId="4DFF1EE6" w:rsidR="00712F31" w:rsidRDefault="00712F31"/>
          <w:p w14:paraId="4F5137D8" w14:textId="7BCDC7B8" w:rsidR="00712F31" w:rsidRPr="009C47D9" w:rsidRDefault="00712F31" w:rsidP="006301BC">
            <w:r>
              <w:t>Please see onboarding section above.</w:t>
            </w:r>
          </w:p>
          <w:p w14:paraId="30D8E862" w14:textId="71809F80" w:rsidR="0009169F" w:rsidRDefault="0009169F" w:rsidP="001C3301"/>
          <w:p w14:paraId="6E73EF61" w14:textId="215F790C" w:rsidR="001C3301" w:rsidRDefault="00C27A2B" w:rsidP="009C47D9">
            <w:r>
              <w:t>Please also see Alternative Clauses section &gt; IPR.</w:t>
            </w:r>
          </w:p>
          <w:p w14:paraId="4F082F2D" w14:textId="0C57D0D8" w:rsidR="001C3301" w:rsidRDefault="001C3301" w:rsidP="009C47D9"/>
        </w:tc>
        <w:tc>
          <w:tcPr>
            <w:tcW w:w="40" w:type="dxa"/>
            <w:shd w:val="clear" w:color="auto" w:fill="auto"/>
            <w:tcMar>
              <w:top w:w="0" w:type="dxa"/>
              <w:left w:w="10" w:type="dxa"/>
              <w:bottom w:w="0" w:type="dxa"/>
              <w:right w:w="10" w:type="dxa"/>
            </w:tcMar>
          </w:tcPr>
          <w:p w14:paraId="4F082F2E" w14:textId="77777777" w:rsidR="0009169F" w:rsidRDefault="0009169F" w:rsidP="0009169F">
            <w:pPr>
              <w:pStyle w:val="ListParagraph"/>
            </w:pPr>
          </w:p>
        </w:tc>
      </w:tr>
      <w:tr w:rsidR="0009169F" w14:paraId="4F082F33" w14:textId="77777777" w:rsidTr="47D7F6C3">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30" w14:textId="77777777" w:rsidR="0009169F" w:rsidRDefault="0009169F" w:rsidP="0009169F">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31" w14:textId="77777777" w:rsidR="0009169F" w:rsidRDefault="0009169F" w:rsidP="0009169F">
            <w:pPr>
              <w:spacing w:before="240"/>
            </w:pPr>
            <w:r>
              <w:t>N/A</w:t>
            </w:r>
          </w:p>
        </w:tc>
        <w:tc>
          <w:tcPr>
            <w:tcW w:w="40" w:type="dxa"/>
            <w:shd w:val="clear" w:color="auto" w:fill="auto"/>
            <w:tcMar>
              <w:top w:w="0" w:type="dxa"/>
              <w:left w:w="10" w:type="dxa"/>
              <w:bottom w:w="0" w:type="dxa"/>
              <w:right w:w="10" w:type="dxa"/>
            </w:tcMar>
          </w:tcPr>
          <w:p w14:paraId="4F082F32" w14:textId="77777777" w:rsidR="0009169F" w:rsidRDefault="0009169F" w:rsidP="0009169F">
            <w:pPr>
              <w:spacing w:before="240"/>
            </w:pPr>
          </w:p>
        </w:tc>
      </w:tr>
      <w:tr w:rsidR="0009169F" w14:paraId="4F082F3C" w14:textId="77777777" w:rsidTr="47D7F6C3">
        <w:trPr>
          <w:trHeight w:val="54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34" w14:textId="77777777" w:rsidR="0009169F" w:rsidRDefault="0009169F" w:rsidP="0009169F">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39501C" w14:textId="395B3064" w:rsidR="0009169F" w:rsidRDefault="0009169F" w:rsidP="00C96E54">
            <w:pPr>
              <w:tabs>
                <w:tab w:val="left" w:pos="1030"/>
              </w:tabs>
              <w:spacing w:before="240"/>
              <w:rPr>
                <w:shd w:val="clear" w:color="auto" w:fill="FFFF00"/>
              </w:rPr>
            </w:pPr>
          </w:p>
          <w:p w14:paraId="7D7F8CAA" w14:textId="77777777" w:rsidR="0009169F" w:rsidRDefault="0009169F" w:rsidP="0009169F">
            <w:r w:rsidRPr="00E40D9D">
              <w:t xml:space="preserve">The annual total liability of either Party for all Property defaults will not exceed £1,000,000 or 125% of the Charges payable by the Buyer to the Supplier during the Call-Off Contract Term (whichever is the greater):    </w:t>
            </w:r>
          </w:p>
          <w:p w14:paraId="0DE24E76" w14:textId="77777777" w:rsidR="0009169F" w:rsidRPr="00E40D9D" w:rsidRDefault="0009169F" w:rsidP="006301BC"/>
          <w:p w14:paraId="214456DD" w14:textId="77777777" w:rsidR="0009169F" w:rsidRDefault="0009169F" w:rsidP="0009169F">
            <w:r w:rsidRPr="00E40D9D">
              <w:t xml:space="preserve">The annual total liability for Buyer Data defaults will not exceed £1,000,000 or 125% of the Charges payable by the Buyer to the Supplier during the Call-Off Contract Term (whichever is the greater). </w:t>
            </w:r>
          </w:p>
          <w:p w14:paraId="2559499B" w14:textId="77777777" w:rsidR="0009169F" w:rsidRPr="00E40D9D" w:rsidRDefault="0009169F" w:rsidP="006301BC"/>
          <w:p w14:paraId="55C50E90" w14:textId="77777777" w:rsidR="0009169F" w:rsidRDefault="0009169F" w:rsidP="0009169F">
            <w:r w:rsidRPr="00E40D9D">
              <w:t>The annual total liability for all other defaults will not exceed the greater of £1,000,000 or 125% of the Charges payable by the Buyer to the Supplier during the Call-Off Contract Term (whichever is the greater).</w:t>
            </w:r>
          </w:p>
          <w:p w14:paraId="053C6E77" w14:textId="77777777" w:rsidR="0009169F" w:rsidRPr="00E40D9D" w:rsidRDefault="0009169F" w:rsidP="006301BC"/>
          <w:p w14:paraId="4F082F3A" w14:textId="51199C24" w:rsidR="0009169F" w:rsidRDefault="0009169F" w:rsidP="006301BC">
            <w:r w:rsidRPr="00E40D9D">
              <w:t>The annual total liability of either Party for all GDPR defaults shall be as per the Framework Agreem</w:t>
            </w:r>
            <w:r>
              <w:t>ent</w:t>
            </w:r>
          </w:p>
        </w:tc>
        <w:tc>
          <w:tcPr>
            <w:tcW w:w="40" w:type="dxa"/>
            <w:shd w:val="clear" w:color="auto" w:fill="auto"/>
            <w:tcMar>
              <w:top w:w="0" w:type="dxa"/>
              <w:left w:w="10" w:type="dxa"/>
              <w:bottom w:w="0" w:type="dxa"/>
              <w:right w:w="10" w:type="dxa"/>
            </w:tcMar>
          </w:tcPr>
          <w:p w14:paraId="4F082F3B" w14:textId="77777777" w:rsidR="0009169F" w:rsidRDefault="0009169F" w:rsidP="0009169F">
            <w:pPr>
              <w:spacing w:before="240"/>
            </w:pPr>
          </w:p>
        </w:tc>
      </w:tr>
      <w:tr w:rsidR="0009169F" w14:paraId="4F082F44" w14:textId="77777777" w:rsidTr="47D7F6C3">
        <w:trPr>
          <w:trHeight w:val="89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3D" w14:textId="77777777" w:rsidR="0009169F" w:rsidRDefault="0009169F" w:rsidP="0009169F">
            <w:pPr>
              <w:spacing w:before="240"/>
              <w:rPr>
                <w:b/>
              </w:rPr>
            </w:pPr>
            <w:r>
              <w:rPr>
                <w:b/>
              </w:rPr>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5C4B51" w14:textId="77777777" w:rsidR="0009169F" w:rsidRDefault="0009169F" w:rsidP="0009169F"/>
          <w:p w14:paraId="78C229AE" w14:textId="77777777" w:rsidR="0009169F" w:rsidRDefault="0009169F" w:rsidP="0009169F">
            <w:r w:rsidRPr="00E40D9D">
              <w:t xml:space="preserve">The insurance(s) required will </w:t>
            </w:r>
            <w:proofErr w:type="gramStart"/>
            <w:r w:rsidRPr="00E40D9D">
              <w:t>be:</w:t>
            </w:r>
            <w:proofErr w:type="gramEnd"/>
            <w:r w:rsidRPr="00E40D9D">
              <w:t xml:space="preserve">  A minimum insurance period of six years (6 years) following the expiration or Ending of this Call-Off Contract. </w:t>
            </w:r>
          </w:p>
          <w:p w14:paraId="7F53F6AE" w14:textId="77777777" w:rsidR="0009169F" w:rsidRPr="00E40D9D" w:rsidRDefault="0009169F" w:rsidP="006301BC"/>
          <w:p w14:paraId="4BC5EE73" w14:textId="1413720A" w:rsidR="0009169F" w:rsidRDefault="0009169F" w:rsidP="0009169F">
            <w:r w:rsidRPr="00E40D9D">
              <w:t xml:space="preserve">Professional indemnity insurance cover to be held by the Supplier and by any agent, Subcontractor or consultant involved in the supply of the G-Cloud Services. This professional indemnity insurance cover will have a </w:t>
            </w:r>
            <w:r w:rsidR="003202B9">
              <w:t xml:space="preserve">minimum </w:t>
            </w:r>
            <w:r w:rsidRPr="00E40D9D">
              <w:t xml:space="preserve">limit of indemnity of £1,000,000 for each individual claim or any higher limit the Buyer requires (and as required by Law). </w:t>
            </w:r>
          </w:p>
          <w:p w14:paraId="4626302F" w14:textId="77777777" w:rsidR="0009169F" w:rsidRPr="00E40D9D" w:rsidRDefault="0009169F" w:rsidP="006301BC"/>
          <w:p w14:paraId="03597D89" w14:textId="77777777" w:rsidR="0009169F" w:rsidRPr="00E40D9D" w:rsidRDefault="0009169F" w:rsidP="006301BC">
            <w:r w:rsidRPr="00E40D9D">
              <w:t>Employers' liability insurance with a minimum limit of £10,000,000 or any higher minimum limit required by Law.</w:t>
            </w:r>
          </w:p>
          <w:p w14:paraId="7A9F0753" w14:textId="77777777" w:rsidR="0009169F" w:rsidRDefault="0009169F" w:rsidP="0009169F"/>
          <w:p w14:paraId="4F082F42" w14:textId="4213548A" w:rsidR="0009169F" w:rsidRDefault="0009169F" w:rsidP="006301BC">
            <w:r w:rsidRPr="00E40D9D">
              <w:t>The supplier maintains Public Liability insurance with a £2,000,000 limit of indemnity.</w:t>
            </w:r>
          </w:p>
        </w:tc>
        <w:tc>
          <w:tcPr>
            <w:tcW w:w="40" w:type="dxa"/>
            <w:shd w:val="clear" w:color="auto" w:fill="auto"/>
            <w:tcMar>
              <w:top w:w="0" w:type="dxa"/>
              <w:left w:w="10" w:type="dxa"/>
              <w:bottom w:w="0" w:type="dxa"/>
              <w:right w:w="10" w:type="dxa"/>
            </w:tcMar>
          </w:tcPr>
          <w:p w14:paraId="4F082F43" w14:textId="77777777" w:rsidR="0009169F" w:rsidRDefault="0009169F" w:rsidP="0009169F">
            <w:pPr>
              <w:spacing w:before="240"/>
            </w:pPr>
          </w:p>
        </w:tc>
      </w:tr>
      <w:tr w:rsidR="0009169F" w14:paraId="4F082F49" w14:textId="77777777" w:rsidTr="47D7F6C3">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45" w14:textId="77777777" w:rsidR="0009169F" w:rsidRDefault="0009169F" w:rsidP="0009169F">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46" w14:textId="77777777" w:rsidR="0009169F" w:rsidRDefault="0009169F" w:rsidP="0009169F">
            <w:pPr>
              <w:spacing w:before="240"/>
            </w:pPr>
            <w:r>
              <w:t xml:space="preserve">A Party may End this Call-Off Contract if the Other Party is affected by a Force Majeure Event that lasts for more than 30 consecutive days. </w:t>
            </w:r>
          </w:p>
          <w:p w14:paraId="4F082F47" w14:textId="490A9FA8" w:rsidR="0009169F" w:rsidRDefault="0009169F" w:rsidP="0009169F">
            <w:pPr>
              <w:spacing w:before="240"/>
            </w:pPr>
          </w:p>
        </w:tc>
        <w:tc>
          <w:tcPr>
            <w:tcW w:w="40" w:type="dxa"/>
            <w:shd w:val="clear" w:color="auto" w:fill="auto"/>
            <w:tcMar>
              <w:top w:w="0" w:type="dxa"/>
              <w:left w:w="10" w:type="dxa"/>
              <w:bottom w:w="0" w:type="dxa"/>
              <w:right w:w="10" w:type="dxa"/>
            </w:tcMar>
          </w:tcPr>
          <w:p w14:paraId="4F082F48" w14:textId="77777777" w:rsidR="0009169F" w:rsidRDefault="0009169F" w:rsidP="0009169F">
            <w:pPr>
              <w:spacing w:before="240"/>
            </w:pPr>
          </w:p>
        </w:tc>
      </w:tr>
      <w:tr w:rsidR="0009169F" w14:paraId="4F082F4E" w14:textId="77777777" w:rsidTr="47D7F6C3">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4A" w14:textId="77777777" w:rsidR="0009169F" w:rsidRDefault="0009169F" w:rsidP="0009169F">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4B" w14:textId="1D3628D8" w:rsidR="0009169F" w:rsidRDefault="0009169F" w:rsidP="0009169F">
            <w:pPr>
              <w:spacing w:before="240"/>
            </w:pPr>
            <w:r>
              <w:t>The following Framework Agreement audit provisions will be incorporated under clause 2.1 of this Call-Off Contract to enable the Buyer to carry out audits</w:t>
            </w:r>
          </w:p>
          <w:p w14:paraId="226F86A3" w14:textId="07338F2A" w:rsidR="0009169F" w:rsidRDefault="0009169F" w:rsidP="0009169F">
            <w:pPr>
              <w:spacing w:before="240"/>
            </w:pPr>
          </w:p>
          <w:p w14:paraId="7C4FDD25" w14:textId="77777777" w:rsidR="007212A6" w:rsidRPr="007212A6" w:rsidRDefault="007212A6" w:rsidP="007212A6">
            <w:pPr>
              <w:shd w:val="clear" w:color="auto" w:fill="FFFFFF"/>
              <w:suppressAutoHyphens w:val="0"/>
              <w:autoSpaceDN/>
              <w:spacing w:line="240" w:lineRule="auto"/>
              <w:ind w:left="720"/>
              <w:textAlignment w:val="auto"/>
              <w:rPr>
                <w:rFonts w:ascii="Segoe UI" w:eastAsia="Times New Roman" w:hAnsi="Segoe UI" w:cs="Segoe UI"/>
                <w:color w:val="242424"/>
                <w:sz w:val="21"/>
                <w:szCs w:val="21"/>
              </w:rPr>
            </w:pPr>
            <w:r w:rsidRPr="007212A6">
              <w:rPr>
                <w:rFonts w:ascii="Segoe UI" w:eastAsia="Times New Roman" w:hAnsi="Segoe UI" w:cs="Segoe UI"/>
                <w:color w:val="242424"/>
              </w:rPr>
              <w:t>7.4       The Supplier will maintain full and accurate records and accounts, using Good Industry Practice and generally accepted accounting principles, of the:</w:t>
            </w:r>
          </w:p>
          <w:p w14:paraId="1EE3DC24" w14:textId="77777777" w:rsidR="007212A6" w:rsidRPr="007212A6" w:rsidRDefault="007212A6" w:rsidP="007212A6">
            <w:pPr>
              <w:shd w:val="clear" w:color="auto" w:fill="FFFFFF"/>
              <w:suppressAutoHyphens w:val="0"/>
              <w:autoSpaceDN/>
              <w:spacing w:line="240" w:lineRule="auto"/>
              <w:textAlignment w:val="auto"/>
              <w:rPr>
                <w:rFonts w:ascii="Segoe UI" w:eastAsia="Times New Roman" w:hAnsi="Segoe UI" w:cs="Segoe UI"/>
                <w:color w:val="242424"/>
                <w:sz w:val="21"/>
                <w:szCs w:val="21"/>
              </w:rPr>
            </w:pPr>
          </w:p>
          <w:p w14:paraId="268102C2" w14:textId="77777777" w:rsidR="007212A6" w:rsidRPr="007212A6" w:rsidRDefault="007212A6" w:rsidP="007212A6">
            <w:pPr>
              <w:shd w:val="clear" w:color="auto" w:fill="FFFFFF"/>
              <w:suppressAutoHyphens w:val="0"/>
              <w:autoSpaceDN/>
              <w:spacing w:line="240" w:lineRule="auto"/>
              <w:ind w:left="1440"/>
              <w:textAlignment w:val="auto"/>
              <w:rPr>
                <w:rFonts w:ascii="Segoe UI" w:eastAsia="Times New Roman" w:hAnsi="Segoe UI" w:cs="Segoe UI"/>
                <w:color w:val="242424"/>
                <w:sz w:val="21"/>
                <w:szCs w:val="21"/>
              </w:rPr>
            </w:pPr>
            <w:r w:rsidRPr="007212A6">
              <w:rPr>
                <w:rFonts w:ascii="Segoe UI" w:eastAsia="Times New Roman" w:hAnsi="Segoe UI" w:cs="Segoe UI"/>
                <w:color w:val="242424"/>
              </w:rPr>
              <w:t xml:space="preserve">7.4.1    operation of the Framework Agreement and the Call-Off Contracts </w:t>
            </w:r>
            <w:proofErr w:type="gramStart"/>
            <w:r w:rsidRPr="007212A6">
              <w:rPr>
                <w:rFonts w:ascii="Segoe UI" w:eastAsia="Times New Roman" w:hAnsi="Segoe UI" w:cs="Segoe UI"/>
                <w:color w:val="242424"/>
              </w:rPr>
              <w:t>entered into</w:t>
            </w:r>
            <w:proofErr w:type="gramEnd"/>
            <w:r w:rsidRPr="007212A6">
              <w:rPr>
                <w:rFonts w:ascii="Segoe UI" w:eastAsia="Times New Roman" w:hAnsi="Segoe UI" w:cs="Segoe UI"/>
                <w:color w:val="242424"/>
              </w:rPr>
              <w:t xml:space="preserve"> with Buyers</w:t>
            </w:r>
          </w:p>
          <w:p w14:paraId="3E53905D" w14:textId="77777777" w:rsidR="007212A6" w:rsidRPr="007212A6" w:rsidRDefault="007212A6" w:rsidP="007212A6">
            <w:pPr>
              <w:shd w:val="clear" w:color="auto" w:fill="FFFFFF"/>
              <w:suppressAutoHyphens w:val="0"/>
              <w:autoSpaceDN/>
              <w:spacing w:line="240" w:lineRule="auto"/>
              <w:textAlignment w:val="auto"/>
              <w:rPr>
                <w:rFonts w:ascii="Segoe UI" w:eastAsia="Times New Roman" w:hAnsi="Segoe UI" w:cs="Segoe UI"/>
                <w:color w:val="242424"/>
                <w:sz w:val="21"/>
                <w:szCs w:val="21"/>
              </w:rPr>
            </w:pPr>
          </w:p>
          <w:p w14:paraId="26D608FE" w14:textId="77777777" w:rsidR="007212A6" w:rsidRPr="007212A6" w:rsidRDefault="007212A6" w:rsidP="007212A6">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7212A6">
              <w:rPr>
                <w:rFonts w:ascii="Segoe UI" w:eastAsia="Times New Roman" w:hAnsi="Segoe UI" w:cs="Segoe UI"/>
                <w:color w:val="242424"/>
              </w:rPr>
              <w:t>7.4.2    Services provided under any Call-Off Contracts (including any Subcontracts)</w:t>
            </w:r>
          </w:p>
          <w:p w14:paraId="7C23BD81" w14:textId="77777777" w:rsidR="007212A6" w:rsidRPr="007212A6" w:rsidRDefault="007212A6" w:rsidP="007212A6">
            <w:pPr>
              <w:shd w:val="clear" w:color="auto" w:fill="FFFFFF"/>
              <w:suppressAutoHyphens w:val="0"/>
              <w:autoSpaceDN/>
              <w:spacing w:line="240" w:lineRule="auto"/>
              <w:textAlignment w:val="auto"/>
              <w:rPr>
                <w:rFonts w:ascii="Segoe UI" w:eastAsia="Times New Roman" w:hAnsi="Segoe UI" w:cs="Segoe UI"/>
                <w:color w:val="242424"/>
                <w:sz w:val="21"/>
                <w:szCs w:val="21"/>
              </w:rPr>
            </w:pPr>
          </w:p>
          <w:p w14:paraId="0229F7C7" w14:textId="77777777" w:rsidR="007212A6" w:rsidRPr="007212A6" w:rsidRDefault="007212A6" w:rsidP="007212A6">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7212A6">
              <w:rPr>
                <w:rFonts w:ascii="Segoe UI" w:eastAsia="Times New Roman" w:hAnsi="Segoe UI" w:cs="Segoe UI"/>
                <w:color w:val="242424"/>
              </w:rPr>
              <w:t>7.4.3    amounts paid by each Buyer under the Call-Off Contracts</w:t>
            </w:r>
          </w:p>
          <w:p w14:paraId="4F082F4C" w14:textId="2D654E09" w:rsidR="007212A6" w:rsidRDefault="007212A6" w:rsidP="0009169F">
            <w:pPr>
              <w:spacing w:before="240"/>
            </w:pPr>
          </w:p>
        </w:tc>
        <w:tc>
          <w:tcPr>
            <w:tcW w:w="40" w:type="dxa"/>
            <w:shd w:val="clear" w:color="auto" w:fill="auto"/>
            <w:tcMar>
              <w:top w:w="0" w:type="dxa"/>
              <w:left w:w="10" w:type="dxa"/>
              <w:bottom w:w="0" w:type="dxa"/>
              <w:right w:w="10" w:type="dxa"/>
            </w:tcMar>
          </w:tcPr>
          <w:p w14:paraId="4F082F4D" w14:textId="77777777" w:rsidR="0009169F" w:rsidRDefault="0009169F" w:rsidP="0009169F">
            <w:pPr>
              <w:spacing w:before="240"/>
            </w:pPr>
          </w:p>
        </w:tc>
      </w:tr>
      <w:tr w:rsidR="0009169F" w14:paraId="4F082F53" w14:textId="77777777" w:rsidTr="47D7F6C3">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4F" w14:textId="77777777" w:rsidR="0009169F" w:rsidRDefault="0009169F" w:rsidP="0009169F">
            <w:pPr>
              <w:spacing w:before="240"/>
              <w:rPr>
                <w:b/>
              </w:rPr>
            </w:pPr>
            <w:r>
              <w:rPr>
                <w:b/>
              </w:rPr>
              <w:t>Buyer’s responsibilities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51" w14:textId="681925AE" w:rsidR="0009169F" w:rsidRDefault="006E53CC" w:rsidP="0009169F">
            <w:pPr>
              <w:spacing w:before="240"/>
            </w:pPr>
            <w:r>
              <w:t>Buyer’s responsibilities to be agreed within SoW’s.</w:t>
            </w:r>
          </w:p>
        </w:tc>
        <w:tc>
          <w:tcPr>
            <w:tcW w:w="40" w:type="dxa"/>
            <w:shd w:val="clear" w:color="auto" w:fill="auto"/>
            <w:tcMar>
              <w:top w:w="0" w:type="dxa"/>
              <w:left w:w="10" w:type="dxa"/>
              <w:bottom w:w="0" w:type="dxa"/>
              <w:right w:w="10" w:type="dxa"/>
            </w:tcMar>
          </w:tcPr>
          <w:p w14:paraId="4F082F52" w14:textId="77777777" w:rsidR="0009169F" w:rsidRDefault="0009169F" w:rsidP="0009169F">
            <w:pPr>
              <w:spacing w:before="240"/>
            </w:pPr>
          </w:p>
        </w:tc>
      </w:tr>
      <w:tr w:rsidR="0009169F" w14:paraId="4F082F59" w14:textId="77777777" w:rsidTr="47D7F6C3">
        <w:trPr>
          <w:trHeight w:val="326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54" w14:textId="77777777" w:rsidR="0009169F" w:rsidRDefault="0009169F" w:rsidP="0009169F">
            <w:pPr>
              <w:spacing w:before="240"/>
              <w:rPr>
                <w:b/>
              </w:rPr>
            </w:pPr>
            <w:r>
              <w:rPr>
                <w:b/>
              </w:rPr>
              <w:t>Buyer’s equipment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9CB58E" w14:textId="3A2FB61E" w:rsidR="0009169F" w:rsidRDefault="0009169F" w:rsidP="0009169F">
            <w:pPr>
              <w:spacing w:before="240"/>
            </w:pPr>
            <w:r>
              <w:t xml:space="preserve">The Buyer will provision the infrastructure to install the RPA software. </w:t>
            </w:r>
          </w:p>
          <w:p w14:paraId="3406FD1A" w14:textId="5E01300F" w:rsidR="0009169F" w:rsidRDefault="0009169F" w:rsidP="0009169F">
            <w:pPr>
              <w:spacing w:before="240"/>
              <w:rPr>
                <w:shd w:val="clear" w:color="auto" w:fill="FFFF00"/>
              </w:rPr>
            </w:pPr>
            <w:r>
              <w:t xml:space="preserve">The Buyer will supply suitable equipment for the Supplier to use to access the RPA software and to develop the automations.  </w:t>
            </w:r>
          </w:p>
          <w:p w14:paraId="4F082F57" w14:textId="067A2932" w:rsidR="0009169F" w:rsidRDefault="0009169F" w:rsidP="0009169F">
            <w:pPr>
              <w:spacing w:before="240"/>
            </w:pPr>
          </w:p>
        </w:tc>
        <w:tc>
          <w:tcPr>
            <w:tcW w:w="40" w:type="dxa"/>
            <w:shd w:val="clear" w:color="auto" w:fill="auto"/>
            <w:tcMar>
              <w:top w:w="0" w:type="dxa"/>
              <w:left w:w="10" w:type="dxa"/>
              <w:bottom w:w="0" w:type="dxa"/>
              <w:right w:w="10" w:type="dxa"/>
            </w:tcMar>
          </w:tcPr>
          <w:p w14:paraId="4F082F58" w14:textId="77777777" w:rsidR="0009169F" w:rsidRDefault="0009169F" w:rsidP="0009169F">
            <w:pPr>
              <w:spacing w:before="240"/>
            </w:pPr>
          </w:p>
        </w:tc>
      </w:tr>
    </w:tbl>
    <w:p w14:paraId="4F082F5A" w14:textId="77777777" w:rsidR="009772B5" w:rsidRDefault="009772B5">
      <w:pPr>
        <w:spacing w:before="240" w:after="120"/>
      </w:pPr>
    </w:p>
    <w:p w14:paraId="4F082F5B" w14:textId="77777777" w:rsidR="009772B5" w:rsidRDefault="00480D15">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9772B5" w14:paraId="4F082F5F"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5C" w14:textId="77777777" w:rsidR="009772B5" w:rsidRDefault="00480D1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9965B" w14:textId="166DF04E" w:rsidR="003B52B4" w:rsidRDefault="00827735">
            <w:pPr>
              <w:spacing w:before="240"/>
            </w:pPr>
            <w:r>
              <w:t xml:space="preserve">UiPath </w:t>
            </w:r>
            <w:r w:rsidR="006122AE">
              <w:t>and/</w:t>
            </w:r>
            <w:r>
              <w:t>or Blue Prism</w:t>
            </w:r>
            <w:r w:rsidR="006122AE">
              <w:t xml:space="preserve"> are in scope for this project as manufacturers of the RPA software</w:t>
            </w:r>
            <w:r w:rsidR="007212A6">
              <w:t>.</w:t>
            </w:r>
          </w:p>
          <w:p w14:paraId="12A8AE6A" w14:textId="54C68A8F" w:rsidR="007212A6" w:rsidRDefault="007212A6">
            <w:pPr>
              <w:spacing w:before="240"/>
              <w:rPr>
                <w:shd w:val="clear" w:color="auto" w:fill="FFFF00"/>
              </w:rPr>
            </w:pPr>
            <w:r>
              <w:t>SoW 1 will provide the recommended RPA product/partner with details of the chosen software/partner to be captured in a licencing specific SoW.</w:t>
            </w:r>
          </w:p>
          <w:p w14:paraId="4F082F5E" w14:textId="2A4DD53F" w:rsidR="009772B5" w:rsidRDefault="009772B5">
            <w:pPr>
              <w:spacing w:before="240"/>
              <w:rPr>
                <w:shd w:val="clear" w:color="auto" w:fill="FFFF00"/>
              </w:rPr>
            </w:pPr>
          </w:p>
        </w:tc>
      </w:tr>
    </w:tbl>
    <w:p w14:paraId="4F082F60" w14:textId="77777777" w:rsidR="009772B5" w:rsidRDefault="009772B5">
      <w:pPr>
        <w:spacing w:before="240" w:after="120"/>
      </w:pPr>
    </w:p>
    <w:p w14:paraId="4F082F61" w14:textId="77777777" w:rsidR="009772B5" w:rsidRDefault="00480D15">
      <w:pPr>
        <w:pStyle w:val="Heading3"/>
      </w:pPr>
      <w:r>
        <w:t>Call-Off Contract charges and payment</w:t>
      </w:r>
    </w:p>
    <w:p w14:paraId="4F082F62" w14:textId="77777777" w:rsidR="009772B5" w:rsidRDefault="00480D1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772B5" w14:paraId="4F082F65" w14:textId="77777777" w:rsidTr="6C07500F">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3" w14:textId="77777777" w:rsidR="009772B5" w:rsidRDefault="00480D15">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4" w14:textId="38A00162" w:rsidR="009772B5" w:rsidRDefault="00480D15">
            <w:pPr>
              <w:spacing w:before="240"/>
            </w:pPr>
            <w:r>
              <w:t>The payment method for this Call-Off Contract is BACS</w:t>
            </w:r>
            <w:r w:rsidR="4ED98AED">
              <w:t>. A formal invoice will be raised by the Supplier in line with the agreed</w:t>
            </w:r>
            <w:r w:rsidR="263A37D6">
              <w:t xml:space="preserve"> </w:t>
            </w:r>
            <w:r w:rsidR="4ED98AED">
              <w:t xml:space="preserve">Payment </w:t>
            </w:r>
            <w:r w:rsidR="263A37D6">
              <w:t xml:space="preserve">Profile and Payment </w:t>
            </w:r>
            <w:r w:rsidR="4ED98AED">
              <w:t>Terms</w:t>
            </w:r>
            <w:r>
              <w:t>.</w:t>
            </w:r>
          </w:p>
        </w:tc>
      </w:tr>
      <w:tr w:rsidR="009772B5" w14:paraId="4F082F69" w14:textId="77777777" w:rsidTr="6C07500F">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6" w14:textId="77777777" w:rsidR="009772B5" w:rsidRDefault="00480D15">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B0896E" w14:textId="14152DD9" w:rsidR="00BB0A8D" w:rsidRPr="00283B76" w:rsidRDefault="00896427" w:rsidP="00404F01">
            <w:pPr>
              <w:rPr>
                <w:b/>
                <w:bCs/>
              </w:rPr>
            </w:pPr>
            <w:r w:rsidRPr="00283B76">
              <w:rPr>
                <w:b/>
                <w:bCs/>
              </w:rPr>
              <w:t>Licences</w:t>
            </w:r>
          </w:p>
          <w:p w14:paraId="2EC7163C" w14:textId="64799DB6" w:rsidR="00896427" w:rsidRDefault="263A37D6" w:rsidP="00404F01">
            <w:r>
              <w:t>Licences are paid for annually in advance in line with the Manufacturer terms</w:t>
            </w:r>
            <w:r w:rsidR="006F4983">
              <w:t xml:space="preserve"> with the ability to flex licence volumes allowing for a co-term expiry</w:t>
            </w:r>
            <w:r w:rsidR="0725F0D5">
              <w:t xml:space="preserve">.  </w:t>
            </w:r>
            <w:r w:rsidR="006F4983">
              <w:t>Any further detail regarding payment for licences will be captured in a licencing specific SoW.</w:t>
            </w:r>
          </w:p>
          <w:p w14:paraId="28C46A0A" w14:textId="77777777" w:rsidR="00BB0A8D" w:rsidRDefault="00BB0A8D" w:rsidP="00404F01"/>
          <w:p w14:paraId="1E6E3E8E" w14:textId="109270A5" w:rsidR="00820FA7" w:rsidRPr="00283B76" w:rsidRDefault="00820FA7" w:rsidP="00404F01">
            <w:pPr>
              <w:rPr>
                <w:b/>
                <w:bCs/>
              </w:rPr>
            </w:pPr>
            <w:r w:rsidRPr="00283B76">
              <w:rPr>
                <w:b/>
                <w:bCs/>
              </w:rPr>
              <w:t>Professional Services</w:t>
            </w:r>
          </w:p>
          <w:p w14:paraId="37E348A5" w14:textId="7C843634" w:rsidR="00820FA7" w:rsidRDefault="00DD5BC9" w:rsidP="00404F01">
            <w:r>
              <w:t xml:space="preserve">Paid on a </w:t>
            </w:r>
            <w:r w:rsidR="008572B5">
              <w:t xml:space="preserve">Capped </w:t>
            </w:r>
            <w:r>
              <w:t xml:space="preserve">Time and Materials basis monthly in arrears. </w:t>
            </w:r>
            <w:r w:rsidR="006F4983">
              <w:t xml:space="preserve">Any further detail regarding payment for Professional Services will be captured in a </w:t>
            </w:r>
            <w:r w:rsidR="00892BB9">
              <w:t>Professional Services</w:t>
            </w:r>
            <w:r w:rsidR="006F4983">
              <w:t xml:space="preserve"> specific SoW.</w:t>
            </w:r>
          </w:p>
          <w:p w14:paraId="6F3390DD" w14:textId="77777777" w:rsidR="00820FA7" w:rsidRDefault="00820FA7" w:rsidP="00404F01"/>
          <w:p w14:paraId="2D0D1018" w14:textId="59634024" w:rsidR="00A210F2" w:rsidRPr="00404DA4" w:rsidRDefault="00A210F2" w:rsidP="00404F01">
            <w:pPr>
              <w:rPr>
                <w:b/>
                <w:bCs/>
              </w:rPr>
            </w:pPr>
            <w:r w:rsidRPr="00404DA4">
              <w:rPr>
                <w:b/>
                <w:bCs/>
              </w:rPr>
              <w:t>Support</w:t>
            </w:r>
          </w:p>
          <w:p w14:paraId="1301F31A" w14:textId="788C1C4B" w:rsidR="00404F01" w:rsidRPr="00404DA4" w:rsidRDefault="0725F0D5" w:rsidP="00527481">
            <w:r>
              <w:t xml:space="preserve">The Support facility is paid for </w:t>
            </w:r>
            <w:r w:rsidR="00527481">
              <w:t>monthly in arrears</w:t>
            </w:r>
            <w:r>
              <w:t>.</w:t>
            </w:r>
            <w:r w:rsidR="2A4ACDB7">
              <w:t xml:space="preserve">  Any additional usage such as Out of Hours usage or usage that falls outside of any set allowance will be paid for as T&amp;M monthly in arrears. </w:t>
            </w:r>
            <w:r w:rsidR="006F4983">
              <w:t xml:space="preserve"> Any further detail regarding payment for support will be captured in a </w:t>
            </w:r>
            <w:r w:rsidR="00892BB9">
              <w:t>support</w:t>
            </w:r>
            <w:r w:rsidR="006F4983">
              <w:t xml:space="preserve"> specific SoW.</w:t>
            </w:r>
          </w:p>
          <w:p w14:paraId="4F082F68" w14:textId="77777777" w:rsidR="009772B5" w:rsidRDefault="009772B5">
            <w:pPr>
              <w:spacing w:before="240"/>
            </w:pPr>
          </w:p>
        </w:tc>
      </w:tr>
      <w:tr w:rsidR="009772B5" w14:paraId="4F082F6C" w14:textId="77777777" w:rsidTr="6C07500F">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A" w14:textId="77777777" w:rsidR="009772B5" w:rsidRDefault="00480D15">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B" w14:textId="7B99F7E9" w:rsidR="009772B5" w:rsidRDefault="00480D15">
            <w:pPr>
              <w:spacing w:before="240"/>
            </w:pPr>
            <w:r>
              <w:t xml:space="preserve">The Supplier will issue electronic invoices </w:t>
            </w:r>
            <w:r w:rsidR="003B1A28">
              <w:rPr>
                <w:bCs/>
              </w:rPr>
              <w:t>i</w:t>
            </w:r>
            <w:r w:rsidR="00852C55">
              <w:rPr>
                <w:bCs/>
              </w:rPr>
              <w:t>n line with the Payment profile outlined</w:t>
            </w:r>
            <w:r>
              <w:t xml:space="preserve">. The Buyer will pay the Supplier within </w:t>
            </w:r>
            <w:r>
              <w:rPr>
                <w:b/>
              </w:rPr>
              <w:t>30</w:t>
            </w:r>
            <w:r>
              <w:t xml:space="preserve"> days of receipt of a valid invoice.</w:t>
            </w:r>
          </w:p>
        </w:tc>
      </w:tr>
      <w:tr w:rsidR="009772B5" w14:paraId="4F082F6F" w14:textId="77777777" w:rsidTr="6C07500F">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D" w14:textId="77777777" w:rsidR="009772B5" w:rsidRDefault="00480D15">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6E" w14:textId="77777777" w:rsidR="009772B5" w:rsidRDefault="00480D15">
            <w:pPr>
              <w:spacing w:before="240"/>
            </w:pPr>
            <w:r>
              <w:t xml:space="preserve">Invoices will be sent to </w:t>
            </w:r>
            <w:r>
              <w:rPr>
                <w:rFonts w:ascii="Calibri" w:eastAsia="Helvetica Neue" w:hAnsi="Calibri" w:cs="Calibri"/>
              </w:rPr>
              <w:t xml:space="preserve">Ssa.invoice@sharedservicesarvato.co.uk </w:t>
            </w:r>
          </w:p>
        </w:tc>
      </w:tr>
      <w:tr w:rsidR="009772B5" w14:paraId="4F082F72" w14:textId="77777777" w:rsidTr="00404DA4">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70" w14:textId="77777777" w:rsidR="009772B5" w:rsidRDefault="00480D15">
            <w:pPr>
              <w:spacing w:before="240"/>
            </w:pPr>
            <w:r>
              <w:rPr>
                <w:b/>
              </w:rPr>
              <w:t>Invoice information required</w:t>
            </w:r>
            <w: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F082F71" w14:textId="77777777" w:rsidR="009772B5" w:rsidRDefault="00480D15" w:rsidP="00404DA4">
            <w:r>
              <w:rPr>
                <w:rFonts w:ascii="Helvetica Neue" w:hAnsi="Helvetica Neue" w:cs="Helvetica Neue"/>
              </w:rPr>
              <w:t xml:space="preserve">All invoices must include </w:t>
            </w:r>
            <w:r>
              <w:t>the Purchase Order number and must be emailed in PDF format</w:t>
            </w:r>
          </w:p>
        </w:tc>
      </w:tr>
      <w:tr w:rsidR="009772B5" w14:paraId="4F082F75" w14:textId="77777777" w:rsidTr="6C07500F">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73" w14:textId="77777777" w:rsidR="009772B5" w:rsidRDefault="00480D15">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74" w14:textId="75095506" w:rsidR="009772B5" w:rsidRDefault="00480D15">
            <w:pPr>
              <w:spacing w:before="240"/>
            </w:pPr>
            <w:r>
              <w:t xml:space="preserve">Invoice will be sent to the Buyer </w:t>
            </w:r>
            <w:r w:rsidR="00FA3B2A">
              <w:t>in line with Payment Terms.</w:t>
            </w:r>
          </w:p>
        </w:tc>
      </w:tr>
      <w:tr w:rsidR="009772B5" w14:paraId="4F082F78" w14:textId="77777777" w:rsidTr="6C07500F">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76" w14:textId="77777777" w:rsidR="009772B5" w:rsidRDefault="00480D15">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77" w14:textId="337DEE00" w:rsidR="009772B5" w:rsidRDefault="00480D15">
            <w:pPr>
              <w:spacing w:before="240"/>
            </w:pPr>
            <w:r>
              <w:t>The total value of this Call-Off Contract is up to £4,166,000</w:t>
            </w:r>
            <w:r w:rsidR="006F4983">
              <w:t>. All workstreams/payments will be managed via iterative and specific SoW’s.</w:t>
            </w:r>
          </w:p>
        </w:tc>
      </w:tr>
      <w:tr w:rsidR="009772B5" w14:paraId="4F082F7C" w14:textId="77777777" w:rsidTr="6C07500F">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82F79" w14:textId="77777777" w:rsidR="009772B5" w:rsidRDefault="00480D15">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D909AA" w14:textId="77777777" w:rsidR="009772B5" w:rsidRDefault="00A3231F">
            <w:pPr>
              <w:spacing w:before="240"/>
            </w:pPr>
            <w:r>
              <w:t xml:space="preserve">As noted in line with Payment Terms above and as stated in supporting </w:t>
            </w:r>
            <w:proofErr w:type="spellStart"/>
            <w:r>
              <w:t>SOWs.</w:t>
            </w:r>
            <w:proofErr w:type="spellEnd"/>
          </w:p>
          <w:p w14:paraId="4F082F7B" w14:textId="2BB496D9" w:rsidR="000E31C9" w:rsidRDefault="000E31C9">
            <w:pPr>
              <w:spacing w:before="240"/>
            </w:pPr>
            <w:r>
              <w:t>The actual charges for this contract will be managed by iterative Statements of Work and only paid for once signed-off as meeting the SoW deliverables.</w:t>
            </w:r>
          </w:p>
        </w:tc>
      </w:tr>
    </w:tbl>
    <w:p w14:paraId="4F082F7D" w14:textId="77777777" w:rsidR="009772B5" w:rsidRDefault="009772B5"/>
    <w:p w14:paraId="4F082F7E" w14:textId="77777777" w:rsidR="009772B5" w:rsidRDefault="00480D15">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9772B5" w14:paraId="4F082F8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7F" w14:textId="77777777" w:rsidR="009772B5" w:rsidRDefault="00480D1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F7BD3" w14:textId="0E482A70" w:rsidR="009772B5" w:rsidRDefault="009772B5">
            <w:pPr>
              <w:spacing w:before="240"/>
            </w:pPr>
          </w:p>
          <w:p w14:paraId="4F082F83" w14:textId="624ACD6B" w:rsidR="000E31C9" w:rsidRDefault="000E31C9">
            <w:pPr>
              <w:spacing w:before="240"/>
            </w:pPr>
            <w:r>
              <w:t>This is to be managed via Sow’s.</w:t>
            </w:r>
          </w:p>
        </w:tc>
      </w:tr>
      <w:tr w:rsidR="009772B5" w14:paraId="4F082F88"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85" w14:textId="77777777" w:rsidR="009772B5" w:rsidRDefault="00480D15">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86" w14:textId="77777777" w:rsidR="009772B5" w:rsidRDefault="00480D15">
            <w:pPr>
              <w:spacing w:before="240"/>
            </w:pPr>
            <w:r>
              <w:t>N/A</w:t>
            </w:r>
          </w:p>
          <w:p w14:paraId="4F082F87" w14:textId="77777777" w:rsidR="009772B5" w:rsidRDefault="009772B5">
            <w:pPr>
              <w:spacing w:before="240"/>
            </w:pPr>
          </w:p>
        </w:tc>
      </w:tr>
      <w:tr w:rsidR="009772B5" w14:paraId="4F082F8C"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89" w14:textId="77777777" w:rsidR="009772B5" w:rsidRDefault="00480D15">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9CBD0" w14:textId="3C2BCD5E" w:rsidR="007F0213" w:rsidRDefault="007F0213">
            <w:pPr>
              <w:spacing w:before="240"/>
            </w:pPr>
          </w:p>
          <w:p w14:paraId="4F082F8B" w14:textId="0F13672C" w:rsidR="009772B5" w:rsidRDefault="007F0213">
            <w:pPr>
              <w:spacing w:before="240"/>
            </w:pPr>
            <w:r>
              <w:t>N/A</w:t>
            </w:r>
          </w:p>
        </w:tc>
      </w:tr>
      <w:tr w:rsidR="009772B5" w14:paraId="4F082F8F"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8D" w14:textId="77777777" w:rsidR="009772B5" w:rsidRDefault="00480D1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8E" w14:textId="77777777" w:rsidR="009772B5" w:rsidRDefault="00480D15">
            <w:pPr>
              <w:spacing w:before="240"/>
            </w:pPr>
            <w:r>
              <w:t>N/A</w:t>
            </w:r>
          </w:p>
        </w:tc>
      </w:tr>
      <w:tr w:rsidR="009772B5" w14:paraId="4F082F92"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0" w14:textId="77777777" w:rsidR="009772B5" w:rsidRDefault="00480D15">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C29A8" w14:textId="227A8BBB" w:rsidR="009772B5" w:rsidRDefault="001C3301">
            <w:pPr>
              <w:spacing w:before="240"/>
            </w:pPr>
            <w:r w:rsidRPr="009C47D9">
              <w:rPr>
                <w:b/>
                <w:bCs/>
              </w:rPr>
              <w:t>IPR</w:t>
            </w:r>
          </w:p>
          <w:p w14:paraId="3C678840" w14:textId="77777777" w:rsidR="00AD6B3E" w:rsidRPr="00AD6B3E" w:rsidRDefault="00AD6B3E" w:rsidP="00AD6B3E">
            <w:pPr>
              <w:shd w:val="clear" w:color="auto" w:fill="FFFFFF"/>
              <w:suppressAutoHyphens w:val="0"/>
              <w:autoSpaceDN/>
              <w:spacing w:line="240" w:lineRule="auto"/>
              <w:textAlignment w:val="auto"/>
              <w:rPr>
                <w:rFonts w:ascii="Segoe UI" w:eastAsia="Times New Roman" w:hAnsi="Segoe UI" w:cs="Segoe UI"/>
                <w:color w:val="242424"/>
                <w:sz w:val="21"/>
                <w:szCs w:val="21"/>
              </w:rPr>
            </w:pPr>
            <w:r w:rsidRPr="00AD6B3E">
              <w:rPr>
                <w:rFonts w:ascii="Segoe UI" w:eastAsia="Times New Roman" w:hAnsi="Segoe UI" w:cs="Segoe UI"/>
                <w:color w:val="242424"/>
              </w:rPr>
              <w:t xml:space="preserve">With the exception of any </w:t>
            </w:r>
            <w:proofErr w:type="gramStart"/>
            <w:r w:rsidRPr="00AD6B3E">
              <w:rPr>
                <w:rFonts w:ascii="Segoe UI" w:eastAsia="Times New Roman" w:hAnsi="Segoe UI" w:cs="Segoe UI"/>
                <w:color w:val="242424"/>
              </w:rPr>
              <w:t>third party</w:t>
            </w:r>
            <w:proofErr w:type="gramEnd"/>
            <w:r w:rsidRPr="00AD6B3E">
              <w:rPr>
                <w:rFonts w:ascii="Segoe UI" w:eastAsia="Times New Roman" w:hAnsi="Segoe UI" w:cs="Segoe UI"/>
                <w:color w:val="242424"/>
              </w:rPr>
              <w:t xml:space="preserve"> software (which shall be licensed subject to the manufacturer’s terms and conditions), DVLA will have a non-exclusive license in perpetuity to all Intellectual Property Rights in any specific components built or delivered pursuant to this Call-Off Contract, including</w:t>
            </w:r>
          </w:p>
          <w:p w14:paraId="6AE2CFB8" w14:textId="77777777" w:rsidR="00AD6B3E" w:rsidRPr="00AD6B3E" w:rsidRDefault="00AD6B3E" w:rsidP="00AD6B3E">
            <w:pPr>
              <w:numPr>
                <w:ilvl w:val="0"/>
                <w:numId w:val="36"/>
              </w:numPr>
              <w:shd w:val="clear" w:color="auto" w:fill="FFFFFF"/>
              <w:suppressAutoHyphens w:val="0"/>
              <w:autoSpaceDN/>
              <w:spacing w:before="100" w:beforeAutospacing="1" w:after="100" w:afterAutospacing="1" w:line="240" w:lineRule="auto"/>
              <w:ind w:left="960"/>
              <w:textAlignment w:val="auto"/>
              <w:rPr>
                <w:rFonts w:ascii="Segoe UI" w:eastAsia="Times New Roman" w:hAnsi="Segoe UI" w:cs="Segoe UI"/>
                <w:color w:val="242424"/>
                <w:sz w:val="21"/>
                <w:szCs w:val="21"/>
              </w:rPr>
            </w:pPr>
            <w:r w:rsidRPr="00AD6B3E">
              <w:rPr>
                <w:rFonts w:ascii="Segoe UI" w:eastAsia="Times New Roman" w:hAnsi="Segoe UI" w:cs="Segoe UI"/>
                <w:color w:val="242424"/>
              </w:rPr>
              <w:t>the Automations and relevant documentation and solution designs,</w:t>
            </w:r>
          </w:p>
          <w:p w14:paraId="1A47C932" w14:textId="77777777" w:rsidR="00AD6B3E" w:rsidRPr="00AD6B3E" w:rsidRDefault="00AD6B3E" w:rsidP="00AD6B3E">
            <w:pPr>
              <w:numPr>
                <w:ilvl w:val="0"/>
                <w:numId w:val="36"/>
              </w:numPr>
              <w:shd w:val="clear" w:color="auto" w:fill="FFFFFF"/>
              <w:suppressAutoHyphens w:val="0"/>
              <w:autoSpaceDN/>
              <w:spacing w:before="100" w:beforeAutospacing="1" w:after="100" w:afterAutospacing="1" w:line="240" w:lineRule="auto"/>
              <w:ind w:left="960"/>
              <w:textAlignment w:val="auto"/>
              <w:rPr>
                <w:rFonts w:ascii="Segoe UI" w:eastAsia="Times New Roman" w:hAnsi="Segoe UI" w:cs="Segoe UI"/>
                <w:color w:val="242424"/>
                <w:sz w:val="21"/>
                <w:szCs w:val="21"/>
              </w:rPr>
            </w:pPr>
            <w:r w:rsidRPr="00AD6B3E">
              <w:rPr>
                <w:rFonts w:ascii="Segoe UI" w:eastAsia="Times New Roman" w:hAnsi="Segoe UI" w:cs="Segoe UI"/>
                <w:color w:val="242424"/>
              </w:rPr>
              <w:t>Bespoke development</w:t>
            </w:r>
          </w:p>
          <w:p w14:paraId="4EFE46AD" w14:textId="77777777" w:rsidR="00AD6B3E" w:rsidRPr="00AD6B3E" w:rsidRDefault="00AD6B3E" w:rsidP="00AD6B3E">
            <w:pPr>
              <w:numPr>
                <w:ilvl w:val="0"/>
                <w:numId w:val="36"/>
              </w:numPr>
              <w:shd w:val="clear" w:color="auto" w:fill="FFFFFF"/>
              <w:suppressAutoHyphens w:val="0"/>
              <w:autoSpaceDN/>
              <w:spacing w:before="100" w:beforeAutospacing="1" w:after="100" w:afterAutospacing="1" w:line="240" w:lineRule="auto"/>
              <w:ind w:left="960"/>
              <w:textAlignment w:val="auto"/>
              <w:rPr>
                <w:rFonts w:ascii="Segoe UI" w:eastAsia="Times New Roman" w:hAnsi="Segoe UI" w:cs="Segoe UI"/>
                <w:color w:val="242424"/>
                <w:sz w:val="21"/>
                <w:szCs w:val="21"/>
              </w:rPr>
            </w:pPr>
            <w:r w:rsidRPr="00AD6B3E">
              <w:rPr>
                <w:rFonts w:ascii="Segoe UI" w:eastAsia="Times New Roman" w:hAnsi="Segoe UI" w:cs="Segoe UI"/>
                <w:color w:val="242424"/>
              </w:rPr>
              <w:t>AI development models and datasets</w:t>
            </w:r>
          </w:p>
          <w:p w14:paraId="0BEA2794" w14:textId="77777777" w:rsidR="00AD6B3E" w:rsidRPr="00AD6B3E" w:rsidRDefault="00AD6B3E" w:rsidP="00AD6B3E">
            <w:pPr>
              <w:shd w:val="clear" w:color="auto" w:fill="FFFFFF"/>
              <w:suppressAutoHyphens w:val="0"/>
              <w:autoSpaceDN/>
              <w:spacing w:line="240" w:lineRule="auto"/>
              <w:ind w:left="840"/>
              <w:textAlignment w:val="auto"/>
              <w:rPr>
                <w:rFonts w:ascii="Segoe UI" w:eastAsia="Times New Roman" w:hAnsi="Segoe UI" w:cs="Segoe UI"/>
                <w:color w:val="242424"/>
                <w:sz w:val="21"/>
                <w:szCs w:val="21"/>
              </w:rPr>
            </w:pPr>
            <w:r w:rsidRPr="00AD6B3E">
              <w:rPr>
                <w:rFonts w:ascii="Segoe UI" w:eastAsia="Times New Roman" w:hAnsi="Segoe UI" w:cs="Segoe UI"/>
                <w:color w:val="242424"/>
              </w:rPr>
              <w:t xml:space="preserve">(the </w:t>
            </w:r>
            <w:r w:rsidRPr="004D6B27">
              <w:rPr>
                <w:rFonts w:ascii="Segoe UI" w:eastAsia="Times New Roman" w:hAnsi="Segoe UI" w:cs="Segoe UI"/>
                <w:color w:val="242424"/>
              </w:rPr>
              <w:t>‘</w:t>
            </w:r>
            <w:r w:rsidRPr="009C47D9">
              <w:rPr>
                <w:rFonts w:ascii="Segoe UI" w:eastAsia="Times New Roman" w:hAnsi="Segoe UI" w:cs="Segoe UI"/>
                <w:color w:val="242424"/>
              </w:rPr>
              <w:t>Foreground IPR’</w:t>
            </w:r>
            <w:r w:rsidRPr="004D6B27">
              <w:rPr>
                <w:rFonts w:ascii="Segoe UI" w:eastAsia="Times New Roman" w:hAnsi="Segoe UI" w:cs="Segoe UI"/>
                <w:color w:val="242424"/>
              </w:rPr>
              <w:t>)</w:t>
            </w:r>
          </w:p>
          <w:p w14:paraId="30FD0C3E" w14:textId="370D70DD" w:rsidR="00AD6B3E" w:rsidRPr="00AD6B3E" w:rsidRDefault="00A162FA" w:rsidP="00AD6B3E">
            <w:pPr>
              <w:shd w:val="clear" w:color="auto" w:fill="FFFFFF"/>
              <w:suppressAutoHyphens w:val="0"/>
              <w:autoSpaceDN/>
              <w:spacing w:line="240" w:lineRule="auto"/>
              <w:textAlignment w:val="auto"/>
              <w:rPr>
                <w:rFonts w:ascii="Segoe UI" w:eastAsia="Times New Roman" w:hAnsi="Segoe UI" w:cs="Segoe UI"/>
                <w:color w:val="242424"/>
                <w:sz w:val="21"/>
                <w:szCs w:val="21"/>
              </w:rPr>
            </w:pPr>
            <w:r>
              <w:rPr>
                <w:rFonts w:ascii="Segoe UI" w:eastAsia="Times New Roman" w:hAnsi="Segoe UI" w:cs="Segoe UI"/>
                <w:color w:val="242424"/>
              </w:rPr>
              <w:t>The Supplier</w:t>
            </w:r>
            <w:r w:rsidR="00AD6B3E" w:rsidRPr="00AD6B3E">
              <w:rPr>
                <w:rFonts w:ascii="Segoe UI" w:eastAsia="Times New Roman" w:hAnsi="Segoe UI" w:cs="Segoe UI"/>
                <w:color w:val="242424"/>
              </w:rPr>
              <w:t xml:space="preserve"> will provide the full source code and documentation of the Foreground IPR upon delivery.  </w:t>
            </w:r>
            <w:r>
              <w:rPr>
                <w:rFonts w:ascii="Segoe UI" w:eastAsia="Times New Roman" w:hAnsi="Segoe UI" w:cs="Segoe UI"/>
                <w:color w:val="242424"/>
              </w:rPr>
              <w:t>The Supplier</w:t>
            </w:r>
            <w:r w:rsidR="00AD6B3E" w:rsidRPr="00AD6B3E">
              <w:rPr>
                <w:rFonts w:ascii="Segoe UI" w:eastAsia="Times New Roman" w:hAnsi="Segoe UI" w:cs="Segoe UI"/>
                <w:color w:val="242424"/>
              </w:rPr>
              <w:t xml:space="preserve"> will use tried and tested core libraries developed by </w:t>
            </w:r>
            <w:r>
              <w:rPr>
                <w:rFonts w:ascii="Segoe UI" w:eastAsia="Times New Roman" w:hAnsi="Segoe UI" w:cs="Segoe UI"/>
                <w:color w:val="242424"/>
              </w:rPr>
              <w:t>the supplier</w:t>
            </w:r>
            <w:r w:rsidR="00AD6B3E" w:rsidRPr="00AD6B3E">
              <w:rPr>
                <w:rFonts w:ascii="Segoe UI" w:eastAsia="Times New Roman" w:hAnsi="Segoe UI" w:cs="Segoe UI"/>
                <w:color w:val="242424"/>
              </w:rPr>
              <w:t xml:space="preserve"> to accelerate the build and reduce costs for the DVLA.  </w:t>
            </w:r>
            <w:r>
              <w:rPr>
                <w:rFonts w:ascii="Segoe UI" w:eastAsia="Times New Roman" w:hAnsi="Segoe UI" w:cs="Segoe UI"/>
                <w:color w:val="242424"/>
              </w:rPr>
              <w:t>The Supplier</w:t>
            </w:r>
            <w:r w:rsidR="00AD6B3E" w:rsidRPr="00AD6B3E">
              <w:rPr>
                <w:rFonts w:ascii="Segoe UI" w:eastAsia="Times New Roman" w:hAnsi="Segoe UI" w:cs="Segoe UI"/>
                <w:color w:val="242424"/>
              </w:rPr>
              <w:t xml:space="preserve"> will hold the right to reuse these core libraries in future developments but in all instances provide a copy of the source to DVLA in perpetuity for their continuation.</w:t>
            </w:r>
          </w:p>
          <w:p w14:paraId="4F082F91" w14:textId="0984541A" w:rsidR="001C3301" w:rsidRDefault="001C3301" w:rsidP="00470532">
            <w:pPr>
              <w:spacing w:before="240"/>
            </w:pPr>
            <w:r>
              <w:t xml:space="preserve">Upon offboarding, </w:t>
            </w:r>
            <w:r w:rsidR="00A84CC4">
              <w:t xml:space="preserve">any </w:t>
            </w:r>
            <w:r w:rsidR="004D6B27" w:rsidRPr="009C47D9">
              <w:rPr>
                <w:rFonts w:ascii="Segoe UI" w:eastAsia="Times New Roman" w:hAnsi="Segoe UI" w:cs="Segoe UI"/>
                <w:color w:val="242424"/>
              </w:rPr>
              <w:t xml:space="preserve">Foreground </w:t>
            </w:r>
            <w:r w:rsidR="00D3125B" w:rsidRPr="009C47D9">
              <w:rPr>
                <w:rFonts w:ascii="Segoe UI" w:eastAsia="Times New Roman" w:hAnsi="Segoe UI" w:cs="Segoe UI"/>
                <w:color w:val="242424"/>
              </w:rPr>
              <w:t>IPR</w:t>
            </w:r>
            <w:r w:rsidR="00D3125B">
              <w:rPr>
                <w:rFonts w:ascii="Segoe UI" w:eastAsia="Times New Roman" w:hAnsi="Segoe UI" w:cs="Segoe UI"/>
                <w:b/>
                <w:bCs/>
                <w:color w:val="242424"/>
              </w:rPr>
              <w:t xml:space="preserve"> </w:t>
            </w:r>
            <w:r w:rsidR="00D3125B">
              <w:rPr>
                <w:rFonts w:ascii="Segoe UI" w:eastAsia="Times New Roman" w:hAnsi="Segoe UI" w:cs="Segoe UI"/>
                <w:color w:val="242424"/>
              </w:rPr>
              <w:t>will</w:t>
            </w:r>
            <w:r w:rsidR="00A84CC4">
              <w:t xml:space="preserve"> be handed over to DVLA at</w:t>
            </w:r>
            <w:r w:rsidR="003710B8">
              <w:t xml:space="preserve"> the current state, at</w:t>
            </w:r>
            <w:r w:rsidR="00A84CC4">
              <w:t xml:space="preserve"> that point</w:t>
            </w:r>
            <w:r w:rsidR="00D65315">
              <w:t>-</w:t>
            </w:r>
            <w:r w:rsidR="00A84CC4">
              <w:t>in</w:t>
            </w:r>
            <w:r w:rsidR="00D65315">
              <w:t>-</w:t>
            </w:r>
            <w:r w:rsidR="00A84CC4">
              <w:t>time</w:t>
            </w:r>
            <w:r w:rsidR="00D65315">
              <w:t xml:space="preserve">, which may </w:t>
            </w:r>
            <w:r w:rsidR="00C27A2B">
              <w:t xml:space="preserve">contain incomplete </w:t>
            </w:r>
            <w:r w:rsidR="003710B8">
              <w:t>components</w:t>
            </w:r>
            <w:r w:rsidR="00C27A2B">
              <w:t xml:space="preserve">. </w:t>
            </w:r>
          </w:p>
        </w:tc>
      </w:tr>
      <w:tr w:rsidR="009772B5" w14:paraId="4F082F95"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3" w14:textId="77777777" w:rsidR="009772B5" w:rsidRDefault="00480D1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4" w14:textId="77777777" w:rsidR="009772B5" w:rsidRDefault="00480D15">
            <w:pPr>
              <w:spacing w:before="240"/>
            </w:pPr>
            <w:r>
              <w:t>N/A</w:t>
            </w:r>
          </w:p>
        </w:tc>
      </w:tr>
      <w:tr w:rsidR="009772B5" w14:paraId="4F082F98"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6" w14:textId="77777777" w:rsidR="009772B5" w:rsidRDefault="00480D15">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7" w14:textId="77777777" w:rsidR="009772B5" w:rsidRDefault="00480D15">
            <w:pPr>
              <w:spacing w:before="240"/>
            </w:pPr>
            <w:r>
              <w:t>N/A</w:t>
            </w:r>
          </w:p>
        </w:tc>
      </w:tr>
      <w:tr w:rsidR="009772B5" w14:paraId="4F082F9B"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9" w14:textId="77777777" w:rsidR="009772B5" w:rsidRDefault="00480D15">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9A" w14:textId="77777777" w:rsidR="009772B5" w:rsidRDefault="00480D15">
            <w:pPr>
              <w:spacing w:before="240"/>
            </w:pPr>
            <w:r>
              <w:t xml:space="preserve">Annex 1 </w:t>
            </w:r>
          </w:p>
        </w:tc>
      </w:tr>
    </w:tbl>
    <w:p w14:paraId="4F082F9C" w14:textId="77777777" w:rsidR="009772B5" w:rsidRDefault="00480D15">
      <w:pPr>
        <w:spacing w:before="240" w:after="240"/>
      </w:pPr>
      <w:r>
        <w:t xml:space="preserve"> </w:t>
      </w:r>
    </w:p>
    <w:p w14:paraId="4F082F9D" w14:textId="77777777" w:rsidR="009772B5" w:rsidRDefault="00480D15">
      <w:pPr>
        <w:pStyle w:val="Heading3"/>
      </w:pPr>
      <w:r>
        <w:t xml:space="preserve">1. </w:t>
      </w:r>
      <w:r>
        <w:tab/>
        <w:t>Formation of contract</w:t>
      </w:r>
    </w:p>
    <w:p w14:paraId="4F082F9E" w14:textId="77777777" w:rsidR="009772B5" w:rsidRDefault="00480D15">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4F082F9F" w14:textId="77777777" w:rsidR="009772B5" w:rsidRDefault="009772B5">
      <w:pPr>
        <w:ind w:firstLine="720"/>
      </w:pPr>
    </w:p>
    <w:p w14:paraId="4F082FA0" w14:textId="77777777" w:rsidR="009772B5" w:rsidRDefault="00480D15">
      <w:pPr>
        <w:ind w:left="720" w:hanging="720"/>
      </w:pPr>
      <w:r>
        <w:t>1.2</w:t>
      </w:r>
      <w:r>
        <w:tab/>
        <w:t>The Parties agree that they have read the Order Form (Part A) and the Call-Off Contract terms and by signing below agree to be bound by this Call-Off Contract.</w:t>
      </w:r>
    </w:p>
    <w:p w14:paraId="4F082FA1" w14:textId="77777777" w:rsidR="009772B5" w:rsidRDefault="009772B5">
      <w:pPr>
        <w:ind w:firstLine="720"/>
      </w:pPr>
    </w:p>
    <w:p w14:paraId="4F082FA2" w14:textId="77777777" w:rsidR="009772B5" w:rsidRDefault="00480D15">
      <w:pPr>
        <w:ind w:left="720" w:hanging="720"/>
      </w:pPr>
      <w:r>
        <w:t>1.3</w:t>
      </w:r>
      <w:r>
        <w:tab/>
        <w:t>This Call-Off Contract will be formed when the Buyer acknowledges receipt of the signed copy of the Order Form from the Supplier.</w:t>
      </w:r>
    </w:p>
    <w:p w14:paraId="4F082FA3" w14:textId="77777777" w:rsidR="009772B5" w:rsidRDefault="009772B5">
      <w:pPr>
        <w:ind w:firstLine="720"/>
      </w:pPr>
    </w:p>
    <w:p w14:paraId="4F082FA4" w14:textId="77777777" w:rsidR="009772B5" w:rsidRDefault="00480D15">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F082FA5" w14:textId="77777777" w:rsidR="009772B5" w:rsidRDefault="009772B5"/>
    <w:p w14:paraId="4F082FA6" w14:textId="77777777" w:rsidR="009772B5" w:rsidRDefault="00480D15">
      <w:pPr>
        <w:pStyle w:val="Heading3"/>
      </w:pPr>
      <w:r>
        <w:t xml:space="preserve">2. </w:t>
      </w:r>
      <w:r>
        <w:tab/>
        <w:t>Background to the agreement</w:t>
      </w:r>
    </w:p>
    <w:p w14:paraId="4F082FA7" w14:textId="77777777" w:rsidR="009772B5" w:rsidRDefault="00480D15">
      <w:pPr>
        <w:ind w:left="720" w:hanging="720"/>
      </w:pPr>
      <w:r>
        <w:t>2.1</w:t>
      </w:r>
      <w:r>
        <w:tab/>
        <w:t>The Supplier is a provider of G-Cloud Services and agreed to provide the Services under the terms of Framework Agreement number RM1557.12.</w:t>
      </w:r>
    </w:p>
    <w:p w14:paraId="4F082FA8" w14:textId="77777777" w:rsidR="009772B5" w:rsidRDefault="009772B5">
      <w:pPr>
        <w:ind w:left="720"/>
      </w:pPr>
    </w:p>
    <w:p w14:paraId="4F082FA9" w14:textId="77777777" w:rsidR="009772B5" w:rsidRDefault="00480D15">
      <w:r>
        <w:t>2.2</w:t>
      </w:r>
      <w:r>
        <w:tab/>
        <w:t>The Buyer provided an Order Form for Services to the Supplier.</w:t>
      </w:r>
    </w:p>
    <w:p w14:paraId="4F082FAA" w14:textId="77777777" w:rsidR="009772B5" w:rsidRDefault="009772B5"/>
    <w:p w14:paraId="4F082FAB" w14:textId="77777777" w:rsidR="009772B5" w:rsidRDefault="009772B5">
      <w:pPr>
        <w:pageBreakBefore/>
      </w:pPr>
    </w:p>
    <w:p w14:paraId="4F082FAC" w14:textId="77777777" w:rsidR="009772B5" w:rsidRDefault="009772B5"/>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9772B5" w14:paraId="4F082FB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AD" w14:textId="77777777" w:rsidR="009772B5" w:rsidRDefault="00480D1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AE" w14:textId="77777777" w:rsidR="009772B5" w:rsidRDefault="00480D1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AF" w14:textId="77777777" w:rsidR="009772B5" w:rsidRDefault="00480D15">
            <w:pPr>
              <w:spacing w:before="240"/>
            </w:pPr>
            <w:r>
              <w:t>Buyer</w:t>
            </w:r>
          </w:p>
        </w:tc>
      </w:tr>
      <w:tr w:rsidR="009772B5" w14:paraId="4F082FB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1" w14:textId="77777777" w:rsidR="009772B5" w:rsidRDefault="00480D1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2" w14:textId="684C955C" w:rsidR="009772B5" w:rsidRDefault="009772B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3" w14:textId="39FE3539" w:rsidR="009772B5" w:rsidRDefault="009772B5">
            <w:pPr>
              <w:spacing w:before="240"/>
            </w:pPr>
          </w:p>
        </w:tc>
      </w:tr>
      <w:tr w:rsidR="009772B5" w14:paraId="4F082FB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5" w14:textId="77777777" w:rsidR="009772B5" w:rsidRDefault="00480D1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6" w14:textId="0FED16E6" w:rsidR="009772B5" w:rsidRPr="00F0622D" w:rsidRDefault="009772B5">
            <w:pPr>
              <w:spacing w:before="240"/>
              <w:rPr>
                <w:b/>
                <w:bCs/>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7" w14:textId="57C3DC73" w:rsidR="009772B5" w:rsidRDefault="009772B5">
            <w:pPr>
              <w:spacing w:before="240"/>
            </w:pPr>
          </w:p>
        </w:tc>
      </w:tr>
      <w:tr w:rsidR="009772B5" w14:paraId="4F082FBC"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9" w14:textId="77777777" w:rsidR="009772B5" w:rsidRDefault="00480D1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A" w14:textId="77777777" w:rsidR="009772B5" w:rsidRDefault="009772B5"/>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B" w14:textId="77777777" w:rsidR="009772B5" w:rsidRDefault="009772B5">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9772B5" w14:paraId="4F082FC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D" w14:textId="77777777" w:rsidR="009772B5" w:rsidRDefault="00480D1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E" w14:textId="341DB63D" w:rsidR="009772B5" w:rsidRDefault="009772B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2FBF" w14:textId="72E50A2A" w:rsidR="009772B5" w:rsidRDefault="009772B5">
            <w:pPr>
              <w:spacing w:before="240"/>
            </w:pPr>
          </w:p>
        </w:tc>
      </w:tr>
    </w:tbl>
    <w:p w14:paraId="4F082FC1" w14:textId="77777777" w:rsidR="009772B5" w:rsidRDefault="00480D15">
      <w:pPr>
        <w:spacing w:before="240"/>
        <w:rPr>
          <w:b/>
        </w:rPr>
      </w:pPr>
      <w:r>
        <w:rPr>
          <w:b/>
        </w:rPr>
        <w:t xml:space="preserve"> </w:t>
      </w:r>
    </w:p>
    <w:p w14:paraId="4F082FC2" w14:textId="77777777" w:rsidR="009772B5" w:rsidRDefault="00480D15">
      <w:pPr>
        <w:pStyle w:val="Heading2"/>
      </w:pPr>
      <w:bookmarkStart w:id="6" w:name="_Toc33176233"/>
      <w:bookmarkStart w:id="7" w:name="_Toc104216512"/>
      <w:r>
        <w:t>Schedule 1: Services</w:t>
      </w:r>
      <w:bookmarkEnd w:id="6"/>
      <w:bookmarkEnd w:id="7"/>
    </w:p>
    <w:p w14:paraId="4F082FC5" w14:textId="238043BC" w:rsidR="009772B5" w:rsidRPr="00C96E54" w:rsidRDefault="00C96E54">
      <w:pPr>
        <w:spacing w:before="240"/>
        <w:rPr>
          <w:bCs/>
        </w:rPr>
      </w:pPr>
      <w:r w:rsidRPr="00C96E54">
        <w:rPr>
          <w:bCs/>
        </w:rPr>
        <w:t xml:space="preserve">Services are to be in line with </w:t>
      </w:r>
      <w:r w:rsidR="0058737B">
        <w:rPr>
          <w:bCs/>
        </w:rPr>
        <w:t>the Suppliers</w:t>
      </w:r>
      <w:r w:rsidRPr="00C96E54">
        <w:rPr>
          <w:bCs/>
        </w:rPr>
        <w:t xml:space="preserve"> G-Cloud 12 offering 4600 4314 6169 630.</w:t>
      </w:r>
    </w:p>
    <w:p w14:paraId="4F082FC6" w14:textId="77777777" w:rsidR="009772B5" w:rsidRDefault="00480D15">
      <w:pPr>
        <w:pStyle w:val="Heading2"/>
      </w:pPr>
      <w:bookmarkStart w:id="8" w:name="_Toc33176234"/>
      <w:bookmarkStart w:id="9" w:name="_Toc104216513"/>
      <w:r>
        <w:t>Schedule 2: Call-Off Contract charges</w:t>
      </w:r>
      <w:bookmarkEnd w:id="8"/>
      <w:bookmarkEnd w:id="9"/>
    </w:p>
    <w:p w14:paraId="06440756" w14:textId="7ADA3532" w:rsidR="00C96E54" w:rsidRDefault="00C96E54" w:rsidP="00C96E54">
      <w:pPr>
        <w:rPr>
          <w:shd w:val="clear" w:color="auto" w:fill="FFFF00"/>
        </w:rPr>
      </w:pPr>
    </w:p>
    <w:p w14:paraId="2037BFE5" w14:textId="2CC7F900" w:rsidR="00C96E54" w:rsidRPr="00C96E54" w:rsidRDefault="00C96E54" w:rsidP="00C96E54">
      <w:r>
        <w:t>To be managed via SoW’s</w:t>
      </w:r>
    </w:p>
    <w:p w14:paraId="4F082FCE" w14:textId="77777777" w:rsidR="009772B5" w:rsidRDefault="00480D15">
      <w:pPr>
        <w:pStyle w:val="Heading2"/>
        <w:pageBreakBefore/>
      </w:pPr>
      <w:bookmarkStart w:id="10" w:name="_Toc33176235"/>
      <w:bookmarkStart w:id="11" w:name="_Toc104216514"/>
      <w:r>
        <w:t>Part B: Terms and conditions</w:t>
      </w:r>
      <w:bookmarkEnd w:id="10"/>
      <w:bookmarkEnd w:id="11"/>
    </w:p>
    <w:p w14:paraId="4F082FCF" w14:textId="77777777" w:rsidR="009772B5" w:rsidRDefault="00480D15">
      <w:pPr>
        <w:pStyle w:val="Heading3"/>
        <w:spacing w:after="100"/>
      </w:pPr>
      <w:r>
        <w:t>1.</w:t>
      </w:r>
      <w:r>
        <w:tab/>
        <w:t>Call-Off Contract Start date and length</w:t>
      </w:r>
    </w:p>
    <w:p w14:paraId="4F082FD0" w14:textId="77777777" w:rsidR="009772B5" w:rsidRDefault="00480D15">
      <w:r>
        <w:t>1.1</w:t>
      </w:r>
      <w:r>
        <w:tab/>
        <w:t>The Supplier must start providing the Services on the date specified in the Order Form.</w:t>
      </w:r>
    </w:p>
    <w:p w14:paraId="4F082FD1" w14:textId="77777777" w:rsidR="009772B5" w:rsidRDefault="009772B5">
      <w:pPr>
        <w:ind w:firstLine="720"/>
      </w:pPr>
    </w:p>
    <w:p w14:paraId="4F082FD2" w14:textId="77777777" w:rsidR="009772B5" w:rsidRDefault="00480D15">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4F082FD3" w14:textId="77777777" w:rsidR="009772B5" w:rsidRDefault="009772B5">
      <w:pPr>
        <w:ind w:left="720"/>
      </w:pPr>
    </w:p>
    <w:p w14:paraId="4F082FD4" w14:textId="77777777" w:rsidR="009772B5" w:rsidRDefault="00480D15">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4F082FD5" w14:textId="77777777" w:rsidR="009772B5" w:rsidRDefault="009772B5">
      <w:pPr>
        <w:ind w:left="720"/>
      </w:pPr>
    </w:p>
    <w:p w14:paraId="4F082FD6" w14:textId="77777777" w:rsidR="009772B5" w:rsidRDefault="00480D15">
      <w:pPr>
        <w:ind w:left="720" w:hanging="720"/>
      </w:pPr>
      <w:r>
        <w:t>1.4</w:t>
      </w:r>
      <w:r>
        <w:tab/>
        <w:t>The Parties must comply with the requirements under clauses 21.3 to 21.8 if the Buyer reserves the right in the Order Form to extend the contract beyond 24 months.</w:t>
      </w:r>
    </w:p>
    <w:p w14:paraId="4F082FD7" w14:textId="77777777" w:rsidR="009772B5" w:rsidRDefault="009772B5">
      <w:pPr>
        <w:spacing w:before="240" w:after="240"/>
      </w:pPr>
    </w:p>
    <w:p w14:paraId="4F082FD8" w14:textId="77777777" w:rsidR="009772B5" w:rsidRDefault="00480D15">
      <w:pPr>
        <w:pStyle w:val="Heading3"/>
        <w:spacing w:after="100"/>
      </w:pPr>
      <w:r>
        <w:t>2.</w:t>
      </w:r>
      <w:r>
        <w:tab/>
        <w:t>Incorporation of terms</w:t>
      </w:r>
    </w:p>
    <w:p w14:paraId="4F082FD9" w14:textId="77777777" w:rsidR="009772B5" w:rsidRDefault="00480D1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F082FDA" w14:textId="77777777" w:rsidR="009772B5" w:rsidRDefault="00480D15">
      <w:pPr>
        <w:pStyle w:val="ListParagraph"/>
        <w:numPr>
          <w:ilvl w:val="0"/>
          <w:numId w:val="9"/>
        </w:numPr>
      </w:pPr>
      <w:r>
        <w:rPr>
          <w:sz w:val="14"/>
          <w:szCs w:val="14"/>
        </w:rPr>
        <w:t xml:space="preserve"> </w:t>
      </w:r>
      <w:r>
        <w:t>4.1 (Warranties and representations)</w:t>
      </w:r>
    </w:p>
    <w:p w14:paraId="4F082FDB" w14:textId="77777777" w:rsidR="009772B5" w:rsidRDefault="00480D15">
      <w:pPr>
        <w:pStyle w:val="ListParagraph"/>
        <w:numPr>
          <w:ilvl w:val="0"/>
          <w:numId w:val="9"/>
        </w:numPr>
      </w:pPr>
      <w:r>
        <w:t>4.2 to 4.7 (Liability)</w:t>
      </w:r>
    </w:p>
    <w:p w14:paraId="4F082FDC" w14:textId="77777777" w:rsidR="009772B5" w:rsidRDefault="00480D15">
      <w:pPr>
        <w:pStyle w:val="ListParagraph"/>
        <w:numPr>
          <w:ilvl w:val="0"/>
          <w:numId w:val="9"/>
        </w:numPr>
      </w:pPr>
      <w:r>
        <w:t>4.11 to 4.12 (IR35)</w:t>
      </w:r>
    </w:p>
    <w:p w14:paraId="4F082FDD" w14:textId="77777777" w:rsidR="009772B5" w:rsidRDefault="00480D15">
      <w:pPr>
        <w:pStyle w:val="ListParagraph"/>
        <w:numPr>
          <w:ilvl w:val="0"/>
          <w:numId w:val="9"/>
        </w:numPr>
      </w:pPr>
      <w:r>
        <w:t>5.4 to 5.5 (Force majeure)</w:t>
      </w:r>
    </w:p>
    <w:p w14:paraId="4F082FDE" w14:textId="77777777" w:rsidR="009772B5" w:rsidRDefault="00480D15">
      <w:pPr>
        <w:pStyle w:val="ListParagraph"/>
        <w:numPr>
          <w:ilvl w:val="0"/>
          <w:numId w:val="9"/>
        </w:numPr>
      </w:pPr>
      <w:r>
        <w:t>5.8 (Continuing rights)</w:t>
      </w:r>
    </w:p>
    <w:p w14:paraId="4F082FDF" w14:textId="77777777" w:rsidR="009772B5" w:rsidRDefault="00480D15">
      <w:pPr>
        <w:pStyle w:val="ListParagraph"/>
        <w:numPr>
          <w:ilvl w:val="0"/>
          <w:numId w:val="9"/>
        </w:numPr>
      </w:pPr>
      <w:r>
        <w:t>5.9 to 5.11 (Change of control)</w:t>
      </w:r>
    </w:p>
    <w:p w14:paraId="4F082FE0" w14:textId="77777777" w:rsidR="009772B5" w:rsidRDefault="00480D15">
      <w:pPr>
        <w:pStyle w:val="ListParagraph"/>
        <w:numPr>
          <w:ilvl w:val="0"/>
          <w:numId w:val="9"/>
        </w:numPr>
      </w:pPr>
      <w:r>
        <w:t>5.12 (Fraud)</w:t>
      </w:r>
    </w:p>
    <w:p w14:paraId="4F082FE1" w14:textId="77777777" w:rsidR="009772B5" w:rsidRDefault="00480D15">
      <w:pPr>
        <w:pStyle w:val="ListParagraph"/>
        <w:numPr>
          <w:ilvl w:val="0"/>
          <w:numId w:val="9"/>
        </w:numPr>
      </w:pPr>
      <w:r>
        <w:t>5.13 (Notice of fraud)</w:t>
      </w:r>
    </w:p>
    <w:p w14:paraId="4F082FE2" w14:textId="77777777" w:rsidR="009772B5" w:rsidRDefault="00480D15">
      <w:pPr>
        <w:pStyle w:val="ListParagraph"/>
        <w:numPr>
          <w:ilvl w:val="0"/>
          <w:numId w:val="9"/>
        </w:numPr>
      </w:pPr>
      <w:r>
        <w:t>7.1 to 7.2 (Transparency)</w:t>
      </w:r>
    </w:p>
    <w:p w14:paraId="4F082FE3" w14:textId="77777777" w:rsidR="009772B5" w:rsidRDefault="00480D15">
      <w:pPr>
        <w:pStyle w:val="ListParagraph"/>
        <w:numPr>
          <w:ilvl w:val="0"/>
          <w:numId w:val="9"/>
        </w:numPr>
      </w:pPr>
      <w:r>
        <w:t>8.3 (Order of precedence)</w:t>
      </w:r>
    </w:p>
    <w:p w14:paraId="4F082FE4" w14:textId="77777777" w:rsidR="009772B5" w:rsidRDefault="00480D15">
      <w:pPr>
        <w:pStyle w:val="ListParagraph"/>
        <w:numPr>
          <w:ilvl w:val="0"/>
          <w:numId w:val="9"/>
        </w:numPr>
      </w:pPr>
      <w:r>
        <w:t>8.6 (Relationship)</w:t>
      </w:r>
    </w:p>
    <w:p w14:paraId="4F082FE5" w14:textId="77777777" w:rsidR="009772B5" w:rsidRDefault="00480D15">
      <w:pPr>
        <w:pStyle w:val="ListParagraph"/>
        <w:numPr>
          <w:ilvl w:val="0"/>
          <w:numId w:val="9"/>
        </w:numPr>
      </w:pPr>
      <w:r>
        <w:t>8.9 to 8.11 (Entire agreement)</w:t>
      </w:r>
    </w:p>
    <w:p w14:paraId="4F082FE6" w14:textId="77777777" w:rsidR="009772B5" w:rsidRDefault="00480D15">
      <w:pPr>
        <w:pStyle w:val="ListParagraph"/>
        <w:numPr>
          <w:ilvl w:val="0"/>
          <w:numId w:val="9"/>
        </w:numPr>
      </w:pPr>
      <w:r>
        <w:t>8.12 (Law and jurisdiction)</w:t>
      </w:r>
    </w:p>
    <w:p w14:paraId="4F082FE7" w14:textId="77777777" w:rsidR="009772B5" w:rsidRDefault="00480D15">
      <w:pPr>
        <w:pStyle w:val="ListParagraph"/>
        <w:numPr>
          <w:ilvl w:val="0"/>
          <w:numId w:val="9"/>
        </w:numPr>
      </w:pPr>
      <w:r>
        <w:t>8.13 to 8.14 (Legislative change)</w:t>
      </w:r>
    </w:p>
    <w:p w14:paraId="4F082FE8" w14:textId="77777777" w:rsidR="009772B5" w:rsidRDefault="00480D15">
      <w:pPr>
        <w:pStyle w:val="ListParagraph"/>
        <w:numPr>
          <w:ilvl w:val="0"/>
          <w:numId w:val="9"/>
        </w:numPr>
      </w:pPr>
      <w:r>
        <w:t>8.15 to 8.19 (Bribery and corruption)</w:t>
      </w:r>
    </w:p>
    <w:p w14:paraId="4F082FE9" w14:textId="77777777" w:rsidR="009772B5" w:rsidRDefault="00480D15">
      <w:pPr>
        <w:pStyle w:val="ListParagraph"/>
        <w:numPr>
          <w:ilvl w:val="0"/>
          <w:numId w:val="9"/>
        </w:numPr>
      </w:pPr>
      <w:r>
        <w:t>8.20 to 8.29 (Freedom of Information Act)</w:t>
      </w:r>
    </w:p>
    <w:p w14:paraId="4F082FEA" w14:textId="77777777" w:rsidR="009772B5" w:rsidRDefault="00480D15">
      <w:pPr>
        <w:pStyle w:val="ListParagraph"/>
        <w:numPr>
          <w:ilvl w:val="0"/>
          <w:numId w:val="9"/>
        </w:numPr>
      </w:pPr>
      <w:r>
        <w:t>8.30 to 8.31 (Promoting tax compliance)</w:t>
      </w:r>
    </w:p>
    <w:p w14:paraId="4F082FEB" w14:textId="77777777" w:rsidR="009772B5" w:rsidRDefault="00480D15">
      <w:pPr>
        <w:pStyle w:val="ListParagraph"/>
        <w:numPr>
          <w:ilvl w:val="0"/>
          <w:numId w:val="9"/>
        </w:numPr>
      </w:pPr>
      <w:r>
        <w:t>8.32 to 8.33 (Official Secrets Act)</w:t>
      </w:r>
    </w:p>
    <w:p w14:paraId="4F082FEC" w14:textId="77777777" w:rsidR="009772B5" w:rsidRDefault="00480D15">
      <w:pPr>
        <w:pStyle w:val="ListParagraph"/>
        <w:numPr>
          <w:ilvl w:val="0"/>
          <w:numId w:val="9"/>
        </w:numPr>
      </w:pPr>
      <w:r>
        <w:t>8.34 to 8.37 (Transfer and subcontracting)</w:t>
      </w:r>
    </w:p>
    <w:p w14:paraId="4F082FED" w14:textId="77777777" w:rsidR="009772B5" w:rsidRDefault="00480D15">
      <w:pPr>
        <w:pStyle w:val="ListParagraph"/>
        <w:numPr>
          <w:ilvl w:val="0"/>
          <w:numId w:val="9"/>
        </w:numPr>
      </w:pPr>
      <w:r>
        <w:t>8.40 to 8.43 (Complaints handling and resolution)</w:t>
      </w:r>
    </w:p>
    <w:p w14:paraId="4F082FEE" w14:textId="77777777" w:rsidR="009772B5" w:rsidRDefault="00480D15">
      <w:pPr>
        <w:pStyle w:val="ListParagraph"/>
        <w:numPr>
          <w:ilvl w:val="0"/>
          <w:numId w:val="9"/>
        </w:numPr>
      </w:pPr>
      <w:r>
        <w:t>8.44 to 8.50 (Conflicts of interest and ethical walls)</w:t>
      </w:r>
    </w:p>
    <w:p w14:paraId="4F082FEF" w14:textId="77777777" w:rsidR="009772B5" w:rsidRDefault="00480D15">
      <w:pPr>
        <w:pStyle w:val="ListParagraph"/>
        <w:numPr>
          <w:ilvl w:val="0"/>
          <w:numId w:val="9"/>
        </w:numPr>
      </w:pPr>
      <w:r>
        <w:t>8.51 to 8.53 (Publicity and branding)</w:t>
      </w:r>
    </w:p>
    <w:p w14:paraId="4F082FF0" w14:textId="77777777" w:rsidR="009772B5" w:rsidRDefault="00480D15">
      <w:pPr>
        <w:pStyle w:val="ListParagraph"/>
        <w:numPr>
          <w:ilvl w:val="0"/>
          <w:numId w:val="9"/>
        </w:numPr>
      </w:pPr>
      <w:r>
        <w:t>8.54 to 8.56 (Equality and diversity)</w:t>
      </w:r>
    </w:p>
    <w:p w14:paraId="4F082FF1" w14:textId="77777777" w:rsidR="009772B5" w:rsidRDefault="00480D15">
      <w:pPr>
        <w:pStyle w:val="ListParagraph"/>
        <w:numPr>
          <w:ilvl w:val="0"/>
          <w:numId w:val="9"/>
        </w:numPr>
      </w:pPr>
      <w:r>
        <w:t>8.59 to 8.60 (Data protection</w:t>
      </w:r>
    </w:p>
    <w:p w14:paraId="4F082FF2" w14:textId="77777777" w:rsidR="009772B5" w:rsidRDefault="00480D15">
      <w:pPr>
        <w:pStyle w:val="ListParagraph"/>
        <w:numPr>
          <w:ilvl w:val="0"/>
          <w:numId w:val="9"/>
        </w:numPr>
      </w:pPr>
      <w:r>
        <w:t>8.64 to 8.65 (Severability)</w:t>
      </w:r>
    </w:p>
    <w:p w14:paraId="4F082FF3" w14:textId="77777777" w:rsidR="009772B5" w:rsidRDefault="00480D15">
      <w:pPr>
        <w:pStyle w:val="ListParagraph"/>
        <w:numPr>
          <w:ilvl w:val="0"/>
          <w:numId w:val="9"/>
        </w:numPr>
      </w:pPr>
      <w:r>
        <w:t>8.66 to 8.69 (Managing disputes and Mediation)</w:t>
      </w:r>
    </w:p>
    <w:p w14:paraId="4F082FF4" w14:textId="77777777" w:rsidR="009772B5" w:rsidRDefault="00480D15">
      <w:pPr>
        <w:pStyle w:val="ListParagraph"/>
        <w:numPr>
          <w:ilvl w:val="0"/>
          <w:numId w:val="9"/>
        </w:numPr>
      </w:pPr>
      <w:r>
        <w:t>8.80 to 8.88 (Confidentiality)</w:t>
      </w:r>
    </w:p>
    <w:p w14:paraId="4F082FF5" w14:textId="77777777" w:rsidR="009772B5" w:rsidRDefault="00480D15">
      <w:pPr>
        <w:pStyle w:val="ListParagraph"/>
        <w:numPr>
          <w:ilvl w:val="0"/>
          <w:numId w:val="9"/>
        </w:numPr>
      </w:pPr>
      <w:r>
        <w:t>8.89 to 8.90 (Waiver and cumulative remedies)</w:t>
      </w:r>
    </w:p>
    <w:p w14:paraId="4F082FF6" w14:textId="77777777" w:rsidR="009772B5" w:rsidRDefault="00480D15">
      <w:pPr>
        <w:pStyle w:val="ListParagraph"/>
        <w:numPr>
          <w:ilvl w:val="0"/>
          <w:numId w:val="9"/>
        </w:numPr>
      </w:pPr>
      <w:r>
        <w:t>8.91 to 8.101 (Corporate Social Responsibility)</w:t>
      </w:r>
    </w:p>
    <w:p w14:paraId="4F082FF7" w14:textId="77777777" w:rsidR="009772B5" w:rsidRDefault="00480D15">
      <w:pPr>
        <w:pStyle w:val="ListParagraph"/>
        <w:numPr>
          <w:ilvl w:val="0"/>
          <w:numId w:val="9"/>
        </w:numPr>
      </w:pPr>
      <w:r>
        <w:t>paragraphs 1 to 10 of the Framework Agreement glossary and interpretation</w:t>
      </w:r>
    </w:p>
    <w:p w14:paraId="4F082FF8" w14:textId="77777777" w:rsidR="009772B5" w:rsidRDefault="00480D15">
      <w:pPr>
        <w:pStyle w:val="ListParagraph"/>
        <w:numPr>
          <w:ilvl w:val="0"/>
          <w:numId w:val="10"/>
        </w:numPr>
      </w:pPr>
      <w:r>
        <w:t>any audit provisions from the Framework Agreement set out by the Buyer in the Order Form</w:t>
      </w:r>
    </w:p>
    <w:p w14:paraId="4F082FF9" w14:textId="77777777" w:rsidR="009772B5" w:rsidRDefault="00480D15">
      <w:pPr>
        <w:ind w:left="720"/>
      </w:pPr>
      <w:r>
        <w:t xml:space="preserve"> </w:t>
      </w:r>
    </w:p>
    <w:p w14:paraId="4F082FFA" w14:textId="77777777" w:rsidR="009772B5" w:rsidRDefault="00480D15">
      <w:pPr>
        <w:spacing w:after="240"/>
      </w:pPr>
      <w:r>
        <w:t>2.2</w:t>
      </w:r>
      <w:r>
        <w:tab/>
        <w:t xml:space="preserve">The Framework Agreement provisions in clause 2.1 will be modified as follows: </w:t>
      </w:r>
    </w:p>
    <w:p w14:paraId="4F082FFB" w14:textId="77777777" w:rsidR="009772B5" w:rsidRDefault="00480D15">
      <w:pPr>
        <w:ind w:left="1440" w:hanging="720"/>
      </w:pPr>
      <w:r>
        <w:t>2.2.1</w:t>
      </w:r>
      <w:r>
        <w:tab/>
        <w:t>a reference to the ‘Framework Agreement’ will be a reference to the ‘Call-Off Contract’</w:t>
      </w:r>
    </w:p>
    <w:p w14:paraId="4F082FFC" w14:textId="77777777" w:rsidR="009772B5" w:rsidRDefault="00480D15">
      <w:pPr>
        <w:ind w:firstLine="720"/>
      </w:pPr>
      <w:r>
        <w:t>2.2.2</w:t>
      </w:r>
      <w:r>
        <w:tab/>
        <w:t>a reference to ‘CCS’ will be a reference to ‘the Buyer’</w:t>
      </w:r>
    </w:p>
    <w:p w14:paraId="4F082FFD" w14:textId="77777777" w:rsidR="009772B5" w:rsidRDefault="00480D15">
      <w:pPr>
        <w:ind w:left="1440" w:hanging="720"/>
      </w:pPr>
      <w:r>
        <w:t>2.2.3</w:t>
      </w:r>
      <w:r>
        <w:tab/>
        <w:t>a reference to the ‘Parties’ and a ‘Party’ will be a reference to the Buyer and Supplier as Parties under this Call-Off Contract</w:t>
      </w:r>
    </w:p>
    <w:p w14:paraId="4F082FFE" w14:textId="77777777" w:rsidR="009772B5" w:rsidRDefault="009772B5"/>
    <w:p w14:paraId="4F082FFF" w14:textId="77777777" w:rsidR="009772B5" w:rsidRDefault="00480D1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F083000" w14:textId="77777777" w:rsidR="009772B5" w:rsidRDefault="009772B5">
      <w:pPr>
        <w:ind w:left="720"/>
      </w:pPr>
    </w:p>
    <w:p w14:paraId="4F083001" w14:textId="77777777" w:rsidR="009772B5" w:rsidRDefault="00480D15">
      <w:pPr>
        <w:ind w:left="720" w:hanging="720"/>
      </w:pPr>
      <w:r>
        <w:t>2.4</w:t>
      </w:r>
      <w:r>
        <w:tab/>
        <w:t>The Framework Agreement incorporated clauses will be referred to as incorporated Framework clause ‘XX’, where ‘XX’ is the Framework Agreement clause number.</w:t>
      </w:r>
    </w:p>
    <w:p w14:paraId="4F083002" w14:textId="77777777" w:rsidR="009772B5" w:rsidRDefault="009772B5">
      <w:pPr>
        <w:ind w:firstLine="720"/>
      </w:pPr>
    </w:p>
    <w:p w14:paraId="4F083003" w14:textId="77777777" w:rsidR="009772B5" w:rsidRDefault="00480D15">
      <w:pPr>
        <w:ind w:left="720" w:hanging="720"/>
      </w:pPr>
      <w:r>
        <w:t>2.5</w:t>
      </w:r>
      <w:r>
        <w:tab/>
        <w:t>When an Order Form is signed, the terms and conditions agreed in it will be incorporated into this Call-Off Contract.</w:t>
      </w:r>
    </w:p>
    <w:p w14:paraId="4F083004" w14:textId="77777777" w:rsidR="009772B5" w:rsidRDefault="009772B5"/>
    <w:p w14:paraId="4F083005" w14:textId="77777777" w:rsidR="009772B5" w:rsidRDefault="00480D15">
      <w:pPr>
        <w:pStyle w:val="Heading3"/>
        <w:spacing w:after="100"/>
      </w:pPr>
      <w:r>
        <w:t>3.</w:t>
      </w:r>
      <w:r>
        <w:tab/>
        <w:t>Supply of services</w:t>
      </w:r>
    </w:p>
    <w:p w14:paraId="4F083006" w14:textId="77777777" w:rsidR="009772B5" w:rsidRDefault="00480D15">
      <w:pPr>
        <w:spacing w:before="240" w:after="240"/>
        <w:ind w:left="720" w:hanging="720"/>
      </w:pPr>
      <w:r>
        <w:t>3.1</w:t>
      </w:r>
      <w:r>
        <w:tab/>
        <w:t>The Supplier agrees to supply the G-Cloud Services and any Additional Services under the terms of the Call-Off Contract and the Supplier’s Application.</w:t>
      </w:r>
    </w:p>
    <w:p w14:paraId="4F083007" w14:textId="77777777" w:rsidR="009772B5" w:rsidRDefault="00480D15">
      <w:pPr>
        <w:ind w:left="720" w:hanging="720"/>
      </w:pPr>
      <w:r>
        <w:t>3.2</w:t>
      </w:r>
      <w:r>
        <w:tab/>
        <w:t>The Supplier undertakes that each G-Cloud Service will meet the Buyer’s acceptance criteria, as defined in the Order Form.</w:t>
      </w:r>
    </w:p>
    <w:p w14:paraId="4F083008" w14:textId="77777777" w:rsidR="009772B5" w:rsidRDefault="009772B5"/>
    <w:p w14:paraId="4F083009" w14:textId="77777777" w:rsidR="009772B5" w:rsidRDefault="00480D15">
      <w:pPr>
        <w:pStyle w:val="Heading3"/>
        <w:spacing w:after="100"/>
      </w:pPr>
      <w:r>
        <w:t>4.</w:t>
      </w:r>
      <w:r>
        <w:tab/>
        <w:t>Supplier staff</w:t>
      </w:r>
    </w:p>
    <w:p w14:paraId="4F08300A" w14:textId="77777777" w:rsidR="009772B5" w:rsidRDefault="00480D15">
      <w:pPr>
        <w:spacing w:before="240" w:after="240"/>
      </w:pPr>
      <w:r>
        <w:t>4.1</w:t>
      </w:r>
      <w:r>
        <w:tab/>
        <w:t xml:space="preserve">The Supplier Staff must: </w:t>
      </w:r>
    </w:p>
    <w:p w14:paraId="4F08300B" w14:textId="77777777" w:rsidR="009772B5" w:rsidRDefault="00480D15">
      <w:pPr>
        <w:ind w:firstLine="720"/>
      </w:pPr>
      <w:r>
        <w:t>4.1.1</w:t>
      </w:r>
      <w:r>
        <w:tab/>
        <w:t xml:space="preserve">be appropriately experienced, </w:t>
      </w:r>
      <w:proofErr w:type="gramStart"/>
      <w:r>
        <w:t>qualified</w:t>
      </w:r>
      <w:proofErr w:type="gramEnd"/>
      <w:r>
        <w:t xml:space="preserve"> and trained to supply the Services</w:t>
      </w:r>
    </w:p>
    <w:p w14:paraId="4F08300C" w14:textId="77777777" w:rsidR="009772B5" w:rsidRDefault="009772B5"/>
    <w:p w14:paraId="4F08300D" w14:textId="77777777" w:rsidR="009772B5" w:rsidRDefault="00480D15">
      <w:pPr>
        <w:ind w:firstLine="720"/>
      </w:pPr>
      <w:r>
        <w:t>4.1.2</w:t>
      </w:r>
      <w:r>
        <w:tab/>
        <w:t xml:space="preserve">apply all due skill, </w:t>
      </w:r>
      <w:proofErr w:type="gramStart"/>
      <w:r>
        <w:t>care</w:t>
      </w:r>
      <w:proofErr w:type="gramEnd"/>
      <w:r>
        <w:t xml:space="preserve"> and diligence in faithfully performing those duties</w:t>
      </w:r>
    </w:p>
    <w:p w14:paraId="4F08300E" w14:textId="77777777" w:rsidR="009772B5" w:rsidRDefault="009772B5"/>
    <w:p w14:paraId="4F08300F" w14:textId="77777777" w:rsidR="009772B5" w:rsidRDefault="00480D15">
      <w:pPr>
        <w:ind w:left="720"/>
      </w:pPr>
      <w:r>
        <w:t>4.1.3</w:t>
      </w:r>
      <w:r>
        <w:tab/>
        <w:t>obey all lawful instructions and reasonable directions of the Buyer and provide the Services to the reasonable satisfaction of the Buyer</w:t>
      </w:r>
    </w:p>
    <w:p w14:paraId="4F083010" w14:textId="77777777" w:rsidR="009772B5" w:rsidRDefault="009772B5"/>
    <w:p w14:paraId="4F083011" w14:textId="77777777" w:rsidR="009772B5" w:rsidRDefault="00480D15">
      <w:pPr>
        <w:ind w:firstLine="720"/>
      </w:pPr>
      <w:r>
        <w:t>4.1.4</w:t>
      </w:r>
      <w:r>
        <w:tab/>
        <w:t>respond to any enquiries about the Services as soon as reasonably possible</w:t>
      </w:r>
    </w:p>
    <w:p w14:paraId="4F083012" w14:textId="77777777" w:rsidR="009772B5" w:rsidRDefault="009772B5"/>
    <w:p w14:paraId="4F083013" w14:textId="77777777" w:rsidR="009772B5" w:rsidRDefault="00480D15">
      <w:pPr>
        <w:ind w:firstLine="720"/>
      </w:pPr>
      <w:r>
        <w:t>4.1.5</w:t>
      </w:r>
      <w:r>
        <w:tab/>
        <w:t>complete any necessary Supplier Staff vetting as specified by the Buyer</w:t>
      </w:r>
    </w:p>
    <w:p w14:paraId="4F083014" w14:textId="77777777" w:rsidR="009772B5" w:rsidRDefault="009772B5"/>
    <w:p w14:paraId="4F083015" w14:textId="77777777" w:rsidR="009772B5" w:rsidRDefault="00480D15">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4F083016" w14:textId="77777777" w:rsidR="009772B5" w:rsidRDefault="009772B5">
      <w:pPr>
        <w:ind w:firstLine="720"/>
      </w:pPr>
    </w:p>
    <w:p w14:paraId="4F083017" w14:textId="77777777" w:rsidR="009772B5" w:rsidRDefault="00480D1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4F083018" w14:textId="77777777" w:rsidR="009772B5" w:rsidRDefault="009772B5">
      <w:pPr>
        <w:ind w:firstLine="720"/>
      </w:pPr>
    </w:p>
    <w:p w14:paraId="4F083019" w14:textId="77777777" w:rsidR="009772B5" w:rsidRDefault="00480D15">
      <w:pPr>
        <w:ind w:left="720" w:hanging="720"/>
      </w:pPr>
      <w:r>
        <w:t>4.4</w:t>
      </w:r>
      <w:r>
        <w:tab/>
        <w:t>The Buyer may conduct IR35 Assessments using the ESI tool to assess whether the Supplier’s engagement under the Call-Off Contract is Inside or Outside IR35.</w:t>
      </w:r>
    </w:p>
    <w:p w14:paraId="4F08301A" w14:textId="77777777" w:rsidR="009772B5" w:rsidRDefault="009772B5">
      <w:pPr>
        <w:ind w:firstLine="720"/>
      </w:pPr>
    </w:p>
    <w:p w14:paraId="4F08301B" w14:textId="77777777" w:rsidR="009772B5" w:rsidRDefault="00480D15">
      <w:pPr>
        <w:ind w:left="720" w:hanging="720"/>
      </w:pPr>
      <w:r>
        <w:t>4.5</w:t>
      </w:r>
      <w:r>
        <w:tab/>
        <w:t>The Buyer may End this Call-Off Contract for Material Breach as per clause 18.5 hereunder if the Supplier is delivering the Services Inside IR35.</w:t>
      </w:r>
    </w:p>
    <w:p w14:paraId="4F08301C" w14:textId="77777777" w:rsidR="009772B5" w:rsidRDefault="009772B5">
      <w:pPr>
        <w:ind w:firstLine="720"/>
      </w:pPr>
    </w:p>
    <w:p w14:paraId="4F08301D" w14:textId="77777777" w:rsidR="009772B5" w:rsidRDefault="00480D1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F08301E" w14:textId="77777777" w:rsidR="009772B5" w:rsidRDefault="009772B5">
      <w:pPr>
        <w:ind w:left="720"/>
      </w:pPr>
    </w:p>
    <w:p w14:paraId="4F08301F" w14:textId="77777777" w:rsidR="009772B5" w:rsidRDefault="00480D1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F083020" w14:textId="77777777" w:rsidR="009772B5" w:rsidRDefault="009772B5">
      <w:pPr>
        <w:ind w:left="720"/>
      </w:pPr>
    </w:p>
    <w:p w14:paraId="4F083021" w14:textId="77777777" w:rsidR="009772B5" w:rsidRDefault="00480D15">
      <w:pPr>
        <w:ind w:left="720" w:hanging="720"/>
      </w:pPr>
      <w:r>
        <w:t>4.8</w:t>
      </w:r>
      <w:r>
        <w:tab/>
        <w:t>If it is determined by the Buyer that the Supplier is Outside IR35, the Buyer will provide the ESI reference number and a copy of the PDF to the Supplier.</w:t>
      </w:r>
    </w:p>
    <w:p w14:paraId="4F083022" w14:textId="77777777" w:rsidR="009772B5" w:rsidRDefault="009772B5">
      <w:pPr>
        <w:spacing w:before="240" w:after="240"/>
        <w:ind w:left="720"/>
      </w:pPr>
    </w:p>
    <w:p w14:paraId="4F083023" w14:textId="77777777" w:rsidR="009772B5" w:rsidRDefault="00480D15">
      <w:pPr>
        <w:pStyle w:val="Heading3"/>
        <w:spacing w:after="100"/>
      </w:pPr>
      <w:r>
        <w:t>5.</w:t>
      </w:r>
      <w:r>
        <w:tab/>
        <w:t>Due diligence</w:t>
      </w:r>
    </w:p>
    <w:p w14:paraId="4F083024" w14:textId="77777777" w:rsidR="009772B5" w:rsidRDefault="00480D15">
      <w:pPr>
        <w:spacing w:before="240" w:after="120"/>
      </w:pPr>
      <w:r>
        <w:t xml:space="preserve"> 5.1</w:t>
      </w:r>
      <w:r>
        <w:tab/>
        <w:t xml:space="preserve">Both Parties agree that when </w:t>
      </w:r>
      <w:proofErr w:type="gramStart"/>
      <w:r>
        <w:t>entering into</w:t>
      </w:r>
      <w:proofErr w:type="gramEnd"/>
      <w:r>
        <w:t xml:space="preserve"> a Call-Off Contract they:</w:t>
      </w:r>
    </w:p>
    <w:p w14:paraId="4F083025" w14:textId="77777777" w:rsidR="009772B5" w:rsidRDefault="00480D15">
      <w:pPr>
        <w:spacing w:after="120"/>
        <w:ind w:left="1440" w:hanging="720"/>
      </w:pPr>
      <w:r>
        <w:t>5.1.1</w:t>
      </w:r>
      <w:r>
        <w:tab/>
        <w:t>have made their own enquiries and are satisfied by the accuracy of any information supplied by the other Party</w:t>
      </w:r>
    </w:p>
    <w:p w14:paraId="4F083026" w14:textId="77777777" w:rsidR="009772B5" w:rsidRDefault="00480D15">
      <w:pPr>
        <w:spacing w:after="120"/>
        <w:ind w:left="1440" w:hanging="720"/>
      </w:pPr>
      <w:r>
        <w:t>5.1.2</w:t>
      </w:r>
      <w:r>
        <w:tab/>
        <w:t>are confident that they can fulfil their obligations according to the Call-Off Contract terms</w:t>
      </w:r>
    </w:p>
    <w:p w14:paraId="4F083027" w14:textId="77777777" w:rsidR="009772B5" w:rsidRDefault="00480D15">
      <w:pPr>
        <w:spacing w:after="120"/>
        <w:ind w:firstLine="720"/>
      </w:pPr>
      <w:r>
        <w:t>5.1.3</w:t>
      </w:r>
      <w:r>
        <w:tab/>
        <w:t>have raised all due diligence questions before signing the Call-Off Contract</w:t>
      </w:r>
    </w:p>
    <w:p w14:paraId="4F083028" w14:textId="77777777" w:rsidR="009772B5" w:rsidRDefault="00480D15">
      <w:pPr>
        <w:ind w:firstLine="720"/>
      </w:pPr>
      <w:r>
        <w:t>5.1.4</w:t>
      </w:r>
      <w:r>
        <w:tab/>
        <w:t xml:space="preserve">have </w:t>
      </w:r>
      <w:proofErr w:type="gramStart"/>
      <w:r>
        <w:t>entered into</w:t>
      </w:r>
      <w:proofErr w:type="gramEnd"/>
      <w:r>
        <w:t xml:space="preserve"> the Call-Off Contract relying on its own due diligence</w:t>
      </w:r>
    </w:p>
    <w:p w14:paraId="4F083029" w14:textId="77777777" w:rsidR="009772B5" w:rsidRDefault="009772B5">
      <w:pPr>
        <w:spacing w:before="240"/>
      </w:pPr>
    </w:p>
    <w:p w14:paraId="4F08302A" w14:textId="77777777" w:rsidR="009772B5" w:rsidRDefault="00480D15">
      <w:pPr>
        <w:pStyle w:val="Heading3"/>
        <w:spacing w:after="100"/>
      </w:pPr>
      <w:r>
        <w:t xml:space="preserve">6. </w:t>
      </w:r>
      <w:r>
        <w:tab/>
        <w:t>Business continuity and disaster recovery</w:t>
      </w:r>
    </w:p>
    <w:p w14:paraId="4F08302B" w14:textId="77777777" w:rsidR="009772B5" w:rsidRDefault="00480D15">
      <w:pPr>
        <w:ind w:left="720" w:hanging="720"/>
      </w:pPr>
      <w:r>
        <w:t>6.1</w:t>
      </w:r>
      <w:r>
        <w:tab/>
        <w:t>The Supplier will have a clear business continuity and disaster recovery plan in their service descriptions.</w:t>
      </w:r>
    </w:p>
    <w:p w14:paraId="4F08302C" w14:textId="77777777" w:rsidR="009772B5" w:rsidRDefault="009772B5"/>
    <w:p w14:paraId="4F08302D" w14:textId="77777777" w:rsidR="009772B5" w:rsidRDefault="00480D15">
      <w:pPr>
        <w:ind w:left="720" w:hanging="720"/>
      </w:pPr>
      <w:r>
        <w:t>6.2</w:t>
      </w:r>
      <w:r>
        <w:tab/>
        <w:t>The Supplier’s business continuity and disaster recovery services are part of the Services and will be performed by the Supplier when required.</w:t>
      </w:r>
    </w:p>
    <w:p w14:paraId="4F08302E" w14:textId="77777777" w:rsidR="009772B5" w:rsidRDefault="00480D15">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F08302F" w14:textId="77777777" w:rsidR="009772B5" w:rsidRDefault="009772B5"/>
    <w:p w14:paraId="4F083030" w14:textId="77777777" w:rsidR="009772B5" w:rsidRDefault="00480D15">
      <w:pPr>
        <w:pStyle w:val="Heading3"/>
        <w:spacing w:after="100"/>
      </w:pPr>
      <w:r>
        <w:t>7.</w:t>
      </w:r>
      <w:r>
        <w:tab/>
        <w:t>Payment, VAT and Call-Off Contract charges</w:t>
      </w:r>
    </w:p>
    <w:p w14:paraId="4F083031" w14:textId="77777777" w:rsidR="009772B5" w:rsidRDefault="00480D15">
      <w:pPr>
        <w:spacing w:after="120"/>
        <w:ind w:left="720" w:hanging="720"/>
      </w:pPr>
      <w:r>
        <w:t>7.1</w:t>
      </w:r>
      <w:r>
        <w:tab/>
        <w:t>The Buyer must pay the Charges following clauses 7.2 to 7.11 for the Supplier’s delivery of the Services.</w:t>
      </w:r>
    </w:p>
    <w:p w14:paraId="4F083032" w14:textId="77777777" w:rsidR="009772B5" w:rsidRDefault="00480D15">
      <w:pPr>
        <w:ind w:left="720" w:hanging="720"/>
      </w:pPr>
      <w:r>
        <w:t>7.2</w:t>
      </w:r>
      <w:r>
        <w:tab/>
        <w:t>The Buyer will pay the Supplier within the number of days specified in the Order Form on receipt of a valid invoice.</w:t>
      </w:r>
    </w:p>
    <w:p w14:paraId="4F083033" w14:textId="77777777" w:rsidR="009772B5" w:rsidRDefault="00480D15">
      <w:pPr>
        <w:spacing w:after="120"/>
        <w:ind w:left="720" w:hanging="720"/>
      </w:pPr>
      <w:r>
        <w:t>7.3</w:t>
      </w:r>
      <w:r>
        <w:tab/>
        <w:t>The Call-Off Contract Charges include all Charges for payment Processing. All invoices submitted to the Buyer for the Services will be exclusive of any Management Charge.</w:t>
      </w:r>
    </w:p>
    <w:p w14:paraId="4F083034" w14:textId="77777777" w:rsidR="009772B5" w:rsidRDefault="00480D1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F083035" w14:textId="77777777" w:rsidR="009772B5" w:rsidRDefault="00480D1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F083036" w14:textId="77777777" w:rsidR="009772B5" w:rsidRDefault="00480D15">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F083037" w14:textId="77777777" w:rsidR="009772B5" w:rsidRDefault="00480D15">
      <w:pPr>
        <w:spacing w:after="120"/>
      </w:pPr>
      <w:r>
        <w:t>7.7</w:t>
      </w:r>
      <w:r>
        <w:tab/>
        <w:t>All Charges payable by the Buyer to the Supplier will include VAT at the appropriate Rate.</w:t>
      </w:r>
    </w:p>
    <w:p w14:paraId="4F083038" w14:textId="77777777" w:rsidR="009772B5" w:rsidRDefault="00480D15">
      <w:pPr>
        <w:spacing w:after="120"/>
        <w:ind w:left="720" w:hanging="720"/>
      </w:pPr>
      <w:r>
        <w:t>7.8</w:t>
      </w:r>
      <w:r>
        <w:tab/>
        <w:t>The Supplier must add VAT to the Charges at the appropriate rate with visibility of the amount as a separate line item.</w:t>
      </w:r>
    </w:p>
    <w:p w14:paraId="4F083039" w14:textId="77777777" w:rsidR="009772B5" w:rsidRDefault="00480D15">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F08303A" w14:textId="77777777" w:rsidR="009772B5" w:rsidRDefault="00480D1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F08303B" w14:textId="77777777" w:rsidR="009772B5" w:rsidRDefault="00480D1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F08303C" w14:textId="77777777" w:rsidR="009772B5" w:rsidRDefault="00480D1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F08303D" w14:textId="77777777" w:rsidR="009772B5" w:rsidRDefault="009772B5">
      <w:pPr>
        <w:ind w:left="720"/>
      </w:pPr>
    </w:p>
    <w:p w14:paraId="4F08303E" w14:textId="77777777" w:rsidR="009772B5" w:rsidRDefault="00480D15">
      <w:pPr>
        <w:pStyle w:val="Heading3"/>
      </w:pPr>
      <w:r>
        <w:t>8.</w:t>
      </w:r>
      <w:r>
        <w:tab/>
        <w:t>Recovery of sums due and right of set-off</w:t>
      </w:r>
    </w:p>
    <w:p w14:paraId="4F08303F" w14:textId="77777777" w:rsidR="009772B5" w:rsidRDefault="00480D15">
      <w:pPr>
        <w:spacing w:before="240" w:after="240"/>
        <w:ind w:left="720" w:hanging="720"/>
      </w:pPr>
      <w:r>
        <w:t>8.1</w:t>
      </w:r>
      <w:r>
        <w:tab/>
        <w:t>If a Supplier owes money to the Buyer, the Buyer may deduct that sum from the Call-Off Contract Charges.</w:t>
      </w:r>
    </w:p>
    <w:p w14:paraId="4F083040" w14:textId="77777777" w:rsidR="009772B5" w:rsidRDefault="009772B5">
      <w:pPr>
        <w:spacing w:before="240" w:after="240"/>
        <w:ind w:left="720" w:hanging="720"/>
      </w:pPr>
    </w:p>
    <w:p w14:paraId="4F083041" w14:textId="77777777" w:rsidR="009772B5" w:rsidRDefault="00480D15">
      <w:pPr>
        <w:pStyle w:val="Heading3"/>
      </w:pPr>
      <w:r>
        <w:t>9.</w:t>
      </w:r>
      <w:r>
        <w:tab/>
        <w:t>Insurance</w:t>
      </w:r>
    </w:p>
    <w:p w14:paraId="4F083042" w14:textId="77777777" w:rsidR="009772B5" w:rsidRDefault="00480D15">
      <w:pPr>
        <w:spacing w:before="240" w:after="240"/>
        <w:ind w:left="660" w:hanging="660"/>
      </w:pPr>
      <w:r>
        <w:t>9.1</w:t>
      </w:r>
      <w:r>
        <w:tab/>
        <w:t>The Supplier will maintain the insurances required by the Buyer including those in this clause.</w:t>
      </w:r>
    </w:p>
    <w:p w14:paraId="4F083043" w14:textId="77777777" w:rsidR="009772B5" w:rsidRDefault="00480D15">
      <w:r>
        <w:t>9.2</w:t>
      </w:r>
      <w:r>
        <w:tab/>
        <w:t>The Supplier will ensure that:</w:t>
      </w:r>
    </w:p>
    <w:p w14:paraId="4F083044" w14:textId="77777777" w:rsidR="009772B5" w:rsidRDefault="009772B5"/>
    <w:p w14:paraId="4F083045" w14:textId="77777777" w:rsidR="009772B5" w:rsidRDefault="00480D1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F083046" w14:textId="77777777" w:rsidR="009772B5" w:rsidRDefault="009772B5">
      <w:pPr>
        <w:ind w:firstLine="720"/>
      </w:pPr>
    </w:p>
    <w:p w14:paraId="4F083047" w14:textId="77777777" w:rsidR="009772B5" w:rsidRDefault="00480D15">
      <w:pPr>
        <w:ind w:left="1440" w:hanging="720"/>
      </w:pPr>
      <w:r>
        <w:t>9.2.2</w:t>
      </w:r>
      <w:r>
        <w:tab/>
        <w:t>the third-party public and products liability insurance contains an ‘indemnity to principals’ clause for the Buyer’s benefit</w:t>
      </w:r>
    </w:p>
    <w:p w14:paraId="4F083048" w14:textId="77777777" w:rsidR="009772B5" w:rsidRDefault="009772B5">
      <w:pPr>
        <w:ind w:firstLine="720"/>
      </w:pPr>
    </w:p>
    <w:p w14:paraId="4F083049" w14:textId="77777777" w:rsidR="009772B5" w:rsidRDefault="00480D1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F08304A" w14:textId="77777777" w:rsidR="009772B5" w:rsidRDefault="009772B5">
      <w:pPr>
        <w:ind w:firstLine="720"/>
      </w:pPr>
    </w:p>
    <w:p w14:paraId="4F08304B" w14:textId="77777777" w:rsidR="009772B5" w:rsidRDefault="00480D1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F08304C" w14:textId="77777777" w:rsidR="009772B5" w:rsidRDefault="009772B5">
      <w:pPr>
        <w:ind w:left="720"/>
      </w:pPr>
    </w:p>
    <w:p w14:paraId="4F08304D" w14:textId="77777777" w:rsidR="009772B5" w:rsidRDefault="00480D15">
      <w:pPr>
        <w:ind w:left="720" w:hanging="720"/>
      </w:pPr>
      <w:r>
        <w:t>9.3</w:t>
      </w:r>
      <w:r>
        <w:tab/>
        <w:t>If requested by the Buyer, the Supplier will obtain additional insurance policies, or extend existing policies bought under the Framework Agreement.</w:t>
      </w:r>
    </w:p>
    <w:p w14:paraId="4F08304E" w14:textId="77777777" w:rsidR="009772B5" w:rsidRDefault="009772B5">
      <w:pPr>
        <w:ind w:left="720" w:firstLine="720"/>
      </w:pPr>
    </w:p>
    <w:p w14:paraId="4F08304F" w14:textId="77777777" w:rsidR="009772B5" w:rsidRDefault="00480D15">
      <w:pPr>
        <w:ind w:left="720" w:hanging="720"/>
      </w:pPr>
      <w:r>
        <w:t>9.4</w:t>
      </w:r>
      <w:r>
        <w:tab/>
        <w:t>If requested by the Buyer, the Supplier will provide the following to show compliance with this clause:</w:t>
      </w:r>
    </w:p>
    <w:p w14:paraId="4F083050" w14:textId="77777777" w:rsidR="009772B5" w:rsidRDefault="009772B5">
      <w:pPr>
        <w:ind w:firstLine="720"/>
      </w:pPr>
    </w:p>
    <w:p w14:paraId="4F083051" w14:textId="77777777" w:rsidR="009772B5" w:rsidRDefault="00480D15">
      <w:pPr>
        <w:ind w:firstLine="720"/>
      </w:pPr>
      <w:r>
        <w:t>9.4.1</w:t>
      </w:r>
      <w:r>
        <w:tab/>
        <w:t>a broker's verification of insurance</w:t>
      </w:r>
    </w:p>
    <w:p w14:paraId="4F083052" w14:textId="77777777" w:rsidR="009772B5" w:rsidRDefault="009772B5">
      <w:pPr>
        <w:ind w:firstLine="720"/>
      </w:pPr>
    </w:p>
    <w:p w14:paraId="4F083053" w14:textId="77777777" w:rsidR="009772B5" w:rsidRDefault="00480D15">
      <w:pPr>
        <w:ind w:firstLine="720"/>
      </w:pPr>
      <w:r>
        <w:t>9.4.2</w:t>
      </w:r>
      <w:r>
        <w:tab/>
        <w:t>receipts for the insurance premium</w:t>
      </w:r>
    </w:p>
    <w:p w14:paraId="4F083054" w14:textId="77777777" w:rsidR="009772B5" w:rsidRDefault="009772B5">
      <w:pPr>
        <w:ind w:firstLine="720"/>
      </w:pPr>
    </w:p>
    <w:p w14:paraId="4F083055" w14:textId="77777777" w:rsidR="009772B5" w:rsidRDefault="00480D15">
      <w:pPr>
        <w:ind w:firstLine="720"/>
      </w:pPr>
      <w:r>
        <w:t>9.4.3</w:t>
      </w:r>
      <w:r>
        <w:tab/>
        <w:t>evidence of payment of the latest premiums due</w:t>
      </w:r>
    </w:p>
    <w:p w14:paraId="4F083056" w14:textId="77777777" w:rsidR="009772B5" w:rsidRDefault="009772B5">
      <w:pPr>
        <w:ind w:firstLine="720"/>
      </w:pPr>
    </w:p>
    <w:p w14:paraId="4F083057" w14:textId="77777777" w:rsidR="009772B5" w:rsidRDefault="00480D15">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F083058" w14:textId="77777777" w:rsidR="009772B5" w:rsidRDefault="009772B5">
      <w:pPr>
        <w:ind w:firstLine="720"/>
      </w:pPr>
    </w:p>
    <w:p w14:paraId="4F083059" w14:textId="77777777" w:rsidR="009772B5" w:rsidRDefault="00480D15">
      <w:pPr>
        <w:ind w:left="1440" w:hanging="720"/>
      </w:pPr>
      <w:r>
        <w:t>9.5.1</w:t>
      </w:r>
      <w:r>
        <w:tab/>
        <w:t>take all risk control measures using Good Industry Practice, including the investigation and reports of claims to insurers</w:t>
      </w:r>
    </w:p>
    <w:p w14:paraId="4F08305A" w14:textId="77777777" w:rsidR="009772B5" w:rsidRDefault="009772B5">
      <w:pPr>
        <w:ind w:left="720" w:firstLine="720"/>
      </w:pPr>
    </w:p>
    <w:p w14:paraId="4F08305B" w14:textId="77777777" w:rsidR="009772B5" w:rsidRDefault="00480D15">
      <w:pPr>
        <w:ind w:left="1440" w:hanging="720"/>
      </w:pPr>
      <w:r>
        <w:t>9.5.2</w:t>
      </w:r>
      <w:r>
        <w:tab/>
        <w:t>promptly notify the insurers in writing of any relevant material fact under any Insurances</w:t>
      </w:r>
    </w:p>
    <w:p w14:paraId="4F08305C" w14:textId="77777777" w:rsidR="009772B5" w:rsidRDefault="009772B5">
      <w:pPr>
        <w:ind w:firstLine="720"/>
      </w:pPr>
    </w:p>
    <w:p w14:paraId="4F08305D" w14:textId="77777777" w:rsidR="009772B5" w:rsidRDefault="00480D15">
      <w:pPr>
        <w:ind w:left="1440" w:hanging="720"/>
      </w:pPr>
      <w:r>
        <w:t>9.5.3</w:t>
      </w:r>
      <w:r>
        <w:tab/>
        <w:t>hold all insurance policies and require any broker arranging the insurance to hold any insurance slips and other evidence of insurance</w:t>
      </w:r>
    </w:p>
    <w:p w14:paraId="4F08305E" w14:textId="77777777" w:rsidR="009772B5" w:rsidRDefault="00480D15">
      <w:r>
        <w:t xml:space="preserve"> </w:t>
      </w:r>
    </w:p>
    <w:p w14:paraId="4F08305F" w14:textId="77777777" w:rsidR="009772B5" w:rsidRDefault="00480D15">
      <w:pPr>
        <w:ind w:left="720" w:hanging="720"/>
      </w:pPr>
      <w:r>
        <w:t>9.6</w:t>
      </w:r>
      <w:r>
        <w:tab/>
        <w:t>The Supplier will not do or omit to do anything, which would destroy or impair the legal validity of the insurance.</w:t>
      </w:r>
    </w:p>
    <w:p w14:paraId="4F083060" w14:textId="77777777" w:rsidR="009772B5" w:rsidRDefault="009772B5">
      <w:pPr>
        <w:ind w:firstLine="720"/>
      </w:pPr>
    </w:p>
    <w:p w14:paraId="4F083061" w14:textId="77777777" w:rsidR="009772B5" w:rsidRDefault="00480D15">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4F083062" w14:textId="77777777" w:rsidR="009772B5" w:rsidRDefault="009772B5">
      <w:pPr>
        <w:ind w:firstLine="720"/>
      </w:pPr>
    </w:p>
    <w:p w14:paraId="4F083063" w14:textId="77777777" w:rsidR="009772B5" w:rsidRDefault="00480D15">
      <w:r>
        <w:t>9.8</w:t>
      </w:r>
      <w:r>
        <w:tab/>
        <w:t>The Supplier will be liable for the payment of any:</w:t>
      </w:r>
    </w:p>
    <w:p w14:paraId="4F083064" w14:textId="77777777" w:rsidR="009772B5" w:rsidRDefault="009772B5"/>
    <w:p w14:paraId="4F083065" w14:textId="77777777" w:rsidR="009772B5" w:rsidRDefault="00480D15">
      <w:pPr>
        <w:ind w:firstLine="720"/>
      </w:pPr>
      <w:r>
        <w:t>9.8.1</w:t>
      </w:r>
      <w:r>
        <w:tab/>
        <w:t>premiums, which it will pay promptly</w:t>
      </w:r>
    </w:p>
    <w:p w14:paraId="4F083066" w14:textId="77777777" w:rsidR="009772B5" w:rsidRDefault="00480D15">
      <w:pPr>
        <w:ind w:firstLine="720"/>
      </w:pPr>
      <w:r>
        <w:t>9.8.2</w:t>
      </w:r>
      <w:r>
        <w:tab/>
        <w:t>excess or deductibles and will not be entitled to recover this from the Buyer</w:t>
      </w:r>
    </w:p>
    <w:p w14:paraId="4F083067" w14:textId="77777777" w:rsidR="009772B5" w:rsidRDefault="009772B5">
      <w:pPr>
        <w:ind w:firstLine="720"/>
      </w:pPr>
    </w:p>
    <w:p w14:paraId="4F083068" w14:textId="77777777" w:rsidR="009772B5" w:rsidRDefault="00480D15">
      <w:pPr>
        <w:pStyle w:val="Heading3"/>
        <w:spacing w:after="100"/>
      </w:pPr>
      <w:r>
        <w:t>10.</w:t>
      </w:r>
      <w:r>
        <w:tab/>
        <w:t>Confidentiality</w:t>
      </w:r>
    </w:p>
    <w:p w14:paraId="4F083069" w14:textId="77777777" w:rsidR="009772B5" w:rsidRDefault="00480D1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F08306A" w14:textId="77777777" w:rsidR="009772B5" w:rsidRDefault="009772B5">
      <w:pPr>
        <w:ind w:left="720" w:hanging="720"/>
      </w:pPr>
    </w:p>
    <w:p w14:paraId="4F08306B" w14:textId="77777777" w:rsidR="009772B5" w:rsidRDefault="00480D15">
      <w:pPr>
        <w:pStyle w:val="Heading3"/>
        <w:spacing w:after="100"/>
      </w:pPr>
      <w:r>
        <w:t>11.</w:t>
      </w:r>
      <w:r>
        <w:tab/>
        <w:t>Intellectual Property Rights</w:t>
      </w:r>
    </w:p>
    <w:p w14:paraId="4F08306C" w14:textId="77777777" w:rsidR="009772B5" w:rsidRDefault="00480D15">
      <w:pPr>
        <w:ind w:left="720" w:hanging="720"/>
      </w:pPr>
      <w:r>
        <w:t>11.1</w:t>
      </w:r>
      <w:r>
        <w:tab/>
        <w:t>Unless otherwise specified in this Call-Off Contract, a Party will not acquire any right, title or interest in or to the Intellectual Property Rights (IPRs) of the other Party or its Licensors.</w:t>
      </w:r>
    </w:p>
    <w:p w14:paraId="4F08306D" w14:textId="77777777" w:rsidR="009772B5" w:rsidRDefault="009772B5">
      <w:pPr>
        <w:ind w:left="720"/>
      </w:pPr>
    </w:p>
    <w:p w14:paraId="4F08306E" w14:textId="77777777" w:rsidR="009772B5" w:rsidRDefault="00480D1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F08306F" w14:textId="77777777" w:rsidR="009772B5" w:rsidRDefault="009772B5">
      <w:pPr>
        <w:ind w:left="720"/>
      </w:pPr>
    </w:p>
    <w:p w14:paraId="4F083070" w14:textId="77777777" w:rsidR="009772B5" w:rsidRDefault="00480D1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F083071" w14:textId="77777777" w:rsidR="009772B5" w:rsidRDefault="009772B5">
      <w:pPr>
        <w:ind w:left="720"/>
      </w:pPr>
    </w:p>
    <w:p w14:paraId="4F083072" w14:textId="77777777" w:rsidR="009772B5" w:rsidRDefault="00480D1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F083073" w14:textId="77777777" w:rsidR="009772B5" w:rsidRDefault="009772B5">
      <w:pPr>
        <w:ind w:left="720"/>
      </w:pPr>
    </w:p>
    <w:p w14:paraId="4F083074" w14:textId="77777777" w:rsidR="009772B5" w:rsidRDefault="00480D1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F083075" w14:textId="77777777" w:rsidR="009772B5" w:rsidRDefault="009772B5">
      <w:pPr>
        <w:ind w:firstLine="720"/>
      </w:pPr>
    </w:p>
    <w:p w14:paraId="4F083076" w14:textId="77777777" w:rsidR="009772B5" w:rsidRDefault="00480D15">
      <w:pPr>
        <w:ind w:firstLine="720"/>
      </w:pPr>
      <w:r>
        <w:t>11.5.1</w:t>
      </w:r>
      <w:r>
        <w:tab/>
        <w:t>rights granted to the Buyer under this Call-Off Contract</w:t>
      </w:r>
    </w:p>
    <w:p w14:paraId="4F083077" w14:textId="77777777" w:rsidR="009772B5" w:rsidRDefault="009772B5"/>
    <w:p w14:paraId="4F083078" w14:textId="77777777" w:rsidR="009772B5" w:rsidRDefault="00480D15">
      <w:pPr>
        <w:ind w:firstLine="720"/>
      </w:pPr>
      <w:r>
        <w:t>11.5.2</w:t>
      </w:r>
      <w:r>
        <w:tab/>
        <w:t>Supplier’s performance of the Services</w:t>
      </w:r>
    </w:p>
    <w:p w14:paraId="4F083079" w14:textId="77777777" w:rsidR="009772B5" w:rsidRDefault="009772B5">
      <w:pPr>
        <w:ind w:firstLine="720"/>
      </w:pPr>
    </w:p>
    <w:p w14:paraId="4F08307A" w14:textId="77777777" w:rsidR="009772B5" w:rsidRDefault="00480D15">
      <w:pPr>
        <w:ind w:firstLine="720"/>
      </w:pPr>
      <w:r>
        <w:t>11.5.3</w:t>
      </w:r>
      <w:r>
        <w:tab/>
        <w:t>use by the Buyer of the Services</w:t>
      </w:r>
    </w:p>
    <w:p w14:paraId="4F08307B" w14:textId="77777777" w:rsidR="009772B5" w:rsidRDefault="009772B5">
      <w:pPr>
        <w:ind w:firstLine="720"/>
      </w:pPr>
    </w:p>
    <w:p w14:paraId="4F08307C" w14:textId="77777777" w:rsidR="009772B5" w:rsidRDefault="00480D15">
      <w:pPr>
        <w:ind w:left="720" w:hanging="720"/>
      </w:pPr>
      <w:r>
        <w:t>11.6</w:t>
      </w:r>
      <w:r>
        <w:tab/>
        <w:t>If an IPR Claim is made, or is likely to be made, the Supplier will immediately notify the Buyer in writing and must at its own expense after written approval from the Buyer, either:</w:t>
      </w:r>
    </w:p>
    <w:p w14:paraId="4F08307D" w14:textId="77777777" w:rsidR="009772B5" w:rsidRDefault="009772B5">
      <w:pPr>
        <w:ind w:firstLine="720"/>
      </w:pPr>
    </w:p>
    <w:p w14:paraId="4F08307E" w14:textId="77777777" w:rsidR="009772B5" w:rsidRDefault="00480D15">
      <w:pPr>
        <w:ind w:left="1440" w:hanging="720"/>
      </w:pPr>
      <w:r>
        <w:t>11.6.1</w:t>
      </w:r>
      <w:r>
        <w:tab/>
        <w:t>modify the relevant part of the Services without reducing its functionality or performance</w:t>
      </w:r>
    </w:p>
    <w:p w14:paraId="4F08307F" w14:textId="77777777" w:rsidR="009772B5" w:rsidRDefault="009772B5">
      <w:pPr>
        <w:ind w:left="720" w:firstLine="720"/>
      </w:pPr>
    </w:p>
    <w:p w14:paraId="4F083080" w14:textId="77777777" w:rsidR="009772B5" w:rsidRDefault="00480D15">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4F083081" w14:textId="77777777" w:rsidR="009772B5" w:rsidRDefault="009772B5">
      <w:pPr>
        <w:ind w:left="1440"/>
      </w:pPr>
    </w:p>
    <w:p w14:paraId="4F083082" w14:textId="77777777" w:rsidR="009772B5" w:rsidRDefault="00480D15">
      <w:pPr>
        <w:ind w:left="1440" w:hanging="720"/>
      </w:pPr>
      <w:r>
        <w:t>11.6.3</w:t>
      </w:r>
      <w:r>
        <w:tab/>
        <w:t>buy a licence to use and supply the Services which are the subject of the alleged infringement, on terms acceptable to the Buyer</w:t>
      </w:r>
    </w:p>
    <w:p w14:paraId="4F083083" w14:textId="77777777" w:rsidR="009772B5" w:rsidRDefault="009772B5">
      <w:pPr>
        <w:ind w:left="720" w:firstLine="720"/>
      </w:pPr>
    </w:p>
    <w:p w14:paraId="4F083084" w14:textId="77777777" w:rsidR="009772B5" w:rsidRDefault="00480D15">
      <w:r>
        <w:t>11.7</w:t>
      </w:r>
      <w:r>
        <w:tab/>
        <w:t>Clause 11.5 will not apply if the IPR Claim is from:</w:t>
      </w:r>
    </w:p>
    <w:p w14:paraId="4F083085" w14:textId="77777777" w:rsidR="009772B5" w:rsidRDefault="009772B5"/>
    <w:p w14:paraId="4F083086" w14:textId="77777777" w:rsidR="009772B5" w:rsidRDefault="00480D15">
      <w:pPr>
        <w:ind w:left="1440" w:hanging="720"/>
      </w:pPr>
      <w:r>
        <w:t>11.7.2</w:t>
      </w:r>
      <w:r>
        <w:tab/>
        <w:t>the use of data supplied by the Buyer which the Supplier isn’t required to verify under this Call-Off Contract</w:t>
      </w:r>
    </w:p>
    <w:p w14:paraId="4F083087" w14:textId="77777777" w:rsidR="009772B5" w:rsidRDefault="009772B5">
      <w:pPr>
        <w:ind w:left="720" w:firstLine="720"/>
      </w:pPr>
    </w:p>
    <w:p w14:paraId="4F083088" w14:textId="77777777" w:rsidR="009772B5" w:rsidRDefault="00480D15">
      <w:pPr>
        <w:ind w:firstLine="720"/>
      </w:pPr>
      <w:r>
        <w:t>11.7.3</w:t>
      </w:r>
      <w:r>
        <w:tab/>
        <w:t>other material provided by the Buyer necessary for the Services</w:t>
      </w:r>
    </w:p>
    <w:p w14:paraId="4F083089" w14:textId="77777777" w:rsidR="009772B5" w:rsidRDefault="009772B5">
      <w:pPr>
        <w:ind w:firstLine="720"/>
      </w:pPr>
    </w:p>
    <w:p w14:paraId="4F08308A" w14:textId="77777777" w:rsidR="009772B5" w:rsidRDefault="00480D1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F08308B" w14:textId="77777777" w:rsidR="009772B5" w:rsidRDefault="009772B5">
      <w:pPr>
        <w:ind w:left="720" w:hanging="720"/>
      </w:pPr>
    </w:p>
    <w:p w14:paraId="4F08308C" w14:textId="77777777" w:rsidR="009772B5" w:rsidRDefault="00480D15">
      <w:pPr>
        <w:pStyle w:val="Heading3"/>
      </w:pPr>
      <w:r>
        <w:t>12.</w:t>
      </w:r>
      <w:r>
        <w:tab/>
        <w:t>Protection of information</w:t>
      </w:r>
    </w:p>
    <w:p w14:paraId="4F08308D" w14:textId="77777777" w:rsidR="009772B5" w:rsidRDefault="00480D15">
      <w:pPr>
        <w:spacing w:before="240" w:after="240"/>
      </w:pPr>
      <w:r>
        <w:t>12.1</w:t>
      </w:r>
      <w:r>
        <w:tab/>
        <w:t>The Supplier must:</w:t>
      </w:r>
    </w:p>
    <w:p w14:paraId="4F08308E" w14:textId="77777777" w:rsidR="009772B5" w:rsidRDefault="00480D15">
      <w:pPr>
        <w:ind w:left="1440" w:hanging="720"/>
      </w:pPr>
      <w:r>
        <w:t>12.1.1</w:t>
      </w:r>
      <w:r>
        <w:tab/>
        <w:t>comply with the Buyer’s written instructions and this Call-Off Contract when Processing Buyer Personal Data</w:t>
      </w:r>
    </w:p>
    <w:p w14:paraId="4F08308F" w14:textId="77777777" w:rsidR="009772B5" w:rsidRDefault="009772B5">
      <w:pPr>
        <w:ind w:left="720" w:firstLine="720"/>
      </w:pPr>
    </w:p>
    <w:p w14:paraId="4F083090" w14:textId="77777777" w:rsidR="009772B5" w:rsidRDefault="00480D15">
      <w:pPr>
        <w:ind w:left="1440" w:hanging="720"/>
      </w:pPr>
      <w:r>
        <w:t>12.1.2</w:t>
      </w:r>
      <w:r>
        <w:tab/>
        <w:t>only Process the Buyer Personal Data as necessary for the provision of the G-Cloud Services or as required by Law or any Regulatory Body</w:t>
      </w:r>
    </w:p>
    <w:p w14:paraId="4F083091" w14:textId="77777777" w:rsidR="009772B5" w:rsidRDefault="009772B5">
      <w:pPr>
        <w:ind w:left="720" w:firstLine="720"/>
      </w:pPr>
    </w:p>
    <w:p w14:paraId="4F083092" w14:textId="77777777" w:rsidR="009772B5" w:rsidRDefault="00480D15">
      <w:pPr>
        <w:ind w:left="1440" w:hanging="720"/>
      </w:pPr>
      <w:r>
        <w:t>12.1.3</w:t>
      </w:r>
      <w:r>
        <w:tab/>
        <w:t>take reasonable steps to ensure that any Supplier Staff who have access to Buyer Personal Data act in compliance with Supplier's security processes</w:t>
      </w:r>
    </w:p>
    <w:p w14:paraId="4F083093" w14:textId="77777777" w:rsidR="009772B5" w:rsidRDefault="009772B5">
      <w:pPr>
        <w:ind w:left="720" w:firstLine="720"/>
      </w:pPr>
    </w:p>
    <w:p w14:paraId="4F083094" w14:textId="77777777" w:rsidR="009772B5" w:rsidRDefault="00480D15">
      <w:pPr>
        <w:ind w:left="720" w:hanging="720"/>
      </w:pPr>
      <w:r>
        <w:t>12.2</w:t>
      </w:r>
      <w:r>
        <w:tab/>
        <w:t>The Supplier must fully assist with any complaint or request for Buyer Personal Data including by:</w:t>
      </w:r>
    </w:p>
    <w:p w14:paraId="4F083095" w14:textId="77777777" w:rsidR="009772B5" w:rsidRDefault="009772B5">
      <w:pPr>
        <w:ind w:firstLine="720"/>
      </w:pPr>
    </w:p>
    <w:p w14:paraId="4F083096" w14:textId="77777777" w:rsidR="009772B5" w:rsidRDefault="00480D15">
      <w:pPr>
        <w:ind w:firstLine="720"/>
      </w:pPr>
      <w:r>
        <w:t>12.2.1</w:t>
      </w:r>
      <w:r>
        <w:tab/>
        <w:t>providing the Buyer with full details of the complaint or request</w:t>
      </w:r>
    </w:p>
    <w:p w14:paraId="4F083097" w14:textId="77777777" w:rsidR="009772B5" w:rsidRDefault="009772B5">
      <w:pPr>
        <w:ind w:firstLine="720"/>
      </w:pPr>
    </w:p>
    <w:p w14:paraId="4F083098" w14:textId="77777777" w:rsidR="009772B5" w:rsidRDefault="00480D15">
      <w:pPr>
        <w:ind w:left="1440" w:hanging="720"/>
      </w:pPr>
      <w:r>
        <w:t>12.2.2</w:t>
      </w:r>
      <w:r>
        <w:tab/>
        <w:t>complying with a data access request within the timescales in the Data Protection Legislation and following the Buyer’s instructions</w:t>
      </w:r>
    </w:p>
    <w:p w14:paraId="4F083099" w14:textId="77777777" w:rsidR="009772B5" w:rsidRDefault="009772B5"/>
    <w:p w14:paraId="4F08309A" w14:textId="77777777" w:rsidR="009772B5" w:rsidRDefault="00480D15">
      <w:pPr>
        <w:ind w:left="1440" w:hanging="720"/>
      </w:pPr>
      <w:r>
        <w:t>12.2.3</w:t>
      </w:r>
      <w:r>
        <w:tab/>
        <w:t>providing the Buyer with any Buyer Personal Data it holds about a Data Subject (within the timescales required by the Buyer)</w:t>
      </w:r>
    </w:p>
    <w:p w14:paraId="4F08309B" w14:textId="77777777" w:rsidR="009772B5" w:rsidRDefault="009772B5">
      <w:pPr>
        <w:ind w:left="720" w:firstLine="720"/>
      </w:pPr>
    </w:p>
    <w:p w14:paraId="4F08309C" w14:textId="77777777" w:rsidR="009772B5" w:rsidRDefault="00480D15">
      <w:pPr>
        <w:ind w:firstLine="720"/>
      </w:pPr>
      <w:r>
        <w:t>12.2.4</w:t>
      </w:r>
      <w:r>
        <w:tab/>
        <w:t>providing the Buyer with any information requested by the Data Subject</w:t>
      </w:r>
    </w:p>
    <w:p w14:paraId="4F08309D" w14:textId="77777777" w:rsidR="009772B5" w:rsidRDefault="009772B5">
      <w:pPr>
        <w:ind w:firstLine="720"/>
      </w:pPr>
    </w:p>
    <w:p w14:paraId="4F08309E" w14:textId="77777777" w:rsidR="009772B5" w:rsidRDefault="00480D15">
      <w:pPr>
        <w:ind w:left="720" w:hanging="720"/>
      </w:pPr>
      <w:r>
        <w:t>12.3</w:t>
      </w:r>
      <w:r>
        <w:tab/>
        <w:t>The Supplier must get prior written consent from the Buyer to transfer Buyer Personal Data to any other person (including any Subcontractors) for the provision of the G-Cloud Services.</w:t>
      </w:r>
    </w:p>
    <w:p w14:paraId="4F08309F" w14:textId="77777777" w:rsidR="009772B5" w:rsidRDefault="009772B5">
      <w:pPr>
        <w:ind w:left="720" w:hanging="720"/>
      </w:pPr>
    </w:p>
    <w:p w14:paraId="4F0830A0" w14:textId="77777777" w:rsidR="009772B5" w:rsidRDefault="00480D15">
      <w:pPr>
        <w:pStyle w:val="Heading3"/>
      </w:pPr>
      <w:r>
        <w:t>13.</w:t>
      </w:r>
      <w:r>
        <w:tab/>
        <w:t>Buyer data</w:t>
      </w:r>
    </w:p>
    <w:p w14:paraId="4F0830A1" w14:textId="77777777" w:rsidR="009772B5" w:rsidRDefault="00480D15">
      <w:pPr>
        <w:spacing w:before="240" w:after="240"/>
      </w:pPr>
      <w:r>
        <w:t>13.1</w:t>
      </w:r>
      <w:r>
        <w:tab/>
        <w:t>The Supplier must not remove any proprietary notices in the Buyer Data.</w:t>
      </w:r>
    </w:p>
    <w:p w14:paraId="4F0830A2" w14:textId="77777777" w:rsidR="009772B5" w:rsidRDefault="00480D15">
      <w:r>
        <w:t>13.2</w:t>
      </w:r>
      <w:r>
        <w:tab/>
        <w:t xml:space="preserve">The Supplier will not store or use Buyer Data except if necessary to fulfil its </w:t>
      </w:r>
    </w:p>
    <w:p w14:paraId="4F0830A3" w14:textId="77777777" w:rsidR="009772B5" w:rsidRDefault="00480D15">
      <w:pPr>
        <w:ind w:firstLine="720"/>
      </w:pPr>
      <w:r>
        <w:t>obligations.</w:t>
      </w:r>
    </w:p>
    <w:p w14:paraId="4F0830A4" w14:textId="77777777" w:rsidR="009772B5" w:rsidRDefault="009772B5"/>
    <w:p w14:paraId="4F0830A5" w14:textId="77777777" w:rsidR="009772B5" w:rsidRDefault="00480D15">
      <w:pPr>
        <w:ind w:left="720" w:hanging="720"/>
      </w:pPr>
      <w:r>
        <w:t>13.3</w:t>
      </w:r>
      <w:r>
        <w:tab/>
        <w:t>If Buyer Data is processed by the Supplier, the Supplier will supply the data to the Buyer as requested.</w:t>
      </w:r>
    </w:p>
    <w:p w14:paraId="4F0830A6" w14:textId="77777777" w:rsidR="009772B5" w:rsidRDefault="009772B5"/>
    <w:p w14:paraId="4F0830A7" w14:textId="77777777" w:rsidR="009772B5" w:rsidRDefault="00480D1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F0830A8" w14:textId="77777777" w:rsidR="009772B5" w:rsidRDefault="009772B5">
      <w:pPr>
        <w:ind w:left="720"/>
      </w:pPr>
    </w:p>
    <w:p w14:paraId="4F0830A9" w14:textId="77777777" w:rsidR="009772B5" w:rsidRDefault="00480D15">
      <w:pPr>
        <w:ind w:left="720" w:hanging="720"/>
      </w:pPr>
      <w:r>
        <w:t>13.5</w:t>
      </w:r>
      <w:r>
        <w:tab/>
        <w:t>The Supplier will preserve the integrity of Buyer Data processed by the Supplier and prevent its corruption and loss.</w:t>
      </w:r>
    </w:p>
    <w:p w14:paraId="4F0830AA" w14:textId="77777777" w:rsidR="009772B5" w:rsidRDefault="009772B5">
      <w:pPr>
        <w:ind w:firstLine="720"/>
      </w:pPr>
    </w:p>
    <w:p w14:paraId="4F0830AB" w14:textId="77777777" w:rsidR="009772B5" w:rsidRDefault="00480D15">
      <w:pPr>
        <w:ind w:left="720" w:hanging="720"/>
      </w:pPr>
      <w:r>
        <w:t>13.6</w:t>
      </w:r>
      <w:r>
        <w:tab/>
        <w:t>The Supplier will ensure that any Supplier system which holds any protectively marked Buyer Data or other government data will comply with:</w:t>
      </w:r>
    </w:p>
    <w:p w14:paraId="4F0830AC" w14:textId="77777777" w:rsidR="009772B5" w:rsidRDefault="009772B5">
      <w:pPr>
        <w:ind w:firstLine="720"/>
      </w:pPr>
    </w:p>
    <w:p w14:paraId="4F0830AD" w14:textId="602538CD" w:rsidR="009772B5" w:rsidRDefault="003A3841">
      <w:pPr>
        <w:ind w:firstLine="720"/>
      </w:pPr>
      <w:r>
        <w:t>13.6.1</w:t>
      </w:r>
      <w:r>
        <w:tab/>
        <w:t>the principles in the Security Policy Framework:</w:t>
      </w:r>
      <w:hyperlink r:id="rId8" w:history="1">
        <w:r>
          <w:t xml:space="preserve"> </w:t>
        </w:r>
      </w:hyperlink>
    </w:p>
    <w:p w14:paraId="4F0830AE" w14:textId="0F010391" w:rsidR="009772B5" w:rsidRDefault="0090167F">
      <w:pPr>
        <w:ind w:left="1440"/>
      </w:pPr>
      <w:hyperlink r:id="rId9" w:history="1">
        <w:r w:rsidR="003A3841">
          <w:rPr>
            <w:rStyle w:val="Hyperlink"/>
          </w:rPr>
          <w:t>https://www.gov.uk/government/publications/security-policy-framework</w:t>
        </w:r>
      </w:hyperlink>
      <w:r w:rsidR="003A3841">
        <w:rPr>
          <w:rStyle w:val="Hyperlink"/>
        </w:rPr>
        <w:t xml:space="preserve"> and</w:t>
      </w:r>
    </w:p>
    <w:p w14:paraId="4F0830AF" w14:textId="77777777" w:rsidR="009772B5" w:rsidRDefault="00480D15">
      <w:pPr>
        <w:ind w:left="1440"/>
      </w:pPr>
      <w:r>
        <w:t>the Government Security Classification policy</w:t>
      </w:r>
      <w:r>
        <w:rPr>
          <w:color w:val="1155CC"/>
          <w:u w:val="single"/>
        </w:rPr>
        <w:t>: https:/www.gov.uk/government/publications/government-security-classifications</w:t>
      </w:r>
    </w:p>
    <w:p w14:paraId="4F0830B0" w14:textId="77777777" w:rsidR="009772B5" w:rsidRDefault="009772B5">
      <w:pPr>
        <w:ind w:left="1440"/>
      </w:pPr>
    </w:p>
    <w:p w14:paraId="4F0830B1" w14:textId="77777777" w:rsidR="009772B5" w:rsidRDefault="00480D15">
      <w:pPr>
        <w:ind w:firstLine="720"/>
      </w:pPr>
      <w:r>
        <w:t>13.6.2</w:t>
      </w:r>
      <w:r>
        <w:tab/>
        <w:t xml:space="preserve">guidance issued by the Centre for Protection of National Infrastructure on </w:t>
      </w:r>
    </w:p>
    <w:p w14:paraId="4F0830B2" w14:textId="34F28527" w:rsidR="009772B5" w:rsidRDefault="003A3841">
      <w:pPr>
        <w:ind w:left="720" w:firstLine="720"/>
      </w:pPr>
      <w:r>
        <w:t>Risk Management</w:t>
      </w:r>
      <w:hyperlink r:id="rId10" w:history="1">
        <w:r>
          <w:t>:</w:t>
        </w:r>
      </w:hyperlink>
    </w:p>
    <w:p w14:paraId="4F0830B3" w14:textId="56EAFAD7" w:rsidR="009772B5" w:rsidRDefault="0090167F">
      <w:pPr>
        <w:ind w:left="720" w:firstLine="720"/>
      </w:pPr>
      <w:hyperlink r:id="rId11" w:history="1">
        <w:r w:rsidR="003A3841">
          <w:rPr>
            <w:color w:val="1155CC"/>
            <w:u w:val="single"/>
          </w:rPr>
          <w:t>https://www.cpni.gov.uk/content/adopt-risk-management-approach</w:t>
        </w:r>
      </w:hyperlink>
      <w:r w:rsidR="003A3841">
        <w:t xml:space="preserve"> and</w:t>
      </w:r>
    </w:p>
    <w:p w14:paraId="4F0830B4" w14:textId="0FA5E380" w:rsidR="009772B5" w:rsidRDefault="003A3841">
      <w:pPr>
        <w:ind w:left="720" w:firstLine="720"/>
      </w:pPr>
      <w:r>
        <w:t>Protection of Sensitive Information and Assets:</w:t>
      </w:r>
      <w:hyperlink r:id="rId12" w:history="1">
        <w:r>
          <w:t xml:space="preserve"> </w:t>
        </w:r>
      </w:hyperlink>
    </w:p>
    <w:p w14:paraId="4F0830B5" w14:textId="6A154D5C" w:rsidR="009772B5" w:rsidRDefault="0090167F">
      <w:pPr>
        <w:ind w:left="720" w:firstLine="720"/>
      </w:pPr>
      <w:hyperlink r:id="rId13" w:history="1">
        <w:r w:rsidR="003A3841">
          <w:rPr>
            <w:color w:val="1155CC"/>
            <w:u w:val="single"/>
          </w:rPr>
          <w:t>https://www.cpni.gov.uk/protection-sensitive-information-and-assets</w:t>
        </w:r>
      </w:hyperlink>
    </w:p>
    <w:p w14:paraId="4F0830B6" w14:textId="77777777" w:rsidR="009772B5" w:rsidRDefault="009772B5">
      <w:pPr>
        <w:ind w:left="720" w:firstLine="720"/>
      </w:pPr>
    </w:p>
    <w:p w14:paraId="4F0830B7" w14:textId="77777777" w:rsidR="009772B5" w:rsidRDefault="00480D15">
      <w:pPr>
        <w:ind w:left="1440" w:hanging="720"/>
      </w:pPr>
      <w:r>
        <w:t>13.6.3</w:t>
      </w:r>
      <w:r>
        <w:tab/>
        <w:t>the National Cyber Security Centre’s (NCSC) information risk management guidance:</w:t>
      </w:r>
    </w:p>
    <w:p w14:paraId="4F0830B8" w14:textId="4E45B48A" w:rsidR="009772B5" w:rsidRDefault="0090167F">
      <w:pPr>
        <w:ind w:left="720" w:firstLine="720"/>
      </w:pPr>
      <w:hyperlink r:id="rId14" w:history="1">
        <w:r w:rsidR="003A3841">
          <w:rPr>
            <w:color w:val="1155CC"/>
            <w:u w:val="single"/>
          </w:rPr>
          <w:t>https://www.ncsc.gov.uk/collection/risk-management-collection</w:t>
        </w:r>
      </w:hyperlink>
    </w:p>
    <w:p w14:paraId="4F0830B9" w14:textId="77777777" w:rsidR="009772B5" w:rsidRDefault="009772B5"/>
    <w:p w14:paraId="4F0830BA" w14:textId="77777777" w:rsidR="009772B5" w:rsidRDefault="00480D15">
      <w:pPr>
        <w:ind w:left="1440" w:hanging="720"/>
      </w:pPr>
      <w:r>
        <w:t>13.6.4</w:t>
      </w:r>
      <w:r>
        <w:tab/>
        <w:t>government best practice in the design and implementation of system components, including network principles, security design principles for digital services and the secure email blueprint:</w:t>
      </w:r>
    </w:p>
    <w:p w14:paraId="4F0830BB" w14:textId="632BDE1C" w:rsidR="009772B5" w:rsidRDefault="0090167F">
      <w:pPr>
        <w:ind w:left="1440"/>
      </w:pPr>
      <w:hyperlink r:id="rId15" w:history="1">
        <w:r w:rsidR="003A3841">
          <w:rPr>
            <w:rStyle w:val="Hyperlink"/>
          </w:rPr>
          <w:t>https://www.gov.uk/government/publications/technology-code-of-practice/technology-code-of-practice</w:t>
        </w:r>
      </w:hyperlink>
    </w:p>
    <w:p w14:paraId="4F0830BC" w14:textId="77777777" w:rsidR="009772B5" w:rsidRDefault="009772B5">
      <w:pPr>
        <w:ind w:left="1440"/>
      </w:pPr>
    </w:p>
    <w:p w14:paraId="4F0830BD" w14:textId="24F4B90E" w:rsidR="009772B5" w:rsidRDefault="00480D15">
      <w:pPr>
        <w:ind w:left="1440" w:hanging="720"/>
      </w:pPr>
      <w:r>
        <w:t>13.6.5</w:t>
      </w:r>
      <w:r>
        <w:tab/>
        <w:t>the security requirements of cloud services using the NCSC Cloud Security Principles and accompanying guidance:</w:t>
      </w:r>
      <w:hyperlink r:id="rId16" w:history="1">
        <w:r w:rsidR="003A3841">
          <w:t xml:space="preserve"> </w:t>
        </w:r>
      </w:hyperlink>
    </w:p>
    <w:p w14:paraId="4F0830BE" w14:textId="5B6C229B" w:rsidR="009772B5" w:rsidRDefault="0090167F">
      <w:pPr>
        <w:ind w:left="720" w:firstLine="720"/>
      </w:pPr>
      <w:hyperlink r:id="rId17" w:history="1">
        <w:r w:rsidR="003A3841">
          <w:rPr>
            <w:rStyle w:val="Hyperlink"/>
          </w:rPr>
          <w:t>https://www.ncsc.gov.uk/guidance/implementing-cloud-security-principles</w:t>
        </w:r>
      </w:hyperlink>
    </w:p>
    <w:p w14:paraId="4F0830BF" w14:textId="77777777" w:rsidR="009772B5" w:rsidRDefault="009772B5"/>
    <w:p w14:paraId="4F0830C0" w14:textId="77777777" w:rsidR="009772B5" w:rsidRDefault="00480D15">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F0830C1" w14:textId="77777777" w:rsidR="009772B5" w:rsidRDefault="009772B5"/>
    <w:p w14:paraId="4F0830C2" w14:textId="77777777" w:rsidR="009772B5" w:rsidRDefault="00480D15">
      <w:r>
        <w:t>13.7</w:t>
      </w:r>
      <w:r>
        <w:tab/>
        <w:t>The Buyer will specify any security requirements for this project in the Order Form.</w:t>
      </w:r>
    </w:p>
    <w:p w14:paraId="4F0830C3" w14:textId="77777777" w:rsidR="009772B5" w:rsidRDefault="009772B5"/>
    <w:p w14:paraId="4F0830C4" w14:textId="77777777" w:rsidR="009772B5" w:rsidRDefault="00480D15">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F0830C5" w14:textId="77777777" w:rsidR="009772B5" w:rsidRDefault="009772B5">
      <w:pPr>
        <w:ind w:left="720"/>
      </w:pPr>
    </w:p>
    <w:p w14:paraId="4F0830C6" w14:textId="77777777" w:rsidR="009772B5" w:rsidRDefault="00480D15">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F0830C7" w14:textId="77777777" w:rsidR="009772B5" w:rsidRDefault="009772B5">
      <w:pPr>
        <w:ind w:left="720"/>
      </w:pPr>
    </w:p>
    <w:p w14:paraId="4F0830C8" w14:textId="77777777" w:rsidR="009772B5" w:rsidRDefault="00480D15">
      <w:pPr>
        <w:ind w:left="720" w:hanging="720"/>
      </w:pPr>
      <w:r>
        <w:t>13.10</w:t>
      </w:r>
      <w:r>
        <w:tab/>
        <w:t>The provisions of this clause 13 will apply during the term of this Call-Off Contract and for as long as the Supplier holds the Buyer’s Data.</w:t>
      </w:r>
    </w:p>
    <w:p w14:paraId="4F0830C9" w14:textId="77777777" w:rsidR="009772B5" w:rsidRDefault="009772B5">
      <w:pPr>
        <w:spacing w:before="240" w:after="240"/>
      </w:pPr>
    </w:p>
    <w:p w14:paraId="4F0830CA" w14:textId="77777777" w:rsidR="009772B5" w:rsidRDefault="00480D15">
      <w:pPr>
        <w:pStyle w:val="Heading3"/>
      </w:pPr>
      <w:r>
        <w:t>14.</w:t>
      </w:r>
      <w:r>
        <w:tab/>
        <w:t>Standards and quality</w:t>
      </w:r>
    </w:p>
    <w:p w14:paraId="4F0830CB" w14:textId="77777777" w:rsidR="009772B5" w:rsidRDefault="00480D15">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4F0830CC" w14:textId="77777777" w:rsidR="009772B5" w:rsidRDefault="009772B5">
      <w:pPr>
        <w:ind w:firstLine="720"/>
      </w:pPr>
    </w:p>
    <w:p w14:paraId="4F0830CD" w14:textId="5E7869F3" w:rsidR="009772B5" w:rsidRDefault="00480D15">
      <w:pPr>
        <w:ind w:left="720" w:hanging="720"/>
      </w:pPr>
      <w:r>
        <w:t>14.2</w:t>
      </w:r>
      <w:r>
        <w:tab/>
        <w:t>The Supplier will deliver the Services in a way that enables the Buyer to comply with its obligations under the Technology Code of Practice, which is at:</w:t>
      </w:r>
      <w:hyperlink r:id="rId18" w:history="1">
        <w:r w:rsidR="003A3841">
          <w:t xml:space="preserve"> </w:t>
        </w:r>
      </w:hyperlink>
    </w:p>
    <w:p w14:paraId="4F0830CE" w14:textId="4C8580B8" w:rsidR="009772B5" w:rsidRDefault="0090167F">
      <w:pPr>
        <w:ind w:left="720"/>
      </w:pPr>
      <w:hyperlink r:id="rId19" w:history="1">
        <w:r w:rsidR="003A3841">
          <w:rPr>
            <w:color w:val="1155CC"/>
            <w:u w:val="single"/>
          </w:rPr>
          <w:t>https://www.gov.uk/government/publications/technology-code-of-practice/technology-code-of-practice</w:t>
        </w:r>
      </w:hyperlink>
    </w:p>
    <w:p w14:paraId="4F0830CF" w14:textId="77777777" w:rsidR="009772B5" w:rsidRDefault="009772B5">
      <w:pPr>
        <w:ind w:left="720" w:hanging="720"/>
      </w:pPr>
    </w:p>
    <w:p w14:paraId="4F0830D0" w14:textId="77777777" w:rsidR="009772B5" w:rsidRDefault="00480D15">
      <w:pPr>
        <w:ind w:left="720" w:hanging="720"/>
      </w:pPr>
      <w:r>
        <w:t>14.3</w:t>
      </w:r>
      <w:r>
        <w:tab/>
        <w:t>If requested by the Buyer, the Supplier must, at its own cost, ensure that the G-Cloud Services comply with the requirements in the PSN Code of Practice.</w:t>
      </w:r>
    </w:p>
    <w:p w14:paraId="4F0830D1" w14:textId="77777777" w:rsidR="009772B5" w:rsidRDefault="009772B5">
      <w:pPr>
        <w:ind w:firstLine="720"/>
      </w:pPr>
    </w:p>
    <w:p w14:paraId="4F0830D2" w14:textId="77777777" w:rsidR="009772B5" w:rsidRDefault="00480D15">
      <w:pPr>
        <w:ind w:left="720" w:hanging="720"/>
      </w:pPr>
      <w:r>
        <w:t>14.4</w:t>
      </w:r>
      <w:r>
        <w:tab/>
        <w:t>If any PSN Services are Subcontracted by the Supplier, the Supplier must ensure that the services have the relevant PSN compliance certification.</w:t>
      </w:r>
    </w:p>
    <w:p w14:paraId="4F0830D3" w14:textId="77777777" w:rsidR="009772B5" w:rsidRDefault="009772B5">
      <w:pPr>
        <w:ind w:firstLine="720"/>
      </w:pPr>
    </w:p>
    <w:p w14:paraId="4F0830D4" w14:textId="38A7ECD5" w:rsidR="009772B5" w:rsidRDefault="00480D1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0" w:history="1">
        <w:r w:rsidR="003A3841">
          <w:t>.</w:t>
        </w:r>
      </w:hyperlink>
    </w:p>
    <w:p w14:paraId="4F0830D5" w14:textId="77777777" w:rsidR="009772B5" w:rsidRDefault="00480D15">
      <w:r>
        <w:t xml:space="preserve"> </w:t>
      </w:r>
    </w:p>
    <w:p w14:paraId="4F0830D6" w14:textId="77777777" w:rsidR="009772B5" w:rsidRDefault="00480D15">
      <w:pPr>
        <w:pStyle w:val="Heading3"/>
      </w:pPr>
      <w:r>
        <w:t>15.</w:t>
      </w:r>
      <w:r>
        <w:tab/>
        <w:t>Open source</w:t>
      </w:r>
    </w:p>
    <w:p w14:paraId="4F0830D7" w14:textId="77777777" w:rsidR="009772B5" w:rsidRDefault="00480D15">
      <w:pPr>
        <w:ind w:left="720" w:hanging="720"/>
      </w:pPr>
      <w:r>
        <w:t>15.1</w:t>
      </w:r>
      <w:r>
        <w:tab/>
        <w:t>All software created for the Buyer must be suitable for publication as open source, unless otherwise agreed by the Buyer.</w:t>
      </w:r>
    </w:p>
    <w:p w14:paraId="4F0830D8" w14:textId="77777777" w:rsidR="009772B5" w:rsidRDefault="009772B5">
      <w:pPr>
        <w:ind w:firstLine="720"/>
      </w:pPr>
    </w:p>
    <w:p w14:paraId="4F0830D9" w14:textId="77777777" w:rsidR="009772B5" w:rsidRDefault="00480D15">
      <w:pPr>
        <w:ind w:left="720" w:hanging="720"/>
      </w:pPr>
      <w:r>
        <w:t>15.2</w:t>
      </w:r>
      <w:r>
        <w:tab/>
        <w:t>If software needs to be converted before publication as open source, the Supplier must also provide the converted format unless otherwise agreed by the Buyer.</w:t>
      </w:r>
    </w:p>
    <w:p w14:paraId="4F0830DA" w14:textId="77777777" w:rsidR="009772B5" w:rsidRDefault="00480D15">
      <w:pPr>
        <w:spacing w:before="240" w:after="240"/>
        <w:ind w:left="720"/>
      </w:pPr>
      <w:r>
        <w:t xml:space="preserve"> </w:t>
      </w:r>
    </w:p>
    <w:p w14:paraId="4F0830DB" w14:textId="77777777" w:rsidR="009772B5" w:rsidRDefault="00480D15">
      <w:pPr>
        <w:pStyle w:val="Heading3"/>
      </w:pPr>
      <w:r>
        <w:t>16.</w:t>
      </w:r>
      <w:r>
        <w:tab/>
        <w:t>Security</w:t>
      </w:r>
    </w:p>
    <w:p w14:paraId="4F0830DC" w14:textId="77777777" w:rsidR="009772B5" w:rsidRDefault="00480D15">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F0830DD" w14:textId="77777777" w:rsidR="009772B5" w:rsidRDefault="009772B5">
      <w:pPr>
        <w:ind w:left="720"/>
      </w:pPr>
    </w:p>
    <w:p w14:paraId="4F0830DE" w14:textId="77777777" w:rsidR="009772B5" w:rsidRDefault="00480D15">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4F0830DF" w14:textId="77777777" w:rsidR="009772B5" w:rsidRDefault="009772B5">
      <w:pPr>
        <w:ind w:left="720"/>
      </w:pPr>
    </w:p>
    <w:p w14:paraId="4F0830E0" w14:textId="77777777" w:rsidR="009772B5" w:rsidRDefault="00480D1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F0830E1" w14:textId="77777777" w:rsidR="009772B5" w:rsidRDefault="009772B5">
      <w:pPr>
        <w:ind w:firstLine="720"/>
      </w:pPr>
    </w:p>
    <w:p w14:paraId="4F0830E2" w14:textId="77777777" w:rsidR="009772B5" w:rsidRDefault="00480D15">
      <w:r>
        <w:t>16.4</w:t>
      </w:r>
      <w:r>
        <w:tab/>
        <w:t>Responsibility for costs will be at the:</w:t>
      </w:r>
    </w:p>
    <w:p w14:paraId="4F0830E3" w14:textId="77777777" w:rsidR="009772B5" w:rsidRDefault="00480D15">
      <w:r>
        <w:tab/>
      </w:r>
    </w:p>
    <w:p w14:paraId="4F0830E4" w14:textId="77777777" w:rsidR="009772B5" w:rsidRDefault="00480D1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F0830E5" w14:textId="77777777" w:rsidR="009772B5" w:rsidRDefault="009772B5">
      <w:pPr>
        <w:ind w:left="1440"/>
      </w:pPr>
    </w:p>
    <w:p w14:paraId="4F0830E6" w14:textId="77777777" w:rsidR="009772B5" w:rsidRDefault="00480D15">
      <w:pPr>
        <w:ind w:left="1440" w:hanging="720"/>
      </w:pPr>
      <w:r>
        <w:t>16.4.2</w:t>
      </w:r>
      <w:r>
        <w:tab/>
        <w:t>Buyer’s expense if the Malicious Software originates from the Buyer software or the Service Data, while the Service Data was under the Buyer’s control</w:t>
      </w:r>
    </w:p>
    <w:p w14:paraId="4F0830E7" w14:textId="77777777" w:rsidR="009772B5" w:rsidRDefault="009772B5">
      <w:pPr>
        <w:ind w:left="720" w:firstLine="720"/>
      </w:pPr>
    </w:p>
    <w:p w14:paraId="4F0830E8" w14:textId="77777777" w:rsidR="009772B5" w:rsidRDefault="00480D1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F0830E9" w14:textId="77777777" w:rsidR="009772B5" w:rsidRDefault="009772B5">
      <w:pPr>
        <w:ind w:left="720"/>
      </w:pPr>
    </w:p>
    <w:p w14:paraId="4F0830EA" w14:textId="1D3586FD" w:rsidR="009772B5" w:rsidRDefault="00480D15">
      <w:pPr>
        <w:ind w:left="720" w:hanging="720"/>
      </w:pPr>
      <w:r>
        <w:t>16.6</w:t>
      </w:r>
      <w:r>
        <w:tab/>
        <w:t>Any system development by the Supplier should also comply with the government’s ‘10 Steps to Cyber Security’ guidance:</w:t>
      </w:r>
      <w:hyperlink r:id="rId21" w:history="1">
        <w:r w:rsidR="003A3841">
          <w:t xml:space="preserve"> </w:t>
        </w:r>
      </w:hyperlink>
    </w:p>
    <w:p w14:paraId="4F0830EB" w14:textId="2988690F" w:rsidR="009772B5" w:rsidRDefault="0090167F">
      <w:pPr>
        <w:ind w:left="720"/>
      </w:pPr>
      <w:hyperlink r:id="rId22" w:history="1">
        <w:r w:rsidR="003A3841">
          <w:rPr>
            <w:color w:val="1155CC"/>
            <w:u w:val="single"/>
          </w:rPr>
          <w:t>https://www.ncsc.gov.uk/guidance/10-steps-cyber-security</w:t>
        </w:r>
      </w:hyperlink>
    </w:p>
    <w:p w14:paraId="4F0830EC" w14:textId="77777777" w:rsidR="009772B5" w:rsidRDefault="009772B5">
      <w:pPr>
        <w:ind w:left="720"/>
      </w:pPr>
    </w:p>
    <w:p w14:paraId="4F0830ED" w14:textId="77777777" w:rsidR="009772B5" w:rsidRDefault="00480D1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F0830EE" w14:textId="77777777" w:rsidR="009772B5" w:rsidRDefault="00480D15">
      <w:r>
        <w:t xml:space="preserve"> </w:t>
      </w:r>
    </w:p>
    <w:p w14:paraId="4F0830EF" w14:textId="77777777" w:rsidR="009772B5" w:rsidRDefault="00480D15">
      <w:pPr>
        <w:pStyle w:val="Heading3"/>
      </w:pPr>
      <w:r>
        <w:t>17.</w:t>
      </w:r>
      <w:r>
        <w:tab/>
        <w:t>Guarantee</w:t>
      </w:r>
    </w:p>
    <w:p w14:paraId="4F0830F0" w14:textId="77777777" w:rsidR="009772B5" w:rsidRDefault="00480D15">
      <w:pPr>
        <w:ind w:left="720" w:hanging="720"/>
      </w:pPr>
      <w:r>
        <w:t>17.1</w:t>
      </w:r>
      <w:r>
        <w:tab/>
        <w:t>If this Call-Off Contract is conditional on receipt of a Guarantee that is acceptable to the Buyer, the Supplier must give the Buyer on or before the Start date:</w:t>
      </w:r>
    </w:p>
    <w:p w14:paraId="4F0830F1" w14:textId="77777777" w:rsidR="009772B5" w:rsidRDefault="009772B5">
      <w:pPr>
        <w:ind w:firstLine="720"/>
      </w:pPr>
    </w:p>
    <w:p w14:paraId="4F0830F2" w14:textId="77777777" w:rsidR="009772B5" w:rsidRDefault="00480D15">
      <w:pPr>
        <w:ind w:firstLine="720"/>
      </w:pPr>
      <w:r>
        <w:t>17.1.1</w:t>
      </w:r>
      <w:r>
        <w:tab/>
        <w:t>an executed Guarantee in the form at Schedule 5</w:t>
      </w:r>
    </w:p>
    <w:p w14:paraId="4F0830F3" w14:textId="77777777" w:rsidR="009772B5" w:rsidRDefault="009772B5"/>
    <w:p w14:paraId="4F0830F4" w14:textId="77777777" w:rsidR="009772B5" w:rsidRDefault="00480D15">
      <w:pPr>
        <w:ind w:left="1440" w:hanging="720"/>
      </w:pPr>
      <w:r>
        <w:t>17.1.2</w:t>
      </w:r>
      <w:r>
        <w:tab/>
        <w:t>a certified copy of the passed resolution or board minutes of the guarantor approving the execution of the Guarantee</w:t>
      </w:r>
    </w:p>
    <w:p w14:paraId="4F0830F5" w14:textId="77777777" w:rsidR="009772B5" w:rsidRDefault="009772B5">
      <w:pPr>
        <w:ind w:left="720" w:firstLine="720"/>
      </w:pPr>
    </w:p>
    <w:p w14:paraId="4F0830F6" w14:textId="77777777" w:rsidR="009772B5" w:rsidRDefault="00480D15">
      <w:pPr>
        <w:pStyle w:val="Heading3"/>
      </w:pPr>
      <w:r>
        <w:t>18.</w:t>
      </w:r>
      <w:r>
        <w:tab/>
        <w:t>Ending the Call-Off Contract</w:t>
      </w:r>
    </w:p>
    <w:p w14:paraId="4F0830F7" w14:textId="77777777" w:rsidR="009772B5" w:rsidRDefault="00480D15">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F0830F8" w14:textId="77777777" w:rsidR="009772B5" w:rsidRDefault="009772B5">
      <w:pPr>
        <w:ind w:left="720"/>
      </w:pPr>
    </w:p>
    <w:p w14:paraId="4F0830F9" w14:textId="77777777" w:rsidR="009772B5" w:rsidRDefault="00480D15">
      <w:r>
        <w:t>18.2</w:t>
      </w:r>
      <w:r>
        <w:tab/>
        <w:t>The Parties agree that the:</w:t>
      </w:r>
    </w:p>
    <w:p w14:paraId="4F0830FA" w14:textId="77777777" w:rsidR="009772B5" w:rsidRDefault="009772B5"/>
    <w:p w14:paraId="4F0830FB" w14:textId="77777777" w:rsidR="009772B5" w:rsidRDefault="00480D15">
      <w:pPr>
        <w:ind w:left="1440" w:hanging="720"/>
      </w:pPr>
      <w:r>
        <w:t>18.2.1</w:t>
      </w:r>
      <w:r>
        <w:tab/>
        <w:t>Buyer’s right to End the Call-Off Contract under clause 18.1 is reasonable considering the type of cloud Service being provided</w:t>
      </w:r>
    </w:p>
    <w:p w14:paraId="4F0830FC" w14:textId="77777777" w:rsidR="009772B5" w:rsidRDefault="009772B5">
      <w:pPr>
        <w:ind w:left="720"/>
      </w:pPr>
    </w:p>
    <w:p w14:paraId="4F0830FD" w14:textId="77777777" w:rsidR="009772B5" w:rsidRDefault="00480D15">
      <w:pPr>
        <w:ind w:left="1440" w:hanging="720"/>
      </w:pPr>
      <w:r>
        <w:t>18.2.2</w:t>
      </w:r>
      <w:r>
        <w:tab/>
        <w:t>Call-Off Contract Charges paid during the notice period is reasonable compensation and covers all the Supplier’s avoidable costs or Losses</w:t>
      </w:r>
    </w:p>
    <w:p w14:paraId="4F0830FE" w14:textId="77777777" w:rsidR="009772B5" w:rsidRDefault="009772B5">
      <w:pPr>
        <w:ind w:left="720" w:firstLine="720"/>
      </w:pPr>
    </w:p>
    <w:p w14:paraId="4F0830FF" w14:textId="77777777" w:rsidR="009772B5" w:rsidRDefault="00480D1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F083100" w14:textId="77777777" w:rsidR="009772B5" w:rsidRDefault="009772B5">
      <w:pPr>
        <w:ind w:left="720"/>
      </w:pPr>
    </w:p>
    <w:p w14:paraId="4F083101" w14:textId="77777777" w:rsidR="009772B5" w:rsidRDefault="00480D15">
      <w:pPr>
        <w:ind w:left="720" w:hanging="720"/>
      </w:pPr>
      <w:r>
        <w:t>18.4</w:t>
      </w:r>
      <w:r>
        <w:tab/>
        <w:t>The Buyer will have the right to End this Call-Off Contract at any time with immediate effect by written notice to the Supplier if either the Supplier commits:</w:t>
      </w:r>
    </w:p>
    <w:p w14:paraId="4F083102" w14:textId="77777777" w:rsidR="009772B5" w:rsidRDefault="009772B5">
      <w:pPr>
        <w:ind w:firstLine="720"/>
      </w:pPr>
    </w:p>
    <w:p w14:paraId="4F083103" w14:textId="77777777" w:rsidR="009772B5" w:rsidRDefault="00480D15">
      <w:pPr>
        <w:ind w:left="1440" w:hanging="720"/>
      </w:pPr>
      <w:r>
        <w:t>18.4.1</w:t>
      </w:r>
      <w:r>
        <w:tab/>
        <w:t>a Supplier Default and if the Supplier Default cannot, in the reasonable opinion of the Buyer, be remedied</w:t>
      </w:r>
    </w:p>
    <w:p w14:paraId="4F083104" w14:textId="77777777" w:rsidR="009772B5" w:rsidRDefault="009772B5">
      <w:pPr>
        <w:ind w:left="720" w:firstLine="720"/>
      </w:pPr>
    </w:p>
    <w:p w14:paraId="4F083105" w14:textId="77777777" w:rsidR="009772B5" w:rsidRDefault="00480D15">
      <w:pPr>
        <w:ind w:firstLine="720"/>
      </w:pPr>
      <w:r>
        <w:t>18.4.2</w:t>
      </w:r>
      <w:r>
        <w:tab/>
        <w:t>any fraud</w:t>
      </w:r>
    </w:p>
    <w:p w14:paraId="4F083106" w14:textId="77777777" w:rsidR="009772B5" w:rsidRDefault="009772B5">
      <w:pPr>
        <w:ind w:firstLine="720"/>
      </w:pPr>
    </w:p>
    <w:p w14:paraId="4F083107" w14:textId="77777777" w:rsidR="009772B5" w:rsidRDefault="00480D15">
      <w:r>
        <w:t>18.5</w:t>
      </w:r>
      <w:r>
        <w:tab/>
        <w:t>A Party can End this Call-Off Contract at any time with immediate effect by written notice if:</w:t>
      </w:r>
    </w:p>
    <w:p w14:paraId="4F083108" w14:textId="77777777" w:rsidR="009772B5" w:rsidRDefault="009772B5">
      <w:pPr>
        <w:ind w:firstLine="720"/>
      </w:pPr>
    </w:p>
    <w:p w14:paraId="4F083109" w14:textId="77777777" w:rsidR="009772B5" w:rsidRDefault="00480D1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F08310A" w14:textId="77777777" w:rsidR="009772B5" w:rsidRDefault="009772B5">
      <w:pPr>
        <w:ind w:left="1440"/>
      </w:pPr>
    </w:p>
    <w:p w14:paraId="4F08310B" w14:textId="77777777" w:rsidR="009772B5" w:rsidRDefault="00480D15">
      <w:pPr>
        <w:ind w:firstLine="720"/>
      </w:pPr>
      <w:r>
        <w:t>18.5.2</w:t>
      </w:r>
      <w:r>
        <w:tab/>
        <w:t>an Insolvency Event of the other Party happens</w:t>
      </w:r>
    </w:p>
    <w:p w14:paraId="4F08310C" w14:textId="77777777" w:rsidR="009772B5" w:rsidRDefault="009772B5">
      <w:pPr>
        <w:ind w:firstLine="720"/>
      </w:pPr>
    </w:p>
    <w:p w14:paraId="4F08310D" w14:textId="77777777" w:rsidR="009772B5" w:rsidRDefault="00480D1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F08310E" w14:textId="77777777" w:rsidR="009772B5" w:rsidRDefault="009772B5">
      <w:pPr>
        <w:ind w:left="720" w:firstLine="720"/>
      </w:pPr>
    </w:p>
    <w:p w14:paraId="4F08310F" w14:textId="77777777" w:rsidR="009772B5" w:rsidRDefault="00480D1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F083110" w14:textId="77777777" w:rsidR="009772B5" w:rsidRDefault="009772B5">
      <w:pPr>
        <w:ind w:left="720"/>
      </w:pPr>
    </w:p>
    <w:p w14:paraId="4F083111" w14:textId="77777777" w:rsidR="009772B5" w:rsidRDefault="00480D15">
      <w:pPr>
        <w:ind w:left="720" w:hanging="720"/>
      </w:pPr>
      <w:r>
        <w:t>18.7</w:t>
      </w:r>
      <w:r>
        <w:tab/>
        <w:t>A Party who isn’t relying on a Force Majeure event will have the right to End this Call-Off Contract if clause 23.1 applies.</w:t>
      </w:r>
    </w:p>
    <w:p w14:paraId="4F083112" w14:textId="77777777" w:rsidR="009772B5" w:rsidRDefault="00480D15">
      <w:pPr>
        <w:ind w:left="720" w:hanging="720"/>
      </w:pPr>
      <w:r>
        <w:t xml:space="preserve"> </w:t>
      </w:r>
    </w:p>
    <w:p w14:paraId="4F083113" w14:textId="77777777" w:rsidR="009772B5" w:rsidRDefault="00480D15">
      <w:pPr>
        <w:pStyle w:val="Heading3"/>
      </w:pPr>
      <w:r>
        <w:t>19.</w:t>
      </w:r>
      <w:r>
        <w:tab/>
        <w:t>Consequences of suspension, ending and expiry</w:t>
      </w:r>
    </w:p>
    <w:p w14:paraId="4F083114" w14:textId="77777777" w:rsidR="009772B5" w:rsidRDefault="00480D15">
      <w:pPr>
        <w:ind w:left="720" w:hanging="720"/>
      </w:pPr>
      <w:r>
        <w:t>19.1</w:t>
      </w:r>
      <w:r>
        <w:tab/>
        <w:t>If a Buyer has the right to End a Call-Off Contract, it may elect to suspend this Call-Off Contract or any part of it.</w:t>
      </w:r>
    </w:p>
    <w:p w14:paraId="4F083115" w14:textId="77777777" w:rsidR="009772B5" w:rsidRDefault="009772B5"/>
    <w:p w14:paraId="4F083116" w14:textId="77777777" w:rsidR="009772B5" w:rsidRDefault="00480D15">
      <w:pPr>
        <w:ind w:left="720" w:hanging="720"/>
      </w:pPr>
      <w:r>
        <w:t>19.2</w:t>
      </w:r>
      <w:r>
        <w:tab/>
        <w:t>Even if a notice has been served to End this Call-Off Contract or any part of it, the Supplier must continue to provide the Ordered G-Cloud Services until the dates set out in the notice.</w:t>
      </w:r>
    </w:p>
    <w:p w14:paraId="4F083117" w14:textId="77777777" w:rsidR="009772B5" w:rsidRDefault="009772B5">
      <w:pPr>
        <w:ind w:left="720" w:hanging="720"/>
      </w:pPr>
    </w:p>
    <w:p w14:paraId="4F083118" w14:textId="77777777" w:rsidR="009772B5" w:rsidRDefault="00480D15">
      <w:pPr>
        <w:ind w:left="720" w:hanging="720"/>
      </w:pPr>
      <w:r>
        <w:t>19.3</w:t>
      </w:r>
      <w:r>
        <w:tab/>
        <w:t>The rights and obligations of the Parties will cease on the Expiry Date or End Date whichever applies) of this Call-Off Contract, except those continuing provisions described in clause 19.4.</w:t>
      </w:r>
    </w:p>
    <w:p w14:paraId="4F083119" w14:textId="77777777" w:rsidR="009772B5" w:rsidRDefault="009772B5"/>
    <w:p w14:paraId="4F08311A" w14:textId="77777777" w:rsidR="009772B5" w:rsidRDefault="00480D15">
      <w:r>
        <w:t>19.4</w:t>
      </w:r>
      <w:r>
        <w:tab/>
        <w:t>Ending or expiry of this Call-Off Contract will not affect:</w:t>
      </w:r>
    </w:p>
    <w:p w14:paraId="4F08311B" w14:textId="77777777" w:rsidR="009772B5" w:rsidRDefault="009772B5"/>
    <w:p w14:paraId="4F08311C" w14:textId="77777777" w:rsidR="009772B5" w:rsidRDefault="00480D15">
      <w:pPr>
        <w:ind w:firstLine="720"/>
      </w:pPr>
      <w:r>
        <w:t>19.4.1</w:t>
      </w:r>
      <w:r>
        <w:tab/>
        <w:t>any rights, remedies or obligations accrued before its Ending or expiration</w:t>
      </w:r>
    </w:p>
    <w:p w14:paraId="4F08311D" w14:textId="77777777" w:rsidR="009772B5" w:rsidRDefault="009772B5"/>
    <w:p w14:paraId="4F08311E" w14:textId="77777777" w:rsidR="009772B5" w:rsidRDefault="00480D15">
      <w:pPr>
        <w:ind w:left="1440" w:hanging="720"/>
      </w:pPr>
      <w:r>
        <w:t>19.4.2</w:t>
      </w:r>
      <w:r>
        <w:tab/>
        <w:t>the right of either Party to recover any amount outstanding at the time of Ending or expiry</w:t>
      </w:r>
    </w:p>
    <w:p w14:paraId="4F08311F" w14:textId="77777777" w:rsidR="009772B5" w:rsidRDefault="009772B5"/>
    <w:p w14:paraId="4F083120" w14:textId="77777777" w:rsidR="009772B5" w:rsidRDefault="00480D15">
      <w:pPr>
        <w:ind w:left="1440" w:hanging="720"/>
      </w:pPr>
      <w:r>
        <w:t>19.4.3</w:t>
      </w:r>
      <w:r>
        <w:tab/>
        <w:t>the continuing rights, remedies or obligations of the Buyer or the Supplier under clauses</w:t>
      </w:r>
    </w:p>
    <w:p w14:paraId="4F083121" w14:textId="77777777" w:rsidR="009772B5" w:rsidRDefault="00480D15">
      <w:pPr>
        <w:pStyle w:val="ListParagraph"/>
        <w:numPr>
          <w:ilvl w:val="1"/>
          <w:numId w:val="10"/>
        </w:numPr>
      </w:pPr>
      <w:r>
        <w:t>7 (Payment, VAT and Call-Off Contract charges)</w:t>
      </w:r>
    </w:p>
    <w:p w14:paraId="4F083122" w14:textId="77777777" w:rsidR="009772B5" w:rsidRDefault="00480D15">
      <w:pPr>
        <w:pStyle w:val="ListParagraph"/>
        <w:numPr>
          <w:ilvl w:val="1"/>
          <w:numId w:val="10"/>
        </w:numPr>
      </w:pPr>
      <w:r>
        <w:t>8 (Recovery of sums due and right of set-off)</w:t>
      </w:r>
    </w:p>
    <w:p w14:paraId="4F083123" w14:textId="77777777" w:rsidR="009772B5" w:rsidRDefault="00480D15">
      <w:pPr>
        <w:pStyle w:val="ListParagraph"/>
        <w:numPr>
          <w:ilvl w:val="1"/>
          <w:numId w:val="10"/>
        </w:numPr>
      </w:pPr>
      <w:r>
        <w:t>9 (Insurance)</w:t>
      </w:r>
    </w:p>
    <w:p w14:paraId="4F083124" w14:textId="77777777" w:rsidR="009772B5" w:rsidRDefault="00480D15">
      <w:pPr>
        <w:pStyle w:val="ListParagraph"/>
        <w:numPr>
          <w:ilvl w:val="1"/>
          <w:numId w:val="10"/>
        </w:numPr>
      </w:pPr>
      <w:r>
        <w:t>10 (Confidentiality)</w:t>
      </w:r>
    </w:p>
    <w:p w14:paraId="4F083125" w14:textId="77777777" w:rsidR="009772B5" w:rsidRDefault="00480D15">
      <w:pPr>
        <w:pStyle w:val="ListParagraph"/>
        <w:numPr>
          <w:ilvl w:val="1"/>
          <w:numId w:val="10"/>
        </w:numPr>
      </w:pPr>
      <w:r>
        <w:t>11 (Intellectual property rights)</w:t>
      </w:r>
    </w:p>
    <w:p w14:paraId="4F083126" w14:textId="77777777" w:rsidR="009772B5" w:rsidRDefault="00480D15">
      <w:pPr>
        <w:pStyle w:val="ListParagraph"/>
        <w:numPr>
          <w:ilvl w:val="1"/>
          <w:numId w:val="10"/>
        </w:numPr>
      </w:pPr>
      <w:r>
        <w:t>12 (Protection of information)</w:t>
      </w:r>
    </w:p>
    <w:p w14:paraId="4F083127" w14:textId="77777777" w:rsidR="009772B5" w:rsidRDefault="00480D15">
      <w:pPr>
        <w:pStyle w:val="ListParagraph"/>
        <w:numPr>
          <w:ilvl w:val="1"/>
          <w:numId w:val="10"/>
        </w:numPr>
      </w:pPr>
      <w:r>
        <w:t>13 (Buyer data)</w:t>
      </w:r>
    </w:p>
    <w:p w14:paraId="4F083128" w14:textId="77777777" w:rsidR="009772B5" w:rsidRDefault="00480D15">
      <w:pPr>
        <w:pStyle w:val="ListParagraph"/>
        <w:numPr>
          <w:ilvl w:val="1"/>
          <w:numId w:val="10"/>
        </w:numPr>
      </w:pPr>
      <w:r>
        <w:t>19 (Consequences of suspension, ending and expiry)</w:t>
      </w:r>
    </w:p>
    <w:p w14:paraId="4F083129" w14:textId="77777777" w:rsidR="009772B5" w:rsidRDefault="00480D15">
      <w:pPr>
        <w:pStyle w:val="ListParagraph"/>
        <w:numPr>
          <w:ilvl w:val="1"/>
          <w:numId w:val="10"/>
        </w:numPr>
      </w:pPr>
      <w:r>
        <w:t>24 (Liability); incorporated Framework Agreement clauses: 4.2 to 4.7 (Liability)</w:t>
      </w:r>
    </w:p>
    <w:p w14:paraId="4F08312A" w14:textId="77777777" w:rsidR="009772B5" w:rsidRDefault="00480D15">
      <w:pPr>
        <w:pStyle w:val="ListParagraph"/>
        <w:numPr>
          <w:ilvl w:val="1"/>
          <w:numId w:val="10"/>
        </w:numPr>
      </w:pPr>
      <w:r>
        <w:t>8.44 to 8.50 (Conflicts of interest and ethical walls)</w:t>
      </w:r>
    </w:p>
    <w:p w14:paraId="4F08312B" w14:textId="77777777" w:rsidR="009772B5" w:rsidRDefault="00480D15">
      <w:pPr>
        <w:pStyle w:val="ListParagraph"/>
        <w:numPr>
          <w:ilvl w:val="1"/>
          <w:numId w:val="10"/>
        </w:numPr>
      </w:pPr>
      <w:r>
        <w:t>8.89 to 8.90 (Waiver and cumulative remedies)</w:t>
      </w:r>
    </w:p>
    <w:p w14:paraId="4F08312C" w14:textId="77777777" w:rsidR="009772B5" w:rsidRDefault="009772B5">
      <w:pPr>
        <w:ind w:firstLine="720"/>
      </w:pPr>
    </w:p>
    <w:p w14:paraId="4F08312D" w14:textId="77777777" w:rsidR="009772B5" w:rsidRDefault="00480D15">
      <w:pPr>
        <w:ind w:left="1440" w:hanging="720"/>
      </w:pPr>
      <w:r>
        <w:t>19.4.4</w:t>
      </w:r>
      <w:r>
        <w:tab/>
        <w:t>any other provision of the Framework Agreement or this Call-Off Contract which expressly or by implication is in force even if it Ends or expires</w:t>
      </w:r>
    </w:p>
    <w:p w14:paraId="4F08312E" w14:textId="77777777" w:rsidR="009772B5" w:rsidRDefault="00480D15">
      <w:r>
        <w:t xml:space="preserve"> </w:t>
      </w:r>
    </w:p>
    <w:p w14:paraId="4F08312F" w14:textId="77777777" w:rsidR="009772B5" w:rsidRDefault="00480D15">
      <w:r>
        <w:t>19.5</w:t>
      </w:r>
      <w:r>
        <w:tab/>
        <w:t>At the end of the Call-Off Contract Term, the Supplier must promptly:</w:t>
      </w:r>
    </w:p>
    <w:p w14:paraId="4F083130" w14:textId="77777777" w:rsidR="009772B5" w:rsidRDefault="009772B5"/>
    <w:p w14:paraId="4F083131" w14:textId="77777777" w:rsidR="009772B5" w:rsidRDefault="00480D15">
      <w:pPr>
        <w:ind w:left="1440" w:hanging="720"/>
      </w:pPr>
      <w:r>
        <w:t>19.5.1</w:t>
      </w:r>
      <w:r>
        <w:tab/>
        <w:t>return all Buyer Data including all copies of Buyer software, code and any other software licensed by the Buyer to the Supplier under it</w:t>
      </w:r>
    </w:p>
    <w:p w14:paraId="4F083132" w14:textId="77777777" w:rsidR="009772B5" w:rsidRDefault="009772B5">
      <w:pPr>
        <w:ind w:firstLine="720"/>
      </w:pPr>
    </w:p>
    <w:p w14:paraId="4F083133" w14:textId="77777777" w:rsidR="009772B5" w:rsidRDefault="00480D15">
      <w:pPr>
        <w:ind w:left="1440" w:hanging="720"/>
      </w:pPr>
      <w:r>
        <w:t>19.5.2</w:t>
      </w:r>
      <w:r>
        <w:tab/>
        <w:t>return any materials created by the Supplier under this Call-Off Contract if the IPRs are owned by the Buyer</w:t>
      </w:r>
    </w:p>
    <w:p w14:paraId="4F083134" w14:textId="77777777" w:rsidR="009772B5" w:rsidRDefault="009772B5">
      <w:pPr>
        <w:ind w:firstLine="720"/>
      </w:pPr>
    </w:p>
    <w:p w14:paraId="4F083135" w14:textId="77777777" w:rsidR="009772B5" w:rsidRDefault="00480D15">
      <w:pPr>
        <w:ind w:left="1440" w:hanging="720"/>
      </w:pPr>
      <w:r>
        <w:t>19.5.3</w:t>
      </w:r>
      <w:r>
        <w:tab/>
        <w:t>stop using the Buyer Data and, at the direction of the Buyer, provide the Buyer with a complete and uncorrupted version in electronic form in the formats and on media agreed with the Buyer</w:t>
      </w:r>
    </w:p>
    <w:p w14:paraId="4F083136" w14:textId="77777777" w:rsidR="009772B5" w:rsidRDefault="009772B5">
      <w:pPr>
        <w:ind w:firstLine="720"/>
      </w:pPr>
    </w:p>
    <w:p w14:paraId="4F083137" w14:textId="77777777" w:rsidR="009772B5" w:rsidRDefault="00480D1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F083138" w14:textId="77777777" w:rsidR="009772B5" w:rsidRDefault="009772B5">
      <w:pPr>
        <w:ind w:left="720"/>
      </w:pPr>
    </w:p>
    <w:p w14:paraId="4F083139" w14:textId="77777777" w:rsidR="009772B5" w:rsidRDefault="00480D15">
      <w:pPr>
        <w:ind w:firstLine="720"/>
      </w:pPr>
      <w:r>
        <w:t>19.5.5</w:t>
      </w:r>
      <w:r>
        <w:tab/>
        <w:t>work with the Buyer on any ongoing work</w:t>
      </w:r>
    </w:p>
    <w:p w14:paraId="4F08313A" w14:textId="77777777" w:rsidR="009772B5" w:rsidRDefault="009772B5"/>
    <w:p w14:paraId="4F08313B" w14:textId="77777777" w:rsidR="009772B5" w:rsidRDefault="00480D15">
      <w:pPr>
        <w:ind w:left="1440" w:hanging="720"/>
      </w:pPr>
      <w:r>
        <w:t>19.5.6</w:t>
      </w:r>
      <w:r>
        <w:tab/>
        <w:t>return any sums prepaid for Services which have not been delivered to the Buyer, within 10 Working Days of the End or Expiry Date</w:t>
      </w:r>
    </w:p>
    <w:p w14:paraId="4F08313C" w14:textId="77777777" w:rsidR="009772B5" w:rsidRDefault="009772B5">
      <w:pPr>
        <w:ind w:firstLine="720"/>
      </w:pPr>
    </w:p>
    <w:p w14:paraId="4F08313D" w14:textId="77777777" w:rsidR="009772B5" w:rsidRDefault="009772B5"/>
    <w:p w14:paraId="4F08313E" w14:textId="77777777" w:rsidR="009772B5" w:rsidRDefault="00480D1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4F08313F" w14:textId="77777777" w:rsidR="009772B5" w:rsidRDefault="009772B5">
      <w:pPr>
        <w:ind w:left="720"/>
      </w:pPr>
    </w:p>
    <w:p w14:paraId="4F083140" w14:textId="77777777" w:rsidR="009772B5" w:rsidRDefault="00480D1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F083141" w14:textId="77777777" w:rsidR="009772B5" w:rsidRDefault="009772B5"/>
    <w:p w14:paraId="4F083142" w14:textId="77777777" w:rsidR="009772B5" w:rsidRDefault="00480D15">
      <w:pPr>
        <w:pStyle w:val="Heading3"/>
      </w:pPr>
      <w:r>
        <w:t>20.</w:t>
      </w:r>
      <w:r>
        <w:tab/>
        <w:t>Notices</w:t>
      </w:r>
    </w:p>
    <w:p w14:paraId="4F083143" w14:textId="77777777" w:rsidR="009772B5" w:rsidRDefault="00480D15">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4F083144" w14:textId="77777777" w:rsidR="009772B5" w:rsidRDefault="009772B5">
      <w:pPr>
        <w:ind w:left="720" w:hanging="720"/>
      </w:pPr>
    </w:p>
    <w:p w14:paraId="4F083145" w14:textId="77777777" w:rsidR="009772B5" w:rsidRDefault="00480D15">
      <w:pPr>
        <w:pStyle w:val="ListParagraph"/>
        <w:numPr>
          <w:ilvl w:val="0"/>
          <w:numId w:val="11"/>
        </w:numPr>
        <w:spacing w:after="120" w:line="360" w:lineRule="auto"/>
      </w:pPr>
      <w:r>
        <w:t>Manner of delivery: email</w:t>
      </w:r>
    </w:p>
    <w:p w14:paraId="4F083146" w14:textId="77777777" w:rsidR="009772B5" w:rsidRDefault="00480D15">
      <w:pPr>
        <w:pStyle w:val="ListParagraph"/>
        <w:numPr>
          <w:ilvl w:val="0"/>
          <w:numId w:val="11"/>
        </w:numPr>
        <w:spacing w:line="360" w:lineRule="auto"/>
      </w:pPr>
      <w:r>
        <w:t>Deemed time of delivery: 9am on the first Working Day after sending</w:t>
      </w:r>
    </w:p>
    <w:p w14:paraId="4F083147" w14:textId="77777777" w:rsidR="009772B5" w:rsidRDefault="00480D15">
      <w:pPr>
        <w:pStyle w:val="ListParagraph"/>
        <w:numPr>
          <w:ilvl w:val="0"/>
          <w:numId w:val="11"/>
        </w:numPr>
      </w:pPr>
      <w:r>
        <w:t>Proof of service: Sent in an emailed letter in PDF format to the correct email address without any error message</w:t>
      </w:r>
    </w:p>
    <w:p w14:paraId="4F083148" w14:textId="77777777" w:rsidR="009772B5" w:rsidRDefault="009772B5"/>
    <w:p w14:paraId="4F083149" w14:textId="77777777" w:rsidR="009772B5" w:rsidRDefault="00480D15">
      <w:pPr>
        <w:ind w:left="720" w:hanging="720"/>
      </w:pPr>
      <w:r>
        <w:t>20.2</w:t>
      </w:r>
      <w:r>
        <w:tab/>
        <w:t>This clause does not apply to any legal action or other method of dispute resolution which should be sent to the addresses in the Order Form (other than a dispute notice under this Call-Off Contract).</w:t>
      </w:r>
    </w:p>
    <w:p w14:paraId="4F08314A" w14:textId="77777777" w:rsidR="009772B5" w:rsidRDefault="009772B5">
      <w:pPr>
        <w:spacing w:before="240" w:after="240"/>
        <w:ind w:left="720"/>
      </w:pPr>
    </w:p>
    <w:p w14:paraId="4F08314B" w14:textId="77777777" w:rsidR="009772B5" w:rsidRDefault="00480D15">
      <w:pPr>
        <w:pStyle w:val="Heading3"/>
      </w:pPr>
      <w:r>
        <w:t>21.</w:t>
      </w:r>
      <w:r>
        <w:tab/>
        <w:t>Exit plan</w:t>
      </w:r>
    </w:p>
    <w:p w14:paraId="4F08314C" w14:textId="77777777" w:rsidR="009772B5" w:rsidRDefault="00480D15">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4F08314D" w14:textId="77777777" w:rsidR="009772B5" w:rsidRDefault="009772B5">
      <w:pPr>
        <w:ind w:firstLine="720"/>
      </w:pPr>
    </w:p>
    <w:p w14:paraId="4F08314E" w14:textId="77777777" w:rsidR="009772B5" w:rsidRDefault="00480D1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F08314F" w14:textId="77777777" w:rsidR="009772B5" w:rsidRDefault="009772B5">
      <w:pPr>
        <w:ind w:left="720"/>
      </w:pPr>
    </w:p>
    <w:p w14:paraId="4F083150" w14:textId="77777777" w:rsidR="009772B5" w:rsidRDefault="00480D15">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4F083151" w14:textId="77777777" w:rsidR="009772B5" w:rsidRDefault="009772B5">
      <w:pPr>
        <w:ind w:left="720"/>
      </w:pPr>
    </w:p>
    <w:p w14:paraId="4F083152" w14:textId="77777777" w:rsidR="009772B5" w:rsidRDefault="00480D1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F083153" w14:textId="77777777" w:rsidR="009772B5" w:rsidRDefault="009772B5">
      <w:pPr>
        <w:ind w:left="720"/>
      </w:pPr>
    </w:p>
    <w:p w14:paraId="4F083154" w14:textId="77777777" w:rsidR="009772B5" w:rsidRDefault="00480D1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083155" w14:textId="77777777" w:rsidR="009772B5" w:rsidRDefault="009772B5">
      <w:pPr>
        <w:ind w:left="720"/>
      </w:pPr>
    </w:p>
    <w:p w14:paraId="4F083156" w14:textId="77777777" w:rsidR="009772B5" w:rsidRDefault="00480D1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F083157" w14:textId="77777777" w:rsidR="009772B5" w:rsidRDefault="009772B5">
      <w:pPr>
        <w:ind w:left="720"/>
      </w:pPr>
    </w:p>
    <w:p w14:paraId="4F083158" w14:textId="77777777" w:rsidR="009772B5" w:rsidRDefault="00480D1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F083159" w14:textId="77777777" w:rsidR="009772B5" w:rsidRDefault="009772B5"/>
    <w:p w14:paraId="4F08315A" w14:textId="77777777" w:rsidR="009772B5" w:rsidRDefault="00480D15">
      <w:pPr>
        <w:ind w:firstLine="720"/>
      </w:pPr>
      <w:r>
        <w:t>21.6.2</w:t>
      </w:r>
      <w:r>
        <w:tab/>
        <w:t>there will be no adverse impact on service continuity</w:t>
      </w:r>
    </w:p>
    <w:p w14:paraId="4F08315B" w14:textId="77777777" w:rsidR="009772B5" w:rsidRDefault="009772B5">
      <w:pPr>
        <w:ind w:firstLine="720"/>
      </w:pPr>
    </w:p>
    <w:p w14:paraId="4F08315C" w14:textId="77777777" w:rsidR="009772B5" w:rsidRDefault="00480D15">
      <w:pPr>
        <w:ind w:firstLine="720"/>
      </w:pPr>
      <w:r>
        <w:t>21.6.3</w:t>
      </w:r>
      <w:r>
        <w:tab/>
        <w:t>there is no vendor lock-in to the Supplier’s Service at exit</w:t>
      </w:r>
    </w:p>
    <w:p w14:paraId="4F08315D" w14:textId="77777777" w:rsidR="009772B5" w:rsidRDefault="009772B5"/>
    <w:p w14:paraId="4F08315E" w14:textId="77777777" w:rsidR="009772B5" w:rsidRDefault="00480D15">
      <w:pPr>
        <w:ind w:firstLine="720"/>
      </w:pPr>
      <w:r>
        <w:t>21.6.4</w:t>
      </w:r>
      <w:r>
        <w:tab/>
        <w:t xml:space="preserve">it enables the Buyer to meet its obligations under the Technology Code </w:t>
      </w:r>
      <w:proofErr w:type="gramStart"/>
      <w:r>
        <w:t>Of</w:t>
      </w:r>
      <w:proofErr w:type="gramEnd"/>
      <w:r>
        <w:t xml:space="preserve"> Practice</w:t>
      </w:r>
    </w:p>
    <w:p w14:paraId="4F08315F" w14:textId="77777777" w:rsidR="009772B5" w:rsidRDefault="009772B5">
      <w:pPr>
        <w:ind w:left="720" w:firstLine="720"/>
      </w:pPr>
    </w:p>
    <w:p w14:paraId="4F083160" w14:textId="77777777" w:rsidR="009772B5" w:rsidRDefault="00480D15">
      <w:pPr>
        <w:ind w:left="720" w:hanging="720"/>
      </w:pPr>
      <w:r>
        <w:t>21.7</w:t>
      </w:r>
      <w:r>
        <w:tab/>
        <w:t>If approval is obtained by the Buyer to extend the Term, then the Supplier will comply with its obligations in the additional exit plan.</w:t>
      </w:r>
    </w:p>
    <w:p w14:paraId="4F083161" w14:textId="77777777" w:rsidR="009772B5" w:rsidRDefault="009772B5">
      <w:pPr>
        <w:ind w:firstLine="720"/>
      </w:pPr>
    </w:p>
    <w:p w14:paraId="4F083162" w14:textId="77777777" w:rsidR="009772B5" w:rsidRDefault="00480D15">
      <w:pPr>
        <w:ind w:left="720" w:hanging="720"/>
      </w:pPr>
      <w:r>
        <w:t>21.8</w:t>
      </w:r>
      <w:r>
        <w:tab/>
        <w:t>The additional exit plan must set out full details of timescales, activities and roles and responsibilities of the Parties for:</w:t>
      </w:r>
    </w:p>
    <w:p w14:paraId="4F083163" w14:textId="77777777" w:rsidR="009772B5" w:rsidRDefault="009772B5">
      <w:pPr>
        <w:ind w:firstLine="720"/>
      </w:pPr>
    </w:p>
    <w:p w14:paraId="4F083164" w14:textId="77777777" w:rsidR="009772B5" w:rsidRDefault="00480D15">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4F083165" w14:textId="77777777" w:rsidR="009772B5" w:rsidRDefault="009772B5">
      <w:pPr>
        <w:ind w:left="1440"/>
      </w:pPr>
    </w:p>
    <w:p w14:paraId="4F083166" w14:textId="77777777" w:rsidR="009772B5" w:rsidRDefault="00480D1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F083167" w14:textId="77777777" w:rsidR="009772B5" w:rsidRDefault="009772B5">
      <w:pPr>
        <w:ind w:left="1440"/>
      </w:pPr>
    </w:p>
    <w:p w14:paraId="4F083168" w14:textId="77777777" w:rsidR="009772B5" w:rsidRDefault="00480D15">
      <w:pPr>
        <w:ind w:left="1440" w:hanging="720"/>
      </w:pPr>
      <w:r>
        <w:t>21.8.3</w:t>
      </w:r>
      <w:r>
        <w:tab/>
        <w:t>the transfer of Project Specific IPR items and other Buyer customisations, configurations and databases to the Buyer or a replacement supplier</w:t>
      </w:r>
    </w:p>
    <w:p w14:paraId="4F083169" w14:textId="77777777" w:rsidR="009772B5" w:rsidRDefault="009772B5">
      <w:pPr>
        <w:ind w:left="720" w:firstLine="720"/>
      </w:pPr>
    </w:p>
    <w:p w14:paraId="4F08316A" w14:textId="77777777" w:rsidR="009772B5" w:rsidRDefault="00480D15">
      <w:pPr>
        <w:ind w:firstLine="720"/>
      </w:pPr>
      <w:r>
        <w:t>21.8.4</w:t>
      </w:r>
      <w:r>
        <w:tab/>
        <w:t>the testing and assurance strategy for exported Buyer Data</w:t>
      </w:r>
    </w:p>
    <w:p w14:paraId="4F08316B" w14:textId="77777777" w:rsidR="009772B5" w:rsidRDefault="009772B5">
      <w:pPr>
        <w:ind w:firstLine="720"/>
      </w:pPr>
    </w:p>
    <w:p w14:paraId="4F08316C" w14:textId="77777777" w:rsidR="009772B5" w:rsidRDefault="00480D15">
      <w:pPr>
        <w:ind w:firstLine="720"/>
      </w:pPr>
      <w:r>
        <w:t>21.8.5</w:t>
      </w:r>
      <w:r>
        <w:tab/>
        <w:t>if relevant, TUPE-related activity to comply with the TUPE regulations</w:t>
      </w:r>
    </w:p>
    <w:p w14:paraId="4F08316D" w14:textId="77777777" w:rsidR="009772B5" w:rsidRDefault="009772B5">
      <w:pPr>
        <w:ind w:firstLine="720"/>
      </w:pPr>
    </w:p>
    <w:p w14:paraId="4F08316E" w14:textId="77777777" w:rsidR="009772B5" w:rsidRDefault="00480D15">
      <w:pPr>
        <w:ind w:left="1440" w:hanging="720"/>
      </w:pPr>
      <w:r>
        <w:t>21.8.6</w:t>
      </w:r>
      <w:r>
        <w:tab/>
        <w:t>any other activities and information which is reasonably required to ensure continuity of Service during the exit period and an orderly transition</w:t>
      </w:r>
    </w:p>
    <w:p w14:paraId="4F08316F" w14:textId="77777777" w:rsidR="009772B5" w:rsidRDefault="009772B5"/>
    <w:p w14:paraId="4F083170" w14:textId="77777777" w:rsidR="009772B5" w:rsidRDefault="00480D15">
      <w:pPr>
        <w:pStyle w:val="Heading3"/>
      </w:pPr>
      <w:r>
        <w:t>22.</w:t>
      </w:r>
      <w:r>
        <w:tab/>
        <w:t>Handover to replacement supplier</w:t>
      </w:r>
    </w:p>
    <w:p w14:paraId="4F083171" w14:textId="77777777" w:rsidR="009772B5" w:rsidRDefault="00480D15">
      <w:pPr>
        <w:ind w:left="720" w:hanging="720"/>
      </w:pPr>
      <w:r>
        <w:t>22.1</w:t>
      </w:r>
      <w:r>
        <w:tab/>
        <w:t>At least 10 Working Days before the Expiry Date or End Date, the Supplier must provide any:</w:t>
      </w:r>
    </w:p>
    <w:p w14:paraId="4F083172" w14:textId="77777777" w:rsidR="009772B5" w:rsidRDefault="009772B5">
      <w:pPr>
        <w:ind w:firstLine="720"/>
      </w:pPr>
    </w:p>
    <w:p w14:paraId="4F083173" w14:textId="77777777" w:rsidR="009772B5" w:rsidRDefault="00480D15">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4F083174" w14:textId="77777777" w:rsidR="009772B5" w:rsidRDefault="009772B5">
      <w:pPr>
        <w:ind w:left="720" w:firstLine="720"/>
      </w:pPr>
    </w:p>
    <w:p w14:paraId="4F083175" w14:textId="77777777" w:rsidR="009772B5" w:rsidRDefault="00480D15">
      <w:pPr>
        <w:ind w:firstLine="720"/>
      </w:pPr>
      <w:r>
        <w:t>22.1.2</w:t>
      </w:r>
      <w:r>
        <w:tab/>
        <w:t>other information reasonably requested by the Buyer</w:t>
      </w:r>
    </w:p>
    <w:p w14:paraId="4F083176" w14:textId="77777777" w:rsidR="009772B5" w:rsidRDefault="009772B5">
      <w:pPr>
        <w:ind w:firstLine="720"/>
      </w:pPr>
    </w:p>
    <w:p w14:paraId="4F083177" w14:textId="77777777" w:rsidR="009772B5" w:rsidRDefault="00480D1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F083178" w14:textId="77777777" w:rsidR="009772B5" w:rsidRDefault="009772B5">
      <w:pPr>
        <w:ind w:left="720"/>
      </w:pPr>
    </w:p>
    <w:p w14:paraId="4F083179" w14:textId="77777777" w:rsidR="009772B5" w:rsidRDefault="00480D1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F08317A" w14:textId="77777777" w:rsidR="009772B5" w:rsidRDefault="009772B5">
      <w:pPr>
        <w:ind w:left="720"/>
      </w:pPr>
    </w:p>
    <w:p w14:paraId="4F08317B" w14:textId="77777777" w:rsidR="009772B5" w:rsidRDefault="00480D15">
      <w:pPr>
        <w:pStyle w:val="Heading3"/>
      </w:pPr>
      <w:r>
        <w:t>23.</w:t>
      </w:r>
      <w:r>
        <w:tab/>
        <w:t>Force majeure</w:t>
      </w:r>
    </w:p>
    <w:p w14:paraId="4F08317C" w14:textId="77777777" w:rsidR="009772B5" w:rsidRDefault="00480D1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F08317D" w14:textId="77777777" w:rsidR="009772B5" w:rsidRDefault="009772B5">
      <w:pPr>
        <w:ind w:left="720" w:hanging="720"/>
      </w:pPr>
    </w:p>
    <w:p w14:paraId="4F08317E" w14:textId="77777777" w:rsidR="009772B5" w:rsidRDefault="00480D15">
      <w:pPr>
        <w:pStyle w:val="Heading3"/>
      </w:pPr>
      <w:r>
        <w:t>24.</w:t>
      </w:r>
      <w:r>
        <w:tab/>
        <w:t>Liability</w:t>
      </w:r>
    </w:p>
    <w:p w14:paraId="4F08317F" w14:textId="77777777" w:rsidR="009772B5" w:rsidRDefault="00480D1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F083180" w14:textId="77777777" w:rsidR="009772B5" w:rsidRDefault="009772B5">
      <w:pPr>
        <w:ind w:left="720"/>
      </w:pPr>
    </w:p>
    <w:p w14:paraId="4F083181" w14:textId="77777777" w:rsidR="009772B5" w:rsidRDefault="00480D1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F083182" w14:textId="77777777" w:rsidR="009772B5" w:rsidRDefault="009772B5">
      <w:pPr>
        <w:ind w:left="1440"/>
      </w:pPr>
    </w:p>
    <w:p w14:paraId="4F083183" w14:textId="77777777" w:rsidR="009772B5" w:rsidRDefault="00480D15">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F083184" w14:textId="77777777" w:rsidR="009772B5" w:rsidRDefault="009772B5">
      <w:pPr>
        <w:ind w:left="1440"/>
      </w:pPr>
    </w:p>
    <w:p w14:paraId="4F083185" w14:textId="77777777" w:rsidR="009772B5" w:rsidRDefault="00480D15">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4F083186" w14:textId="77777777" w:rsidR="009772B5" w:rsidRDefault="009772B5">
      <w:pPr>
        <w:spacing w:before="240" w:after="240"/>
      </w:pPr>
    </w:p>
    <w:p w14:paraId="4F083187" w14:textId="77777777" w:rsidR="009772B5" w:rsidRDefault="00480D15">
      <w:pPr>
        <w:pStyle w:val="Heading3"/>
      </w:pPr>
      <w:r>
        <w:t>25.</w:t>
      </w:r>
      <w:r>
        <w:tab/>
        <w:t>Premises</w:t>
      </w:r>
    </w:p>
    <w:p w14:paraId="4F083188" w14:textId="77777777" w:rsidR="009772B5" w:rsidRDefault="00480D1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F083189" w14:textId="77777777" w:rsidR="009772B5" w:rsidRDefault="009772B5">
      <w:pPr>
        <w:ind w:left="720"/>
      </w:pPr>
    </w:p>
    <w:p w14:paraId="4F08318A" w14:textId="77777777" w:rsidR="009772B5" w:rsidRDefault="00480D15">
      <w:pPr>
        <w:ind w:left="720" w:hanging="720"/>
      </w:pPr>
      <w:r>
        <w:t>25.2</w:t>
      </w:r>
      <w:r>
        <w:tab/>
        <w:t>The Supplier will use the Buyer’s premises solely for the performance of its obligations under this Call-Off Contract.</w:t>
      </w:r>
    </w:p>
    <w:p w14:paraId="4F08318B" w14:textId="77777777" w:rsidR="009772B5" w:rsidRDefault="009772B5">
      <w:pPr>
        <w:ind w:firstLine="720"/>
      </w:pPr>
    </w:p>
    <w:p w14:paraId="4F08318C" w14:textId="77777777" w:rsidR="009772B5" w:rsidRDefault="00480D15">
      <w:r>
        <w:t>25.3</w:t>
      </w:r>
      <w:r>
        <w:tab/>
        <w:t>The Supplier will vacate the Buyer’s premises when the Call-Off Contract Ends or expires.</w:t>
      </w:r>
    </w:p>
    <w:p w14:paraId="4F08318D" w14:textId="77777777" w:rsidR="009772B5" w:rsidRDefault="009772B5">
      <w:pPr>
        <w:ind w:firstLine="720"/>
      </w:pPr>
    </w:p>
    <w:p w14:paraId="4F08318E" w14:textId="77777777" w:rsidR="009772B5" w:rsidRDefault="00480D15">
      <w:r>
        <w:t>25.4</w:t>
      </w:r>
      <w:r>
        <w:tab/>
        <w:t>This clause does not create a tenancy or exclusive right of occupation.</w:t>
      </w:r>
    </w:p>
    <w:p w14:paraId="4F08318F" w14:textId="77777777" w:rsidR="009772B5" w:rsidRDefault="009772B5"/>
    <w:p w14:paraId="4F083190" w14:textId="77777777" w:rsidR="009772B5" w:rsidRDefault="00480D15">
      <w:r>
        <w:t>25.5</w:t>
      </w:r>
      <w:r>
        <w:tab/>
        <w:t>While on the Buyer’s premises, the Supplier will:</w:t>
      </w:r>
    </w:p>
    <w:p w14:paraId="4F083191" w14:textId="77777777" w:rsidR="009772B5" w:rsidRDefault="009772B5"/>
    <w:p w14:paraId="4F083192" w14:textId="77777777" w:rsidR="009772B5" w:rsidRDefault="00480D15">
      <w:pPr>
        <w:ind w:left="1440" w:hanging="720"/>
      </w:pPr>
      <w:r>
        <w:t>25.5.1</w:t>
      </w:r>
      <w:r>
        <w:tab/>
        <w:t>comply with any security requirements at the premises and not do anything to weaken the security of the premises</w:t>
      </w:r>
    </w:p>
    <w:p w14:paraId="4F083193" w14:textId="77777777" w:rsidR="009772B5" w:rsidRDefault="009772B5">
      <w:pPr>
        <w:ind w:left="720"/>
      </w:pPr>
    </w:p>
    <w:p w14:paraId="4F083194" w14:textId="77777777" w:rsidR="009772B5" w:rsidRDefault="00480D15">
      <w:pPr>
        <w:ind w:firstLine="720"/>
      </w:pPr>
      <w:r>
        <w:t>25.5.2</w:t>
      </w:r>
      <w:r>
        <w:tab/>
        <w:t>comply with Buyer requirements for the conduct of personnel</w:t>
      </w:r>
    </w:p>
    <w:p w14:paraId="4F083195" w14:textId="77777777" w:rsidR="009772B5" w:rsidRDefault="009772B5">
      <w:pPr>
        <w:ind w:firstLine="720"/>
      </w:pPr>
    </w:p>
    <w:p w14:paraId="4F083196" w14:textId="77777777" w:rsidR="009772B5" w:rsidRDefault="00480D15">
      <w:pPr>
        <w:ind w:firstLine="720"/>
      </w:pPr>
      <w:r>
        <w:t>25.5.3</w:t>
      </w:r>
      <w:r>
        <w:tab/>
        <w:t>comply with any health and safety measures implemented by the Buyer</w:t>
      </w:r>
    </w:p>
    <w:p w14:paraId="4F083197" w14:textId="77777777" w:rsidR="009772B5" w:rsidRDefault="009772B5">
      <w:pPr>
        <w:ind w:firstLine="720"/>
      </w:pPr>
    </w:p>
    <w:p w14:paraId="4F083198" w14:textId="77777777" w:rsidR="009772B5" w:rsidRDefault="00480D15">
      <w:pPr>
        <w:ind w:left="1440" w:hanging="720"/>
      </w:pPr>
      <w:r>
        <w:t>25.5.4</w:t>
      </w:r>
      <w:r>
        <w:tab/>
        <w:t>immediately notify the Buyer of any incident on the premises that causes any damage to Property which could cause personal injury</w:t>
      </w:r>
    </w:p>
    <w:p w14:paraId="4F083199" w14:textId="77777777" w:rsidR="009772B5" w:rsidRDefault="009772B5">
      <w:pPr>
        <w:ind w:left="720" w:firstLine="720"/>
      </w:pPr>
    </w:p>
    <w:p w14:paraId="4F08319A" w14:textId="77777777" w:rsidR="009772B5" w:rsidRDefault="00480D15">
      <w:pPr>
        <w:ind w:left="720" w:hanging="720"/>
      </w:pPr>
      <w:r>
        <w:t>25.6</w:t>
      </w:r>
      <w:r>
        <w:tab/>
        <w:t>The Supplier will ensure that its health and safety policy statement (as required by the Health and Safety at Work etc Act 1974) is made available to the Buyer on request.</w:t>
      </w:r>
    </w:p>
    <w:p w14:paraId="4F08319B" w14:textId="77777777" w:rsidR="009772B5" w:rsidRDefault="009772B5">
      <w:pPr>
        <w:ind w:left="720" w:hanging="720"/>
      </w:pPr>
    </w:p>
    <w:p w14:paraId="4F08319C" w14:textId="77777777" w:rsidR="009772B5" w:rsidRDefault="00480D15">
      <w:pPr>
        <w:pStyle w:val="Heading3"/>
      </w:pPr>
      <w:r>
        <w:t>26.</w:t>
      </w:r>
      <w:r>
        <w:tab/>
        <w:t>Equipment</w:t>
      </w:r>
    </w:p>
    <w:p w14:paraId="4F08319D" w14:textId="77777777" w:rsidR="009772B5" w:rsidRDefault="00480D15">
      <w:pPr>
        <w:spacing w:before="240" w:after="240"/>
      </w:pPr>
      <w:r>
        <w:t>26.1</w:t>
      </w:r>
      <w:r>
        <w:tab/>
        <w:t>The Supplier is responsible for providing any Equipment which the Supplier requires to provide the Services.</w:t>
      </w:r>
    </w:p>
    <w:p w14:paraId="4F08319E" w14:textId="77777777" w:rsidR="009772B5" w:rsidRDefault="009772B5">
      <w:pPr>
        <w:ind w:firstLine="720"/>
      </w:pPr>
    </w:p>
    <w:p w14:paraId="4F08319F" w14:textId="77777777" w:rsidR="009772B5" w:rsidRDefault="00480D15">
      <w:pPr>
        <w:ind w:left="720" w:hanging="720"/>
      </w:pPr>
      <w:r>
        <w:t>26.2</w:t>
      </w:r>
      <w:r>
        <w:tab/>
        <w:t>Any Equipment brought onto the premises will be at the Supplier's own risk and the Buyer will have no liability for any loss of, or damage to, any Equipment.</w:t>
      </w:r>
    </w:p>
    <w:p w14:paraId="4F0831A0" w14:textId="77777777" w:rsidR="009772B5" w:rsidRDefault="009772B5">
      <w:pPr>
        <w:ind w:firstLine="720"/>
      </w:pPr>
    </w:p>
    <w:p w14:paraId="4F0831A1" w14:textId="77777777" w:rsidR="009772B5" w:rsidRDefault="00480D15">
      <w:pPr>
        <w:ind w:left="720" w:hanging="720"/>
      </w:pPr>
      <w:r>
        <w:t>26.3</w:t>
      </w:r>
      <w:r>
        <w:tab/>
        <w:t>When the Call-Off Contract Ends or expires, the Supplier will remove the Equipment and any other materials leaving the premises in a safe and clean condition.</w:t>
      </w:r>
    </w:p>
    <w:p w14:paraId="4F0831A2" w14:textId="77777777" w:rsidR="009772B5" w:rsidRDefault="009772B5">
      <w:pPr>
        <w:ind w:left="720" w:hanging="720"/>
      </w:pPr>
    </w:p>
    <w:p w14:paraId="4F0831A3" w14:textId="77777777" w:rsidR="009772B5" w:rsidRDefault="00480D15">
      <w:pPr>
        <w:pStyle w:val="Heading3"/>
      </w:pPr>
      <w:r>
        <w:t>27.</w:t>
      </w:r>
      <w:r>
        <w:tab/>
        <w:t>The Contracts (Rights of Third Parties) Act 1999</w:t>
      </w:r>
    </w:p>
    <w:p w14:paraId="4F0831A4" w14:textId="77777777" w:rsidR="009772B5" w:rsidRDefault="009772B5"/>
    <w:p w14:paraId="4F0831A5" w14:textId="77777777" w:rsidR="009772B5" w:rsidRDefault="00480D1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F0831A6" w14:textId="77777777" w:rsidR="009772B5" w:rsidRDefault="009772B5">
      <w:pPr>
        <w:ind w:left="720" w:hanging="720"/>
      </w:pPr>
    </w:p>
    <w:p w14:paraId="4F0831A7" w14:textId="77777777" w:rsidR="009772B5" w:rsidRDefault="00480D15">
      <w:pPr>
        <w:pStyle w:val="Heading3"/>
      </w:pPr>
      <w:r>
        <w:t>28.</w:t>
      </w:r>
      <w:r>
        <w:tab/>
        <w:t>Environmental requirements</w:t>
      </w:r>
    </w:p>
    <w:p w14:paraId="4F0831A8" w14:textId="77777777" w:rsidR="009772B5" w:rsidRDefault="00480D15">
      <w:pPr>
        <w:ind w:left="720" w:hanging="720"/>
      </w:pPr>
      <w:r>
        <w:t>28.1</w:t>
      </w:r>
      <w:r>
        <w:tab/>
        <w:t>The Buyer will provide a copy of its environmental policy to the Supplier on request, which the Supplier will comply with.</w:t>
      </w:r>
    </w:p>
    <w:p w14:paraId="4F0831A9" w14:textId="77777777" w:rsidR="009772B5" w:rsidRDefault="009772B5">
      <w:pPr>
        <w:ind w:firstLine="720"/>
      </w:pPr>
    </w:p>
    <w:p w14:paraId="4F0831AA" w14:textId="77777777" w:rsidR="009772B5" w:rsidRDefault="00480D15">
      <w:pPr>
        <w:ind w:left="720" w:hanging="720"/>
      </w:pPr>
      <w:r>
        <w:t>28.2</w:t>
      </w:r>
      <w:r>
        <w:tab/>
        <w:t>The Supplier must provide reasonable support to enable Buyers to work in an environmentally friendly way, for example by helping them recycle or lower their carbon footprint.</w:t>
      </w:r>
    </w:p>
    <w:p w14:paraId="4F0831AB" w14:textId="77777777" w:rsidR="009772B5" w:rsidRDefault="009772B5">
      <w:pPr>
        <w:ind w:left="720" w:hanging="720"/>
      </w:pPr>
    </w:p>
    <w:p w14:paraId="4F0831AC" w14:textId="77777777" w:rsidR="009772B5" w:rsidRDefault="00480D15">
      <w:pPr>
        <w:pStyle w:val="Heading3"/>
      </w:pPr>
      <w:r>
        <w:t>29.</w:t>
      </w:r>
      <w:r>
        <w:tab/>
        <w:t>The Employment Regulations (TUPE)</w:t>
      </w:r>
    </w:p>
    <w:p w14:paraId="4F0831AD" w14:textId="77777777" w:rsidR="009772B5" w:rsidRDefault="00480D1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F0831AE" w14:textId="77777777" w:rsidR="009772B5" w:rsidRDefault="009772B5">
      <w:pPr>
        <w:ind w:left="720"/>
      </w:pPr>
    </w:p>
    <w:p w14:paraId="4F0831AF" w14:textId="77777777" w:rsidR="009772B5" w:rsidRDefault="00480D1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F0831B0" w14:textId="77777777" w:rsidR="009772B5" w:rsidRDefault="009772B5">
      <w:pPr>
        <w:ind w:left="720"/>
      </w:pPr>
    </w:p>
    <w:p w14:paraId="4F0831B1" w14:textId="77777777" w:rsidR="009772B5" w:rsidRDefault="00480D15">
      <w:pPr>
        <w:ind w:firstLine="720"/>
      </w:pPr>
      <w:r>
        <w:t>29.2.1</w:t>
      </w:r>
      <w:r>
        <w:tab/>
      </w:r>
      <w:r>
        <w:tab/>
        <w:t>the activities they perform</w:t>
      </w:r>
    </w:p>
    <w:p w14:paraId="4F0831B2" w14:textId="77777777" w:rsidR="009772B5" w:rsidRDefault="00480D15">
      <w:pPr>
        <w:ind w:firstLine="720"/>
      </w:pPr>
      <w:r>
        <w:t>29.2.2</w:t>
      </w:r>
      <w:r>
        <w:tab/>
      </w:r>
      <w:r>
        <w:tab/>
        <w:t>age</w:t>
      </w:r>
    </w:p>
    <w:p w14:paraId="4F0831B3" w14:textId="77777777" w:rsidR="009772B5" w:rsidRDefault="00480D15">
      <w:pPr>
        <w:ind w:firstLine="720"/>
      </w:pPr>
      <w:r>
        <w:t>29.2.3</w:t>
      </w:r>
      <w:r>
        <w:tab/>
      </w:r>
      <w:r>
        <w:tab/>
        <w:t>start date</w:t>
      </w:r>
    </w:p>
    <w:p w14:paraId="4F0831B4" w14:textId="77777777" w:rsidR="009772B5" w:rsidRDefault="00480D15">
      <w:pPr>
        <w:ind w:firstLine="720"/>
      </w:pPr>
      <w:r>
        <w:t>29.2.4</w:t>
      </w:r>
      <w:r>
        <w:tab/>
      </w:r>
      <w:r>
        <w:tab/>
        <w:t>place of work</w:t>
      </w:r>
    </w:p>
    <w:p w14:paraId="4F0831B5" w14:textId="77777777" w:rsidR="009772B5" w:rsidRDefault="00480D15">
      <w:pPr>
        <w:ind w:firstLine="720"/>
      </w:pPr>
      <w:r>
        <w:t>29.2.5</w:t>
      </w:r>
      <w:r>
        <w:tab/>
      </w:r>
      <w:r>
        <w:tab/>
        <w:t>notice period</w:t>
      </w:r>
    </w:p>
    <w:p w14:paraId="4F0831B6" w14:textId="77777777" w:rsidR="009772B5" w:rsidRDefault="00480D15">
      <w:pPr>
        <w:ind w:firstLine="720"/>
      </w:pPr>
      <w:r>
        <w:t>29.2.6</w:t>
      </w:r>
      <w:r>
        <w:tab/>
      </w:r>
      <w:r>
        <w:tab/>
        <w:t>redundancy payment entitlement</w:t>
      </w:r>
    </w:p>
    <w:p w14:paraId="4F0831B7" w14:textId="77777777" w:rsidR="009772B5" w:rsidRDefault="00480D15">
      <w:pPr>
        <w:ind w:firstLine="720"/>
      </w:pPr>
      <w:r>
        <w:t>29.2.7</w:t>
      </w:r>
      <w:r>
        <w:tab/>
      </w:r>
      <w:r>
        <w:tab/>
        <w:t xml:space="preserve">salary, </w:t>
      </w:r>
      <w:proofErr w:type="gramStart"/>
      <w:r>
        <w:t>benefits</w:t>
      </w:r>
      <w:proofErr w:type="gramEnd"/>
      <w:r>
        <w:t xml:space="preserve"> and pension entitlements</w:t>
      </w:r>
    </w:p>
    <w:p w14:paraId="4F0831B8" w14:textId="77777777" w:rsidR="009772B5" w:rsidRDefault="00480D15">
      <w:pPr>
        <w:ind w:firstLine="720"/>
      </w:pPr>
      <w:r>
        <w:t>29.2.8</w:t>
      </w:r>
      <w:r>
        <w:tab/>
      </w:r>
      <w:r>
        <w:tab/>
        <w:t>employment status</w:t>
      </w:r>
    </w:p>
    <w:p w14:paraId="4F0831B9" w14:textId="77777777" w:rsidR="009772B5" w:rsidRDefault="00480D15">
      <w:pPr>
        <w:ind w:firstLine="720"/>
      </w:pPr>
      <w:r>
        <w:t>29.2.9</w:t>
      </w:r>
      <w:r>
        <w:tab/>
      </w:r>
      <w:r>
        <w:tab/>
        <w:t>identity of employer</w:t>
      </w:r>
    </w:p>
    <w:p w14:paraId="4F0831BA" w14:textId="77777777" w:rsidR="009772B5" w:rsidRDefault="00480D15">
      <w:pPr>
        <w:ind w:firstLine="720"/>
      </w:pPr>
      <w:r>
        <w:t>29.2.10</w:t>
      </w:r>
      <w:r>
        <w:tab/>
        <w:t>working arrangements</w:t>
      </w:r>
    </w:p>
    <w:p w14:paraId="4F0831BB" w14:textId="77777777" w:rsidR="009772B5" w:rsidRDefault="00480D15">
      <w:pPr>
        <w:ind w:firstLine="720"/>
      </w:pPr>
      <w:r>
        <w:t>29.2.11</w:t>
      </w:r>
      <w:r>
        <w:tab/>
        <w:t>outstanding liabilities</w:t>
      </w:r>
    </w:p>
    <w:p w14:paraId="4F0831BC" w14:textId="77777777" w:rsidR="009772B5" w:rsidRDefault="00480D15">
      <w:pPr>
        <w:ind w:firstLine="720"/>
      </w:pPr>
      <w:r>
        <w:t>29.2.12</w:t>
      </w:r>
      <w:r>
        <w:tab/>
        <w:t>sickness absence</w:t>
      </w:r>
    </w:p>
    <w:p w14:paraId="4F0831BD" w14:textId="77777777" w:rsidR="009772B5" w:rsidRDefault="00480D15">
      <w:pPr>
        <w:ind w:firstLine="720"/>
      </w:pPr>
      <w:r>
        <w:t>29.2.13</w:t>
      </w:r>
      <w:r>
        <w:tab/>
        <w:t>copies of all relevant employment contracts and related documents</w:t>
      </w:r>
    </w:p>
    <w:p w14:paraId="4F0831BE" w14:textId="77777777" w:rsidR="009772B5" w:rsidRDefault="00480D15">
      <w:pPr>
        <w:ind w:firstLine="720"/>
      </w:pPr>
      <w:r>
        <w:t>29.2.14</w:t>
      </w:r>
      <w:r>
        <w:tab/>
        <w:t xml:space="preserve">all information required under regulation 11 of TUPE or as reasonably </w:t>
      </w:r>
    </w:p>
    <w:p w14:paraId="4F0831BF" w14:textId="77777777" w:rsidR="009772B5" w:rsidRDefault="00480D15">
      <w:pPr>
        <w:ind w:left="1440" w:firstLine="720"/>
      </w:pPr>
      <w:r>
        <w:t>requested by the Buyer</w:t>
      </w:r>
    </w:p>
    <w:p w14:paraId="4F0831C0" w14:textId="77777777" w:rsidR="009772B5" w:rsidRDefault="009772B5">
      <w:pPr>
        <w:ind w:left="720" w:firstLine="720"/>
      </w:pPr>
    </w:p>
    <w:p w14:paraId="4F0831C1" w14:textId="77777777" w:rsidR="009772B5" w:rsidRDefault="00480D1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F0831C2" w14:textId="77777777" w:rsidR="009772B5" w:rsidRDefault="009772B5">
      <w:pPr>
        <w:ind w:left="720"/>
      </w:pPr>
    </w:p>
    <w:p w14:paraId="4F0831C3" w14:textId="77777777" w:rsidR="009772B5" w:rsidRDefault="00480D1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F0831C4" w14:textId="77777777" w:rsidR="009772B5" w:rsidRDefault="009772B5">
      <w:pPr>
        <w:ind w:left="720"/>
      </w:pPr>
    </w:p>
    <w:p w14:paraId="4F0831C5" w14:textId="77777777" w:rsidR="009772B5" w:rsidRDefault="00480D15">
      <w:pPr>
        <w:ind w:left="720" w:hanging="720"/>
      </w:pPr>
      <w:r>
        <w:t>29.5</w:t>
      </w:r>
      <w:r>
        <w:tab/>
        <w:t>The Supplier will co-operate with the re-tendering of this Call-Off Contract by allowing the Replacement Supplier to communicate with and meet the affected employees or their representatives.</w:t>
      </w:r>
    </w:p>
    <w:p w14:paraId="4F0831C6" w14:textId="77777777" w:rsidR="009772B5" w:rsidRDefault="009772B5">
      <w:pPr>
        <w:ind w:left="720"/>
      </w:pPr>
    </w:p>
    <w:p w14:paraId="4F0831C7" w14:textId="77777777" w:rsidR="009772B5" w:rsidRDefault="00480D15">
      <w:pPr>
        <w:ind w:left="720" w:hanging="720"/>
      </w:pPr>
      <w:r>
        <w:t>29.6</w:t>
      </w:r>
      <w:r>
        <w:tab/>
        <w:t>The Supplier will indemnify the Buyer or any Replacement Supplier for all Loss arising from both:</w:t>
      </w:r>
    </w:p>
    <w:p w14:paraId="4F0831C8" w14:textId="77777777" w:rsidR="009772B5" w:rsidRDefault="009772B5">
      <w:pPr>
        <w:ind w:firstLine="720"/>
      </w:pPr>
    </w:p>
    <w:p w14:paraId="4F0831C9" w14:textId="77777777" w:rsidR="009772B5" w:rsidRDefault="00480D15">
      <w:pPr>
        <w:ind w:firstLine="720"/>
      </w:pPr>
      <w:r>
        <w:t>29.6.1</w:t>
      </w:r>
      <w:r>
        <w:tab/>
        <w:t>its failure to comply with the provisions of this clause</w:t>
      </w:r>
    </w:p>
    <w:p w14:paraId="4F0831CA" w14:textId="77777777" w:rsidR="009772B5" w:rsidRDefault="009772B5">
      <w:pPr>
        <w:ind w:firstLine="720"/>
      </w:pPr>
    </w:p>
    <w:p w14:paraId="4F0831CB" w14:textId="77777777" w:rsidR="009772B5" w:rsidRDefault="00480D1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F0831CC" w14:textId="77777777" w:rsidR="009772B5" w:rsidRDefault="009772B5">
      <w:pPr>
        <w:ind w:left="1440"/>
      </w:pPr>
    </w:p>
    <w:p w14:paraId="4F0831CD" w14:textId="77777777" w:rsidR="009772B5" w:rsidRDefault="00480D15">
      <w:pPr>
        <w:ind w:left="720" w:hanging="720"/>
      </w:pPr>
      <w:r>
        <w:t>29.7</w:t>
      </w:r>
      <w:r>
        <w:tab/>
        <w:t>The provisions of this clause apply during the Term of this Call-Off Contract and indefinitely after it Ends or expires.</w:t>
      </w:r>
    </w:p>
    <w:p w14:paraId="4F0831CE" w14:textId="77777777" w:rsidR="009772B5" w:rsidRDefault="009772B5">
      <w:pPr>
        <w:ind w:firstLine="720"/>
      </w:pPr>
    </w:p>
    <w:p w14:paraId="4F0831CF" w14:textId="77777777" w:rsidR="009772B5" w:rsidRDefault="00480D1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F0831D0" w14:textId="77777777" w:rsidR="009772B5" w:rsidRDefault="009772B5">
      <w:pPr>
        <w:ind w:left="720" w:hanging="720"/>
      </w:pPr>
    </w:p>
    <w:p w14:paraId="4F0831D1" w14:textId="77777777" w:rsidR="009772B5" w:rsidRDefault="00480D15">
      <w:pPr>
        <w:pStyle w:val="Heading3"/>
      </w:pPr>
      <w:r>
        <w:t>30.</w:t>
      </w:r>
      <w:r>
        <w:tab/>
        <w:t>Additional G-Cloud services</w:t>
      </w:r>
    </w:p>
    <w:p w14:paraId="4F0831D2" w14:textId="77777777" w:rsidR="009772B5" w:rsidRDefault="00480D15">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4F0831D3" w14:textId="77777777" w:rsidR="009772B5" w:rsidRDefault="009772B5">
      <w:pPr>
        <w:ind w:left="720"/>
      </w:pPr>
    </w:p>
    <w:p w14:paraId="4F0831D4" w14:textId="77777777" w:rsidR="009772B5" w:rsidRDefault="00480D15">
      <w:pPr>
        <w:ind w:left="720" w:hanging="720"/>
      </w:pPr>
      <w:r>
        <w:t>30.2</w:t>
      </w:r>
      <w:r>
        <w:tab/>
        <w:t>If reasonably requested to do so by the Buyer in the Order Form, the Supplier must provide and monitor performance of the Additional Services using an Implementation Plan.</w:t>
      </w:r>
    </w:p>
    <w:p w14:paraId="4F0831D5" w14:textId="77777777" w:rsidR="009772B5" w:rsidRDefault="009772B5">
      <w:pPr>
        <w:ind w:left="720" w:hanging="720"/>
      </w:pPr>
    </w:p>
    <w:p w14:paraId="4F0831D6" w14:textId="77777777" w:rsidR="009772B5" w:rsidRDefault="00480D15">
      <w:pPr>
        <w:pStyle w:val="Heading3"/>
      </w:pPr>
      <w:r>
        <w:t>31.</w:t>
      </w:r>
      <w:r>
        <w:tab/>
        <w:t>Collaboration</w:t>
      </w:r>
    </w:p>
    <w:p w14:paraId="4F0831D7" w14:textId="77777777" w:rsidR="009772B5" w:rsidRDefault="00480D1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F0831D8" w14:textId="77777777" w:rsidR="009772B5" w:rsidRDefault="009772B5">
      <w:pPr>
        <w:ind w:left="720"/>
      </w:pPr>
    </w:p>
    <w:p w14:paraId="4F0831D9" w14:textId="77777777" w:rsidR="009772B5" w:rsidRDefault="00480D15">
      <w:r>
        <w:t>31.2</w:t>
      </w:r>
      <w:r>
        <w:tab/>
        <w:t>In addition to any obligations under the Collaboration Agreement, the Supplier must:</w:t>
      </w:r>
    </w:p>
    <w:p w14:paraId="4F0831DA" w14:textId="77777777" w:rsidR="009772B5" w:rsidRDefault="009772B5"/>
    <w:p w14:paraId="4F0831DB" w14:textId="77777777" w:rsidR="009772B5" w:rsidRDefault="00480D15">
      <w:pPr>
        <w:ind w:firstLine="720"/>
      </w:pPr>
      <w:r>
        <w:t>31.2.1</w:t>
      </w:r>
      <w:r>
        <w:tab/>
        <w:t>work proactively and in good faith with each of the Buyer’s contractors</w:t>
      </w:r>
    </w:p>
    <w:p w14:paraId="4F0831DC" w14:textId="77777777" w:rsidR="009772B5" w:rsidRDefault="009772B5">
      <w:pPr>
        <w:ind w:firstLine="720"/>
      </w:pPr>
    </w:p>
    <w:p w14:paraId="4F0831DD" w14:textId="77777777" w:rsidR="009772B5" w:rsidRDefault="00480D15">
      <w:pPr>
        <w:ind w:left="1440" w:hanging="720"/>
      </w:pPr>
      <w:r>
        <w:t>31.2.2</w:t>
      </w:r>
      <w:r>
        <w:tab/>
        <w:t>co-operate and share information with the Buyer’s contractors to enable the efficient operation of the Buyer’s ICT services and G-Cloud Services</w:t>
      </w:r>
    </w:p>
    <w:p w14:paraId="4F0831DE" w14:textId="77777777" w:rsidR="009772B5" w:rsidRDefault="009772B5">
      <w:pPr>
        <w:ind w:left="1440" w:hanging="720"/>
      </w:pPr>
    </w:p>
    <w:p w14:paraId="4F0831DF" w14:textId="77777777" w:rsidR="009772B5" w:rsidRDefault="00480D15">
      <w:pPr>
        <w:pStyle w:val="Heading3"/>
      </w:pPr>
      <w:r>
        <w:t>32.</w:t>
      </w:r>
      <w:r>
        <w:tab/>
        <w:t>Variation process</w:t>
      </w:r>
    </w:p>
    <w:p w14:paraId="4F0831E0" w14:textId="77777777" w:rsidR="009772B5" w:rsidRDefault="00480D15">
      <w:pPr>
        <w:ind w:left="720" w:hanging="720"/>
      </w:pPr>
      <w:r>
        <w:t>32.1</w:t>
      </w:r>
      <w:r>
        <w:tab/>
        <w:t>The Buyer can request in writing a change to this Call-Off Contract if it isn’t a material change to the Framework Agreement/or this Call-Off Contract. Once implemented, it is called a Variation.</w:t>
      </w:r>
    </w:p>
    <w:p w14:paraId="4F0831E1" w14:textId="77777777" w:rsidR="009772B5" w:rsidRDefault="009772B5">
      <w:pPr>
        <w:ind w:left="720"/>
      </w:pPr>
    </w:p>
    <w:p w14:paraId="4F0831E2" w14:textId="77777777" w:rsidR="009772B5" w:rsidRDefault="00480D1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F0831E3" w14:textId="77777777" w:rsidR="009772B5" w:rsidRDefault="009772B5"/>
    <w:p w14:paraId="4F0831E4" w14:textId="77777777" w:rsidR="009772B5" w:rsidRDefault="00480D1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4F0831E5" w14:textId="77777777" w:rsidR="009772B5" w:rsidRDefault="009772B5">
      <w:pPr>
        <w:ind w:left="720" w:hanging="720"/>
      </w:pPr>
    </w:p>
    <w:p w14:paraId="4F0831E6" w14:textId="77777777" w:rsidR="009772B5" w:rsidRDefault="00480D15">
      <w:pPr>
        <w:pStyle w:val="Heading3"/>
      </w:pPr>
      <w:r>
        <w:t>33.</w:t>
      </w:r>
      <w:r>
        <w:tab/>
        <w:t>Data Protection Legislation (GDPR)</w:t>
      </w:r>
    </w:p>
    <w:p w14:paraId="4F0831E7" w14:textId="77777777" w:rsidR="009772B5" w:rsidRDefault="00480D1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F0831E8" w14:textId="77777777" w:rsidR="009772B5" w:rsidRDefault="009772B5"/>
    <w:p w14:paraId="4F0831E9" w14:textId="77777777" w:rsidR="009772B5" w:rsidRDefault="009772B5">
      <w:pPr>
        <w:pageBreakBefore/>
        <w:rPr>
          <w:b/>
        </w:rPr>
      </w:pPr>
    </w:p>
    <w:p w14:paraId="4F0831EA" w14:textId="77777777" w:rsidR="009772B5" w:rsidRDefault="00480D15">
      <w:pPr>
        <w:pStyle w:val="Heading2"/>
      </w:pPr>
      <w:bookmarkStart w:id="12" w:name="_Toc33176236"/>
      <w:bookmarkStart w:id="13" w:name="_Toc104216515"/>
      <w:r>
        <w:t>Schedule 3: Collaboration agreement</w:t>
      </w:r>
      <w:bookmarkEnd w:id="12"/>
      <w:bookmarkEnd w:id="13"/>
    </w:p>
    <w:p w14:paraId="4F0831EB" w14:textId="77777777" w:rsidR="009772B5" w:rsidRDefault="00480D15">
      <w:r>
        <w:t>N/A</w:t>
      </w:r>
    </w:p>
    <w:p w14:paraId="4F0831EC" w14:textId="77777777" w:rsidR="009772B5" w:rsidRDefault="00480D15">
      <w:pPr>
        <w:pStyle w:val="Heading2"/>
      </w:pPr>
      <w:bookmarkStart w:id="14" w:name="_Toc33176237"/>
      <w:bookmarkStart w:id="15" w:name="_Toc104216516"/>
      <w:r>
        <w:t>Schedule 4: Alternative clauses</w:t>
      </w:r>
      <w:bookmarkEnd w:id="14"/>
      <w:bookmarkEnd w:id="15"/>
    </w:p>
    <w:p w14:paraId="4F0831ED" w14:textId="77777777" w:rsidR="009772B5" w:rsidRDefault="00480D15">
      <w:pPr>
        <w:pStyle w:val="Heading3"/>
      </w:pPr>
      <w:bookmarkStart w:id="16" w:name="_Toc33176238"/>
      <w:r>
        <w:t>N/A</w:t>
      </w:r>
    </w:p>
    <w:p w14:paraId="4F0831EE" w14:textId="77777777" w:rsidR="009772B5" w:rsidRDefault="00480D15">
      <w:pPr>
        <w:pStyle w:val="Heading2"/>
        <w:pageBreakBefore/>
      </w:pPr>
      <w:bookmarkStart w:id="17" w:name="_Toc104216517"/>
      <w:r>
        <w:t>Schedule 5: Guarantee</w:t>
      </w:r>
      <w:bookmarkEnd w:id="16"/>
      <w:bookmarkEnd w:id="17"/>
    </w:p>
    <w:p w14:paraId="4F0831EF" w14:textId="77777777" w:rsidR="009772B5" w:rsidRDefault="00480D15">
      <w:r>
        <w:t>N/A</w:t>
      </w:r>
    </w:p>
    <w:p w14:paraId="4F0831F0" w14:textId="77777777" w:rsidR="009772B5" w:rsidRDefault="009772B5">
      <w:pPr>
        <w:pageBreakBefore/>
        <w:rPr>
          <w:b/>
        </w:rPr>
      </w:pPr>
    </w:p>
    <w:p w14:paraId="4F0831F1" w14:textId="77777777" w:rsidR="009772B5" w:rsidRDefault="00480D15">
      <w:pPr>
        <w:pStyle w:val="Heading2"/>
      </w:pPr>
      <w:bookmarkStart w:id="18" w:name="_Toc33176239"/>
      <w:bookmarkStart w:id="19" w:name="_Toc104216518"/>
      <w:r>
        <w:t>Schedule 6: Glossary and interpretations</w:t>
      </w:r>
      <w:bookmarkEnd w:id="18"/>
      <w:bookmarkEnd w:id="19"/>
    </w:p>
    <w:p w14:paraId="4F0831F2" w14:textId="77777777" w:rsidR="009772B5" w:rsidRDefault="00480D15">
      <w:r>
        <w:t>In this Call-Off Contract the following expressions mean:</w:t>
      </w:r>
    </w:p>
    <w:p w14:paraId="4F0831F3" w14:textId="77777777" w:rsidR="009772B5" w:rsidRDefault="009772B5"/>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772B5" w14:paraId="4F0831F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4" w14:textId="77777777" w:rsidR="009772B5" w:rsidRDefault="00480D1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5" w14:textId="77777777" w:rsidR="009772B5" w:rsidRDefault="00480D15">
            <w:pPr>
              <w:spacing w:before="240"/>
              <w:rPr>
                <w:sz w:val="20"/>
                <w:szCs w:val="20"/>
              </w:rPr>
            </w:pPr>
            <w:r>
              <w:rPr>
                <w:sz w:val="20"/>
                <w:szCs w:val="20"/>
              </w:rPr>
              <w:t>Meaning</w:t>
            </w:r>
          </w:p>
        </w:tc>
      </w:tr>
      <w:tr w:rsidR="009772B5" w14:paraId="4F0831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7" w14:textId="77777777" w:rsidR="009772B5" w:rsidRDefault="00480D1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8" w14:textId="77777777" w:rsidR="009772B5" w:rsidRDefault="00480D15">
            <w:pPr>
              <w:spacing w:before="240"/>
              <w:rPr>
                <w:sz w:val="20"/>
                <w:szCs w:val="20"/>
              </w:rPr>
            </w:pPr>
            <w:r>
              <w:rPr>
                <w:sz w:val="20"/>
                <w:szCs w:val="20"/>
              </w:rPr>
              <w:t>Any services ancillary to the G-Cloud Services that are in the scope of Framework Agreement Section 2 (Services Offered) which a Buyer may request.</w:t>
            </w:r>
          </w:p>
        </w:tc>
      </w:tr>
      <w:tr w:rsidR="009772B5" w14:paraId="4F0831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A" w14:textId="77777777" w:rsidR="009772B5" w:rsidRDefault="00480D1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B" w14:textId="77777777" w:rsidR="009772B5" w:rsidRDefault="00480D15">
            <w:pPr>
              <w:spacing w:before="240"/>
              <w:rPr>
                <w:sz w:val="20"/>
                <w:szCs w:val="20"/>
              </w:rPr>
            </w:pPr>
            <w:r>
              <w:rPr>
                <w:sz w:val="20"/>
                <w:szCs w:val="20"/>
              </w:rPr>
              <w:t>The agreement to be entered into to enable the Supplier to participate in the relevant Civil Service pension scheme(s).</w:t>
            </w:r>
          </w:p>
        </w:tc>
      </w:tr>
      <w:tr w:rsidR="009772B5" w14:paraId="4F0831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D" w14:textId="77777777" w:rsidR="009772B5" w:rsidRDefault="00480D1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1FE" w14:textId="77777777" w:rsidR="009772B5" w:rsidRDefault="00480D15">
            <w:pPr>
              <w:spacing w:before="240"/>
              <w:rPr>
                <w:sz w:val="20"/>
                <w:szCs w:val="20"/>
              </w:rPr>
            </w:pPr>
            <w:r>
              <w:rPr>
                <w:sz w:val="20"/>
                <w:szCs w:val="20"/>
              </w:rPr>
              <w:t>The response submitted by the Supplier to the Invitation to Tender (known as the Invitation to Apply on the Digital Marketplace).</w:t>
            </w:r>
          </w:p>
        </w:tc>
      </w:tr>
      <w:tr w:rsidR="009772B5" w14:paraId="4F0832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0" w14:textId="77777777" w:rsidR="009772B5" w:rsidRDefault="00480D1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1" w14:textId="77777777" w:rsidR="009772B5" w:rsidRDefault="00480D15">
            <w:pPr>
              <w:spacing w:before="240"/>
              <w:rPr>
                <w:sz w:val="20"/>
                <w:szCs w:val="20"/>
              </w:rPr>
            </w:pPr>
            <w:r>
              <w:rPr>
                <w:sz w:val="20"/>
                <w:szCs w:val="20"/>
              </w:rPr>
              <w:t>An audit carried out under the incorporated Framework Agreement clauses specified by the Buyer in the Order (if any).</w:t>
            </w:r>
          </w:p>
        </w:tc>
      </w:tr>
      <w:tr w:rsidR="009772B5" w14:paraId="4F08320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3" w14:textId="77777777" w:rsidR="009772B5" w:rsidRDefault="00480D1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4" w14:textId="77777777" w:rsidR="009772B5" w:rsidRDefault="00480D15">
            <w:pPr>
              <w:spacing w:before="240"/>
              <w:rPr>
                <w:sz w:val="20"/>
                <w:szCs w:val="20"/>
              </w:rPr>
            </w:pPr>
            <w:r>
              <w:rPr>
                <w:sz w:val="20"/>
                <w:szCs w:val="20"/>
              </w:rPr>
              <w:t>For each Party, IPRs:</w:t>
            </w:r>
          </w:p>
          <w:p w14:paraId="4F083205" w14:textId="77777777" w:rsidR="009772B5" w:rsidRDefault="00480D15">
            <w:pPr>
              <w:pStyle w:val="ListParagraph"/>
              <w:numPr>
                <w:ilvl w:val="0"/>
                <w:numId w:val="1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F083206" w14:textId="77777777" w:rsidR="009772B5" w:rsidRDefault="00480D15">
            <w:pPr>
              <w:pStyle w:val="ListParagraph"/>
              <w:numPr>
                <w:ilvl w:val="0"/>
                <w:numId w:val="12"/>
              </w:numPr>
              <w:rPr>
                <w:sz w:val="20"/>
                <w:szCs w:val="20"/>
              </w:rPr>
            </w:pPr>
            <w:r>
              <w:rPr>
                <w:sz w:val="20"/>
                <w:szCs w:val="20"/>
              </w:rPr>
              <w:t>created by the Party independently of this Call-Off Contract, or</w:t>
            </w:r>
          </w:p>
          <w:p w14:paraId="4F083207" w14:textId="77777777" w:rsidR="009772B5" w:rsidRDefault="00480D1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9772B5" w14:paraId="4F0832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9" w14:textId="77777777" w:rsidR="009772B5" w:rsidRDefault="00480D1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A" w14:textId="77777777" w:rsidR="009772B5" w:rsidRDefault="00480D15">
            <w:pPr>
              <w:spacing w:before="240"/>
              <w:rPr>
                <w:sz w:val="20"/>
                <w:szCs w:val="20"/>
              </w:rPr>
            </w:pPr>
            <w:r>
              <w:rPr>
                <w:sz w:val="20"/>
                <w:szCs w:val="20"/>
              </w:rPr>
              <w:t>The contracting authority ordering services as set out in the Order Form.</w:t>
            </w:r>
          </w:p>
        </w:tc>
      </w:tr>
      <w:tr w:rsidR="009772B5" w14:paraId="4F0832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C" w14:textId="77777777" w:rsidR="009772B5" w:rsidRDefault="00480D1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D" w14:textId="77777777" w:rsidR="009772B5" w:rsidRDefault="00480D15">
            <w:pPr>
              <w:spacing w:before="240"/>
              <w:rPr>
                <w:sz w:val="20"/>
                <w:szCs w:val="20"/>
              </w:rPr>
            </w:pPr>
            <w:r>
              <w:rPr>
                <w:sz w:val="20"/>
                <w:szCs w:val="20"/>
              </w:rPr>
              <w:t>All data supplied by the Buyer to the Supplier including Personal Data and Service Data that is owned and managed by the Buyer.</w:t>
            </w:r>
          </w:p>
        </w:tc>
      </w:tr>
      <w:tr w:rsidR="009772B5" w14:paraId="4F0832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0F" w14:textId="77777777" w:rsidR="009772B5" w:rsidRDefault="00480D1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0" w14:textId="77777777" w:rsidR="009772B5" w:rsidRDefault="00480D15">
            <w:pPr>
              <w:spacing w:before="240"/>
              <w:rPr>
                <w:sz w:val="20"/>
                <w:szCs w:val="20"/>
              </w:rPr>
            </w:pPr>
            <w:r>
              <w:rPr>
                <w:sz w:val="20"/>
                <w:szCs w:val="20"/>
              </w:rPr>
              <w:t>The Personal Data supplied by the Buyer to the Supplier for purposes of, or in connection with, this Call-Off Contract.</w:t>
            </w:r>
          </w:p>
        </w:tc>
      </w:tr>
      <w:tr w:rsidR="009772B5" w14:paraId="4F08321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2" w14:textId="77777777" w:rsidR="009772B5" w:rsidRDefault="00480D1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3" w14:textId="77777777" w:rsidR="009772B5" w:rsidRDefault="00480D15">
            <w:pPr>
              <w:spacing w:before="240"/>
              <w:rPr>
                <w:sz w:val="20"/>
                <w:szCs w:val="20"/>
              </w:rPr>
            </w:pPr>
            <w:r>
              <w:rPr>
                <w:sz w:val="20"/>
                <w:szCs w:val="20"/>
              </w:rPr>
              <w:t>The representative appointed by the Buyer under this Call-Off Contract.</w:t>
            </w:r>
          </w:p>
        </w:tc>
      </w:tr>
      <w:tr w:rsidR="009772B5" w14:paraId="4F0832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5" w14:textId="77777777" w:rsidR="009772B5" w:rsidRDefault="00480D15">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6" w14:textId="77777777" w:rsidR="009772B5" w:rsidRDefault="00480D15">
            <w:pPr>
              <w:spacing w:before="240"/>
              <w:rPr>
                <w:sz w:val="20"/>
                <w:szCs w:val="20"/>
              </w:rPr>
            </w:pPr>
            <w:r>
              <w:rPr>
                <w:sz w:val="20"/>
                <w:szCs w:val="20"/>
              </w:rPr>
              <w:t>Software owned by or licensed to the Buyer (other than under this Agreement), which is or will be used by the Supplier to provide the Services.</w:t>
            </w:r>
          </w:p>
        </w:tc>
      </w:tr>
      <w:tr w:rsidR="009772B5" w14:paraId="4F08321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8" w14:textId="77777777" w:rsidR="009772B5" w:rsidRDefault="00480D1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9" w14:textId="77777777" w:rsidR="009772B5" w:rsidRDefault="00480D15">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9772B5" w14:paraId="4F0832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B" w14:textId="77777777" w:rsidR="009772B5" w:rsidRDefault="00480D1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C" w14:textId="77777777" w:rsidR="009772B5" w:rsidRDefault="00480D15">
            <w:pPr>
              <w:spacing w:before="240"/>
              <w:rPr>
                <w:sz w:val="20"/>
                <w:szCs w:val="20"/>
              </w:rPr>
            </w:pPr>
            <w:r>
              <w:rPr>
                <w:sz w:val="20"/>
                <w:szCs w:val="20"/>
              </w:rPr>
              <w:t>The prices (excluding any applicable VAT), payable to the Supplier by the Buyer under this Call-Off Contract.</w:t>
            </w:r>
          </w:p>
        </w:tc>
      </w:tr>
      <w:tr w:rsidR="009772B5" w14:paraId="4F08322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E" w14:textId="77777777" w:rsidR="009772B5" w:rsidRDefault="00480D1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1F" w14:textId="77777777" w:rsidR="009772B5" w:rsidRDefault="00480D1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772B5" w14:paraId="4F0832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1" w14:textId="77777777" w:rsidR="009772B5" w:rsidRDefault="00480D1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2" w14:textId="77777777" w:rsidR="009772B5" w:rsidRDefault="00480D1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772B5" w14:paraId="4F08322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4" w14:textId="77777777" w:rsidR="009772B5" w:rsidRDefault="00480D1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5" w14:textId="77777777" w:rsidR="009772B5" w:rsidRDefault="00480D15">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4F083226" w14:textId="77777777" w:rsidR="009772B5" w:rsidRDefault="00480D15">
            <w:pPr>
              <w:pStyle w:val="ListParagraph"/>
              <w:numPr>
                <w:ilvl w:val="0"/>
                <w:numId w:val="1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F083227" w14:textId="77777777" w:rsidR="009772B5" w:rsidRDefault="00480D15">
            <w:pPr>
              <w:pStyle w:val="ListParagraph"/>
              <w:numPr>
                <w:ilvl w:val="0"/>
                <w:numId w:val="1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9772B5" w14:paraId="4F08322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9" w14:textId="77777777" w:rsidR="009772B5" w:rsidRDefault="00480D1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A" w14:textId="77777777" w:rsidR="009772B5" w:rsidRDefault="00480D15">
            <w:pPr>
              <w:spacing w:before="240"/>
              <w:rPr>
                <w:sz w:val="20"/>
                <w:szCs w:val="20"/>
              </w:rPr>
            </w:pPr>
            <w:r>
              <w:rPr>
                <w:sz w:val="20"/>
                <w:szCs w:val="20"/>
              </w:rPr>
              <w:t>‘Control’ as defined in section 1124 and 450 of the Corporation Tax</w:t>
            </w:r>
          </w:p>
          <w:p w14:paraId="4F08322B" w14:textId="77777777" w:rsidR="009772B5" w:rsidRDefault="00480D15">
            <w:pPr>
              <w:spacing w:before="240"/>
              <w:rPr>
                <w:sz w:val="20"/>
                <w:szCs w:val="20"/>
              </w:rPr>
            </w:pPr>
            <w:r>
              <w:rPr>
                <w:sz w:val="20"/>
                <w:szCs w:val="20"/>
              </w:rPr>
              <w:t>Act 2010. 'Controls' and 'Controlled' will be interpreted accordingly.</w:t>
            </w:r>
          </w:p>
        </w:tc>
      </w:tr>
      <w:tr w:rsidR="009772B5" w14:paraId="4F0832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D" w14:textId="77777777" w:rsidR="009772B5" w:rsidRDefault="00480D1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2E" w14:textId="77777777" w:rsidR="009772B5" w:rsidRDefault="00480D15">
            <w:pPr>
              <w:spacing w:before="240"/>
              <w:rPr>
                <w:sz w:val="20"/>
                <w:szCs w:val="20"/>
              </w:rPr>
            </w:pPr>
            <w:r>
              <w:rPr>
                <w:sz w:val="20"/>
                <w:szCs w:val="20"/>
              </w:rPr>
              <w:t>Takes the meaning given in the GDPR.</w:t>
            </w:r>
          </w:p>
        </w:tc>
      </w:tr>
      <w:tr w:rsidR="009772B5" w14:paraId="4F08323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0" w14:textId="77777777" w:rsidR="009772B5" w:rsidRDefault="00480D15">
            <w:pPr>
              <w:spacing w:before="240"/>
              <w:rPr>
                <w:b/>
                <w:sz w:val="20"/>
                <w:szCs w:val="20"/>
              </w:rPr>
            </w:pPr>
            <w:r>
              <w:rPr>
                <w:b/>
                <w:sz w:val="20"/>
                <w:szCs w:val="20"/>
              </w:rPr>
              <w:t>Crown</w:t>
            </w:r>
          </w:p>
          <w:p w14:paraId="4F083231" w14:textId="77777777" w:rsidR="009772B5" w:rsidRDefault="00480D1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2" w14:textId="77777777" w:rsidR="009772B5" w:rsidRDefault="00480D15">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9772B5" w14:paraId="4F08323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4" w14:textId="77777777" w:rsidR="009772B5" w:rsidRDefault="00480D15">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5" w14:textId="77777777" w:rsidR="009772B5" w:rsidRDefault="00480D1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772B5" w14:paraId="4F0832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7" w14:textId="77777777" w:rsidR="009772B5" w:rsidRDefault="00480D1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8" w14:textId="77777777" w:rsidR="009772B5" w:rsidRDefault="00480D15">
            <w:pPr>
              <w:spacing w:before="240"/>
              <w:rPr>
                <w:sz w:val="20"/>
                <w:szCs w:val="20"/>
              </w:rPr>
            </w:pPr>
            <w:r>
              <w:rPr>
                <w:sz w:val="20"/>
                <w:szCs w:val="20"/>
              </w:rPr>
              <w:t>An assessment by the Controller of the impact of the envisaged Processing on the protection of Personal Data.</w:t>
            </w:r>
          </w:p>
        </w:tc>
      </w:tr>
      <w:tr w:rsidR="009772B5" w14:paraId="4F08323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A" w14:textId="77777777" w:rsidR="009772B5" w:rsidRDefault="00480D1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3B" w14:textId="77777777" w:rsidR="009772B5" w:rsidRDefault="00480D15">
            <w:pPr>
              <w:spacing w:before="240"/>
              <w:rPr>
                <w:sz w:val="20"/>
                <w:szCs w:val="20"/>
              </w:rPr>
            </w:pPr>
            <w:r>
              <w:rPr>
                <w:sz w:val="20"/>
                <w:szCs w:val="20"/>
              </w:rPr>
              <w:t>Data Protection Legislation means:</w:t>
            </w:r>
          </w:p>
          <w:p w14:paraId="4F08323C" w14:textId="77777777" w:rsidR="009772B5" w:rsidRDefault="00480D1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4F08323D" w14:textId="77777777" w:rsidR="009772B5" w:rsidRDefault="00480D15">
            <w:pPr>
              <w:ind w:left="720" w:hanging="720"/>
              <w:rPr>
                <w:sz w:val="20"/>
                <w:szCs w:val="20"/>
              </w:rPr>
            </w:pPr>
            <w:r>
              <w:rPr>
                <w:sz w:val="20"/>
                <w:szCs w:val="20"/>
              </w:rPr>
              <w:t>(ii) the DPA 2018 to the extent that it relates to Processing of Personal Data and privacy</w:t>
            </w:r>
          </w:p>
          <w:p w14:paraId="4F08323E" w14:textId="77777777" w:rsidR="009772B5" w:rsidRDefault="00480D1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772B5" w14:paraId="4F08324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0" w14:textId="77777777" w:rsidR="009772B5" w:rsidRDefault="00480D1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1" w14:textId="77777777" w:rsidR="009772B5" w:rsidRDefault="00480D15">
            <w:pPr>
              <w:spacing w:before="240"/>
              <w:rPr>
                <w:sz w:val="20"/>
                <w:szCs w:val="20"/>
              </w:rPr>
            </w:pPr>
            <w:r>
              <w:rPr>
                <w:sz w:val="20"/>
                <w:szCs w:val="20"/>
              </w:rPr>
              <w:t>Takes the meaning given in the GDPR</w:t>
            </w:r>
          </w:p>
        </w:tc>
      </w:tr>
      <w:tr w:rsidR="009772B5" w14:paraId="4F083248"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3" w14:textId="77777777" w:rsidR="009772B5" w:rsidRDefault="00480D1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4" w14:textId="77777777" w:rsidR="009772B5" w:rsidRDefault="00480D15">
            <w:pPr>
              <w:spacing w:before="240"/>
              <w:rPr>
                <w:sz w:val="20"/>
                <w:szCs w:val="20"/>
              </w:rPr>
            </w:pPr>
            <w:r>
              <w:rPr>
                <w:sz w:val="20"/>
                <w:szCs w:val="20"/>
              </w:rPr>
              <w:t>Default is any:</w:t>
            </w:r>
          </w:p>
          <w:p w14:paraId="4F083245" w14:textId="77777777" w:rsidR="009772B5" w:rsidRDefault="00480D15">
            <w:pPr>
              <w:pStyle w:val="ListParagraph"/>
              <w:numPr>
                <w:ilvl w:val="0"/>
                <w:numId w:val="14"/>
              </w:numPr>
              <w:rPr>
                <w:sz w:val="20"/>
                <w:szCs w:val="20"/>
              </w:rPr>
            </w:pPr>
            <w:r>
              <w:rPr>
                <w:sz w:val="20"/>
                <w:szCs w:val="20"/>
              </w:rPr>
              <w:t>breach of the obligations of the Supplier (including any fundamental breach or breach of a fundamental term)</w:t>
            </w:r>
          </w:p>
          <w:p w14:paraId="4F083246" w14:textId="77777777" w:rsidR="009772B5" w:rsidRDefault="00480D15">
            <w:pPr>
              <w:pStyle w:val="ListParagraph"/>
              <w:numPr>
                <w:ilvl w:val="0"/>
                <w:numId w:val="1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4F083247" w14:textId="77777777" w:rsidR="009772B5" w:rsidRDefault="00480D1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772B5" w14:paraId="4F0832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9" w14:textId="77777777" w:rsidR="009772B5" w:rsidRDefault="00480D1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A" w14:textId="77777777" w:rsidR="009772B5" w:rsidRDefault="00480D15">
            <w:pPr>
              <w:spacing w:before="240"/>
              <w:rPr>
                <w:sz w:val="20"/>
                <w:szCs w:val="20"/>
              </w:rPr>
            </w:pPr>
            <w:r>
              <w:rPr>
                <w:sz w:val="20"/>
                <w:szCs w:val="20"/>
              </w:rPr>
              <w:t>The G-Cloud Services the Buyer contracts the Supplier to provide under this Call-Off Contract.</w:t>
            </w:r>
          </w:p>
        </w:tc>
      </w:tr>
      <w:tr w:rsidR="009772B5" w14:paraId="4F0832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C" w14:textId="77777777" w:rsidR="009772B5" w:rsidRDefault="00480D1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D" w14:textId="7133336C" w:rsidR="009772B5" w:rsidRDefault="00480D15">
            <w:pPr>
              <w:spacing w:before="240"/>
            </w:pPr>
            <w:r>
              <w:rPr>
                <w:sz w:val="20"/>
                <w:szCs w:val="20"/>
              </w:rPr>
              <w:t xml:space="preserve">The government marketplace where Services are available for Buyers to buy. </w:t>
            </w:r>
            <w:r w:rsidR="003A3841">
              <w:rPr>
                <w:sz w:val="20"/>
                <w:szCs w:val="20"/>
              </w:rPr>
              <w:t>(</w:t>
            </w:r>
            <w:hyperlink r:id="rId23" w:history="1">
              <w:r w:rsidR="003A3841">
                <w:rPr>
                  <w:sz w:val="20"/>
                  <w:szCs w:val="20"/>
                  <w:u w:val="single"/>
                </w:rPr>
                <w:t>https://www.digitalmarketplace.service.gov.uk</w:t>
              </w:r>
            </w:hyperlink>
            <w:r w:rsidR="003A3841">
              <w:rPr>
                <w:sz w:val="20"/>
                <w:szCs w:val="20"/>
              </w:rPr>
              <w:t>/)</w:t>
            </w:r>
          </w:p>
        </w:tc>
      </w:tr>
      <w:tr w:rsidR="009772B5" w14:paraId="4F08325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4F" w14:textId="77777777" w:rsidR="009772B5" w:rsidRDefault="00480D1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0" w14:textId="77777777" w:rsidR="009772B5" w:rsidRDefault="00480D15">
            <w:pPr>
              <w:spacing w:before="240"/>
              <w:rPr>
                <w:sz w:val="20"/>
                <w:szCs w:val="20"/>
              </w:rPr>
            </w:pPr>
            <w:r>
              <w:rPr>
                <w:sz w:val="20"/>
                <w:szCs w:val="20"/>
              </w:rPr>
              <w:t>Data Protection Act 2018.</w:t>
            </w:r>
          </w:p>
        </w:tc>
      </w:tr>
      <w:tr w:rsidR="009772B5" w14:paraId="4F0832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2" w14:textId="77777777" w:rsidR="009772B5" w:rsidRDefault="00480D1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3" w14:textId="77777777" w:rsidR="009772B5" w:rsidRDefault="00480D15">
            <w:pPr>
              <w:spacing w:before="240"/>
              <w:rPr>
                <w:sz w:val="20"/>
                <w:szCs w:val="20"/>
              </w:rPr>
            </w:pPr>
            <w:r>
              <w:rPr>
                <w:sz w:val="20"/>
                <w:szCs w:val="20"/>
              </w:rPr>
              <w:t>The Transfer of Undertakings (Protection of Employment) Regulations 2006 (SI 2006/246) (‘TUPE’) which implements the Acquired Rights Directive.</w:t>
            </w:r>
          </w:p>
        </w:tc>
      </w:tr>
      <w:tr w:rsidR="009772B5" w14:paraId="4F08325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5" w14:textId="77777777" w:rsidR="009772B5" w:rsidRDefault="00480D1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6" w14:textId="77777777" w:rsidR="009772B5" w:rsidRDefault="00480D15">
            <w:pPr>
              <w:spacing w:before="240"/>
              <w:rPr>
                <w:sz w:val="20"/>
                <w:szCs w:val="20"/>
              </w:rPr>
            </w:pPr>
            <w:r>
              <w:rPr>
                <w:sz w:val="20"/>
                <w:szCs w:val="20"/>
              </w:rPr>
              <w:t>Means to terminate; and Ended and Ending are construed accordingly.</w:t>
            </w:r>
          </w:p>
        </w:tc>
      </w:tr>
      <w:tr w:rsidR="009772B5" w14:paraId="4F08325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8" w14:textId="77777777" w:rsidR="009772B5" w:rsidRDefault="00480D15">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9" w14:textId="77777777" w:rsidR="009772B5" w:rsidRDefault="00480D1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772B5" w14:paraId="4F08325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B" w14:textId="77777777" w:rsidR="009772B5" w:rsidRDefault="00480D1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C" w14:textId="77777777" w:rsidR="009772B5" w:rsidRDefault="00480D15">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9772B5" w14:paraId="4F0832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E" w14:textId="77777777" w:rsidR="009772B5" w:rsidRDefault="00480D1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5F" w14:textId="77777777" w:rsidR="009772B5" w:rsidRDefault="00480D1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772B5" w14:paraId="4F08326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61" w14:textId="77777777" w:rsidR="009772B5" w:rsidRDefault="00480D15">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62" w14:textId="77777777" w:rsidR="009772B5" w:rsidRDefault="00480D15">
            <w:pPr>
              <w:spacing w:before="240"/>
              <w:rPr>
                <w:sz w:val="20"/>
                <w:szCs w:val="20"/>
              </w:rPr>
            </w:pPr>
            <w:r>
              <w:rPr>
                <w:sz w:val="20"/>
                <w:szCs w:val="20"/>
              </w:rPr>
              <w:t>The HMRC Employment Status Indicator test tool. The most up-to-date version must be used. At the time of drafting the tool may be found here:</w:t>
            </w:r>
          </w:p>
          <w:p w14:paraId="4F083263" w14:textId="5448A14E" w:rsidR="009772B5" w:rsidRDefault="0090167F">
            <w:hyperlink r:id="rId24" w:history="1">
              <w:r w:rsidR="003A3841">
                <w:rPr>
                  <w:rStyle w:val="Hyperlink"/>
                </w:rPr>
                <w:t>https://www.gov.uk/guidance/check-employment-status-for-tax</w:t>
              </w:r>
            </w:hyperlink>
          </w:p>
        </w:tc>
      </w:tr>
      <w:tr w:rsidR="009772B5" w14:paraId="4F0832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65" w14:textId="77777777" w:rsidR="009772B5" w:rsidRDefault="00480D1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66" w14:textId="77777777" w:rsidR="009772B5" w:rsidRDefault="00480D15">
            <w:pPr>
              <w:spacing w:before="240"/>
              <w:rPr>
                <w:sz w:val="20"/>
                <w:szCs w:val="20"/>
              </w:rPr>
            </w:pPr>
            <w:r>
              <w:rPr>
                <w:sz w:val="20"/>
                <w:szCs w:val="20"/>
              </w:rPr>
              <w:t>The expiry date of this Call-Off Contract in the Order Form.</w:t>
            </w:r>
          </w:p>
        </w:tc>
      </w:tr>
      <w:tr w:rsidR="009772B5" w14:paraId="4F083274"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68" w14:textId="77777777" w:rsidR="009772B5" w:rsidRDefault="00480D1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69" w14:textId="77777777" w:rsidR="009772B5" w:rsidRDefault="00480D15">
            <w:pPr>
              <w:spacing w:before="240"/>
              <w:rPr>
                <w:sz w:val="20"/>
                <w:szCs w:val="20"/>
              </w:rPr>
            </w:pPr>
            <w:r>
              <w:rPr>
                <w:sz w:val="20"/>
                <w:szCs w:val="20"/>
              </w:rPr>
              <w:t>A force Majeure event means anything affecting either Party's performance of their obligations arising from any:</w:t>
            </w:r>
          </w:p>
          <w:p w14:paraId="4F08326A" w14:textId="77777777" w:rsidR="009772B5" w:rsidRDefault="00480D15">
            <w:pPr>
              <w:pStyle w:val="ListParagraph"/>
              <w:numPr>
                <w:ilvl w:val="0"/>
                <w:numId w:val="1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4F08326B" w14:textId="77777777" w:rsidR="009772B5" w:rsidRDefault="00480D15">
            <w:pPr>
              <w:pStyle w:val="ListParagraph"/>
              <w:numPr>
                <w:ilvl w:val="0"/>
                <w:numId w:val="1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4F08326C" w14:textId="77777777" w:rsidR="009772B5" w:rsidRDefault="00480D15">
            <w:pPr>
              <w:pStyle w:val="ListParagraph"/>
              <w:numPr>
                <w:ilvl w:val="0"/>
                <w:numId w:val="17"/>
              </w:numPr>
            </w:pPr>
            <w:r>
              <w:t xml:space="preserve">acts of government, local </w:t>
            </w:r>
            <w:proofErr w:type="gramStart"/>
            <w:r>
              <w:t>government</w:t>
            </w:r>
            <w:proofErr w:type="gramEnd"/>
            <w:r>
              <w:t xml:space="preserve"> or Regulatory </w:t>
            </w:r>
            <w:r>
              <w:rPr>
                <w:sz w:val="20"/>
                <w:szCs w:val="20"/>
              </w:rPr>
              <w:t>Bodies</w:t>
            </w:r>
          </w:p>
          <w:p w14:paraId="4F08326D" w14:textId="77777777" w:rsidR="009772B5" w:rsidRDefault="00480D15">
            <w:pPr>
              <w:pStyle w:val="ListParagraph"/>
              <w:numPr>
                <w:ilvl w:val="0"/>
                <w:numId w:val="18"/>
              </w:numPr>
            </w:pPr>
            <w:r>
              <w:rPr>
                <w:sz w:val="14"/>
                <w:szCs w:val="14"/>
              </w:rPr>
              <w:t xml:space="preserve"> </w:t>
            </w:r>
            <w:r>
              <w:rPr>
                <w:sz w:val="20"/>
                <w:szCs w:val="20"/>
              </w:rPr>
              <w:t>fire, flood or disaster and any failure or shortage of power or fuel</w:t>
            </w:r>
          </w:p>
          <w:p w14:paraId="4F08326E" w14:textId="77777777" w:rsidR="009772B5" w:rsidRDefault="00480D15">
            <w:pPr>
              <w:pStyle w:val="ListParagraph"/>
              <w:numPr>
                <w:ilvl w:val="0"/>
                <w:numId w:val="19"/>
              </w:numPr>
              <w:rPr>
                <w:sz w:val="20"/>
                <w:szCs w:val="20"/>
              </w:rPr>
            </w:pPr>
            <w:r>
              <w:rPr>
                <w:sz w:val="20"/>
                <w:szCs w:val="20"/>
              </w:rPr>
              <w:t>industrial dispute affecting a third party for which a substitute third party isn’t reasonably available</w:t>
            </w:r>
          </w:p>
          <w:p w14:paraId="4F08326F" w14:textId="77777777" w:rsidR="009772B5" w:rsidRDefault="00480D15">
            <w:pPr>
              <w:spacing w:before="240"/>
              <w:rPr>
                <w:sz w:val="20"/>
                <w:szCs w:val="20"/>
              </w:rPr>
            </w:pPr>
            <w:r>
              <w:rPr>
                <w:sz w:val="20"/>
                <w:szCs w:val="20"/>
              </w:rPr>
              <w:t>The following do not constitute a Force Majeure event:</w:t>
            </w:r>
          </w:p>
          <w:p w14:paraId="4F083270" w14:textId="77777777" w:rsidR="009772B5" w:rsidRDefault="00480D15">
            <w:pPr>
              <w:pStyle w:val="ListParagraph"/>
              <w:numPr>
                <w:ilvl w:val="0"/>
                <w:numId w:val="20"/>
              </w:numPr>
              <w:rPr>
                <w:sz w:val="20"/>
                <w:szCs w:val="20"/>
              </w:rPr>
            </w:pPr>
            <w:r>
              <w:rPr>
                <w:sz w:val="20"/>
                <w:szCs w:val="20"/>
              </w:rPr>
              <w:t>any industrial dispute about the Supplier, its staff, or failure in the Supplier’s (or a Subcontractor's) supply chain</w:t>
            </w:r>
          </w:p>
          <w:p w14:paraId="4F083271" w14:textId="77777777" w:rsidR="009772B5" w:rsidRDefault="00480D15">
            <w:pPr>
              <w:pStyle w:val="ListParagraph"/>
              <w:numPr>
                <w:ilvl w:val="0"/>
                <w:numId w:val="2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4F083272" w14:textId="77777777" w:rsidR="009772B5" w:rsidRDefault="00480D15">
            <w:pPr>
              <w:pStyle w:val="ListParagraph"/>
              <w:numPr>
                <w:ilvl w:val="0"/>
                <w:numId w:val="20"/>
              </w:numPr>
              <w:rPr>
                <w:sz w:val="20"/>
                <w:szCs w:val="20"/>
              </w:rPr>
            </w:pPr>
            <w:r>
              <w:rPr>
                <w:sz w:val="20"/>
                <w:szCs w:val="20"/>
              </w:rPr>
              <w:t>the event was foreseeable by the Party seeking to rely on Force Majeure at the time this Call-Off Contract was entered into</w:t>
            </w:r>
          </w:p>
          <w:p w14:paraId="4F083273" w14:textId="77777777" w:rsidR="009772B5" w:rsidRDefault="00480D15">
            <w:pPr>
              <w:pStyle w:val="ListParagraph"/>
              <w:numPr>
                <w:ilvl w:val="0"/>
                <w:numId w:val="2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772B5" w14:paraId="4F08327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5" w14:textId="77777777" w:rsidR="009772B5" w:rsidRDefault="00480D1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6" w14:textId="77777777" w:rsidR="009772B5" w:rsidRDefault="00480D1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9772B5" w14:paraId="4F0832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8" w14:textId="77777777" w:rsidR="009772B5" w:rsidRDefault="00480D15">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9" w14:textId="77777777" w:rsidR="009772B5" w:rsidRDefault="00480D15">
            <w:pPr>
              <w:spacing w:before="240"/>
              <w:rPr>
                <w:sz w:val="20"/>
                <w:szCs w:val="20"/>
              </w:rPr>
            </w:pPr>
            <w:r>
              <w:rPr>
                <w:sz w:val="20"/>
                <w:szCs w:val="20"/>
              </w:rPr>
              <w:t>The clauses of framework agreement RM1557.12 together with the Framework Schedules.</w:t>
            </w:r>
          </w:p>
        </w:tc>
      </w:tr>
      <w:tr w:rsidR="009772B5" w14:paraId="4F08327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B" w14:textId="77777777" w:rsidR="009772B5" w:rsidRDefault="00480D1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C" w14:textId="77777777" w:rsidR="009772B5" w:rsidRDefault="00480D1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772B5" w14:paraId="4F08328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E" w14:textId="77777777" w:rsidR="009772B5" w:rsidRDefault="00480D1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7F" w14:textId="77777777" w:rsidR="009772B5" w:rsidRDefault="00480D1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772B5" w14:paraId="4F08328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1" w14:textId="77777777" w:rsidR="009772B5" w:rsidRDefault="00480D1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2" w14:textId="77777777" w:rsidR="009772B5" w:rsidRDefault="00480D15">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9772B5" w14:paraId="4F0832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4" w14:textId="77777777" w:rsidR="009772B5" w:rsidRDefault="00480D1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5" w14:textId="77777777" w:rsidR="009772B5" w:rsidRDefault="00480D15">
            <w:pPr>
              <w:spacing w:before="240"/>
              <w:rPr>
                <w:sz w:val="20"/>
                <w:szCs w:val="20"/>
              </w:rPr>
            </w:pPr>
            <w:r>
              <w:rPr>
                <w:sz w:val="20"/>
                <w:szCs w:val="20"/>
              </w:rPr>
              <w:t>General Data Protection Regulation (Regulation (EU) 2016/679)</w:t>
            </w:r>
          </w:p>
        </w:tc>
      </w:tr>
      <w:tr w:rsidR="009772B5" w14:paraId="4F08328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7" w14:textId="77777777" w:rsidR="009772B5" w:rsidRDefault="00480D1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8" w14:textId="77777777" w:rsidR="009772B5" w:rsidRDefault="00480D15">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772B5" w14:paraId="4F08328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A" w14:textId="77777777" w:rsidR="009772B5" w:rsidRDefault="00480D1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B" w14:textId="77777777" w:rsidR="009772B5" w:rsidRDefault="00480D15">
            <w:pPr>
              <w:spacing w:before="240"/>
              <w:rPr>
                <w:sz w:val="20"/>
                <w:szCs w:val="20"/>
              </w:rPr>
            </w:pPr>
            <w:r>
              <w:rPr>
                <w:sz w:val="20"/>
                <w:szCs w:val="20"/>
              </w:rPr>
              <w:t xml:space="preserve">The government’s preferred method of purchasing and payment for low value goods or services. </w:t>
            </w:r>
          </w:p>
        </w:tc>
      </w:tr>
      <w:tr w:rsidR="009772B5" w14:paraId="4F08328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D" w14:textId="77777777" w:rsidR="009772B5" w:rsidRDefault="00480D1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8E" w14:textId="77777777" w:rsidR="009772B5" w:rsidRDefault="00480D15">
            <w:pPr>
              <w:spacing w:before="240"/>
              <w:rPr>
                <w:sz w:val="20"/>
                <w:szCs w:val="20"/>
              </w:rPr>
            </w:pPr>
            <w:r>
              <w:rPr>
                <w:sz w:val="20"/>
                <w:szCs w:val="20"/>
              </w:rPr>
              <w:t>The guarantee described in Schedule 5.</w:t>
            </w:r>
          </w:p>
        </w:tc>
      </w:tr>
      <w:tr w:rsidR="009772B5" w14:paraId="4F08329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0" w14:textId="77777777" w:rsidR="009772B5" w:rsidRDefault="00480D1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1" w14:textId="77777777" w:rsidR="009772B5" w:rsidRDefault="00480D1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772B5" w14:paraId="4F08329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3" w14:textId="77777777" w:rsidR="009772B5" w:rsidRDefault="00480D1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4" w14:textId="77777777" w:rsidR="009772B5" w:rsidRDefault="00480D1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772B5" w14:paraId="4F08329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6" w14:textId="77777777" w:rsidR="009772B5" w:rsidRDefault="00480D1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7" w14:textId="77777777" w:rsidR="009772B5" w:rsidRDefault="00480D15">
            <w:pPr>
              <w:spacing w:before="240"/>
              <w:rPr>
                <w:sz w:val="20"/>
                <w:szCs w:val="20"/>
              </w:rPr>
            </w:pPr>
            <w:r>
              <w:rPr>
                <w:sz w:val="20"/>
                <w:szCs w:val="20"/>
              </w:rPr>
              <w:t>ESI tool completed by contractors on their own behalf at the request of CCS or the Buyer (as applicable) under clause 4.6.</w:t>
            </w:r>
          </w:p>
        </w:tc>
      </w:tr>
      <w:tr w:rsidR="009772B5" w14:paraId="4F0832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9" w14:textId="77777777" w:rsidR="009772B5" w:rsidRDefault="00480D1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A" w14:textId="77777777" w:rsidR="009772B5" w:rsidRDefault="00480D1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772B5" w14:paraId="4F0832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C" w14:textId="77777777" w:rsidR="009772B5" w:rsidRDefault="00480D1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D" w14:textId="77777777" w:rsidR="009772B5" w:rsidRDefault="00480D15">
            <w:pPr>
              <w:spacing w:before="240"/>
              <w:rPr>
                <w:sz w:val="20"/>
                <w:szCs w:val="20"/>
              </w:rPr>
            </w:pPr>
            <w:r>
              <w:rPr>
                <w:sz w:val="20"/>
                <w:szCs w:val="20"/>
              </w:rPr>
              <w:t>The information security management system and process developed by the Supplier in accordance with clause 16.1.</w:t>
            </w:r>
          </w:p>
        </w:tc>
      </w:tr>
      <w:tr w:rsidR="009772B5" w14:paraId="4F0832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9F" w14:textId="77777777" w:rsidR="009772B5" w:rsidRDefault="00480D1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A0" w14:textId="77777777" w:rsidR="009772B5" w:rsidRDefault="00480D15">
            <w:pPr>
              <w:spacing w:before="240"/>
              <w:rPr>
                <w:sz w:val="20"/>
                <w:szCs w:val="20"/>
              </w:rPr>
            </w:pPr>
            <w:r>
              <w:rPr>
                <w:sz w:val="20"/>
                <w:szCs w:val="20"/>
              </w:rPr>
              <w:t>Contractual engagements which would be determined to be within the scope of the IR35 Intermediaries legislation if assessed using the ESI tool.</w:t>
            </w:r>
          </w:p>
        </w:tc>
      </w:tr>
      <w:tr w:rsidR="009772B5" w14:paraId="4F0832A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A2" w14:textId="77777777" w:rsidR="009772B5" w:rsidRDefault="00480D1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A3" w14:textId="77777777" w:rsidR="009772B5" w:rsidRDefault="00480D15">
            <w:pPr>
              <w:spacing w:before="240"/>
              <w:rPr>
                <w:sz w:val="20"/>
                <w:szCs w:val="20"/>
              </w:rPr>
            </w:pPr>
            <w:r>
              <w:rPr>
                <w:sz w:val="20"/>
                <w:szCs w:val="20"/>
              </w:rPr>
              <w:t>Can be:</w:t>
            </w:r>
          </w:p>
          <w:p w14:paraId="4F0832A4" w14:textId="77777777" w:rsidR="009772B5" w:rsidRDefault="00480D15">
            <w:pPr>
              <w:pStyle w:val="ListParagraph"/>
              <w:numPr>
                <w:ilvl w:val="0"/>
                <w:numId w:val="21"/>
              </w:numPr>
            </w:pPr>
            <w:r>
              <w:rPr>
                <w:sz w:val="14"/>
                <w:szCs w:val="14"/>
              </w:rPr>
              <w:t xml:space="preserve"> </w:t>
            </w:r>
            <w:r>
              <w:rPr>
                <w:sz w:val="20"/>
                <w:szCs w:val="20"/>
              </w:rPr>
              <w:t>a voluntary arrangement</w:t>
            </w:r>
          </w:p>
          <w:p w14:paraId="4F0832A5" w14:textId="77777777" w:rsidR="009772B5" w:rsidRDefault="00480D15">
            <w:pPr>
              <w:pStyle w:val="ListParagraph"/>
              <w:numPr>
                <w:ilvl w:val="0"/>
                <w:numId w:val="21"/>
              </w:numPr>
              <w:rPr>
                <w:sz w:val="20"/>
                <w:szCs w:val="20"/>
              </w:rPr>
            </w:pPr>
            <w:r>
              <w:rPr>
                <w:sz w:val="20"/>
                <w:szCs w:val="20"/>
              </w:rPr>
              <w:t>a winding-up petition</w:t>
            </w:r>
          </w:p>
          <w:p w14:paraId="4F0832A6" w14:textId="77777777" w:rsidR="009772B5" w:rsidRDefault="00480D15">
            <w:pPr>
              <w:pStyle w:val="ListParagraph"/>
              <w:numPr>
                <w:ilvl w:val="0"/>
                <w:numId w:val="21"/>
              </w:numPr>
              <w:rPr>
                <w:sz w:val="20"/>
                <w:szCs w:val="20"/>
              </w:rPr>
            </w:pPr>
            <w:r>
              <w:rPr>
                <w:sz w:val="20"/>
                <w:szCs w:val="20"/>
              </w:rPr>
              <w:t>the appointment of a receiver or administrator</w:t>
            </w:r>
          </w:p>
          <w:p w14:paraId="4F0832A7" w14:textId="77777777" w:rsidR="009772B5" w:rsidRDefault="00480D15">
            <w:pPr>
              <w:pStyle w:val="ListParagraph"/>
              <w:numPr>
                <w:ilvl w:val="0"/>
                <w:numId w:val="21"/>
              </w:numPr>
              <w:rPr>
                <w:sz w:val="20"/>
                <w:szCs w:val="20"/>
              </w:rPr>
            </w:pPr>
            <w:r>
              <w:rPr>
                <w:sz w:val="20"/>
                <w:szCs w:val="20"/>
              </w:rPr>
              <w:t>an unresolved statutory demand</w:t>
            </w:r>
          </w:p>
          <w:p w14:paraId="4F0832A8" w14:textId="77777777" w:rsidR="009772B5" w:rsidRDefault="00480D15">
            <w:pPr>
              <w:pStyle w:val="ListParagraph"/>
              <w:numPr>
                <w:ilvl w:val="0"/>
                <w:numId w:val="21"/>
              </w:numPr>
            </w:pPr>
            <w:r>
              <w:t>a S</w:t>
            </w:r>
            <w:r>
              <w:rPr>
                <w:sz w:val="20"/>
                <w:szCs w:val="20"/>
              </w:rPr>
              <w:t>chedule A1 moratorium</w:t>
            </w:r>
          </w:p>
        </w:tc>
      </w:tr>
      <w:tr w:rsidR="009772B5" w14:paraId="4F0832A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AA" w14:textId="77777777" w:rsidR="009772B5" w:rsidRDefault="00480D1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AB" w14:textId="77777777" w:rsidR="009772B5" w:rsidRDefault="00480D15">
            <w:pPr>
              <w:spacing w:before="240"/>
              <w:rPr>
                <w:sz w:val="20"/>
                <w:szCs w:val="20"/>
              </w:rPr>
            </w:pPr>
            <w:r>
              <w:rPr>
                <w:sz w:val="20"/>
                <w:szCs w:val="20"/>
              </w:rPr>
              <w:t>Intellectual Property Rights are:</w:t>
            </w:r>
          </w:p>
          <w:p w14:paraId="4F0832AC" w14:textId="77777777" w:rsidR="009772B5" w:rsidRDefault="00480D15">
            <w:pPr>
              <w:pStyle w:val="ListParagraph"/>
              <w:numPr>
                <w:ilvl w:val="0"/>
                <w:numId w:val="2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4F0832AD" w14:textId="77777777" w:rsidR="009772B5" w:rsidRDefault="00480D15">
            <w:pPr>
              <w:pStyle w:val="ListParagraph"/>
              <w:numPr>
                <w:ilvl w:val="0"/>
                <w:numId w:val="22"/>
              </w:numPr>
              <w:rPr>
                <w:sz w:val="20"/>
                <w:szCs w:val="20"/>
              </w:rPr>
            </w:pPr>
            <w:r>
              <w:rPr>
                <w:sz w:val="20"/>
                <w:szCs w:val="20"/>
              </w:rPr>
              <w:t>applications for registration, and the right to apply for registration, for any of the rights listed at (a) that are capable of being registered in any country or jurisdiction</w:t>
            </w:r>
          </w:p>
          <w:p w14:paraId="4F0832AE" w14:textId="77777777" w:rsidR="009772B5" w:rsidRDefault="00480D15">
            <w:pPr>
              <w:pStyle w:val="ListParagraph"/>
              <w:numPr>
                <w:ilvl w:val="0"/>
                <w:numId w:val="22"/>
              </w:numPr>
              <w:rPr>
                <w:sz w:val="20"/>
                <w:szCs w:val="20"/>
              </w:rPr>
            </w:pPr>
            <w:r>
              <w:rPr>
                <w:sz w:val="20"/>
                <w:szCs w:val="20"/>
              </w:rPr>
              <w:t>all other rights having equivalent or similar effect in any country or jurisdiction</w:t>
            </w:r>
          </w:p>
        </w:tc>
      </w:tr>
      <w:tr w:rsidR="009772B5" w14:paraId="4F0832B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0" w14:textId="77777777" w:rsidR="009772B5" w:rsidRDefault="00480D1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1" w14:textId="77777777" w:rsidR="009772B5" w:rsidRDefault="00480D15">
            <w:pPr>
              <w:spacing w:before="240"/>
              <w:rPr>
                <w:sz w:val="20"/>
                <w:szCs w:val="20"/>
              </w:rPr>
            </w:pPr>
            <w:r>
              <w:rPr>
                <w:sz w:val="20"/>
                <w:szCs w:val="20"/>
              </w:rPr>
              <w:t>For the purposes of the IR35 rules an intermediary can be:</w:t>
            </w:r>
          </w:p>
          <w:p w14:paraId="4F0832B2" w14:textId="77777777" w:rsidR="009772B5" w:rsidRDefault="00480D15">
            <w:pPr>
              <w:pStyle w:val="ListParagraph"/>
              <w:numPr>
                <w:ilvl w:val="0"/>
                <w:numId w:val="23"/>
              </w:numPr>
              <w:rPr>
                <w:sz w:val="20"/>
                <w:szCs w:val="20"/>
              </w:rPr>
            </w:pPr>
            <w:r>
              <w:rPr>
                <w:sz w:val="20"/>
                <w:szCs w:val="20"/>
              </w:rPr>
              <w:t>the supplier's own limited company</w:t>
            </w:r>
          </w:p>
          <w:p w14:paraId="4F0832B3" w14:textId="77777777" w:rsidR="009772B5" w:rsidRDefault="00480D15">
            <w:pPr>
              <w:pStyle w:val="ListParagraph"/>
              <w:numPr>
                <w:ilvl w:val="0"/>
                <w:numId w:val="23"/>
              </w:numPr>
              <w:rPr>
                <w:sz w:val="20"/>
                <w:szCs w:val="20"/>
              </w:rPr>
            </w:pPr>
            <w:r>
              <w:rPr>
                <w:sz w:val="20"/>
                <w:szCs w:val="20"/>
              </w:rPr>
              <w:t>a service or a personal service company</w:t>
            </w:r>
          </w:p>
          <w:p w14:paraId="4F0832B4" w14:textId="77777777" w:rsidR="009772B5" w:rsidRDefault="00480D15">
            <w:pPr>
              <w:pStyle w:val="ListParagraph"/>
              <w:numPr>
                <w:ilvl w:val="0"/>
                <w:numId w:val="23"/>
              </w:numPr>
              <w:rPr>
                <w:sz w:val="20"/>
                <w:szCs w:val="20"/>
              </w:rPr>
            </w:pPr>
            <w:r>
              <w:rPr>
                <w:sz w:val="20"/>
                <w:szCs w:val="20"/>
              </w:rPr>
              <w:t>a partnership</w:t>
            </w:r>
          </w:p>
          <w:p w14:paraId="4F0832B5" w14:textId="77777777" w:rsidR="009772B5" w:rsidRDefault="00480D15">
            <w:pPr>
              <w:spacing w:before="240"/>
              <w:rPr>
                <w:sz w:val="20"/>
                <w:szCs w:val="20"/>
              </w:rPr>
            </w:pPr>
            <w:r>
              <w:rPr>
                <w:sz w:val="20"/>
                <w:szCs w:val="20"/>
              </w:rPr>
              <w:t>It does not apply if you work for a client through a Managed Service Company (MSC) or agency (for example, an employment agency).</w:t>
            </w:r>
          </w:p>
        </w:tc>
      </w:tr>
      <w:tr w:rsidR="009772B5" w14:paraId="4F0832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7" w14:textId="77777777" w:rsidR="009772B5" w:rsidRDefault="00480D1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8" w14:textId="77777777" w:rsidR="009772B5" w:rsidRDefault="00480D15">
            <w:pPr>
              <w:spacing w:before="240"/>
              <w:rPr>
                <w:sz w:val="20"/>
                <w:szCs w:val="20"/>
              </w:rPr>
            </w:pPr>
            <w:r>
              <w:rPr>
                <w:sz w:val="20"/>
                <w:szCs w:val="20"/>
              </w:rPr>
              <w:t>As set out in clause 11.5.</w:t>
            </w:r>
          </w:p>
        </w:tc>
      </w:tr>
      <w:tr w:rsidR="009772B5" w14:paraId="4F0832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A" w14:textId="77777777" w:rsidR="009772B5" w:rsidRDefault="00480D1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B" w14:textId="77777777" w:rsidR="009772B5" w:rsidRDefault="00480D1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772B5" w14:paraId="4F0832B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D" w14:textId="77777777" w:rsidR="009772B5" w:rsidRDefault="00480D1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BE" w14:textId="77777777" w:rsidR="009772B5" w:rsidRDefault="00480D15">
            <w:pPr>
              <w:spacing w:before="240"/>
              <w:rPr>
                <w:sz w:val="20"/>
                <w:szCs w:val="20"/>
              </w:rPr>
            </w:pPr>
            <w:r>
              <w:rPr>
                <w:sz w:val="20"/>
                <w:szCs w:val="20"/>
              </w:rPr>
              <w:t>Assessment of employment status using the ESI tool to determine if engagement is Inside or Outside IR35.</w:t>
            </w:r>
          </w:p>
        </w:tc>
      </w:tr>
      <w:tr w:rsidR="009772B5" w14:paraId="4F0832C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0" w14:textId="77777777" w:rsidR="009772B5" w:rsidRDefault="00480D1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1" w14:textId="77777777" w:rsidR="009772B5" w:rsidRDefault="00480D1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772B5" w14:paraId="4F0832C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3" w14:textId="77777777" w:rsidR="009772B5" w:rsidRDefault="00480D1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4" w14:textId="77777777" w:rsidR="009772B5" w:rsidRDefault="00480D15">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772B5" w14:paraId="4F0832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6" w14:textId="77777777" w:rsidR="009772B5" w:rsidRDefault="00480D1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7" w14:textId="77777777" w:rsidR="009772B5" w:rsidRDefault="00480D15">
            <w:pPr>
              <w:spacing w:before="240"/>
              <w:rPr>
                <w:sz w:val="20"/>
                <w:szCs w:val="20"/>
              </w:rPr>
            </w:pPr>
            <w:r>
              <w:rPr>
                <w:sz w:val="20"/>
                <w:szCs w:val="20"/>
              </w:rPr>
              <w:t>Law Enforcement Directive (EU) 2016/680.</w:t>
            </w:r>
          </w:p>
        </w:tc>
      </w:tr>
      <w:tr w:rsidR="009772B5" w14:paraId="4F0832C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9" w14:textId="77777777" w:rsidR="009772B5" w:rsidRDefault="00480D1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A" w14:textId="77777777" w:rsidR="009772B5" w:rsidRDefault="00480D15">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772B5" w14:paraId="4F0832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C" w14:textId="77777777" w:rsidR="009772B5" w:rsidRDefault="00480D1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D" w14:textId="77777777" w:rsidR="009772B5" w:rsidRDefault="00480D15">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9772B5" w14:paraId="4F0832D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CF" w14:textId="77777777" w:rsidR="009772B5" w:rsidRDefault="00480D1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0" w14:textId="77777777" w:rsidR="009772B5" w:rsidRDefault="00480D15">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9772B5" w14:paraId="4F0832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2" w14:textId="77777777" w:rsidR="009772B5" w:rsidRDefault="00480D1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3" w14:textId="77777777" w:rsidR="009772B5" w:rsidRDefault="00480D1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772B5" w14:paraId="4F0832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5" w14:textId="77777777" w:rsidR="009772B5" w:rsidRDefault="00480D1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6" w14:textId="77777777" w:rsidR="009772B5" w:rsidRDefault="00480D15">
            <w:pPr>
              <w:spacing w:before="240"/>
              <w:rPr>
                <w:sz w:val="20"/>
                <w:szCs w:val="20"/>
              </w:rPr>
            </w:pPr>
            <w:r>
              <w:rPr>
                <w:sz w:val="20"/>
                <w:szCs w:val="20"/>
              </w:rPr>
              <w:t>The management information specified in Framework Agreement section 6 (What you report to CCS).</w:t>
            </w:r>
          </w:p>
        </w:tc>
      </w:tr>
      <w:tr w:rsidR="009772B5" w14:paraId="4F0832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8" w14:textId="77777777" w:rsidR="009772B5" w:rsidRDefault="00480D1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9" w14:textId="77777777" w:rsidR="009772B5" w:rsidRDefault="00480D1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772B5" w14:paraId="4F0832D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B" w14:textId="77777777" w:rsidR="009772B5" w:rsidRDefault="00480D1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C" w14:textId="77777777" w:rsidR="009772B5" w:rsidRDefault="00480D1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772B5" w14:paraId="4F0832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E" w14:textId="77777777" w:rsidR="009772B5" w:rsidRDefault="00480D1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DF" w14:textId="77777777" w:rsidR="009772B5" w:rsidRDefault="00480D1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772B5" w14:paraId="4F0832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1" w14:textId="77777777" w:rsidR="009772B5" w:rsidRDefault="00480D1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2" w14:textId="77777777" w:rsidR="009772B5" w:rsidRDefault="00480D15">
            <w:pPr>
              <w:spacing w:before="240"/>
              <w:rPr>
                <w:sz w:val="20"/>
                <w:szCs w:val="20"/>
              </w:rPr>
            </w:pPr>
            <w:r>
              <w:rPr>
                <w:sz w:val="20"/>
                <w:szCs w:val="20"/>
              </w:rPr>
              <w:t>An order for G-Cloud Services placed by a contracting body with the Supplier in accordance with the ordering processes.</w:t>
            </w:r>
          </w:p>
        </w:tc>
      </w:tr>
      <w:tr w:rsidR="009772B5" w14:paraId="4F0832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4" w14:textId="77777777" w:rsidR="009772B5" w:rsidRDefault="00480D1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5" w14:textId="77777777" w:rsidR="009772B5" w:rsidRDefault="00480D15">
            <w:pPr>
              <w:spacing w:before="240"/>
              <w:rPr>
                <w:sz w:val="20"/>
                <w:szCs w:val="20"/>
              </w:rPr>
            </w:pPr>
            <w:r>
              <w:rPr>
                <w:sz w:val="20"/>
                <w:szCs w:val="20"/>
              </w:rPr>
              <w:t>The order form set out in Part A of the Call-Off Contract to be used by a Buyer to order G-Cloud Services.</w:t>
            </w:r>
          </w:p>
        </w:tc>
      </w:tr>
      <w:tr w:rsidR="009772B5" w14:paraId="4F0832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7" w14:textId="77777777" w:rsidR="009772B5" w:rsidRDefault="00480D1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8" w14:textId="77777777" w:rsidR="009772B5" w:rsidRDefault="00480D15">
            <w:pPr>
              <w:spacing w:before="240"/>
              <w:rPr>
                <w:sz w:val="20"/>
                <w:szCs w:val="20"/>
              </w:rPr>
            </w:pPr>
            <w:r>
              <w:rPr>
                <w:sz w:val="20"/>
                <w:szCs w:val="20"/>
              </w:rPr>
              <w:t>G-Cloud Services which are the subject of an order by the Buyer.</w:t>
            </w:r>
          </w:p>
        </w:tc>
      </w:tr>
      <w:tr w:rsidR="009772B5" w14:paraId="4F0832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A" w14:textId="77777777" w:rsidR="009772B5" w:rsidRDefault="00480D1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B" w14:textId="77777777" w:rsidR="009772B5" w:rsidRDefault="00480D1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772B5" w14:paraId="4F0832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D" w14:textId="77777777" w:rsidR="009772B5" w:rsidRDefault="00480D1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EE" w14:textId="77777777" w:rsidR="009772B5" w:rsidRDefault="00480D15">
            <w:pPr>
              <w:spacing w:before="240"/>
              <w:rPr>
                <w:sz w:val="20"/>
                <w:szCs w:val="20"/>
              </w:rPr>
            </w:pPr>
            <w:r>
              <w:rPr>
                <w:sz w:val="20"/>
                <w:szCs w:val="20"/>
              </w:rPr>
              <w:t>The Buyer or the Supplier and ‘Parties’ will be interpreted accordingly.</w:t>
            </w:r>
          </w:p>
        </w:tc>
      </w:tr>
      <w:tr w:rsidR="009772B5" w14:paraId="4F0832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0" w14:textId="77777777" w:rsidR="009772B5" w:rsidRDefault="00480D1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1" w14:textId="77777777" w:rsidR="009772B5" w:rsidRDefault="00480D15">
            <w:pPr>
              <w:spacing w:before="240"/>
              <w:rPr>
                <w:sz w:val="20"/>
                <w:szCs w:val="20"/>
              </w:rPr>
            </w:pPr>
            <w:r>
              <w:rPr>
                <w:sz w:val="20"/>
                <w:szCs w:val="20"/>
              </w:rPr>
              <w:t>Takes the meaning given in the GDPR.</w:t>
            </w:r>
          </w:p>
        </w:tc>
      </w:tr>
      <w:tr w:rsidR="009772B5" w14:paraId="4F0832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3" w14:textId="77777777" w:rsidR="009772B5" w:rsidRDefault="00480D1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4" w14:textId="77777777" w:rsidR="009772B5" w:rsidRDefault="00480D15">
            <w:pPr>
              <w:spacing w:before="240"/>
              <w:rPr>
                <w:sz w:val="20"/>
                <w:szCs w:val="20"/>
              </w:rPr>
            </w:pPr>
            <w:r>
              <w:rPr>
                <w:sz w:val="20"/>
                <w:szCs w:val="20"/>
              </w:rPr>
              <w:t>Takes the meaning given in the GDPR.</w:t>
            </w:r>
          </w:p>
        </w:tc>
      </w:tr>
      <w:tr w:rsidR="009772B5" w14:paraId="4F0832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6" w14:textId="77777777" w:rsidR="009772B5" w:rsidRDefault="00480D1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7" w14:textId="77777777" w:rsidR="009772B5" w:rsidRDefault="00480D15">
            <w:pPr>
              <w:spacing w:before="240"/>
              <w:rPr>
                <w:sz w:val="20"/>
                <w:szCs w:val="20"/>
              </w:rPr>
            </w:pPr>
            <w:r>
              <w:rPr>
                <w:sz w:val="20"/>
                <w:szCs w:val="20"/>
              </w:rPr>
              <w:t>Takes the meaning given in the GDPR.</w:t>
            </w:r>
          </w:p>
        </w:tc>
      </w:tr>
      <w:tr w:rsidR="009772B5" w14:paraId="4F0832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9" w14:textId="77777777" w:rsidR="009772B5" w:rsidRDefault="00480D1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A" w14:textId="77777777" w:rsidR="009772B5" w:rsidRDefault="00480D15">
            <w:pPr>
              <w:spacing w:before="240"/>
              <w:rPr>
                <w:sz w:val="20"/>
                <w:szCs w:val="20"/>
              </w:rPr>
            </w:pPr>
            <w:r>
              <w:rPr>
                <w:sz w:val="20"/>
                <w:szCs w:val="20"/>
              </w:rPr>
              <w:t>Takes the meaning given in the GDPR.</w:t>
            </w:r>
          </w:p>
        </w:tc>
      </w:tr>
      <w:tr w:rsidR="009772B5" w14:paraId="4F08330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C" w14:textId="77777777" w:rsidR="009772B5" w:rsidRDefault="00480D1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2FD" w14:textId="77777777" w:rsidR="009772B5" w:rsidRDefault="00480D1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F0832FE" w14:textId="77777777" w:rsidR="009772B5" w:rsidRDefault="00480D15">
            <w:pPr>
              <w:pStyle w:val="ListParagraph"/>
              <w:numPr>
                <w:ilvl w:val="0"/>
                <w:numId w:val="24"/>
              </w:numPr>
              <w:rPr>
                <w:sz w:val="20"/>
                <w:szCs w:val="20"/>
              </w:rPr>
            </w:pPr>
            <w:r>
              <w:rPr>
                <w:sz w:val="20"/>
                <w:szCs w:val="20"/>
              </w:rPr>
              <w:t>induce that person to perform improperly a relevant function or activity</w:t>
            </w:r>
          </w:p>
          <w:p w14:paraId="4F0832FF" w14:textId="77777777" w:rsidR="009772B5" w:rsidRDefault="00480D15">
            <w:pPr>
              <w:pStyle w:val="ListParagraph"/>
              <w:numPr>
                <w:ilvl w:val="0"/>
                <w:numId w:val="24"/>
              </w:numPr>
              <w:rPr>
                <w:sz w:val="20"/>
                <w:szCs w:val="20"/>
              </w:rPr>
            </w:pPr>
            <w:r>
              <w:rPr>
                <w:sz w:val="20"/>
                <w:szCs w:val="20"/>
              </w:rPr>
              <w:t>reward that person for improper performance of a relevant function or activity</w:t>
            </w:r>
          </w:p>
          <w:p w14:paraId="4F083300" w14:textId="77777777" w:rsidR="009772B5" w:rsidRDefault="00480D15">
            <w:pPr>
              <w:pStyle w:val="ListParagraph"/>
              <w:numPr>
                <w:ilvl w:val="0"/>
                <w:numId w:val="24"/>
              </w:numPr>
              <w:rPr>
                <w:sz w:val="20"/>
                <w:szCs w:val="20"/>
              </w:rPr>
            </w:pPr>
            <w:r>
              <w:rPr>
                <w:sz w:val="20"/>
                <w:szCs w:val="20"/>
              </w:rPr>
              <w:t>commit any offence:</w:t>
            </w:r>
          </w:p>
          <w:p w14:paraId="4F083301" w14:textId="77777777" w:rsidR="009772B5" w:rsidRDefault="00480D15">
            <w:pPr>
              <w:pStyle w:val="ListParagraph"/>
              <w:numPr>
                <w:ilvl w:val="1"/>
                <w:numId w:val="24"/>
              </w:numPr>
              <w:rPr>
                <w:sz w:val="20"/>
                <w:szCs w:val="20"/>
              </w:rPr>
            </w:pPr>
            <w:r>
              <w:rPr>
                <w:sz w:val="20"/>
                <w:szCs w:val="20"/>
              </w:rPr>
              <w:t>under the Bribery Act 2010</w:t>
            </w:r>
          </w:p>
          <w:p w14:paraId="4F083302" w14:textId="77777777" w:rsidR="009772B5" w:rsidRDefault="00480D15">
            <w:pPr>
              <w:pStyle w:val="ListParagraph"/>
              <w:numPr>
                <w:ilvl w:val="1"/>
                <w:numId w:val="24"/>
              </w:numPr>
              <w:rPr>
                <w:sz w:val="20"/>
                <w:szCs w:val="20"/>
              </w:rPr>
            </w:pPr>
            <w:r>
              <w:rPr>
                <w:sz w:val="20"/>
                <w:szCs w:val="20"/>
              </w:rPr>
              <w:t>under legislation creating offences concerning Fraud</w:t>
            </w:r>
          </w:p>
          <w:p w14:paraId="4F083303" w14:textId="77777777" w:rsidR="009772B5" w:rsidRDefault="00480D15">
            <w:pPr>
              <w:pStyle w:val="ListParagraph"/>
              <w:numPr>
                <w:ilvl w:val="1"/>
                <w:numId w:val="24"/>
              </w:numPr>
            </w:pPr>
            <w:r>
              <w:t>at common Law concerning Fraud</w:t>
            </w:r>
          </w:p>
          <w:p w14:paraId="4F083304" w14:textId="77777777" w:rsidR="009772B5" w:rsidRDefault="00480D15">
            <w:pPr>
              <w:pStyle w:val="ListParagraph"/>
              <w:numPr>
                <w:ilvl w:val="1"/>
                <w:numId w:val="24"/>
              </w:numPr>
              <w:rPr>
                <w:sz w:val="20"/>
                <w:szCs w:val="20"/>
              </w:rPr>
            </w:pPr>
            <w:r>
              <w:rPr>
                <w:sz w:val="20"/>
                <w:szCs w:val="20"/>
              </w:rPr>
              <w:t>committing or attempting or conspiring to commit Fraud</w:t>
            </w:r>
          </w:p>
        </w:tc>
      </w:tr>
      <w:tr w:rsidR="009772B5" w14:paraId="4F08330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6" w14:textId="77777777" w:rsidR="009772B5" w:rsidRDefault="00480D1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7" w14:textId="77777777" w:rsidR="009772B5" w:rsidRDefault="00480D1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9772B5" w14:paraId="4F0833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9" w14:textId="77777777" w:rsidR="009772B5" w:rsidRDefault="00480D1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A" w14:textId="77777777" w:rsidR="009772B5" w:rsidRDefault="00480D15">
            <w:pPr>
              <w:spacing w:before="240"/>
              <w:rPr>
                <w:sz w:val="20"/>
                <w:szCs w:val="20"/>
              </w:rPr>
            </w:pPr>
            <w:r>
              <w:rPr>
                <w:sz w:val="20"/>
                <w:szCs w:val="20"/>
              </w:rPr>
              <w:t>Assets and property including technical infrastructure, IPRs and equipment.</w:t>
            </w:r>
          </w:p>
        </w:tc>
      </w:tr>
      <w:tr w:rsidR="009772B5" w14:paraId="4F08330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C" w14:textId="77777777" w:rsidR="009772B5" w:rsidRDefault="00480D1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D" w14:textId="77777777" w:rsidR="009772B5" w:rsidRDefault="00480D1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772B5" w14:paraId="4F0833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0F" w14:textId="77777777" w:rsidR="009772B5" w:rsidRDefault="00480D1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0" w14:textId="77777777" w:rsidR="009772B5" w:rsidRDefault="00480D15">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9772B5" w14:paraId="4F0833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2" w14:textId="77777777" w:rsidR="009772B5" w:rsidRDefault="00480D1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3" w14:textId="77777777" w:rsidR="009772B5" w:rsidRDefault="00480D1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772B5" w14:paraId="4F0833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5" w14:textId="77777777" w:rsidR="009772B5" w:rsidRDefault="00480D1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6" w14:textId="77777777" w:rsidR="009772B5" w:rsidRDefault="00480D1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772B5" w14:paraId="4F0833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8" w14:textId="77777777" w:rsidR="009772B5" w:rsidRDefault="00480D1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9" w14:textId="77777777" w:rsidR="009772B5" w:rsidRDefault="00480D15">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9772B5" w14:paraId="4F08331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B" w14:textId="77777777" w:rsidR="009772B5" w:rsidRDefault="00480D1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C" w14:textId="77777777" w:rsidR="009772B5" w:rsidRDefault="00480D15">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9772B5" w14:paraId="4F0833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E" w14:textId="77777777" w:rsidR="009772B5" w:rsidRDefault="00480D1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1F" w14:textId="77777777" w:rsidR="009772B5" w:rsidRDefault="00480D1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772B5" w14:paraId="4F0833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1" w14:textId="77777777" w:rsidR="009772B5" w:rsidRDefault="00480D1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2" w14:textId="77777777" w:rsidR="009772B5" w:rsidRDefault="00480D15">
            <w:pPr>
              <w:spacing w:before="240"/>
              <w:rPr>
                <w:sz w:val="20"/>
                <w:szCs w:val="20"/>
              </w:rPr>
            </w:pPr>
            <w:r>
              <w:rPr>
                <w:sz w:val="20"/>
                <w:szCs w:val="20"/>
              </w:rPr>
              <w:t>The Supplier's security management plan developed by the Supplier in accordance with clause 16.1.</w:t>
            </w:r>
          </w:p>
        </w:tc>
      </w:tr>
      <w:tr w:rsidR="009772B5" w14:paraId="4F0833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4" w14:textId="77777777" w:rsidR="009772B5" w:rsidRDefault="00480D1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5" w14:textId="77777777" w:rsidR="009772B5" w:rsidRDefault="00480D15">
            <w:pPr>
              <w:spacing w:before="240"/>
              <w:rPr>
                <w:sz w:val="20"/>
                <w:szCs w:val="20"/>
              </w:rPr>
            </w:pPr>
            <w:r>
              <w:rPr>
                <w:sz w:val="20"/>
                <w:szCs w:val="20"/>
              </w:rPr>
              <w:t>The services ordered by the Buyer as set out in the Order Form.</w:t>
            </w:r>
          </w:p>
        </w:tc>
      </w:tr>
      <w:tr w:rsidR="009772B5" w14:paraId="4F0833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7" w14:textId="77777777" w:rsidR="009772B5" w:rsidRDefault="00480D1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8" w14:textId="77777777" w:rsidR="009772B5" w:rsidRDefault="00480D15">
            <w:pPr>
              <w:spacing w:before="240"/>
              <w:rPr>
                <w:sz w:val="20"/>
                <w:szCs w:val="20"/>
              </w:rPr>
            </w:pPr>
            <w:r>
              <w:rPr>
                <w:sz w:val="20"/>
                <w:szCs w:val="20"/>
              </w:rPr>
              <w:t>Data that is owned or managed by the Buyer and used for the G-Cloud Services, including backup data.</w:t>
            </w:r>
          </w:p>
        </w:tc>
      </w:tr>
      <w:tr w:rsidR="009772B5" w14:paraId="4F08332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A" w14:textId="77777777" w:rsidR="009772B5" w:rsidRDefault="00480D1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B" w14:textId="77777777" w:rsidR="009772B5" w:rsidRDefault="00480D1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772B5" w14:paraId="4F0833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D" w14:textId="77777777" w:rsidR="009772B5" w:rsidRDefault="00480D1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2E" w14:textId="77777777" w:rsidR="009772B5" w:rsidRDefault="00480D15">
            <w:pPr>
              <w:spacing w:before="240"/>
              <w:rPr>
                <w:sz w:val="20"/>
                <w:szCs w:val="20"/>
              </w:rPr>
            </w:pPr>
            <w:r>
              <w:rPr>
                <w:sz w:val="20"/>
                <w:szCs w:val="20"/>
              </w:rPr>
              <w:t>The description of the Supplier service offering as published on the Digital Marketplace.</w:t>
            </w:r>
          </w:p>
        </w:tc>
      </w:tr>
      <w:tr w:rsidR="009772B5" w14:paraId="4F0833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0" w14:textId="77777777" w:rsidR="009772B5" w:rsidRDefault="00480D1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1" w14:textId="77777777" w:rsidR="009772B5" w:rsidRDefault="00480D15">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9772B5" w14:paraId="4F08333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3" w14:textId="77777777" w:rsidR="009772B5" w:rsidRDefault="00480D1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4" w14:textId="01611CE9" w:rsidR="009772B5" w:rsidRDefault="003A3841">
            <w:pPr>
              <w:spacing w:before="240"/>
            </w:pPr>
            <w:r>
              <w:rPr>
                <w:sz w:val="20"/>
                <w:szCs w:val="20"/>
              </w:rPr>
              <w:t>The approval process used by a central government Buyer if it needs to spend money on certain digital or technology services, see</w:t>
            </w:r>
            <w:hyperlink r:id="rId25" w:history="1">
              <w:r>
                <w:t xml:space="preserve"> </w:t>
              </w:r>
            </w:hyperlink>
            <w:hyperlink r:id="rId26" w:history="1">
              <w:r>
                <w:rPr>
                  <w:sz w:val="20"/>
                  <w:szCs w:val="20"/>
                  <w:u w:val="single"/>
                </w:rPr>
                <w:t>https://www.gov.uk/service-manual/agile-delivery/spend-controls-check-if-you-need-approval-to-spend-money-on-a-service</w:t>
              </w:r>
            </w:hyperlink>
          </w:p>
        </w:tc>
      </w:tr>
      <w:tr w:rsidR="009772B5" w14:paraId="4F08333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6" w14:textId="77777777" w:rsidR="009772B5" w:rsidRDefault="00480D1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7" w14:textId="77777777" w:rsidR="009772B5" w:rsidRDefault="00480D15">
            <w:pPr>
              <w:spacing w:before="240"/>
              <w:rPr>
                <w:sz w:val="20"/>
                <w:szCs w:val="20"/>
              </w:rPr>
            </w:pPr>
            <w:r>
              <w:rPr>
                <w:sz w:val="20"/>
                <w:szCs w:val="20"/>
              </w:rPr>
              <w:t>The Start date of this Call-Off Contract as set out in the Order Form.</w:t>
            </w:r>
          </w:p>
        </w:tc>
      </w:tr>
      <w:tr w:rsidR="009772B5" w14:paraId="4F08333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9" w14:textId="77777777" w:rsidR="009772B5" w:rsidRDefault="00480D1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A" w14:textId="77777777" w:rsidR="009772B5" w:rsidRDefault="00480D1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772B5" w14:paraId="4F08333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C" w14:textId="77777777" w:rsidR="009772B5" w:rsidRDefault="00480D1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D" w14:textId="77777777" w:rsidR="009772B5" w:rsidRDefault="00480D1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772B5" w14:paraId="4F0833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3F" w14:textId="77777777" w:rsidR="009772B5" w:rsidRDefault="00480D1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0" w14:textId="77777777" w:rsidR="009772B5" w:rsidRDefault="00480D15">
            <w:pPr>
              <w:spacing w:before="240"/>
              <w:rPr>
                <w:sz w:val="20"/>
                <w:szCs w:val="20"/>
              </w:rPr>
            </w:pPr>
            <w:r>
              <w:rPr>
                <w:sz w:val="20"/>
                <w:szCs w:val="20"/>
              </w:rPr>
              <w:t>Any third party appointed to process Personal Data on behalf of the Supplier under this Call-Off Contract.</w:t>
            </w:r>
          </w:p>
        </w:tc>
      </w:tr>
      <w:tr w:rsidR="009772B5" w14:paraId="4F08334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2" w14:textId="77777777" w:rsidR="009772B5" w:rsidRDefault="00480D1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3" w14:textId="77777777" w:rsidR="009772B5" w:rsidRDefault="00480D15">
            <w:pPr>
              <w:spacing w:before="240"/>
              <w:rPr>
                <w:sz w:val="20"/>
                <w:szCs w:val="20"/>
              </w:rPr>
            </w:pPr>
            <w:r>
              <w:rPr>
                <w:sz w:val="20"/>
                <w:szCs w:val="20"/>
              </w:rPr>
              <w:t>The person, firm or company identified in the Order Form.</w:t>
            </w:r>
          </w:p>
        </w:tc>
      </w:tr>
      <w:tr w:rsidR="009772B5" w14:paraId="4F0833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5" w14:textId="77777777" w:rsidR="009772B5" w:rsidRDefault="00480D1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6" w14:textId="77777777" w:rsidR="009772B5" w:rsidRDefault="00480D15">
            <w:pPr>
              <w:spacing w:before="240"/>
              <w:rPr>
                <w:sz w:val="20"/>
                <w:szCs w:val="20"/>
              </w:rPr>
            </w:pPr>
            <w:r>
              <w:rPr>
                <w:sz w:val="20"/>
                <w:szCs w:val="20"/>
              </w:rPr>
              <w:t>The representative appointed by the Supplier from time to time in relation to the Call-Off Contract.</w:t>
            </w:r>
          </w:p>
        </w:tc>
      </w:tr>
      <w:tr w:rsidR="009772B5" w14:paraId="4F0833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8" w14:textId="77777777" w:rsidR="009772B5" w:rsidRDefault="00480D1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9" w14:textId="77777777" w:rsidR="009772B5" w:rsidRDefault="00480D15">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9772B5" w14:paraId="4F0833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B" w14:textId="77777777" w:rsidR="009772B5" w:rsidRDefault="00480D1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C" w14:textId="77777777" w:rsidR="009772B5" w:rsidRDefault="00480D15">
            <w:pPr>
              <w:spacing w:before="240"/>
              <w:rPr>
                <w:sz w:val="20"/>
                <w:szCs w:val="20"/>
              </w:rPr>
            </w:pPr>
            <w:r>
              <w:rPr>
                <w:sz w:val="20"/>
                <w:szCs w:val="20"/>
              </w:rPr>
              <w:t>The relevant G-Cloud Service terms and conditions as set out in the Terms and Conditions document supplied as part of the Supplier’s Application.</w:t>
            </w:r>
          </w:p>
        </w:tc>
      </w:tr>
      <w:tr w:rsidR="009772B5" w14:paraId="4F08335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E" w14:textId="77777777" w:rsidR="009772B5" w:rsidRDefault="00480D1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4F" w14:textId="77777777" w:rsidR="009772B5" w:rsidRDefault="00480D15">
            <w:pPr>
              <w:spacing w:before="240"/>
              <w:rPr>
                <w:sz w:val="20"/>
                <w:szCs w:val="20"/>
              </w:rPr>
            </w:pPr>
            <w:r>
              <w:rPr>
                <w:sz w:val="20"/>
                <w:szCs w:val="20"/>
              </w:rPr>
              <w:t>The term of this Call-Off Contract as set out in the Order Form.</w:t>
            </w:r>
          </w:p>
        </w:tc>
      </w:tr>
      <w:tr w:rsidR="009772B5" w14:paraId="4F0833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51" w14:textId="77777777" w:rsidR="009772B5" w:rsidRDefault="00480D1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52" w14:textId="77777777" w:rsidR="009772B5" w:rsidRDefault="00480D15">
            <w:pPr>
              <w:spacing w:before="240"/>
              <w:rPr>
                <w:sz w:val="20"/>
                <w:szCs w:val="20"/>
              </w:rPr>
            </w:pPr>
            <w:r>
              <w:rPr>
                <w:sz w:val="20"/>
                <w:szCs w:val="20"/>
              </w:rPr>
              <w:t>This has the meaning given to it in clause 32 (Variation process).</w:t>
            </w:r>
          </w:p>
        </w:tc>
      </w:tr>
      <w:tr w:rsidR="009772B5" w14:paraId="4F083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54" w14:textId="77777777" w:rsidR="009772B5" w:rsidRDefault="00480D1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55" w14:textId="77777777" w:rsidR="009772B5" w:rsidRDefault="00480D15">
            <w:pPr>
              <w:spacing w:before="240"/>
              <w:rPr>
                <w:sz w:val="20"/>
                <w:szCs w:val="20"/>
              </w:rPr>
            </w:pPr>
            <w:r>
              <w:rPr>
                <w:sz w:val="20"/>
                <w:szCs w:val="20"/>
              </w:rPr>
              <w:t>Any day other than a Saturday, Sunday or public holiday in England and Wales.</w:t>
            </w:r>
          </w:p>
        </w:tc>
      </w:tr>
      <w:tr w:rsidR="009772B5" w14:paraId="4F0833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57" w14:textId="77777777" w:rsidR="009772B5" w:rsidRDefault="00480D1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83358" w14:textId="77777777" w:rsidR="009772B5" w:rsidRDefault="00480D15">
            <w:pPr>
              <w:spacing w:before="240"/>
              <w:rPr>
                <w:sz w:val="20"/>
                <w:szCs w:val="20"/>
              </w:rPr>
            </w:pPr>
            <w:r>
              <w:rPr>
                <w:sz w:val="20"/>
                <w:szCs w:val="20"/>
              </w:rPr>
              <w:t>A contract year.</w:t>
            </w:r>
          </w:p>
        </w:tc>
      </w:tr>
    </w:tbl>
    <w:p w14:paraId="4F083399" w14:textId="4448091C" w:rsidR="009772B5" w:rsidRDefault="00480D15" w:rsidP="00404DA4">
      <w:pPr>
        <w:spacing w:before="240" w:after="240"/>
      </w:pPr>
      <w:r>
        <w:t xml:space="preserve"> </w:t>
      </w:r>
    </w:p>
    <w:p w14:paraId="1A92616C" w14:textId="7CB03570" w:rsidR="00404DA4" w:rsidRDefault="00404DA4" w:rsidP="00404DA4">
      <w:pPr>
        <w:spacing w:before="240" w:after="240"/>
      </w:pPr>
    </w:p>
    <w:p w14:paraId="0EFEF54A" w14:textId="6614C510" w:rsidR="00404DA4" w:rsidRDefault="00404DA4" w:rsidP="00404DA4">
      <w:pPr>
        <w:spacing w:before="240" w:after="240"/>
      </w:pPr>
    </w:p>
    <w:p w14:paraId="45D8E4F5" w14:textId="2CD4654B" w:rsidR="00404DA4" w:rsidRDefault="00404DA4" w:rsidP="00404DA4">
      <w:pPr>
        <w:spacing w:before="240" w:after="240"/>
      </w:pPr>
    </w:p>
    <w:p w14:paraId="6B3EC35D" w14:textId="61D9ADCF" w:rsidR="00404DA4" w:rsidRDefault="00404DA4" w:rsidP="00404DA4">
      <w:pPr>
        <w:spacing w:before="240" w:after="240"/>
      </w:pPr>
    </w:p>
    <w:p w14:paraId="76EDD51B" w14:textId="1D157721" w:rsidR="00404DA4" w:rsidRDefault="00404DA4" w:rsidP="00404DA4">
      <w:pPr>
        <w:spacing w:before="240" w:after="240"/>
      </w:pPr>
    </w:p>
    <w:p w14:paraId="5B87EC74" w14:textId="0886F237" w:rsidR="00404DA4" w:rsidRDefault="00404DA4" w:rsidP="00404DA4">
      <w:pPr>
        <w:spacing w:before="240" w:after="240"/>
      </w:pPr>
    </w:p>
    <w:p w14:paraId="3C06D3D0" w14:textId="6CF8B65D" w:rsidR="00404DA4" w:rsidRDefault="00404DA4" w:rsidP="00404DA4">
      <w:pPr>
        <w:spacing w:before="240" w:after="240"/>
      </w:pPr>
    </w:p>
    <w:p w14:paraId="1C790BE4" w14:textId="6AC9F847" w:rsidR="00404DA4" w:rsidRDefault="00404DA4" w:rsidP="00404DA4">
      <w:pPr>
        <w:spacing w:before="240" w:after="240"/>
      </w:pPr>
    </w:p>
    <w:p w14:paraId="61469C73" w14:textId="6CECCDE7" w:rsidR="00404DA4" w:rsidRDefault="00404DA4" w:rsidP="00404DA4">
      <w:pPr>
        <w:spacing w:before="240" w:after="240"/>
      </w:pPr>
    </w:p>
    <w:p w14:paraId="53A406DC" w14:textId="56A80E25" w:rsidR="00404DA4" w:rsidRDefault="00404DA4" w:rsidP="00404DA4">
      <w:pPr>
        <w:spacing w:before="240" w:after="240"/>
      </w:pPr>
    </w:p>
    <w:p w14:paraId="083394AF" w14:textId="3DDBBEFD" w:rsidR="00404DA4" w:rsidRDefault="00404DA4" w:rsidP="00404DA4">
      <w:pPr>
        <w:spacing w:before="240" w:after="240"/>
      </w:pPr>
    </w:p>
    <w:p w14:paraId="323AB957" w14:textId="11E518BF" w:rsidR="00404DA4" w:rsidRDefault="00404DA4" w:rsidP="00404DA4">
      <w:pPr>
        <w:spacing w:before="240" w:after="240"/>
      </w:pPr>
    </w:p>
    <w:p w14:paraId="1CF31E92" w14:textId="35E88FF2" w:rsidR="00404DA4" w:rsidRDefault="00404DA4" w:rsidP="00404DA4">
      <w:pPr>
        <w:spacing w:before="240" w:after="240"/>
      </w:pPr>
    </w:p>
    <w:p w14:paraId="35E706A4" w14:textId="7AF67F3E" w:rsidR="00404DA4" w:rsidRDefault="00404DA4" w:rsidP="00404DA4">
      <w:pPr>
        <w:spacing w:before="240" w:after="240"/>
      </w:pPr>
    </w:p>
    <w:p w14:paraId="5D7C5A2B" w14:textId="069C0C26" w:rsidR="00404DA4" w:rsidRDefault="00404DA4" w:rsidP="00404DA4">
      <w:pPr>
        <w:spacing w:before="240" w:after="240"/>
      </w:pPr>
    </w:p>
    <w:p w14:paraId="167B9BC5" w14:textId="77777777" w:rsidR="00D054FD" w:rsidRDefault="00D054FD" w:rsidP="00D054FD">
      <w:pPr>
        <w:pStyle w:val="Heading2"/>
      </w:pPr>
      <w:bookmarkStart w:id="20" w:name="_Toc32922692"/>
      <w:bookmarkStart w:id="21" w:name="_Toc36627333"/>
      <w:bookmarkStart w:id="22" w:name="_Toc104216519"/>
      <w:r>
        <w:t>Annex 1: Processing Personal Data</w:t>
      </w:r>
      <w:bookmarkEnd w:id="20"/>
      <w:bookmarkEnd w:id="21"/>
      <w:bookmarkEnd w:id="22"/>
    </w:p>
    <w:p w14:paraId="1F139A41" w14:textId="77777777" w:rsidR="00D054FD" w:rsidRDefault="00D054FD" w:rsidP="00D054FD">
      <w:pPr>
        <w:pStyle w:val="Standard"/>
        <w:rPr>
          <w:b/>
        </w:rPr>
      </w:pPr>
    </w:p>
    <w:p w14:paraId="4E11603E" w14:textId="15E01ADF" w:rsidR="00D054FD" w:rsidRDefault="00D054FD" w:rsidP="00D054FD">
      <w:pPr>
        <w:pStyle w:val="Standard"/>
      </w:pPr>
      <w:r>
        <w:t>This Annex shall be completed by the Controller, who may take account of the view of the Processors, however the final decision as to the content of this Annex shall be with the Buyer at its absolute discretion.</w:t>
      </w:r>
    </w:p>
    <w:p w14:paraId="0BA5FFF2" w14:textId="77777777" w:rsidR="00D054FD" w:rsidRDefault="00D054FD" w:rsidP="00D054FD">
      <w:pPr>
        <w:pStyle w:val="Standard"/>
      </w:pPr>
    </w:p>
    <w:p w14:paraId="7A589D16" w14:textId="51738A58" w:rsidR="00D054FD" w:rsidRDefault="00D054FD" w:rsidP="00D054FD">
      <w:pPr>
        <w:pStyle w:val="Standard"/>
        <w:numPr>
          <w:ilvl w:val="1"/>
          <w:numId w:val="41"/>
        </w:numPr>
      </w:pPr>
      <w:r>
        <w:t>The contact details of the Buyer’s Data Protection Officer are: DPM@dvla.gov.uk</w:t>
      </w:r>
    </w:p>
    <w:p w14:paraId="348F3B58" w14:textId="77777777" w:rsidR="00D054FD" w:rsidRDefault="00D054FD" w:rsidP="00D054FD">
      <w:pPr>
        <w:pStyle w:val="Standard"/>
      </w:pPr>
    </w:p>
    <w:p w14:paraId="75E47D9A" w14:textId="7F5410AE" w:rsidR="00D054FD" w:rsidRDefault="00D054FD" w:rsidP="00D054FD">
      <w:pPr>
        <w:pStyle w:val="Standard"/>
        <w:numPr>
          <w:ilvl w:val="1"/>
          <w:numId w:val="41"/>
        </w:numPr>
      </w:pPr>
      <w:r>
        <w:t xml:space="preserve">The contact details of the Supplier’s Data Protection Officer are: </w:t>
      </w:r>
      <w:proofErr w:type="spellStart"/>
      <w:r w:rsidR="0090167F">
        <w:t>xxxxxx</w:t>
      </w:r>
      <w:proofErr w:type="spellEnd"/>
      <w:r w:rsidR="0090167F">
        <w:t xml:space="preserve"> redacted under FOIA section 40</w:t>
      </w:r>
    </w:p>
    <w:p w14:paraId="59B36698" w14:textId="77777777" w:rsidR="00D054FD" w:rsidRDefault="00D054FD" w:rsidP="00D054FD">
      <w:pPr>
        <w:pStyle w:val="Standard"/>
      </w:pPr>
    </w:p>
    <w:p w14:paraId="5273B38D" w14:textId="77777777" w:rsidR="00D054FD" w:rsidRDefault="00D054FD" w:rsidP="00D054FD">
      <w:pPr>
        <w:pStyle w:val="Standard"/>
        <w:numPr>
          <w:ilvl w:val="1"/>
          <w:numId w:val="41"/>
        </w:numPr>
      </w:pPr>
      <w:r>
        <w:t>The Processor shall comply with any further written instructions with respect to Processing by the Controller.</w:t>
      </w:r>
    </w:p>
    <w:p w14:paraId="3BBC1C5D" w14:textId="77777777" w:rsidR="00D054FD" w:rsidRDefault="00D054FD" w:rsidP="00D054FD">
      <w:pPr>
        <w:pStyle w:val="Standard"/>
      </w:pPr>
    </w:p>
    <w:p w14:paraId="3A98E417" w14:textId="77777777" w:rsidR="00D054FD" w:rsidRDefault="00D054FD" w:rsidP="00D054FD">
      <w:pPr>
        <w:pStyle w:val="Standard"/>
        <w:numPr>
          <w:ilvl w:val="1"/>
          <w:numId w:val="41"/>
        </w:numPr>
      </w:pPr>
      <w:r>
        <w:t>Any such further instructions shall be incorporated into this Annex.</w:t>
      </w:r>
    </w:p>
    <w:p w14:paraId="16732B10" w14:textId="77777777" w:rsidR="00D054FD" w:rsidRDefault="00D054FD" w:rsidP="00D054FD">
      <w:pPr>
        <w:pStyle w:val="Standard"/>
      </w:pPr>
    </w:p>
    <w:p w14:paraId="5B47BD15" w14:textId="77777777" w:rsidR="00D054FD" w:rsidRDefault="00D054FD" w:rsidP="00D054FD">
      <w:pPr>
        <w:pStyle w:val="Standard"/>
      </w:pPr>
    </w:p>
    <w:tbl>
      <w:tblPr>
        <w:tblW w:w="10196" w:type="dxa"/>
        <w:tblLayout w:type="fixed"/>
        <w:tblCellMar>
          <w:left w:w="10" w:type="dxa"/>
          <w:right w:w="10" w:type="dxa"/>
        </w:tblCellMar>
        <w:tblLook w:val="04A0" w:firstRow="1" w:lastRow="0" w:firstColumn="1" w:lastColumn="0" w:noHBand="0" w:noVBand="1"/>
      </w:tblPr>
      <w:tblGrid>
        <w:gridCol w:w="4514"/>
        <w:gridCol w:w="5682"/>
      </w:tblGrid>
      <w:tr w:rsidR="00D054FD" w14:paraId="569FB205"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A2DB847" w14:textId="77777777" w:rsidR="00D054FD" w:rsidRDefault="00D054FD" w:rsidP="00BF3582">
            <w:pPr>
              <w:pStyle w:val="Standard"/>
              <w:rPr>
                <w:b/>
              </w:rPr>
            </w:pPr>
            <w:r>
              <w:rPr>
                <w:b/>
              </w:rPr>
              <w:t>Description</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70359FA" w14:textId="77777777" w:rsidR="00D054FD" w:rsidRDefault="00D054FD" w:rsidP="00BF3582">
            <w:pPr>
              <w:pStyle w:val="Standard"/>
              <w:rPr>
                <w:b/>
              </w:rPr>
            </w:pPr>
            <w:r>
              <w:rPr>
                <w:b/>
              </w:rPr>
              <w:t>Details</w:t>
            </w:r>
          </w:p>
        </w:tc>
      </w:tr>
      <w:tr w:rsidR="00D054FD" w14:paraId="2F88A0B5"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7D60BA" w14:textId="77777777" w:rsidR="00D054FD" w:rsidRDefault="00D054FD" w:rsidP="00BF3582">
            <w:pPr>
              <w:pStyle w:val="Standard"/>
            </w:pPr>
            <w:r>
              <w:t>Identity of Controller for each Category of Personal Data</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F4A387" w14:textId="1BDB327A" w:rsidR="00D054FD" w:rsidRDefault="00D054FD" w:rsidP="00BF3582">
            <w:pPr>
              <w:pStyle w:val="Standard"/>
              <w:rPr>
                <w:b/>
              </w:rPr>
            </w:pPr>
            <w:r w:rsidRPr="00D054FD">
              <w:rPr>
                <w:b/>
              </w:rPr>
              <w:t xml:space="preserve">The Relevant Authority is </w:t>
            </w:r>
            <w:proofErr w:type="gramStart"/>
            <w:r w:rsidRPr="00D054FD">
              <w:rPr>
                <w:b/>
              </w:rPr>
              <w:t>Controller</w:t>
            </w:r>
            <w:proofErr w:type="gramEnd"/>
            <w:r w:rsidRPr="00D054FD">
              <w:rPr>
                <w:b/>
              </w:rPr>
              <w:t xml:space="preserve"> and the Supplier is Processor </w:t>
            </w:r>
            <w:r w:rsidR="0058737B">
              <w:rPr>
                <w:b/>
              </w:rPr>
              <w:t>(</w:t>
            </w:r>
            <w:r w:rsidRPr="00D054FD">
              <w:rPr>
                <w:b/>
              </w:rPr>
              <w:t>Codebase8</w:t>
            </w:r>
            <w:r w:rsidR="0058737B">
              <w:rPr>
                <w:b/>
              </w:rPr>
              <w:t>)</w:t>
            </w:r>
            <w:r>
              <w:rPr>
                <w:b/>
              </w:rPr>
              <w:t xml:space="preserve">  </w:t>
            </w:r>
          </w:p>
          <w:p w14:paraId="5732315B" w14:textId="77777777" w:rsidR="00D054FD" w:rsidRDefault="00D054FD" w:rsidP="00BF3582">
            <w:pPr>
              <w:pStyle w:val="Standard"/>
              <w:rPr>
                <w:b/>
              </w:rPr>
            </w:pPr>
          </w:p>
          <w:p w14:paraId="3B9C5C8E" w14:textId="588F27AF" w:rsidR="00D054FD" w:rsidRDefault="00D054FD" w:rsidP="00BF3582">
            <w:pPr>
              <w:pStyle w:val="Standard"/>
            </w:pPr>
            <w:r>
              <w:t xml:space="preserve">The Parties acknowledge that in accordance with paragraphs 2 to paragraph 15 of Schedule 4 of the Framework Agreement and for the purposes of the Data Protection Legislation, the Buyer is the </w:t>
            </w:r>
            <w:proofErr w:type="gramStart"/>
            <w:r>
              <w:t>Controller</w:t>
            </w:r>
            <w:proofErr w:type="gramEnd"/>
            <w:r>
              <w:t xml:space="preserve"> and the Supplier is the Processor of the Personal Data recorded below:</w:t>
            </w:r>
          </w:p>
          <w:p w14:paraId="78978E05" w14:textId="77777777" w:rsidR="00D054FD" w:rsidRDefault="00D054FD" w:rsidP="00BF3582">
            <w:pPr>
              <w:pStyle w:val="Standard"/>
            </w:pPr>
          </w:p>
          <w:p w14:paraId="69305F3C" w14:textId="77777777" w:rsidR="00D054FD" w:rsidRDefault="00D054FD" w:rsidP="00BF3582">
            <w:pPr>
              <w:pStyle w:val="Standard"/>
            </w:pPr>
            <w:r>
              <w:t xml:space="preserve">Vehicle Registration Mark (VRM), Registered Keeper Name, Registered Keeper Address, Registered Keeper Date of Birth, Registered Keeper Disposal Date, </w:t>
            </w:r>
          </w:p>
          <w:p w14:paraId="7FC25FBA" w14:textId="77777777" w:rsidR="00D054FD" w:rsidRDefault="00D054FD" w:rsidP="00BF3582">
            <w:pPr>
              <w:pStyle w:val="Standard"/>
            </w:pPr>
            <w:r>
              <w:t>Registered Keeper ‘Date From’ Date, Vehicle Mileage</w:t>
            </w:r>
          </w:p>
          <w:p w14:paraId="5EDF6817" w14:textId="77777777" w:rsidR="00D054FD" w:rsidRDefault="00D054FD" w:rsidP="00BF3582">
            <w:pPr>
              <w:pStyle w:val="Standard"/>
            </w:pPr>
          </w:p>
          <w:p w14:paraId="3BA92E92" w14:textId="77777777" w:rsidR="00D054FD" w:rsidRDefault="00D054FD" w:rsidP="00BF3582">
            <w:pPr>
              <w:pStyle w:val="Standard"/>
              <w:rPr>
                <w:highlight w:val="yellow"/>
              </w:rPr>
            </w:pPr>
          </w:p>
          <w:p w14:paraId="646C6650" w14:textId="77777777" w:rsidR="00D054FD" w:rsidRPr="00517183" w:rsidRDefault="00D054FD" w:rsidP="00BF3582">
            <w:pPr>
              <w:rPr>
                <w:b/>
                <w:sz w:val="24"/>
                <w:szCs w:val="24"/>
              </w:rPr>
            </w:pPr>
            <w:r w:rsidRPr="00517183">
              <w:rPr>
                <w:b/>
                <w:sz w:val="24"/>
                <w:szCs w:val="24"/>
              </w:rPr>
              <w:t>The Parties are Independent Controllers of Personal Data</w:t>
            </w:r>
          </w:p>
          <w:p w14:paraId="2D9DEBA6" w14:textId="77777777" w:rsidR="00D054FD" w:rsidRPr="00517183" w:rsidRDefault="00D054FD" w:rsidP="00BF3582">
            <w:pPr>
              <w:rPr>
                <w:sz w:val="24"/>
                <w:szCs w:val="24"/>
              </w:rPr>
            </w:pPr>
            <w:r w:rsidRPr="00517183">
              <w:rPr>
                <w:sz w:val="24"/>
                <w:szCs w:val="24"/>
              </w:rPr>
              <w:t>The Parties acknowledge that they are Independent Controllers for the purposes of the Data Protection Legislation in respect of:</w:t>
            </w:r>
          </w:p>
          <w:p w14:paraId="1E65F7F4" w14:textId="77777777" w:rsidR="00D054FD" w:rsidRPr="00270B46" w:rsidRDefault="00D054FD" w:rsidP="00D054FD">
            <w:pPr>
              <w:pStyle w:val="ListParagraph"/>
              <w:numPr>
                <w:ilvl w:val="0"/>
                <w:numId w:val="42"/>
              </w:numPr>
              <w:pBdr>
                <w:top w:val="nil"/>
                <w:left w:val="nil"/>
                <w:bottom w:val="nil"/>
                <w:right w:val="nil"/>
                <w:between w:val="nil"/>
              </w:pBdr>
              <w:spacing w:line="240" w:lineRule="auto"/>
              <w:jc w:val="both"/>
              <w:rPr>
                <w:iCs/>
                <w:color w:val="000000"/>
                <w:sz w:val="24"/>
                <w:szCs w:val="24"/>
              </w:rPr>
            </w:pPr>
            <w:r w:rsidRPr="00270B46">
              <w:rPr>
                <w:iCs/>
                <w:color w:val="000000"/>
                <w:sz w:val="24"/>
                <w:szCs w:val="24"/>
              </w:rPr>
              <w:t>Business contact details of Supplier Personnel for which the Supplier is the Controller,</w:t>
            </w:r>
          </w:p>
          <w:p w14:paraId="48E60B68" w14:textId="45CD27C9" w:rsidR="00D054FD" w:rsidRPr="00270B46" w:rsidRDefault="00D054FD" w:rsidP="47D7F6C3">
            <w:pPr>
              <w:pStyle w:val="ListParagraph"/>
              <w:numPr>
                <w:ilvl w:val="0"/>
                <w:numId w:val="42"/>
              </w:numPr>
              <w:pBdr>
                <w:top w:val="nil"/>
                <w:left w:val="nil"/>
                <w:bottom w:val="nil"/>
                <w:right w:val="nil"/>
                <w:between w:val="nil"/>
              </w:pBdr>
              <w:spacing w:line="240" w:lineRule="auto"/>
              <w:jc w:val="both"/>
              <w:rPr>
                <w:color w:val="000000"/>
                <w:sz w:val="24"/>
                <w:szCs w:val="24"/>
              </w:rPr>
            </w:pPr>
            <w:r w:rsidRPr="47D7F6C3">
              <w:rPr>
                <w:color w:val="000000" w:themeColor="text1"/>
                <w:sz w:val="24"/>
                <w:szCs w:val="24"/>
              </w:rPr>
              <w:t xml:space="preserve">Business contact details of any directors, officers, employees, agents, </w:t>
            </w:r>
            <w:proofErr w:type="gramStart"/>
            <w:r w:rsidRPr="47D7F6C3">
              <w:rPr>
                <w:color w:val="000000" w:themeColor="text1"/>
                <w:sz w:val="24"/>
                <w:szCs w:val="24"/>
              </w:rPr>
              <w:t>consultants</w:t>
            </w:r>
            <w:proofErr w:type="gramEnd"/>
            <w:r w:rsidRPr="47D7F6C3">
              <w:rPr>
                <w:color w:val="000000" w:themeColor="text1"/>
                <w:sz w:val="24"/>
                <w:szCs w:val="24"/>
              </w:rPr>
              <w:t xml:space="preserve"> and contractors of Buyer (excluding the Supplier Personnel) engaged in the performance of the Buyer’s duties under the Contract) for which the Buyer is the Controller,</w:t>
            </w:r>
          </w:p>
          <w:p w14:paraId="3C505E5D" w14:textId="77777777" w:rsidR="00D054FD" w:rsidRDefault="00D054FD" w:rsidP="00BF3582">
            <w:pPr>
              <w:pStyle w:val="Standard"/>
              <w:rPr>
                <w:highlight w:val="yellow"/>
              </w:rPr>
            </w:pPr>
          </w:p>
          <w:p w14:paraId="7240D77F" w14:textId="77777777" w:rsidR="00D054FD" w:rsidRDefault="00D054FD" w:rsidP="00BF3582">
            <w:pPr>
              <w:pStyle w:val="Standard"/>
              <w:rPr>
                <w:highlight w:val="yellow"/>
              </w:rPr>
            </w:pPr>
          </w:p>
          <w:p w14:paraId="3C980871" w14:textId="77777777" w:rsidR="00D054FD" w:rsidRDefault="00D054FD" w:rsidP="00BF3582">
            <w:pPr>
              <w:pStyle w:val="Standard"/>
            </w:pPr>
          </w:p>
        </w:tc>
      </w:tr>
      <w:tr w:rsidR="00D054FD" w14:paraId="41932442"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8A0870" w14:textId="77777777" w:rsidR="00D054FD" w:rsidRDefault="00D054FD" w:rsidP="00BF3582">
            <w:pPr>
              <w:pStyle w:val="Standard"/>
            </w:pPr>
            <w:r>
              <w:t>Duration of the Processing</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726B81" w14:textId="6A7C36F7" w:rsidR="00D054FD" w:rsidRDefault="00D054FD" w:rsidP="00BF3582">
            <w:pPr>
              <w:pStyle w:val="Standard"/>
            </w:pPr>
            <w:r>
              <w:t>The Supplier could have access throughout the duration of the Call-Off Contract including implementation and support</w:t>
            </w:r>
          </w:p>
        </w:tc>
      </w:tr>
      <w:tr w:rsidR="00D054FD" w14:paraId="157057E3"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E2BD23" w14:textId="77777777" w:rsidR="00D054FD" w:rsidRDefault="00D054FD" w:rsidP="00BF3582">
            <w:pPr>
              <w:pStyle w:val="Standard"/>
            </w:pPr>
            <w:r>
              <w:t>Nature and purposes of the Processing</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7EB44B" w14:textId="77777777" w:rsidR="00D054FD" w:rsidRDefault="00D054FD" w:rsidP="00BF3582">
            <w:pPr>
              <w:pStyle w:val="Standard"/>
            </w:pPr>
            <w:r>
              <w:t>The Processing of Personal Data including vehicle and vehicle keeper data is to deliver the Robotic Process Automation (RPA) to help automate repetitive tasks related to the following vehicle transactions:</w:t>
            </w:r>
          </w:p>
          <w:p w14:paraId="1CD76D27" w14:textId="77777777" w:rsidR="00D054FD" w:rsidRDefault="00D054FD" w:rsidP="00D054FD">
            <w:pPr>
              <w:pStyle w:val="Standard"/>
              <w:numPr>
                <w:ilvl w:val="0"/>
                <w:numId w:val="43"/>
              </w:numPr>
            </w:pPr>
            <w:r>
              <w:t>Change of Keeper (</w:t>
            </w:r>
            <w:proofErr w:type="spellStart"/>
            <w:r>
              <w:t>CoK</w:t>
            </w:r>
            <w:proofErr w:type="spellEnd"/>
            <w:r>
              <w:t>) – selling or transferring a vehicle to a new keeper (not a trader)</w:t>
            </w:r>
          </w:p>
          <w:p w14:paraId="0F8324B9" w14:textId="77777777" w:rsidR="00D054FD" w:rsidRDefault="00D054FD" w:rsidP="00D054FD">
            <w:pPr>
              <w:pStyle w:val="Standard"/>
              <w:numPr>
                <w:ilvl w:val="0"/>
                <w:numId w:val="43"/>
              </w:numPr>
            </w:pPr>
            <w:r>
              <w:t>Change of Address (CoA) – changing the address at which the vehicle will be registered</w:t>
            </w:r>
          </w:p>
          <w:p w14:paraId="35247F7C" w14:textId="77777777" w:rsidR="00D054FD" w:rsidRDefault="00D054FD" w:rsidP="00D054FD">
            <w:pPr>
              <w:pStyle w:val="Standard"/>
              <w:numPr>
                <w:ilvl w:val="0"/>
                <w:numId w:val="43"/>
              </w:numPr>
            </w:pPr>
            <w:r>
              <w:t>Disposal – selling, transferring, part exchanging a vehicle with a motor trader</w:t>
            </w:r>
          </w:p>
          <w:p w14:paraId="543B8D50" w14:textId="77777777" w:rsidR="00D054FD" w:rsidRDefault="00D054FD" w:rsidP="00BF3582">
            <w:pPr>
              <w:pStyle w:val="Standard"/>
            </w:pPr>
          </w:p>
          <w:p w14:paraId="0BA92B07" w14:textId="04850D05" w:rsidR="00D054FD" w:rsidRDefault="00D054FD" w:rsidP="00BF3582">
            <w:pPr>
              <w:pStyle w:val="Standard"/>
            </w:pPr>
            <w:r>
              <w:t>The Processing of Personal Data relating to business contact details of Supplier Personnel and of Relevant Authority Personnel is to facilitate the fulfilment of the Supplier’s obligations arising under this Framework Agreement including</w:t>
            </w:r>
            <w:ins w:id="23" w:author="Joanne Loveridge" w:date="2022-05-23T11:46:00Z">
              <w:r>
                <w:t>:</w:t>
              </w:r>
            </w:ins>
          </w:p>
          <w:p w14:paraId="73E473C5" w14:textId="77777777" w:rsidR="00D054FD" w:rsidRDefault="00D054FD" w:rsidP="00BF3582">
            <w:pPr>
              <w:pStyle w:val="Standard"/>
            </w:pPr>
          </w:p>
          <w:p w14:paraId="1E3A50AB" w14:textId="77777777" w:rsidR="00D054FD" w:rsidRDefault="00D054FD" w:rsidP="00BF3582">
            <w:pPr>
              <w:pStyle w:val="Standard"/>
            </w:pPr>
            <w:proofErr w:type="spellStart"/>
            <w:r>
              <w:t>i</w:t>
            </w:r>
            <w:proofErr w:type="spellEnd"/>
            <w:r>
              <w:t>. Ensuring effective communication between the Supplier and the Relevant Authority</w:t>
            </w:r>
          </w:p>
          <w:p w14:paraId="3E356C97" w14:textId="77777777" w:rsidR="00D054FD" w:rsidRDefault="00D054FD" w:rsidP="00BF3582">
            <w:pPr>
              <w:pStyle w:val="Standard"/>
            </w:pPr>
          </w:p>
          <w:p w14:paraId="42E4CFA6" w14:textId="0C1B63DB" w:rsidR="00D054FD" w:rsidRDefault="00D054FD" w:rsidP="00BF3582">
            <w:pPr>
              <w:pStyle w:val="Standard"/>
            </w:pPr>
            <w:r>
              <w:t>ii. Maintaining full and accurate records of every Call-Off Contract arising under the Framework Agreement in accordance with Clause 7.6 (What will happen during the Framework Agreement’s term)</w:t>
            </w:r>
          </w:p>
          <w:p w14:paraId="36A17F82" w14:textId="27A07448" w:rsidR="00D054FD" w:rsidRDefault="00D054FD" w:rsidP="00BF3582">
            <w:pPr>
              <w:pStyle w:val="Standard"/>
            </w:pPr>
          </w:p>
          <w:p w14:paraId="2293A6BD" w14:textId="7A29EA2A" w:rsidR="00D054FD" w:rsidRDefault="47D7F6C3" w:rsidP="00BF3582">
            <w:pPr>
              <w:pStyle w:val="Standard"/>
            </w:pPr>
            <w:r>
              <w:t xml:space="preserve">The nature of the Processing means any operation such as collecting, recording, organisation, structuring, storage, adaptation or alteration, retrieval, consultation, use, disclosure by transmission, dissemination or otherwise making available, alignment or combination, restriction, or analysis.  </w:t>
            </w:r>
          </w:p>
        </w:tc>
      </w:tr>
      <w:tr w:rsidR="00D054FD" w14:paraId="4E5BB03D"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E84DEC" w14:textId="77777777" w:rsidR="00D054FD" w:rsidRDefault="00D054FD" w:rsidP="00BF3582">
            <w:pPr>
              <w:pStyle w:val="Standard"/>
            </w:pPr>
            <w:r>
              <w:t>Type of Personal Data</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0221E4" w14:textId="77777777" w:rsidR="00D054FD" w:rsidRDefault="00D054FD" w:rsidP="00BF3582">
            <w:pPr>
              <w:pStyle w:val="Standard"/>
            </w:pPr>
          </w:p>
          <w:p w14:paraId="24DAE26D" w14:textId="77777777" w:rsidR="00D054FD" w:rsidRDefault="00D054FD" w:rsidP="00BF3582">
            <w:pPr>
              <w:pStyle w:val="Standard"/>
            </w:pPr>
          </w:p>
          <w:p w14:paraId="7C2D24B8" w14:textId="77777777" w:rsidR="00D054FD" w:rsidRDefault="00D054FD" w:rsidP="00BF3582">
            <w:pPr>
              <w:pStyle w:val="Standard"/>
            </w:pPr>
          </w:p>
          <w:p w14:paraId="6AE69EBA" w14:textId="77777777" w:rsidR="00D054FD" w:rsidRDefault="00D054FD" w:rsidP="00BF3582">
            <w:pPr>
              <w:pStyle w:val="Standard"/>
            </w:pPr>
          </w:p>
          <w:p w14:paraId="2C643763" w14:textId="77777777" w:rsidR="00D054FD" w:rsidRPr="00453365" w:rsidRDefault="00D054FD" w:rsidP="00BF3582">
            <w:pPr>
              <w:pStyle w:val="Standard"/>
              <w:rPr>
                <w:highlight w:val="cyan"/>
              </w:rPr>
            </w:pPr>
          </w:p>
          <w:p w14:paraId="1BADA782" w14:textId="77777777" w:rsidR="00D054FD" w:rsidRDefault="00D054FD" w:rsidP="00BF3582">
            <w:pPr>
              <w:pStyle w:val="Standard"/>
            </w:pPr>
            <w:r w:rsidRPr="00D054FD">
              <w:t xml:space="preserve">Personal data in VSS transactions required for processing </w:t>
            </w:r>
            <w:proofErr w:type="spellStart"/>
            <w:r w:rsidRPr="00D054FD">
              <w:t>CoK</w:t>
            </w:r>
            <w:proofErr w:type="spellEnd"/>
            <w:r w:rsidRPr="00D054FD">
              <w:t>, CoA and Disposals</w:t>
            </w:r>
            <w:r>
              <w:t xml:space="preserve"> includes:</w:t>
            </w:r>
          </w:p>
          <w:p w14:paraId="6FFFF832" w14:textId="77777777" w:rsidR="00D054FD" w:rsidRDefault="00D054FD" w:rsidP="00BF3582">
            <w:pPr>
              <w:pStyle w:val="Standard"/>
            </w:pPr>
          </w:p>
          <w:p w14:paraId="49E18B6D" w14:textId="77777777" w:rsidR="00D054FD" w:rsidRDefault="00D054FD" w:rsidP="00BF3582">
            <w:pPr>
              <w:pStyle w:val="Standard"/>
            </w:pPr>
          </w:p>
          <w:tbl>
            <w:tblPr>
              <w:tblStyle w:val="Style1"/>
              <w:tblpPr w:leftFromText="180" w:rightFromText="180" w:horzAnchor="margin" w:tblpY="463"/>
              <w:tblOverlap w:val="never"/>
              <w:tblW w:w="5000" w:type="pct"/>
              <w:tblLayout w:type="fixed"/>
              <w:tblLook w:val="04A0" w:firstRow="1" w:lastRow="0" w:firstColumn="1" w:lastColumn="0" w:noHBand="0" w:noVBand="1"/>
            </w:tblPr>
            <w:tblGrid>
              <w:gridCol w:w="2726"/>
              <w:gridCol w:w="2726"/>
            </w:tblGrid>
            <w:tr w:rsidR="00D054FD" w14:paraId="694947B8" w14:textId="77777777" w:rsidTr="00BF3582">
              <w:trPr>
                <w:trHeight w:val="682"/>
              </w:trPr>
              <w:tc>
                <w:tcPr>
                  <w:tcW w:w="2500" w:type="pct"/>
                  <w:tcBorders>
                    <w:top w:val="thinThickSmallGap" w:sz="24" w:space="0" w:color="70AD47" w:themeColor="accent6"/>
                    <w:bottom w:val="single" w:sz="12" w:space="0" w:color="70AD47" w:themeColor="accent6"/>
                  </w:tcBorders>
                </w:tcPr>
                <w:p w14:paraId="6CAEB8C6" w14:textId="77777777" w:rsidR="00D054FD" w:rsidRPr="00B47588" w:rsidRDefault="00D054FD" w:rsidP="00BF3582">
                  <w:pPr>
                    <w:pStyle w:val="Default"/>
                    <w:rPr>
                      <w:rFonts w:cstheme="minorHAnsi"/>
                      <w:b/>
                      <w:bCs/>
                      <w:color w:val="auto"/>
                      <w:sz w:val="20"/>
                      <w:szCs w:val="20"/>
                    </w:rPr>
                  </w:pPr>
                  <w:r>
                    <w:rPr>
                      <w:rFonts w:cstheme="minorHAnsi"/>
                      <w:b/>
                      <w:bCs/>
                      <w:color w:val="auto"/>
                      <w:sz w:val="20"/>
                      <w:szCs w:val="20"/>
                    </w:rPr>
                    <w:t>Change of keeper</w:t>
                  </w:r>
                </w:p>
              </w:tc>
              <w:tc>
                <w:tcPr>
                  <w:tcW w:w="2500" w:type="pct"/>
                  <w:tcBorders>
                    <w:top w:val="thinThickSmallGap" w:sz="24" w:space="0" w:color="70AD47" w:themeColor="accent6"/>
                    <w:bottom w:val="single" w:sz="12" w:space="0" w:color="70AD47" w:themeColor="accent6"/>
                  </w:tcBorders>
                </w:tcPr>
                <w:p w14:paraId="05F37E84" w14:textId="77777777" w:rsidR="00D054FD" w:rsidRDefault="00D054FD" w:rsidP="00BF3582">
                  <w:pPr>
                    <w:pStyle w:val="Default"/>
                    <w:rPr>
                      <w:rFonts w:cstheme="minorHAnsi"/>
                      <w:color w:val="auto"/>
                      <w:sz w:val="20"/>
                      <w:szCs w:val="20"/>
                    </w:rPr>
                  </w:pPr>
                </w:p>
              </w:tc>
            </w:tr>
            <w:tr w:rsidR="00D054FD" w:rsidRPr="003450E3" w14:paraId="4A6DC3C8" w14:textId="77777777" w:rsidTr="00BF3582">
              <w:trPr>
                <w:trHeight w:val="682"/>
              </w:trPr>
              <w:tc>
                <w:tcPr>
                  <w:tcW w:w="2500" w:type="pct"/>
                  <w:tcBorders>
                    <w:top w:val="thinThickSmallGap" w:sz="24" w:space="0" w:color="70AD47" w:themeColor="accent6"/>
                    <w:bottom w:val="single" w:sz="12" w:space="0" w:color="70AD47" w:themeColor="accent6"/>
                  </w:tcBorders>
                </w:tcPr>
                <w:p w14:paraId="3B515FC5" w14:textId="77777777" w:rsidR="00D054FD" w:rsidRPr="003450E3" w:rsidRDefault="00D054FD" w:rsidP="00BF3582">
                  <w:pPr>
                    <w:pStyle w:val="Default"/>
                    <w:rPr>
                      <w:rFonts w:cstheme="minorHAnsi"/>
                      <w:color w:val="auto"/>
                      <w:sz w:val="20"/>
                      <w:szCs w:val="20"/>
                    </w:rPr>
                  </w:pPr>
                  <w:r>
                    <w:rPr>
                      <w:rFonts w:cstheme="minorHAnsi"/>
                      <w:color w:val="auto"/>
                      <w:sz w:val="20"/>
                      <w:szCs w:val="20"/>
                    </w:rPr>
                    <w:t>ITT code (M)</w:t>
                  </w:r>
                </w:p>
              </w:tc>
              <w:tc>
                <w:tcPr>
                  <w:tcW w:w="2500" w:type="pct"/>
                  <w:tcBorders>
                    <w:top w:val="thinThickSmallGap" w:sz="24" w:space="0" w:color="70AD47" w:themeColor="accent6"/>
                    <w:bottom w:val="single" w:sz="12" w:space="0" w:color="70AD47" w:themeColor="accent6"/>
                  </w:tcBorders>
                </w:tcPr>
                <w:p w14:paraId="3BD3E10F" w14:textId="77777777" w:rsidR="00D054FD" w:rsidRPr="003450E3" w:rsidRDefault="00D054FD" w:rsidP="00BF3582">
                  <w:pPr>
                    <w:pStyle w:val="Default"/>
                    <w:rPr>
                      <w:rFonts w:cstheme="minorHAnsi"/>
                      <w:color w:val="auto"/>
                      <w:sz w:val="20"/>
                      <w:szCs w:val="20"/>
                    </w:rPr>
                  </w:pPr>
                  <w:r>
                    <w:rPr>
                      <w:rFonts w:cstheme="minorHAnsi"/>
                      <w:color w:val="auto"/>
                      <w:sz w:val="20"/>
                      <w:szCs w:val="20"/>
                    </w:rPr>
                    <w:t xml:space="preserve">To process the transaction. </w:t>
                  </w:r>
                </w:p>
              </w:tc>
            </w:tr>
            <w:tr w:rsidR="00D054FD" w14:paraId="0218D91E" w14:textId="77777777" w:rsidTr="00BF3582">
              <w:trPr>
                <w:trHeight w:val="667"/>
              </w:trPr>
              <w:tc>
                <w:tcPr>
                  <w:tcW w:w="2500" w:type="pct"/>
                  <w:tcBorders>
                    <w:top w:val="single" w:sz="12" w:space="0" w:color="70AD47" w:themeColor="accent6"/>
                    <w:bottom w:val="single" w:sz="12" w:space="0" w:color="70AD47" w:themeColor="accent6"/>
                  </w:tcBorders>
                  <w:vAlign w:val="center"/>
                </w:tcPr>
                <w:p w14:paraId="6FFCA67F" w14:textId="77777777" w:rsidR="00D054FD" w:rsidRDefault="00D054FD" w:rsidP="00BF3582">
                  <w:pPr>
                    <w:pStyle w:val="Default"/>
                    <w:rPr>
                      <w:rFonts w:cstheme="minorHAnsi"/>
                      <w:color w:val="auto"/>
                      <w:sz w:val="20"/>
                      <w:szCs w:val="20"/>
                    </w:rPr>
                  </w:pPr>
                  <w:r>
                    <w:rPr>
                      <w:rFonts w:cstheme="minorHAnsi"/>
                      <w:color w:val="auto"/>
                      <w:sz w:val="20"/>
                      <w:szCs w:val="20"/>
                    </w:rPr>
                    <w:t>VRM (M)</w:t>
                  </w:r>
                </w:p>
              </w:tc>
              <w:tc>
                <w:tcPr>
                  <w:tcW w:w="2500" w:type="pct"/>
                  <w:tcBorders>
                    <w:top w:val="single" w:sz="12" w:space="0" w:color="70AD47" w:themeColor="accent6"/>
                    <w:bottom w:val="single" w:sz="12" w:space="0" w:color="70AD47" w:themeColor="accent6"/>
                  </w:tcBorders>
                  <w:vAlign w:val="center"/>
                </w:tcPr>
                <w:p w14:paraId="4A8C43FB"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identify the correct VSS record to update and complete the transaction. </w:t>
                  </w:r>
                </w:p>
              </w:tc>
            </w:tr>
            <w:tr w:rsidR="00D054FD" w:rsidRPr="003450E3" w14:paraId="40AE66BB" w14:textId="77777777" w:rsidTr="00BF3582">
              <w:trPr>
                <w:trHeight w:val="667"/>
              </w:trPr>
              <w:tc>
                <w:tcPr>
                  <w:tcW w:w="2500" w:type="pct"/>
                  <w:tcBorders>
                    <w:top w:val="single" w:sz="12" w:space="0" w:color="70AD47" w:themeColor="accent6"/>
                    <w:bottom w:val="single" w:sz="12" w:space="0" w:color="70AD47" w:themeColor="accent6"/>
                  </w:tcBorders>
                  <w:vAlign w:val="center"/>
                </w:tcPr>
                <w:p w14:paraId="0E4DFAB7" w14:textId="77777777" w:rsidR="00D054FD" w:rsidRPr="003450E3" w:rsidRDefault="00D054FD" w:rsidP="00BF3582">
                  <w:pPr>
                    <w:pStyle w:val="Default"/>
                    <w:rPr>
                      <w:rFonts w:cstheme="minorHAnsi"/>
                      <w:color w:val="auto"/>
                      <w:sz w:val="20"/>
                      <w:szCs w:val="20"/>
                    </w:rPr>
                  </w:pPr>
                  <w:r>
                    <w:rPr>
                      <w:rFonts w:cstheme="minorHAnsi"/>
                      <w:color w:val="auto"/>
                      <w:sz w:val="20"/>
                      <w:szCs w:val="20"/>
                    </w:rPr>
                    <w:t>Keeper name (M)</w:t>
                  </w:r>
                </w:p>
              </w:tc>
              <w:tc>
                <w:tcPr>
                  <w:tcW w:w="2500" w:type="pct"/>
                  <w:tcBorders>
                    <w:top w:val="single" w:sz="12" w:space="0" w:color="70AD47" w:themeColor="accent6"/>
                    <w:bottom w:val="single" w:sz="12" w:space="0" w:color="70AD47" w:themeColor="accent6"/>
                  </w:tcBorders>
                  <w:vAlign w:val="center"/>
                </w:tcPr>
                <w:p w14:paraId="6097F567" w14:textId="77777777" w:rsidR="00D054FD" w:rsidRPr="003450E3"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w:t>
                  </w:r>
                </w:p>
              </w:tc>
            </w:tr>
            <w:tr w:rsidR="00D054FD" w:rsidRPr="003450E3" w14:paraId="75454C03" w14:textId="77777777" w:rsidTr="00BF3582">
              <w:trPr>
                <w:trHeight w:val="678"/>
              </w:trPr>
              <w:tc>
                <w:tcPr>
                  <w:tcW w:w="2500" w:type="pct"/>
                  <w:tcBorders>
                    <w:top w:val="single" w:sz="12" w:space="0" w:color="70AD47" w:themeColor="accent6"/>
                    <w:bottom w:val="single" w:sz="12" w:space="0" w:color="70AD47" w:themeColor="accent6"/>
                  </w:tcBorders>
                  <w:vAlign w:val="center"/>
                </w:tcPr>
                <w:p w14:paraId="7DA7E680" w14:textId="77777777" w:rsidR="00D054FD" w:rsidRPr="003450E3" w:rsidRDefault="00D054FD" w:rsidP="00BF3582">
                  <w:pPr>
                    <w:pStyle w:val="Default"/>
                    <w:rPr>
                      <w:rFonts w:cstheme="minorHAnsi"/>
                      <w:color w:val="auto"/>
                      <w:sz w:val="20"/>
                      <w:szCs w:val="20"/>
                    </w:rPr>
                  </w:pPr>
                  <w:r>
                    <w:rPr>
                      <w:rFonts w:cstheme="minorHAnsi"/>
                      <w:color w:val="auto"/>
                      <w:sz w:val="20"/>
                      <w:szCs w:val="20"/>
                    </w:rPr>
                    <w:t>Keeper address (M)</w:t>
                  </w:r>
                </w:p>
              </w:tc>
              <w:tc>
                <w:tcPr>
                  <w:tcW w:w="2500" w:type="pct"/>
                  <w:tcBorders>
                    <w:top w:val="single" w:sz="12" w:space="0" w:color="70AD47" w:themeColor="accent6"/>
                    <w:bottom w:val="single" w:sz="12" w:space="0" w:color="70AD47" w:themeColor="accent6"/>
                  </w:tcBorders>
                  <w:vAlign w:val="center"/>
                </w:tcPr>
                <w:p w14:paraId="2D42C326" w14:textId="77777777" w:rsidR="00D054FD" w:rsidRPr="003450E3"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w:t>
                  </w:r>
                </w:p>
              </w:tc>
            </w:tr>
            <w:tr w:rsidR="00D054FD" w:rsidRPr="003450E3" w14:paraId="7B9173A9" w14:textId="77777777" w:rsidTr="00BF3582">
              <w:trPr>
                <w:trHeight w:val="688"/>
              </w:trPr>
              <w:tc>
                <w:tcPr>
                  <w:tcW w:w="2500" w:type="pct"/>
                  <w:tcBorders>
                    <w:top w:val="single" w:sz="12" w:space="0" w:color="70AD47" w:themeColor="accent6"/>
                    <w:bottom w:val="single" w:sz="12" w:space="0" w:color="70AD47" w:themeColor="accent6"/>
                  </w:tcBorders>
                  <w:vAlign w:val="center"/>
                </w:tcPr>
                <w:p w14:paraId="7E820CAB" w14:textId="77777777" w:rsidR="00D054FD" w:rsidRPr="003450E3" w:rsidRDefault="00D054FD" w:rsidP="00BF3582">
                  <w:pPr>
                    <w:pStyle w:val="Default"/>
                    <w:rPr>
                      <w:rFonts w:cstheme="minorHAnsi"/>
                      <w:color w:val="auto"/>
                      <w:sz w:val="20"/>
                      <w:szCs w:val="20"/>
                    </w:rPr>
                  </w:pPr>
                  <w:r>
                    <w:rPr>
                      <w:rFonts w:cstheme="minorHAnsi"/>
                      <w:color w:val="auto"/>
                      <w:sz w:val="20"/>
                      <w:szCs w:val="20"/>
                    </w:rPr>
                    <w:t>Keeper DOB (O)</w:t>
                  </w:r>
                </w:p>
              </w:tc>
              <w:tc>
                <w:tcPr>
                  <w:tcW w:w="2500" w:type="pct"/>
                  <w:tcBorders>
                    <w:top w:val="single" w:sz="12" w:space="0" w:color="70AD47" w:themeColor="accent6"/>
                    <w:bottom w:val="single" w:sz="12" w:space="0" w:color="70AD47" w:themeColor="accent6"/>
                  </w:tcBorders>
                  <w:vAlign w:val="center"/>
                </w:tcPr>
                <w:p w14:paraId="5E2CE671" w14:textId="77777777" w:rsidR="00D054FD" w:rsidRPr="003450E3"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Only where supplied. It is not mandatory to provide a DOB on a V5C. </w:t>
                  </w:r>
                </w:p>
              </w:tc>
            </w:tr>
            <w:tr w:rsidR="00D054FD" w:rsidRPr="003450E3" w14:paraId="0C501BA9" w14:textId="77777777" w:rsidTr="00BF3582">
              <w:trPr>
                <w:trHeight w:val="670"/>
              </w:trPr>
              <w:tc>
                <w:tcPr>
                  <w:tcW w:w="2500" w:type="pct"/>
                  <w:tcBorders>
                    <w:top w:val="single" w:sz="12" w:space="0" w:color="70AD47" w:themeColor="accent6"/>
                    <w:bottom w:val="single" w:sz="12" w:space="0" w:color="70AD47" w:themeColor="accent6"/>
                  </w:tcBorders>
                  <w:vAlign w:val="center"/>
                </w:tcPr>
                <w:p w14:paraId="160F08D7" w14:textId="77777777" w:rsidR="00D054FD" w:rsidRPr="003450E3" w:rsidRDefault="00D054FD" w:rsidP="00BF3582">
                  <w:pPr>
                    <w:pStyle w:val="Default"/>
                    <w:rPr>
                      <w:rFonts w:cstheme="minorHAnsi"/>
                      <w:color w:val="auto"/>
                      <w:sz w:val="20"/>
                      <w:szCs w:val="20"/>
                    </w:rPr>
                  </w:pPr>
                  <w:r>
                    <w:rPr>
                      <w:rFonts w:cstheme="minorHAnsi"/>
                      <w:color w:val="auto"/>
                      <w:sz w:val="20"/>
                      <w:szCs w:val="20"/>
                    </w:rPr>
                    <w:t>Keeper disposal date (M)</w:t>
                  </w:r>
                </w:p>
              </w:tc>
              <w:tc>
                <w:tcPr>
                  <w:tcW w:w="2500" w:type="pct"/>
                  <w:tcBorders>
                    <w:top w:val="single" w:sz="12" w:space="0" w:color="70AD47" w:themeColor="accent6"/>
                    <w:bottom w:val="single" w:sz="12" w:space="0" w:color="70AD47" w:themeColor="accent6"/>
                  </w:tcBorders>
                  <w:vAlign w:val="center"/>
                </w:tcPr>
                <w:p w14:paraId="59D2F00D" w14:textId="77777777" w:rsidR="00D054FD" w:rsidRPr="003450E3"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w:t>
                  </w:r>
                </w:p>
              </w:tc>
            </w:tr>
            <w:tr w:rsidR="00D054FD" w:rsidRPr="003450E3" w14:paraId="5473AE8F" w14:textId="77777777" w:rsidTr="00BF3582">
              <w:trPr>
                <w:trHeight w:val="694"/>
              </w:trPr>
              <w:tc>
                <w:tcPr>
                  <w:tcW w:w="2500" w:type="pct"/>
                  <w:tcBorders>
                    <w:top w:val="single" w:sz="12" w:space="0" w:color="70AD47" w:themeColor="accent6"/>
                    <w:bottom w:val="single" w:sz="12" w:space="0" w:color="70AD47" w:themeColor="accent6"/>
                  </w:tcBorders>
                  <w:vAlign w:val="center"/>
                </w:tcPr>
                <w:p w14:paraId="7841DC50" w14:textId="77777777" w:rsidR="00D054FD" w:rsidRPr="003450E3" w:rsidRDefault="00D054FD" w:rsidP="00BF3582">
                  <w:pPr>
                    <w:pStyle w:val="Default"/>
                    <w:rPr>
                      <w:rFonts w:cstheme="minorHAnsi"/>
                      <w:color w:val="auto"/>
                      <w:sz w:val="20"/>
                      <w:szCs w:val="20"/>
                    </w:rPr>
                  </w:pPr>
                  <w:r>
                    <w:rPr>
                      <w:rFonts w:cstheme="minorHAnsi"/>
                      <w:color w:val="auto"/>
                      <w:sz w:val="20"/>
                      <w:szCs w:val="20"/>
                    </w:rPr>
                    <w:t>Keeper ‘date from’ date (M)</w:t>
                  </w:r>
                </w:p>
              </w:tc>
              <w:tc>
                <w:tcPr>
                  <w:tcW w:w="2500" w:type="pct"/>
                  <w:tcBorders>
                    <w:top w:val="single" w:sz="12" w:space="0" w:color="70AD47" w:themeColor="accent6"/>
                    <w:bottom w:val="single" w:sz="12" w:space="0" w:color="70AD47" w:themeColor="accent6"/>
                  </w:tcBorders>
                  <w:vAlign w:val="center"/>
                </w:tcPr>
                <w:p w14:paraId="11ADD291" w14:textId="77777777" w:rsidR="00D054FD" w:rsidRPr="003450E3"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w:t>
                  </w:r>
                </w:p>
              </w:tc>
            </w:tr>
            <w:tr w:rsidR="00D054FD" w14:paraId="5A4B327B" w14:textId="77777777" w:rsidTr="00BF3582">
              <w:trPr>
                <w:trHeight w:val="694"/>
              </w:trPr>
              <w:tc>
                <w:tcPr>
                  <w:tcW w:w="2500" w:type="pct"/>
                  <w:tcBorders>
                    <w:top w:val="single" w:sz="12" w:space="0" w:color="70AD47" w:themeColor="accent6"/>
                    <w:bottom w:val="single" w:sz="12" w:space="0" w:color="70AD47" w:themeColor="accent6"/>
                  </w:tcBorders>
                  <w:vAlign w:val="center"/>
                </w:tcPr>
                <w:p w14:paraId="74FC9264" w14:textId="77777777" w:rsidR="00D054FD" w:rsidRDefault="00D054FD" w:rsidP="00BF3582">
                  <w:pPr>
                    <w:pStyle w:val="Default"/>
                    <w:rPr>
                      <w:rFonts w:cstheme="minorHAnsi"/>
                      <w:color w:val="auto"/>
                      <w:sz w:val="20"/>
                      <w:szCs w:val="20"/>
                    </w:rPr>
                  </w:pPr>
                  <w:r>
                    <w:rPr>
                      <w:rFonts w:cstheme="minorHAnsi"/>
                      <w:color w:val="auto"/>
                      <w:sz w:val="20"/>
                      <w:szCs w:val="20"/>
                    </w:rPr>
                    <w:t>Mileage (O)</w:t>
                  </w:r>
                </w:p>
              </w:tc>
              <w:tc>
                <w:tcPr>
                  <w:tcW w:w="2500" w:type="pct"/>
                  <w:tcBorders>
                    <w:top w:val="single" w:sz="12" w:space="0" w:color="70AD47" w:themeColor="accent6"/>
                    <w:bottom w:val="single" w:sz="12" w:space="0" w:color="70AD47" w:themeColor="accent6"/>
                  </w:tcBorders>
                  <w:vAlign w:val="center"/>
                </w:tcPr>
                <w:p w14:paraId="1888FC7E"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update record on change of keeper or change of address if supplied. It is not essential to the transaction but is keyed if available. This is not a mandatory field on the V5C. </w:t>
                  </w:r>
                </w:p>
              </w:tc>
            </w:tr>
          </w:tbl>
          <w:p w14:paraId="11DC882E" w14:textId="77777777" w:rsidR="00D054FD" w:rsidRDefault="00D054FD" w:rsidP="00BF3582">
            <w:pPr>
              <w:pStyle w:val="Standard"/>
            </w:pPr>
          </w:p>
          <w:p w14:paraId="54610AFA" w14:textId="77777777" w:rsidR="00D054FD" w:rsidRDefault="00D054FD" w:rsidP="00BF3582">
            <w:pPr>
              <w:pStyle w:val="Standard"/>
            </w:pPr>
          </w:p>
          <w:tbl>
            <w:tblPr>
              <w:tblStyle w:val="Style1"/>
              <w:tblpPr w:leftFromText="180" w:rightFromText="180" w:horzAnchor="margin" w:tblpY="463"/>
              <w:tblOverlap w:val="never"/>
              <w:tblW w:w="5000" w:type="pct"/>
              <w:tblLayout w:type="fixed"/>
              <w:tblLook w:val="04A0" w:firstRow="1" w:lastRow="0" w:firstColumn="1" w:lastColumn="0" w:noHBand="0" w:noVBand="1"/>
            </w:tblPr>
            <w:tblGrid>
              <w:gridCol w:w="2726"/>
              <w:gridCol w:w="2726"/>
            </w:tblGrid>
            <w:tr w:rsidR="00D054FD" w14:paraId="06B4D9BD"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29EEF07D" w14:textId="77777777" w:rsidR="00D054FD" w:rsidRPr="00B47588" w:rsidRDefault="00D054FD" w:rsidP="00BF3582">
                  <w:pPr>
                    <w:pStyle w:val="Default"/>
                    <w:rPr>
                      <w:rFonts w:cstheme="minorHAnsi"/>
                      <w:b/>
                      <w:bCs/>
                      <w:color w:val="auto"/>
                      <w:sz w:val="20"/>
                      <w:szCs w:val="20"/>
                    </w:rPr>
                  </w:pPr>
                  <w:r>
                    <w:rPr>
                      <w:rFonts w:cstheme="minorHAnsi"/>
                      <w:b/>
                      <w:bCs/>
                      <w:color w:val="auto"/>
                      <w:sz w:val="20"/>
                      <w:szCs w:val="20"/>
                    </w:rPr>
                    <w:t>Change of address</w:t>
                  </w:r>
                </w:p>
              </w:tc>
              <w:tc>
                <w:tcPr>
                  <w:tcW w:w="2500" w:type="pct"/>
                  <w:tcBorders>
                    <w:top w:val="single" w:sz="12" w:space="0" w:color="70AD47" w:themeColor="accent6"/>
                    <w:bottom w:val="single" w:sz="12" w:space="0" w:color="70AD47" w:themeColor="accent6"/>
                  </w:tcBorders>
                  <w:vAlign w:val="center"/>
                </w:tcPr>
                <w:p w14:paraId="4E8CB2D1" w14:textId="77777777" w:rsidR="00D054FD" w:rsidRDefault="00D054FD" w:rsidP="00BF3582">
                  <w:pPr>
                    <w:pStyle w:val="Default"/>
                    <w:rPr>
                      <w:rFonts w:cstheme="minorHAnsi"/>
                      <w:color w:val="auto"/>
                      <w:sz w:val="20"/>
                      <w:szCs w:val="20"/>
                    </w:rPr>
                  </w:pPr>
                </w:p>
              </w:tc>
            </w:tr>
            <w:tr w:rsidR="00D054FD" w14:paraId="4E0F232D" w14:textId="77777777" w:rsidTr="47D7F6C3">
              <w:trPr>
                <w:trHeight w:val="694"/>
              </w:trPr>
              <w:tc>
                <w:tcPr>
                  <w:tcW w:w="2500" w:type="pct"/>
                  <w:tcBorders>
                    <w:top w:val="single" w:sz="12" w:space="0" w:color="70AD47" w:themeColor="accent6"/>
                    <w:bottom w:val="single" w:sz="12" w:space="0" w:color="70AD47" w:themeColor="accent6"/>
                  </w:tcBorders>
                </w:tcPr>
                <w:p w14:paraId="6311EB05" w14:textId="77777777" w:rsidR="00D054FD" w:rsidRDefault="00D054FD" w:rsidP="00BF3582">
                  <w:pPr>
                    <w:pStyle w:val="Default"/>
                    <w:rPr>
                      <w:rFonts w:cstheme="minorHAnsi"/>
                      <w:color w:val="auto"/>
                      <w:sz w:val="20"/>
                      <w:szCs w:val="20"/>
                    </w:rPr>
                  </w:pPr>
                  <w:r>
                    <w:rPr>
                      <w:rFonts w:cstheme="minorHAnsi"/>
                      <w:color w:val="auto"/>
                      <w:sz w:val="20"/>
                      <w:szCs w:val="20"/>
                    </w:rPr>
                    <w:t>ITT code (M)</w:t>
                  </w:r>
                </w:p>
              </w:tc>
              <w:tc>
                <w:tcPr>
                  <w:tcW w:w="2500" w:type="pct"/>
                  <w:tcBorders>
                    <w:top w:val="single" w:sz="12" w:space="0" w:color="70AD47" w:themeColor="accent6"/>
                    <w:bottom w:val="single" w:sz="12" w:space="0" w:color="70AD47" w:themeColor="accent6"/>
                  </w:tcBorders>
                </w:tcPr>
                <w:p w14:paraId="417203F8"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process the transaction. </w:t>
                  </w:r>
                </w:p>
              </w:tc>
            </w:tr>
            <w:tr w:rsidR="00D054FD" w14:paraId="7B4AF092"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35C54645" w14:textId="77777777" w:rsidR="00D054FD" w:rsidRDefault="00D054FD" w:rsidP="00BF3582">
                  <w:pPr>
                    <w:pStyle w:val="Default"/>
                    <w:rPr>
                      <w:rFonts w:cstheme="minorHAnsi"/>
                      <w:color w:val="auto"/>
                      <w:sz w:val="20"/>
                      <w:szCs w:val="20"/>
                    </w:rPr>
                  </w:pPr>
                  <w:r>
                    <w:rPr>
                      <w:rFonts w:cstheme="minorHAnsi"/>
                      <w:color w:val="auto"/>
                      <w:sz w:val="20"/>
                      <w:szCs w:val="20"/>
                    </w:rPr>
                    <w:t>VRM (M)</w:t>
                  </w:r>
                </w:p>
              </w:tc>
              <w:tc>
                <w:tcPr>
                  <w:tcW w:w="2500" w:type="pct"/>
                  <w:tcBorders>
                    <w:top w:val="single" w:sz="12" w:space="0" w:color="70AD47" w:themeColor="accent6"/>
                    <w:bottom w:val="single" w:sz="12" w:space="0" w:color="70AD47" w:themeColor="accent6"/>
                  </w:tcBorders>
                  <w:vAlign w:val="center"/>
                </w:tcPr>
                <w:p w14:paraId="6C25A57F"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identify the correct VSS record to update and complete the transaction. </w:t>
                  </w:r>
                </w:p>
              </w:tc>
            </w:tr>
            <w:tr w:rsidR="00D054FD" w14:paraId="42D41E3A"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04FBFF90" w14:textId="77777777" w:rsidR="00D054FD" w:rsidRDefault="00D054FD" w:rsidP="00BF3582">
                  <w:pPr>
                    <w:pStyle w:val="Default"/>
                    <w:rPr>
                      <w:rFonts w:cstheme="minorHAnsi"/>
                      <w:color w:val="auto"/>
                      <w:sz w:val="20"/>
                      <w:szCs w:val="20"/>
                    </w:rPr>
                  </w:pPr>
                  <w:r>
                    <w:rPr>
                      <w:rFonts w:cstheme="minorHAnsi"/>
                      <w:color w:val="auto"/>
                      <w:sz w:val="20"/>
                      <w:szCs w:val="20"/>
                    </w:rPr>
                    <w:t>Keeper address (M)</w:t>
                  </w:r>
                </w:p>
              </w:tc>
              <w:tc>
                <w:tcPr>
                  <w:tcW w:w="2500" w:type="pct"/>
                  <w:tcBorders>
                    <w:top w:val="single" w:sz="12" w:space="0" w:color="70AD47" w:themeColor="accent6"/>
                    <w:bottom w:val="single" w:sz="12" w:space="0" w:color="70AD47" w:themeColor="accent6"/>
                  </w:tcBorders>
                  <w:vAlign w:val="center"/>
                </w:tcPr>
                <w:p w14:paraId="5287E7CA"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w:t>
                  </w:r>
                </w:p>
              </w:tc>
            </w:tr>
            <w:tr w:rsidR="00D054FD" w14:paraId="55E09CDA"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5E987BD9" w14:textId="77777777" w:rsidR="00D054FD" w:rsidRDefault="00D054FD" w:rsidP="00BF3582">
                  <w:pPr>
                    <w:pStyle w:val="Default"/>
                    <w:rPr>
                      <w:rFonts w:cstheme="minorHAnsi"/>
                      <w:color w:val="auto"/>
                      <w:sz w:val="20"/>
                      <w:szCs w:val="20"/>
                    </w:rPr>
                  </w:pPr>
                  <w:r>
                    <w:rPr>
                      <w:rFonts w:cstheme="minorHAnsi"/>
                      <w:color w:val="auto"/>
                      <w:sz w:val="20"/>
                      <w:szCs w:val="20"/>
                    </w:rPr>
                    <w:t>Keeper DOB (O)</w:t>
                  </w:r>
                </w:p>
              </w:tc>
              <w:tc>
                <w:tcPr>
                  <w:tcW w:w="2500" w:type="pct"/>
                  <w:tcBorders>
                    <w:top w:val="single" w:sz="12" w:space="0" w:color="70AD47" w:themeColor="accent6"/>
                    <w:bottom w:val="single" w:sz="12" w:space="0" w:color="70AD47" w:themeColor="accent6"/>
                  </w:tcBorders>
                  <w:vAlign w:val="center"/>
                </w:tcPr>
                <w:p w14:paraId="1AD41970"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Only where supplied. It is not mandatory to provide a DOB on a V5C. </w:t>
                  </w:r>
                </w:p>
              </w:tc>
            </w:tr>
            <w:tr w:rsidR="00D054FD" w14:paraId="1517C10E"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24EE35C2" w14:textId="77777777" w:rsidR="00D054FD" w:rsidRDefault="00D054FD" w:rsidP="00BF3582">
                  <w:pPr>
                    <w:pStyle w:val="Default"/>
                    <w:rPr>
                      <w:rFonts w:cstheme="minorHAnsi"/>
                      <w:color w:val="auto"/>
                      <w:sz w:val="20"/>
                      <w:szCs w:val="20"/>
                    </w:rPr>
                  </w:pPr>
                  <w:r>
                    <w:rPr>
                      <w:rFonts w:cstheme="minorHAnsi"/>
                      <w:color w:val="auto"/>
                      <w:sz w:val="20"/>
                      <w:szCs w:val="20"/>
                    </w:rPr>
                    <w:t>Mileage (O)</w:t>
                  </w:r>
                </w:p>
              </w:tc>
              <w:tc>
                <w:tcPr>
                  <w:tcW w:w="2500" w:type="pct"/>
                  <w:tcBorders>
                    <w:top w:val="single" w:sz="12" w:space="0" w:color="70AD47" w:themeColor="accent6"/>
                    <w:bottom w:val="single" w:sz="12" w:space="0" w:color="70AD47" w:themeColor="accent6"/>
                  </w:tcBorders>
                  <w:vAlign w:val="center"/>
                </w:tcPr>
                <w:p w14:paraId="61910FCB"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update record with correct detail. It is not essential to the transaction but is keyed if available. This is not a mandatory field on the V5C. </w:t>
                  </w:r>
                </w:p>
              </w:tc>
            </w:tr>
            <w:tr w:rsidR="00D054FD" w14:paraId="682A6D71"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4B55F58D" w14:textId="77777777" w:rsidR="00D054FD" w:rsidRPr="00B47588" w:rsidRDefault="00D054FD" w:rsidP="47D7F6C3">
                  <w:pPr>
                    <w:pStyle w:val="Default"/>
                    <w:rPr>
                      <w:b/>
                      <w:bCs/>
                      <w:color w:val="auto"/>
                      <w:sz w:val="20"/>
                      <w:szCs w:val="20"/>
                    </w:rPr>
                  </w:pPr>
                  <w:r w:rsidRPr="47D7F6C3">
                    <w:rPr>
                      <w:b/>
                      <w:bCs/>
                      <w:color w:val="auto"/>
                      <w:sz w:val="20"/>
                      <w:szCs w:val="20"/>
                    </w:rPr>
                    <w:t>Disposals</w:t>
                  </w:r>
                </w:p>
              </w:tc>
              <w:tc>
                <w:tcPr>
                  <w:tcW w:w="2500" w:type="pct"/>
                  <w:tcBorders>
                    <w:top w:val="single" w:sz="12" w:space="0" w:color="70AD47" w:themeColor="accent6"/>
                    <w:bottom w:val="single" w:sz="12" w:space="0" w:color="70AD47" w:themeColor="accent6"/>
                  </w:tcBorders>
                  <w:vAlign w:val="center"/>
                </w:tcPr>
                <w:p w14:paraId="3BB9F64B" w14:textId="77777777" w:rsidR="00D054FD" w:rsidRDefault="00D054FD" w:rsidP="47D7F6C3">
                  <w:pPr>
                    <w:pStyle w:val="Default"/>
                    <w:rPr>
                      <w:color w:val="auto"/>
                      <w:sz w:val="20"/>
                      <w:szCs w:val="20"/>
                    </w:rPr>
                  </w:pPr>
                </w:p>
              </w:tc>
            </w:tr>
            <w:tr w:rsidR="00D054FD" w14:paraId="4334C059" w14:textId="77777777" w:rsidTr="47D7F6C3">
              <w:trPr>
                <w:trHeight w:val="694"/>
              </w:trPr>
              <w:tc>
                <w:tcPr>
                  <w:tcW w:w="2500" w:type="pct"/>
                  <w:tcBorders>
                    <w:top w:val="single" w:sz="12" w:space="0" w:color="70AD47" w:themeColor="accent6"/>
                    <w:bottom w:val="single" w:sz="12" w:space="0" w:color="70AD47" w:themeColor="accent6"/>
                  </w:tcBorders>
                </w:tcPr>
                <w:p w14:paraId="3EB56BDB" w14:textId="77777777" w:rsidR="00D054FD" w:rsidRDefault="00D054FD" w:rsidP="00BF3582">
                  <w:pPr>
                    <w:pStyle w:val="Default"/>
                    <w:rPr>
                      <w:rFonts w:cstheme="minorHAnsi"/>
                      <w:color w:val="auto"/>
                      <w:sz w:val="20"/>
                      <w:szCs w:val="20"/>
                    </w:rPr>
                  </w:pPr>
                  <w:r>
                    <w:rPr>
                      <w:rFonts w:cstheme="minorHAnsi"/>
                      <w:color w:val="auto"/>
                      <w:sz w:val="20"/>
                      <w:szCs w:val="20"/>
                    </w:rPr>
                    <w:t>ITT code (M)</w:t>
                  </w:r>
                </w:p>
              </w:tc>
              <w:tc>
                <w:tcPr>
                  <w:tcW w:w="2500" w:type="pct"/>
                  <w:tcBorders>
                    <w:top w:val="single" w:sz="12" w:space="0" w:color="70AD47" w:themeColor="accent6"/>
                    <w:bottom w:val="single" w:sz="12" w:space="0" w:color="70AD47" w:themeColor="accent6"/>
                  </w:tcBorders>
                </w:tcPr>
                <w:p w14:paraId="50F7884D"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process the transaction. </w:t>
                  </w:r>
                </w:p>
              </w:tc>
            </w:tr>
            <w:tr w:rsidR="00D054FD" w14:paraId="2943C7A4"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59C3F005" w14:textId="77777777" w:rsidR="00D054FD" w:rsidRDefault="00D054FD" w:rsidP="00BF3582">
                  <w:pPr>
                    <w:pStyle w:val="Default"/>
                    <w:rPr>
                      <w:rFonts w:cstheme="minorHAnsi"/>
                      <w:color w:val="auto"/>
                      <w:sz w:val="20"/>
                      <w:szCs w:val="20"/>
                    </w:rPr>
                  </w:pPr>
                  <w:r>
                    <w:rPr>
                      <w:rFonts w:cstheme="minorHAnsi"/>
                      <w:color w:val="auto"/>
                      <w:sz w:val="20"/>
                      <w:szCs w:val="20"/>
                    </w:rPr>
                    <w:t>VRM (M)</w:t>
                  </w:r>
                </w:p>
              </w:tc>
              <w:tc>
                <w:tcPr>
                  <w:tcW w:w="2500" w:type="pct"/>
                  <w:tcBorders>
                    <w:top w:val="single" w:sz="12" w:space="0" w:color="70AD47" w:themeColor="accent6"/>
                    <w:bottom w:val="single" w:sz="12" w:space="0" w:color="70AD47" w:themeColor="accent6"/>
                  </w:tcBorders>
                  <w:vAlign w:val="center"/>
                </w:tcPr>
                <w:p w14:paraId="4CDBD9EA" w14:textId="77777777" w:rsidR="00D054FD" w:rsidRDefault="00D054FD" w:rsidP="00BF3582">
                  <w:pPr>
                    <w:pStyle w:val="Default"/>
                    <w:rPr>
                      <w:rFonts w:cstheme="minorHAnsi"/>
                      <w:color w:val="auto"/>
                      <w:sz w:val="20"/>
                      <w:szCs w:val="20"/>
                    </w:rPr>
                  </w:pPr>
                  <w:r>
                    <w:rPr>
                      <w:rFonts w:cstheme="minorHAnsi"/>
                      <w:color w:val="auto"/>
                      <w:sz w:val="20"/>
                      <w:szCs w:val="20"/>
                    </w:rPr>
                    <w:t xml:space="preserve">To identify the correct VSS record to update and complete the transaction. </w:t>
                  </w:r>
                </w:p>
              </w:tc>
            </w:tr>
            <w:tr w:rsidR="00EE25CA" w14:paraId="15154616" w14:textId="77777777" w:rsidTr="47D7F6C3">
              <w:trPr>
                <w:trHeight w:val="694"/>
              </w:trPr>
              <w:tc>
                <w:tcPr>
                  <w:tcW w:w="2500" w:type="pct"/>
                  <w:tcBorders>
                    <w:top w:val="single" w:sz="12" w:space="0" w:color="70AD47" w:themeColor="accent6"/>
                    <w:bottom w:val="single" w:sz="12" w:space="0" w:color="70AD47" w:themeColor="accent6"/>
                  </w:tcBorders>
                  <w:vAlign w:val="center"/>
                </w:tcPr>
                <w:p w14:paraId="7DFD6448" w14:textId="28F453A3" w:rsidR="00EE25CA" w:rsidRDefault="00EE25CA" w:rsidP="00EE25CA">
                  <w:pPr>
                    <w:pStyle w:val="Default"/>
                    <w:rPr>
                      <w:rFonts w:cstheme="minorHAnsi"/>
                      <w:color w:val="auto"/>
                      <w:sz w:val="20"/>
                      <w:szCs w:val="20"/>
                    </w:rPr>
                  </w:pPr>
                  <w:r w:rsidRPr="00006E66">
                    <w:rPr>
                      <w:rFonts w:cstheme="minorHAnsi"/>
                      <w:sz w:val="20"/>
                      <w:szCs w:val="20"/>
                    </w:rPr>
                    <w:t>Keeper disposal date (M)</w:t>
                  </w:r>
                </w:p>
              </w:tc>
              <w:tc>
                <w:tcPr>
                  <w:tcW w:w="2500" w:type="pct"/>
                  <w:tcBorders>
                    <w:top w:val="single" w:sz="12" w:space="0" w:color="70AD47" w:themeColor="accent6"/>
                    <w:bottom w:val="single" w:sz="12" w:space="0" w:color="70AD47" w:themeColor="accent6"/>
                  </w:tcBorders>
                  <w:vAlign w:val="center"/>
                </w:tcPr>
                <w:p w14:paraId="7CFD1B82" w14:textId="403966F0" w:rsidR="00EE25CA" w:rsidRDefault="00EE25CA" w:rsidP="00EE25CA">
                  <w:pPr>
                    <w:pStyle w:val="Default"/>
                    <w:rPr>
                      <w:rFonts w:cstheme="minorHAnsi"/>
                      <w:color w:val="auto"/>
                      <w:sz w:val="20"/>
                      <w:szCs w:val="20"/>
                    </w:rPr>
                  </w:pPr>
                  <w:r w:rsidRPr="00006E66">
                    <w:rPr>
                      <w:rFonts w:cstheme="minorHAnsi"/>
                      <w:sz w:val="20"/>
                      <w:szCs w:val="20"/>
                    </w:rPr>
                    <w:t xml:space="preserve">To update record with correct detail.  </w:t>
                  </w:r>
                </w:p>
              </w:tc>
            </w:tr>
          </w:tbl>
          <w:p w14:paraId="284EAC0E" w14:textId="77777777" w:rsidR="00D054FD" w:rsidRDefault="00D054FD" w:rsidP="00BF3582">
            <w:pPr>
              <w:pStyle w:val="Standard"/>
            </w:pPr>
          </w:p>
          <w:p w14:paraId="6D2B67E1" w14:textId="77777777" w:rsidR="00D054FD" w:rsidRDefault="00D054FD" w:rsidP="00BF3582">
            <w:pPr>
              <w:pStyle w:val="Standard"/>
            </w:pPr>
          </w:p>
          <w:p w14:paraId="353D17ED" w14:textId="77777777" w:rsidR="00D054FD" w:rsidRDefault="00D054FD" w:rsidP="00BF3582">
            <w:pPr>
              <w:pStyle w:val="Standard"/>
            </w:pPr>
          </w:p>
          <w:p w14:paraId="2098BE0F" w14:textId="77777777" w:rsidR="00D054FD" w:rsidRDefault="00D054FD" w:rsidP="00BF3582">
            <w:pPr>
              <w:pStyle w:val="Standard"/>
            </w:pPr>
          </w:p>
          <w:p w14:paraId="1EC018EC" w14:textId="77777777" w:rsidR="00D054FD" w:rsidRDefault="00D054FD" w:rsidP="00BF3582">
            <w:pPr>
              <w:pStyle w:val="Standard"/>
            </w:pPr>
          </w:p>
          <w:p w14:paraId="4A88D68C" w14:textId="77777777" w:rsidR="00D054FD" w:rsidRDefault="00D054FD" w:rsidP="00BF3582">
            <w:pPr>
              <w:pStyle w:val="Standard"/>
            </w:pPr>
          </w:p>
          <w:p w14:paraId="7E9B9744" w14:textId="77777777" w:rsidR="00D054FD" w:rsidRDefault="00D054FD" w:rsidP="00BF3582">
            <w:pPr>
              <w:pStyle w:val="Standard"/>
            </w:pPr>
          </w:p>
          <w:p w14:paraId="320706D0" w14:textId="77777777" w:rsidR="00D054FD" w:rsidRDefault="00D054FD" w:rsidP="00BF3582">
            <w:pPr>
              <w:pStyle w:val="Standard"/>
            </w:pPr>
          </w:p>
          <w:p w14:paraId="529D1DD2" w14:textId="77777777" w:rsidR="00D054FD" w:rsidRDefault="00D054FD" w:rsidP="00BF3582">
            <w:pPr>
              <w:pStyle w:val="Standard"/>
            </w:pPr>
            <w:r>
              <w:t xml:space="preserve"> </w:t>
            </w:r>
          </w:p>
          <w:p w14:paraId="708DED55" w14:textId="77777777" w:rsidR="00D054FD" w:rsidRDefault="00D054FD" w:rsidP="00BF3582">
            <w:pPr>
              <w:pStyle w:val="Standard"/>
            </w:pPr>
          </w:p>
          <w:p w14:paraId="0FD6D33D" w14:textId="77777777" w:rsidR="00D054FD" w:rsidRPr="00BF3582" w:rsidRDefault="00D054FD" w:rsidP="00BF3582">
            <w:pPr>
              <w:pStyle w:val="Standard"/>
              <w:rPr>
                <w:sz w:val="18"/>
                <w:szCs w:val="18"/>
              </w:rPr>
            </w:pPr>
            <w:r w:rsidRPr="00BF3582">
              <w:rPr>
                <w:sz w:val="18"/>
                <w:szCs w:val="18"/>
              </w:rPr>
              <w:t>Key: (M) Mandatory (O) Optional</w:t>
            </w:r>
          </w:p>
          <w:p w14:paraId="3F727A4A" w14:textId="77777777" w:rsidR="00D054FD" w:rsidRDefault="00D054FD" w:rsidP="00BF3582">
            <w:pPr>
              <w:pStyle w:val="Standard"/>
              <w:rPr>
                <w:highlight w:val="yellow"/>
              </w:rPr>
            </w:pPr>
          </w:p>
          <w:p w14:paraId="25CA4C64" w14:textId="77777777" w:rsidR="00D054FD" w:rsidRDefault="00D054FD" w:rsidP="00BF3582">
            <w:pPr>
              <w:pStyle w:val="Standard"/>
              <w:rPr>
                <w:highlight w:val="yellow"/>
              </w:rPr>
            </w:pPr>
          </w:p>
          <w:p w14:paraId="5CE15432" w14:textId="6B4E7A5A" w:rsidR="00D054FD" w:rsidRPr="00D054FD" w:rsidRDefault="00D054FD" w:rsidP="00BF3582">
            <w:pPr>
              <w:pStyle w:val="Standard"/>
            </w:pPr>
            <w:r>
              <w:t>Contact details (including name, email address, telephone number) of, and communications with, Buyer staff concerned with award and management of Call-Off Contracts awarded under the Framework Agreement,</w:t>
            </w:r>
          </w:p>
          <w:p w14:paraId="4B67E106" w14:textId="77777777" w:rsidR="00D054FD" w:rsidRPr="00D054FD" w:rsidRDefault="00D054FD" w:rsidP="00BF3582">
            <w:pPr>
              <w:pStyle w:val="Standard"/>
            </w:pPr>
          </w:p>
          <w:p w14:paraId="6B307B5E" w14:textId="09AC9CA5" w:rsidR="00D054FD" w:rsidRPr="00D054FD" w:rsidRDefault="00D054FD" w:rsidP="00BF3582">
            <w:pPr>
              <w:pStyle w:val="Standard"/>
            </w:pPr>
            <w:r>
              <w:t>Contact details (including name, email address, telephone number), and communications with, Sub-contractor staff concerned with fulfilment of the Supplier’s obligations arising from this Framework Agreement</w:t>
            </w:r>
          </w:p>
          <w:p w14:paraId="3DF9BD55" w14:textId="77777777" w:rsidR="00D054FD" w:rsidRPr="00D054FD" w:rsidRDefault="00D054FD" w:rsidP="00BF3582">
            <w:pPr>
              <w:pStyle w:val="Standard"/>
            </w:pPr>
          </w:p>
          <w:p w14:paraId="30E14D35" w14:textId="4C1DE177" w:rsidR="00D054FD" w:rsidRDefault="00D054FD" w:rsidP="00BF3582">
            <w:pPr>
              <w:pStyle w:val="Standard"/>
            </w:pPr>
            <w:r>
              <w:t>Contact details (including name, email address, telephone number), and communications with Supplier staff concerned with management of the Framework Agreement</w:t>
            </w:r>
          </w:p>
        </w:tc>
      </w:tr>
      <w:tr w:rsidR="00D054FD" w14:paraId="2928FA9E"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84E0AA" w14:textId="77777777" w:rsidR="00D054FD" w:rsidRDefault="00D054FD" w:rsidP="00BF3582">
            <w:pPr>
              <w:pStyle w:val="Standard"/>
            </w:pPr>
            <w:r>
              <w:t>Categories of Data Subject</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AB9EB1" w14:textId="77777777" w:rsidR="00D054FD" w:rsidRDefault="00D054FD" w:rsidP="00BF3582">
            <w:pPr>
              <w:pStyle w:val="Standard"/>
            </w:pPr>
            <w:r>
              <w:t>Includes:  Individual vehicle keepers (customers); potentially staff IDs (TBC)</w:t>
            </w:r>
          </w:p>
          <w:p w14:paraId="64F3CA55" w14:textId="77777777" w:rsidR="00D054FD" w:rsidRDefault="00D054FD" w:rsidP="00BF3582">
            <w:pPr>
              <w:pStyle w:val="Standard"/>
            </w:pPr>
          </w:p>
          <w:p w14:paraId="77A61D81" w14:textId="77777777" w:rsidR="00D054FD" w:rsidRPr="00D054FD" w:rsidRDefault="00D054FD" w:rsidP="00BF3582">
            <w:pPr>
              <w:pStyle w:val="Standard"/>
            </w:pPr>
            <w:proofErr w:type="spellStart"/>
            <w:r w:rsidRPr="00D054FD">
              <w:t>i</w:t>
            </w:r>
            <w:proofErr w:type="spellEnd"/>
            <w:r w:rsidRPr="00D054FD">
              <w:t>. Buyer staff concerned with award and management of Call-Off Contracts awarded under the Framework Agreement</w:t>
            </w:r>
          </w:p>
          <w:p w14:paraId="3AC6DD04" w14:textId="77777777" w:rsidR="00D054FD" w:rsidRPr="00D054FD" w:rsidRDefault="00D054FD" w:rsidP="00BF3582">
            <w:pPr>
              <w:pStyle w:val="Standard"/>
            </w:pPr>
          </w:p>
          <w:p w14:paraId="7A19C5BB" w14:textId="77777777" w:rsidR="00D054FD" w:rsidRPr="00D054FD" w:rsidRDefault="00D054FD" w:rsidP="00BF3582">
            <w:pPr>
              <w:pStyle w:val="Standard"/>
            </w:pPr>
            <w:r w:rsidRPr="00D054FD">
              <w:t>ii. Sub-contractor staff concerned with fulfilment of the Supplier’s obligations arising from this Framework Agreement</w:t>
            </w:r>
          </w:p>
          <w:p w14:paraId="49C38A9F" w14:textId="77777777" w:rsidR="00D054FD" w:rsidRPr="00D054FD" w:rsidRDefault="00D054FD" w:rsidP="00BF3582">
            <w:pPr>
              <w:pStyle w:val="Standard"/>
            </w:pPr>
          </w:p>
          <w:p w14:paraId="6DA9E0FB" w14:textId="454D52A0" w:rsidR="00D054FD" w:rsidRDefault="00D054FD" w:rsidP="00BF3582">
            <w:pPr>
              <w:pStyle w:val="Standard"/>
            </w:pPr>
            <w:r w:rsidRPr="00D054FD">
              <w:t>iii. Supplier staff concerned with fulfilment of the Supplier’s obligations arising under this Framework Agreement</w:t>
            </w:r>
            <w:ins w:id="24" w:author="Craig John" w:date="2022-05-23T13:27:00Z">
              <w:r w:rsidR="00637675">
                <w:t xml:space="preserve"> </w:t>
              </w:r>
            </w:ins>
          </w:p>
        </w:tc>
      </w:tr>
      <w:tr w:rsidR="00D054FD" w14:paraId="3C3660E7" w14:textId="77777777" w:rsidTr="47D7F6C3">
        <w:tc>
          <w:tcPr>
            <w:tcW w:w="45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233593" w14:textId="77777777" w:rsidR="00D054FD" w:rsidRDefault="00D054FD" w:rsidP="00BF3582">
            <w:pPr>
              <w:pStyle w:val="Standard"/>
            </w:pPr>
            <w:r>
              <w:t>Plan for return and destruction of the data once the Processing is complete</w:t>
            </w:r>
          </w:p>
          <w:p w14:paraId="75CB0863" w14:textId="77777777" w:rsidR="00D054FD" w:rsidRDefault="00D054FD" w:rsidP="00BF3582">
            <w:pPr>
              <w:pStyle w:val="Standard"/>
            </w:pPr>
            <w:r>
              <w:t>UNLESS requirement under Union or Member State law to preserve that type of data</w:t>
            </w:r>
          </w:p>
        </w:tc>
        <w:tc>
          <w:tcPr>
            <w:tcW w:w="5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0DC2D1" w14:textId="68531A01" w:rsidR="00D054FD" w:rsidRDefault="00D054FD" w:rsidP="00BF3582">
            <w:pPr>
              <w:pStyle w:val="Standard"/>
            </w:pPr>
            <w:r>
              <w:t xml:space="preserve">The Supplier uses DVLA equipment and no DVLA Vehicle </w:t>
            </w:r>
            <w:proofErr w:type="gramStart"/>
            <w:r>
              <w:t>Data  is</w:t>
            </w:r>
            <w:proofErr w:type="gramEnd"/>
            <w:r>
              <w:t xml:space="preserve"> transferred off DVLA systems. </w:t>
            </w:r>
          </w:p>
          <w:p w14:paraId="6FF78159" w14:textId="77777777" w:rsidR="00D054FD" w:rsidRDefault="00D054FD" w:rsidP="00BF3582">
            <w:pPr>
              <w:pStyle w:val="Standard"/>
            </w:pPr>
          </w:p>
          <w:p w14:paraId="052A20BB" w14:textId="77777777" w:rsidR="00D054FD" w:rsidRDefault="00D054FD" w:rsidP="00BF3582">
            <w:pPr>
              <w:pStyle w:val="Standard"/>
            </w:pPr>
            <w:r>
              <w:t>All DVLA equipment is taken back from the Supplier when the contract ends/is terminated, and all access is revoked at this time also.</w:t>
            </w:r>
          </w:p>
        </w:tc>
      </w:tr>
    </w:tbl>
    <w:p w14:paraId="0D3055E3" w14:textId="77777777" w:rsidR="00D054FD" w:rsidRDefault="00D054FD" w:rsidP="00D054FD">
      <w:pPr>
        <w:pStyle w:val="Standard"/>
      </w:pPr>
    </w:p>
    <w:p w14:paraId="125BA262" w14:textId="77777777" w:rsidR="00D054FD" w:rsidRDefault="00D054FD" w:rsidP="00D054FD">
      <w:pPr>
        <w:pStyle w:val="Standard"/>
      </w:pPr>
    </w:p>
    <w:p w14:paraId="607156ED" w14:textId="77777777" w:rsidR="00D054FD" w:rsidRDefault="00D054FD" w:rsidP="00D054FD">
      <w:pPr>
        <w:pStyle w:val="Standard"/>
        <w:rPr>
          <w:sz w:val="32"/>
          <w:szCs w:val="32"/>
        </w:rPr>
      </w:pPr>
    </w:p>
    <w:p w14:paraId="5855017C" w14:textId="77777777" w:rsidR="00D054FD" w:rsidRDefault="00D054FD" w:rsidP="00D054FD"/>
    <w:bookmarkEnd w:id="0"/>
    <w:p w14:paraId="4BECC6A6" w14:textId="77777777" w:rsidR="00404DA4" w:rsidRDefault="00404DA4" w:rsidP="00404DA4">
      <w:pPr>
        <w:spacing w:before="240" w:after="240"/>
      </w:pPr>
    </w:p>
    <w:sectPr w:rsidR="00404DA4">
      <w:footerReference w:type="default" r:id="rId27"/>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5DC5" w14:textId="77777777" w:rsidR="00CC1563" w:rsidRDefault="00CC1563">
      <w:pPr>
        <w:spacing w:line="240" w:lineRule="auto"/>
      </w:pPr>
      <w:r>
        <w:separator/>
      </w:r>
    </w:p>
  </w:endnote>
  <w:endnote w:type="continuationSeparator" w:id="0">
    <w:p w14:paraId="50164CA0" w14:textId="77777777" w:rsidR="00CC1563" w:rsidRDefault="00CC1563">
      <w:pPr>
        <w:spacing w:line="240" w:lineRule="auto"/>
      </w:pPr>
      <w:r>
        <w:continuationSeparator/>
      </w:r>
    </w:p>
  </w:endnote>
  <w:endnote w:type="continuationNotice" w:id="1">
    <w:p w14:paraId="795A15B8" w14:textId="77777777" w:rsidR="00CC1563" w:rsidRDefault="00CC15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2E9B" w14:textId="059EB585" w:rsidR="008A4796" w:rsidRDefault="0090167F" w:rsidP="61C5DCCC">
    <w:pPr>
      <w:pStyle w:val="TOC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E788" w14:textId="77777777" w:rsidR="00CC1563" w:rsidRDefault="00CC1563">
      <w:pPr>
        <w:spacing w:line="240" w:lineRule="auto"/>
      </w:pPr>
      <w:r>
        <w:rPr>
          <w:color w:val="000000"/>
        </w:rPr>
        <w:separator/>
      </w:r>
    </w:p>
  </w:footnote>
  <w:footnote w:type="continuationSeparator" w:id="0">
    <w:p w14:paraId="6BEEC5D7" w14:textId="77777777" w:rsidR="00CC1563" w:rsidRDefault="00CC1563">
      <w:pPr>
        <w:spacing w:line="240" w:lineRule="auto"/>
      </w:pPr>
      <w:r>
        <w:continuationSeparator/>
      </w:r>
    </w:p>
  </w:footnote>
  <w:footnote w:type="continuationNotice" w:id="1">
    <w:p w14:paraId="2D6A1F5E" w14:textId="77777777" w:rsidR="00CC1563" w:rsidRDefault="00CC15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B5F"/>
    <w:multiLevelType w:val="multilevel"/>
    <w:tmpl w:val="E1260D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8097A68"/>
    <w:multiLevelType w:val="multilevel"/>
    <w:tmpl w:val="8E8071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D7579E6"/>
    <w:multiLevelType w:val="multilevel"/>
    <w:tmpl w:val="775681E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F3D3E8A"/>
    <w:multiLevelType w:val="multilevel"/>
    <w:tmpl w:val="E5CA2A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0E257B7"/>
    <w:multiLevelType w:val="hybridMultilevel"/>
    <w:tmpl w:val="810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E8C"/>
    <w:multiLevelType w:val="multilevel"/>
    <w:tmpl w:val="1C1016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30D0536"/>
    <w:multiLevelType w:val="multilevel"/>
    <w:tmpl w:val="2CFA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55F8D"/>
    <w:multiLevelType w:val="multilevel"/>
    <w:tmpl w:val="FF98F2F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E95D32"/>
    <w:multiLevelType w:val="multilevel"/>
    <w:tmpl w:val="255EDB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BD5EB3"/>
    <w:multiLevelType w:val="multilevel"/>
    <w:tmpl w:val="93D600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CFF2819"/>
    <w:multiLevelType w:val="multilevel"/>
    <w:tmpl w:val="1F3482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6345CCE"/>
    <w:multiLevelType w:val="multilevel"/>
    <w:tmpl w:val="3AC882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8E3992"/>
    <w:multiLevelType w:val="multilevel"/>
    <w:tmpl w:val="A8B6DD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F5912D6"/>
    <w:multiLevelType w:val="hybridMultilevel"/>
    <w:tmpl w:val="BD5CF4FC"/>
    <w:lvl w:ilvl="0" w:tplc="94BEC2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F7806"/>
    <w:multiLevelType w:val="multilevel"/>
    <w:tmpl w:val="BA5A8C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4F01AE0"/>
    <w:multiLevelType w:val="hybridMultilevel"/>
    <w:tmpl w:val="4E48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53A5E"/>
    <w:multiLevelType w:val="multilevel"/>
    <w:tmpl w:val="B56224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67B4F69"/>
    <w:multiLevelType w:val="multilevel"/>
    <w:tmpl w:val="6BDA0A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A7A0FF8"/>
    <w:multiLevelType w:val="multilevel"/>
    <w:tmpl w:val="7C6EFA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BC7C5F"/>
    <w:multiLevelType w:val="multilevel"/>
    <w:tmpl w:val="45D8D49C"/>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361F62"/>
    <w:multiLevelType w:val="hybridMultilevel"/>
    <w:tmpl w:val="49D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1685A"/>
    <w:multiLevelType w:val="multilevel"/>
    <w:tmpl w:val="0E96D2C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484D45"/>
    <w:multiLevelType w:val="multilevel"/>
    <w:tmpl w:val="4BE888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8F7DAD"/>
    <w:multiLevelType w:val="hybridMultilevel"/>
    <w:tmpl w:val="733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76D4F"/>
    <w:multiLevelType w:val="multilevel"/>
    <w:tmpl w:val="89DC4F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287A32"/>
    <w:multiLevelType w:val="multilevel"/>
    <w:tmpl w:val="2EBC4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FF2F88"/>
    <w:multiLevelType w:val="multilevel"/>
    <w:tmpl w:val="530EA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5E7AE1"/>
    <w:multiLevelType w:val="multilevel"/>
    <w:tmpl w:val="C8CE3F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0A76212"/>
    <w:multiLevelType w:val="multilevel"/>
    <w:tmpl w:val="491047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2695F7C"/>
    <w:multiLevelType w:val="multilevel"/>
    <w:tmpl w:val="D4A430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41C0449"/>
    <w:multiLevelType w:val="multilevel"/>
    <w:tmpl w:val="3ED27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9724417"/>
    <w:multiLevelType w:val="multilevel"/>
    <w:tmpl w:val="CADE2666"/>
    <w:lvl w:ilvl="0">
      <w:start w:val="25"/>
      <w:numFmt w:val="decimal"/>
      <w:lvlText w:val="%1."/>
      <w:lvlJc w:val="left"/>
      <w:pPr>
        <w:ind w:left="360" w:hanging="360"/>
      </w:p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38444F"/>
    <w:multiLevelType w:val="multilevel"/>
    <w:tmpl w:val="8F9E3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E0370A1"/>
    <w:multiLevelType w:val="multilevel"/>
    <w:tmpl w:val="2FF29C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03A60E9"/>
    <w:multiLevelType w:val="multilevel"/>
    <w:tmpl w:val="21CAB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520D84"/>
    <w:multiLevelType w:val="multilevel"/>
    <w:tmpl w:val="564C1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5554CCD"/>
    <w:multiLevelType w:val="multilevel"/>
    <w:tmpl w:val="219266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8D3413"/>
    <w:multiLevelType w:val="hybridMultilevel"/>
    <w:tmpl w:val="D77C5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42A71"/>
    <w:multiLevelType w:val="multilevel"/>
    <w:tmpl w:val="BEBE3A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70053BB0"/>
    <w:multiLevelType w:val="multilevel"/>
    <w:tmpl w:val="015431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1E10935"/>
    <w:multiLevelType w:val="hybridMultilevel"/>
    <w:tmpl w:val="CD06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67BD7"/>
    <w:multiLevelType w:val="multilevel"/>
    <w:tmpl w:val="6930D6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9EA4CD9"/>
    <w:multiLevelType w:val="multilevel"/>
    <w:tmpl w:val="E2F0AA9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EF6B6C"/>
    <w:multiLevelType w:val="multilevel"/>
    <w:tmpl w:val="D63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1"/>
  </w:num>
  <w:num w:numId="3">
    <w:abstractNumId w:val="38"/>
  </w:num>
  <w:num w:numId="4">
    <w:abstractNumId w:val="30"/>
  </w:num>
  <w:num w:numId="5">
    <w:abstractNumId w:val="8"/>
  </w:num>
  <w:num w:numId="6">
    <w:abstractNumId w:val="29"/>
  </w:num>
  <w:num w:numId="7">
    <w:abstractNumId w:val="35"/>
  </w:num>
  <w:num w:numId="8">
    <w:abstractNumId w:val="25"/>
  </w:num>
  <w:num w:numId="9">
    <w:abstractNumId w:val="36"/>
  </w:num>
  <w:num w:numId="10">
    <w:abstractNumId w:val="21"/>
  </w:num>
  <w:num w:numId="11">
    <w:abstractNumId w:val="2"/>
  </w:num>
  <w:num w:numId="12">
    <w:abstractNumId w:val="18"/>
  </w:num>
  <w:num w:numId="13">
    <w:abstractNumId w:val="14"/>
  </w:num>
  <w:num w:numId="14">
    <w:abstractNumId w:val="24"/>
  </w:num>
  <w:num w:numId="15">
    <w:abstractNumId w:val="10"/>
  </w:num>
  <w:num w:numId="16">
    <w:abstractNumId w:val="39"/>
  </w:num>
  <w:num w:numId="17">
    <w:abstractNumId w:val="33"/>
  </w:num>
  <w:num w:numId="18">
    <w:abstractNumId w:val="1"/>
  </w:num>
  <w:num w:numId="19">
    <w:abstractNumId w:val="41"/>
  </w:num>
  <w:num w:numId="20">
    <w:abstractNumId w:val="17"/>
  </w:num>
  <w:num w:numId="21">
    <w:abstractNumId w:val="16"/>
  </w:num>
  <w:num w:numId="22">
    <w:abstractNumId w:val="27"/>
  </w:num>
  <w:num w:numId="23">
    <w:abstractNumId w:val="3"/>
  </w:num>
  <w:num w:numId="24">
    <w:abstractNumId w:val="5"/>
  </w:num>
  <w:num w:numId="25">
    <w:abstractNumId w:val="28"/>
  </w:num>
  <w:num w:numId="26">
    <w:abstractNumId w:val="0"/>
  </w:num>
  <w:num w:numId="27">
    <w:abstractNumId w:val="9"/>
  </w:num>
  <w:num w:numId="28">
    <w:abstractNumId w:val="13"/>
  </w:num>
  <w:num w:numId="29">
    <w:abstractNumId w:val="6"/>
  </w:num>
  <w:num w:numId="30">
    <w:abstractNumId w:val="26"/>
  </w:num>
  <w:num w:numId="31">
    <w:abstractNumId w:val="34"/>
  </w:num>
  <w:num w:numId="32">
    <w:abstractNumId w:val="40"/>
  </w:num>
  <w:num w:numId="33">
    <w:abstractNumId w:val="20"/>
  </w:num>
  <w:num w:numId="34">
    <w:abstractNumId w:val="43"/>
  </w:num>
  <w:num w:numId="35">
    <w:abstractNumId w:val="23"/>
  </w:num>
  <w:num w:numId="36">
    <w:abstractNumId w:val="22"/>
  </w:num>
  <w:num w:numId="37">
    <w:abstractNumId w:val="32"/>
  </w:num>
  <w:num w:numId="38">
    <w:abstractNumId w:val="7"/>
  </w:num>
  <w:num w:numId="39">
    <w:abstractNumId w:val="19"/>
  </w:num>
  <w:num w:numId="40">
    <w:abstractNumId w:val="42"/>
  </w:num>
  <w:num w:numId="41">
    <w:abstractNumId w:val="31"/>
  </w:num>
  <w:num w:numId="42">
    <w:abstractNumId w:val="4"/>
  </w:num>
  <w:num w:numId="43">
    <w:abstractNumId w:val="37"/>
  </w:num>
  <w:num w:numId="4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e Loveridge">
    <w15:presenceInfo w15:providerId="AD" w15:userId="S::joanne.loveridge@davies-group.com::25a5eddd-4b54-43d6-b02e-cedea0732de4"/>
  </w15:person>
  <w15:person w15:author="Craig John">
    <w15:presenceInfo w15:providerId="AD" w15:userId="S::Craig.John@davies-group.com::ad002a52-de1a-40ae-bb4e-79fc39f43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1"/>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B5"/>
    <w:rsid w:val="000070BE"/>
    <w:rsid w:val="000137EA"/>
    <w:rsid w:val="000154D1"/>
    <w:rsid w:val="00033BF5"/>
    <w:rsid w:val="00034C96"/>
    <w:rsid w:val="00061C58"/>
    <w:rsid w:val="0007327C"/>
    <w:rsid w:val="0009169F"/>
    <w:rsid w:val="00093CC0"/>
    <w:rsid w:val="00094B25"/>
    <w:rsid w:val="00094E9A"/>
    <w:rsid w:val="00096F0F"/>
    <w:rsid w:val="000C2DE6"/>
    <w:rsid w:val="000D2297"/>
    <w:rsid w:val="000D291B"/>
    <w:rsid w:val="000E0826"/>
    <w:rsid w:val="000E12BE"/>
    <w:rsid w:val="000E31C9"/>
    <w:rsid w:val="0011488D"/>
    <w:rsid w:val="00115594"/>
    <w:rsid w:val="00122EAB"/>
    <w:rsid w:val="00131003"/>
    <w:rsid w:val="001318B3"/>
    <w:rsid w:val="001323DD"/>
    <w:rsid w:val="0013542B"/>
    <w:rsid w:val="00140CE6"/>
    <w:rsid w:val="0014625F"/>
    <w:rsid w:val="001502F9"/>
    <w:rsid w:val="0015167B"/>
    <w:rsid w:val="00151F69"/>
    <w:rsid w:val="001528D9"/>
    <w:rsid w:val="0016298F"/>
    <w:rsid w:val="001704AA"/>
    <w:rsid w:val="00174C1B"/>
    <w:rsid w:val="00180938"/>
    <w:rsid w:val="00183EBC"/>
    <w:rsid w:val="001843F2"/>
    <w:rsid w:val="00190BF3"/>
    <w:rsid w:val="00196107"/>
    <w:rsid w:val="001A0708"/>
    <w:rsid w:val="001B3E18"/>
    <w:rsid w:val="001C3301"/>
    <w:rsid w:val="001D480C"/>
    <w:rsid w:val="001D7B70"/>
    <w:rsid w:val="001E6559"/>
    <w:rsid w:val="001E72F4"/>
    <w:rsid w:val="001F0236"/>
    <w:rsid w:val="00202471"/>
    <w:rsid w:val="00210669"/>
    <w:rsid w:val="00210CB9"/>
    <w:rsid w:val="002210C4"/>
    <w:rsid w:val="00233138"/>
    <w:rsid w:val="00241649"/>
    <w:rsid w:val="00244E3F"/>
    <w:rsid w:val="0026541E"/>
    <w:rsid w:val="002715CC"/>
    <w:rsid w:val="00283417"/>
    <w:rsid w:val="00283B76"/>
    <w:rsid w:val="00292E83"/>
    <w:rsid w:val="00292EAE"/>
    <w:rsid w:val="002956EA"/>
    <w:rsid w:val="002B09C2"/>
    <w:rsid w:val="002C72A3"/>
    <w:rsid w:val="002D7981"/>
    <w:rsid w:val="002E1D4A"/>
    <w:rsid w:val="002E7CD8"/>
    <w:rsid w:val="002F51D1"/>
    <w:rsid w:val="003070D6"/>
    <w:rsid w:val="00313E9E"/>
    <w:rsid w:val="003155CE"/>
    <w:rsid w:val="003202B9"/>
    <w:rsid w:val="003334BD"/>
    <w:rsid w:val="00335B23"/>
    <w:rsid w:val="00335D79"/>
    <w:rsid w:val="00340B39"/>
    <w:rsid w:val="00341819"/>
    <w:rsid w:val="003449E2"/>
    <w:rsid w:val="00360019"/>
    <w:rsid w:val="003601C6"/>
    <w:rsid w:val="003710B8"/>
    <w:rsid w:val="00376BD2"/>
    <w:rsid w:val="00380517"/>
    <w:rsid w:val="00390CA5"/>
    <w:rsid w:val="00397E02"/>
    <w:rsid w:val="003A2B9C"/>
    <w:rsid w:val="003A3841"/>
    <w:rsid w:val="003A3A64"/>
    <w:rsid w:val="003A7839"/>
    <w:rsid w:val="003B1A28"/>
    <w:rsid w:val="003B42E4"/>
    <w:rsid w:val="003B52B4"/>
    <w:rsid w:val="003D0BA5"/>
    <w:rsid w:val="003D12EC"/>
    <w:rsid w:val="003D16B2"/>
    <w:rsid w:val="003D7289"/>
    <w:rsid w:val="003F0496"/>
    <w:rsid w:val="003F5B71"/>
    <w:rsid w:val="003F71F1"/>
    <w:rsid w:val="003F77EC"/>
    <w:rsid w:val="00400AA4"/>
    <w:rsid w:val="004037B3"/>
    <w:rsid w:val="00404DA4"/>
    <w:rsid w:val="00404F01"/>
    <w:rsid w:val="00407F10"/>
    <w:rsid w:val="00421BA4"/>
    <w:rsid w:val="00421F65"/>
    <w:rsid w:val="0042396A"/>
    <w:rsid w:val="00434EFC"/>
    <w:rsid w:val="00435EA1"/>
    <w:rsid w:val="00437E72"/>
    <w:rsid w:val="004441E0"/>
    <w:rsid w:val="00445D5E"/>
    <w:rsid w:val="00455477"/>
    <w:rsid w:val="0046063D"/>
    <w:rsid w:val="004652E0"/>
    <w:rsid w:val="00470050"/>
    <w:rsid w:val="00470532"/>
    <w:rsid w:val="00480D15"/>
    <w:rsid w:val="004830AC"/>
    <w:rsid w:val="004846AD"/>
    <w:rsid w:val="004910E0"/>
    <w:rsid w:val="004C0B6A"/>
    <w:rsid w:val="004C28DF"/>
    <w:rsid w:val="004D2037"/>
    <w:rsid w:val="004D6B27"/>
    <w:rsid w:val="004E7CBC"/>
    <w:rsid w:val="004F1635"/>
    <w:rsid w:val="004F384B"/>
    <w:rsid w:val="00501AE3"/>
    <w:rsid w:val="00502183"/>
    <w:rsid w:val="0050306B"/>
    <w:rsid w:val="00527481"/>
    <w:rsid w:val="00543D5C"/>
    <w:rsid w:val="00551A32"/>
    <w:rsid w:val="00556476"/>
    <w:rsid w:val="005570BB"/>
    <w:rsid w:val="00557179"/>
    <w:rsid w:val="005603E2"/>
    <w:rsid w:val="005701DD"/>
    <w:rsid w:val="0057106B"/>
    <w:rsid w:val="0057570C"/>
    <w:rsid w:val="005763B5"/>
    <w:rsid w:val="00587040"/>
    <w:rsid w:val="0058737B"/>
    <w:rsid w:val="005A2CE5"/>
    <w:rsid w:val="005B3310"/>
    <w:rsid w:val="005B7960"/>
    <w:rsid w:val="005E1E6E"/>
    <w:rsid w:val="005E6CBC"/>
    <w:rsid w:val="005F3BDB"/>
    <w:rsid w:val="005F685E"/>
    <w:rsid w:val="00603858"/>
    <w:rsid w:val="006042E6"/>
    <w:rsid w:val="00604CF2"/>
    <w:rsid w:val="006122AE"/>
    <w:rsid w:val="006210D3"/>
    <w:rsid w:val="00625017"/>
    <w:rsid w:val="00626EDF"/>
    <w:rsid w:val="006301BC"/>
    <w:rsid w:val="0063026A"/>
    <w:rsid w:val="00630A83"/>
    <w:rsid w:val="00632658"/>
    <w:rsid w:val="00634978"/>
    <w:rsid w:val="00637675"/>
    <w:rsid w:val="006408D9"/>
    <w:rsid w:val="00663E6E"/>
    <w:rsid w:val="00677951"/>
    <w:rsid w:val="006822DD"/>
    <w:rsid w:val="00693E12"/>
    <w:rsid w:val="00696CBF"/>
    <w:rsid w:val="006976FB"/>
    <w:rsid w:val="006A3DEE"/>
    <w:rsid w:val="006C52B3"/>
    <w:rsid w:val="006C7F5C"/>
    <w:rsid w:val="006D3FD9"/>
    <w:rsid w:val="006D7AA7"/>
    <w:rsid w:val="006E53CC"/>
    <w:rsid w:val="006E5717"/>
    <w:rsid w:val="006E5F62"/>
    <w:rsid w:val="006F266C"/>
    <w:rsid w:val="006F2BD5"/>
    <w:rsid w:val="006F4018"/>
    <w:rsid w:val="006F4983"/>
    <w:rsid w:val="00707398"/>
    <w:rsid w:val="00712F31"/>
    <w:rsid w:val="00715C38"/>
    <w:rsid w:val="007212A6"/>
    <w:rsid w:val="0072132A"/>
    <w:rsid w:val="00726BCE"/>
    <w:rsid w:val="00734A9F"/>
    <w:rsid w:val="0075100B"/>
    <w:rsid w:val="00764980"/>
    <w:rsid w:val="00766033"/>
    <w:rsid w:val="00770FD9"/>
    <w:rsid w:val="007720EA"/>
    <w:rsid w:val="00783D07"/>
    <w:rsid w:val="0078588D"/>
    <w:rsid w:val="00786B6E"/>
    <w:rsid w:val="0079229D"/>
    <w:rsid w:val="00792687"/>
    <w:rsid w:val="007A71B6"/>
    <w:rsid w:val="007C2D5A"/>
    <w:rsid w:val="007D0252"/>
    <w:rsid w:val="007D2039"/>
    <w:rsid w:val="007E42FC"/>
    <w:rsid w:val="007E4B7C"/>
    <w:rsid w:val="007E5879"/>
    <w:rsid w:val="007F0213"/>
    <w:rsid w:val="007F2490"/>
    <w:rsid w:val="00800A5E"/>
    <w:rsid w:val="00806F5C"/>
    <w:rsid w:val="008074C1"/>
    <w:rsid w:val="00820FA7"/>
    <w:rsid w:val="00827735"/>
    <w:rsid w:val="0083110A"/>
    <w:rsid w:val="00850158"/>
    <w:rsid w:val="00852C55"/>
    <w:rsid w:val="008572B5"/>
    <w:rsid w:val="008572F6"/>
    <w:rsid w:val="00857D6E"/>
    <w:rsid w:val="00860B96"/>
    <w:rsid w:val="00862ED2"/>
    <w:rsid w:val="008662EB"/>
    <w:rsid w:val="00867C80"/>
    <w:rsid w:val="00872F09"/>
    <w:rsid w:val="0087488A"/>
    <w:rsid w:val="008772A4"/>
    <w:rsid w:val="00877F72"/>
    <w:rsid w:val="0088231F"/>
    <w:rsid w:val="00892BB9"/>
    <w:rsid w:val="00893779"/>
    <w:rsid w:val="00896427"/>
    <w:rsid w:val="008A32E1"/>
    <w:rsid w:val="008A4447"/>
    <w:rsid w:val="008A6A00"/>
    <w:rsid w:val="008D38A9"/>
    <w:rsid w:val="008D7BEB"/>
    <w:rsid w:val="008E0A73"/>
    <w:rsid w:val="008E1D7A"/>
    <w:rsid w:val="008F227C"/>
    <w:rsid w:val="0090167F"/>
    <w:rsid w:val="00901A5D"/>
    <w:rsid w:val="00917F8C"/>
    <w:rsid w:val="009311C6"/>
    <w:rsid w:val="0093201A"/>
    <w:rsid w:val="009335BB"/>
    <w:rsid w:val="00947FF1"/>
    <w:rsid w:val="00954939"/>
    <w:rsid w:val="009566BD"/>
    <w:rsid w:val="00961533"/>
    <w:rsid w:val="00973BDA"/>
    <w:rsid w:val="00974D76"/>
    <w:rsid w:val="009772B5"/>
    <w:rsid w:val="00996EF7"/>
    <w:rsid w:val="009A0CBB"/>
    <w:rsid w:val="009B4C27"/>
    <w:rsid w:val="009C47D9"/>
    <w:rsid w:val="009C6180"/>
    <w:rsid w:val="009D691F"/>
    <w:rsid w:val="009D7276"/>
    <w:rsid w:val="00A01CAF"/>
    <w:rsid w:val="00A162FA"/>
    <w:rsid w:val="00A164DC"/>
    <w:rsid w:val="00A210F2"/>
    <w:rsid w:val="00A2650A"/>
    <w:rsid w:val="00A3231F"/>
    <w:rsid w:val="00A32511"/>
    <w:rsid w:val="00A32BFF"/>
    <w:rsid w:val="00A46908"/>
    <w:rsid w:val="00A54118"/>
    <w:rsid w:val="00A55D4A"/>
    <w:rsid w:val="00A601DE"/>
    <w:rsid w:val="00A64E3E"/>
    <w:rsid w:val="00A71D06"/>
    <w:rsid w:val="00A84CC4"/>
    <w:rsid w:val="00A84EF4"/>
    <w:rsid w:val="00A94408"/>
    <w:rsid w:val="00A973D5"/>
    <w:rsid w:val="00AA0E11"/>
    <w:rsid w:val="00AA3CED"/>
    <w:rsid w:val="00AB458C"/>
    <w:rsid w:val="00AB4F90"/>
    <w:rsid w:val="00AD1037"/>
    <w:rsid w:val="00AD6B3E"/>
    <w:rsid w:val="00AE3674"/>
    <w:rsid w:val="00AF6CE6"/>
    <w:rsid w:val="00B06FD3"/>
    <w:rsid w:val="00B0792A"/>
    <w:rsid w:val="00B1159C"/>
    <w:rsid w:val="00B1302A"/>
    <w:rsid w:val="00B37588"/>
    <w:rsid w:val="00B43A32"/>
    <w:rsid w:val="00B46856"/>
    <w:rsid w:val="00B530E5"/>
    <w:rsid w:val="00B537F6"/>
    <w:rsid w:val="00B5694E"/>
    <w:rsid w:val="00B618F2"/>
    <w:rsid w:val="00B66121"/>
    <w:rsid w:val="00B665C4"/>
    <w:rsid w:val="00B6A8B3"/>
    <w:rsid w:val="00B80721"/>
    <w:rsid w:val="00B8075F"/>
    <w:rsid w:val="00B80B55"/>
    <w:rsid w:val="00B84220"/>
    <w:rsid w:val="00BA2636"/>
    <w:rsid w:val="00BA6A29"/>
    <w:rsid w:val="00BA77D3"/>
    <w:rsid w:val="00BB0A8D"/>
    <w:rsid w:val="00BB75E1"/>
    <w:rsid w:val="00BC039C"/>
    <w:rsid w:val="00BC7F08"/>
    <w:rsid w:val="00BE0040"/>
    <w:rsid w:val="00BE0BD5"/>
    <w:rsid w:val="00BE2D91"/>
    <w:rsid w:val="00BF1E67"/>
    <w:rsid w:val="00BF76A0"/>
    <w:rsid w:val="00C05E75"/>
    <w:rsid w:val="00C05F63"/>
    <w:rsid w:val="00C231DD"/>
    <w:rsid w:val="00C27A2B"/>
    <w:rsid w:val="00C37CC2"/>
    <w:rsid w:val="00C46391"/>
    <w:rsid w:val="00C4691D"/>
    <w:rsid w:val="00C54551"/>
    <w:rsid w:val="00C5542A"/>
    <w:rsid w:val="00C75EB1"/>
    <w:rsid w:val="00C77F16"/>
    <w:rsid w:val="00C81CDD"/>
    <w:rsid w:val="00C916FC"/>
    <w:rsid w:val="00C94859"/>
    <w:rsid w:val="00C96E54"/>
    <w:rsid w:val="00CA05AB"/>
    <w:rsid w:val="00CA1987"/>
    <w:rsid w:val="00CC1563"/>
    <w:rsid w:val="00CC300D"/>
    <w:rsid w:val="00CD7279"/>
    <w:rsid w:val="00CE3BF8"/>
    <w:rsid w:val="00D054FD"/>
    <w:rsid w:val="00D05F61"/>
    <w:rsid w:val="00D1174C"/>
    <w:rsid w:val="00D3125B"/>
    <w:rsid w:val="00D34F72"/>
    <w:rsid w:val="00D5186A"/>
    <w:rsid w:val="00D53CDD"/>
    <w:rsid w:val="00D560CB"/>
    <w:rsid w:val="00D63467"/>
    <w:rsid w:val="00D6390E"/>
    <w:rsid w:val="00D65315"/>
    <w:rsid w:val="00D7075C"/>
    <w:rsid w:val="00D811D7"/>
    <w:rsid w:val="00D952C5"/>
    <w:rsid w:val="00DA2053"/>
    <w:rsid w:val="00DB2F37"/>
    <w:rsid w:val="00DC1F2A"/>
    <w:rsid w:val="00DC5FF9"/>
    <w:rsid w:val="00DD1BB4"/>
    <w:rsid w:val="00DD3CA8"/>
    <w:rsid w:val="00DD5BC9"/>
    <w:rsid w:val="00DE03D4"/>
    <w:rsid w:val="00DE3DDC"/>
    <w:rsid w:val="00DE528C"/>
    <w:rsid w:val="00DF08C4"/>
    <w:rsid w:val="00DF3462"/>
    <w:rsid w:val="00DF5E91"/>
    <w:rsid w:val="00E02CD6"/>
    <w:rsid w:val="00E05693"/>
    <w:rsid w:val="00E05BB1"/>
    <w:rsid w:val="00E133BC"/>
    <w:rsid w:val="00E22B08"/>
    <w:rsid w:val="00E47911"/>
    <w:rsid w:val="00E6558E"/>
    <w:rsid w:val="00E755D2"/>
    <w:rsid w:val="00E8504C"/>
    <w:rsid w:val="00E91B6F"/>
    <w:rsid w:val="00E946F8"/>
    <w:rsid w:val="00E946FB"/>
    <w:rsid w:val="00EA3734"/>
    <w:rsid w:val="00EB0ACC"/>
    <w:rsid w:val="00EB5675"/>
    <w:rsid w:val="00EC41CB"/>
    <w:rsid w:val="00ED68FA"/>
    <w:rsid w:val="00ED76EF"/>
    <w:rsid w:val="00EE25CA"/>
    <w:rsid w:val="00EE6347"/>
    <w:rsid w:val="00EF2F9F"/>
    <w:rsid w:val="00F0021B"/>
    <w:rsid w:val="00F011D0"/>
    <w:rsid w:val="00F0622D"/>
    <w:rsid w:val="00F141FB"/>
    <w:rsid w:val="00F22C35"/>
    <w:rsid w:val="00F23F48"/>
    <w:rsid w:val="00F245A9"/>
    <w:rsid w:val="00F24895"/>
    <w:rsid w:val="00F27E4F"/>
    <w:rsid w:val="00F43746"/>
    <w:rsid w:val="00F44FD0"/>
    <w:rsid w:val="00F5350D"/>
    <w:rsid w:val="00F5798D"/>
    <w:rsid w:val="00F71E16"/>
    <w:rsid w:val="00F71EED"/>
    <w:rsid w:val="00F75702"/>
    <w:rsid w:val="00F83123"/>
    <w:rsid w:val="00F94910"/>
    <w:rsid w:val="00FA2C79"/>
    <w:rsid w:val="00FA3B2A"/>
    <w:rsid w:val="00FB1C78"/>
    <w:rsid w:val="00FB7B07"/>
    <w:rsid w:val="00FB7B1A"/>
    <w:rsid w:val="00FC437E"/>
    <w:rsid w:val="0237AFB3"/>
    <w:rsid w:val="02D61771"/>
    <w:rsid w:val="0391D509"/>
    <w:rsid w:val="03B82F7D"/>
    <w:rsid w:val="03CF91B2"/>
    <w:rsid w:val="049F5014"/>
    <w:rsid w:val="04CB79AE"/>
    <w:rsid w:val="05B16EB9"/>
    <w:rsid w:val="0725F0D5"/>
    <w:rsid w:val="07452E8F"/>
    <w:rsid w:val="0747ECA4"/>
    <w:rsid w:val="08A592A8"/>
    <w:rsid w:val="08B2F434"/>
    <w:rsid w:val="08D3E2CF"/>
    <w:rsid w:val="08F00C5F"/>
    <w:rsid w:val="09C524CB"/>
    <w:rsid w:val="09E32B62"/>
    <w:rsid w:val="0A52417A"/>
    <w:rsid w:val="0CE215BD"/>
    <w:rsid w:val="0CFCC58D"/>
    <w:rsid w:val="0D2A50E6"/>
    <w:rsid w:val="0D354097"/>
    <w:rsid w:val="0E017C85"/>
    <w:rsid w:val="0E9895EE"/>
    <w:rsid w:val="0F1B9B20"/>
    <w:rsid w:val="106B16C4"/>
    <w:rsid w:val="11D383CA"/>
    <w:rsid w:val="121F87B6"/>
    <w:rsid w:val="13922D04"/>
    <w:rsid w:val="14BA1F00"/>
    <w:rsid w:val="1599BE9C"/>
    <w:rsid w:val="1673AB65"/>
    <w:rsid w:val="16773258"/>
    <w:rsid w:val="178C285B"/>
    <w:rsid w:val="188185BB"/>
    <w:rsid w:val="18A288E2"/>
    <w:rsid w:val="1AB24AA3"/>
    <w:rsid w:val="1B284D43"/>
    <w:rsid w:val="1B3AB708"/>
    <w:rsid w:val="1BB6A351"/>
    <w:rsid w:val="1D116E9D"/>
    <w:rsid w:val="1E5E6346"/>
    <w:rsid w:val="1E808353"/>
    <w:rsid w:val="2046E450"/>
    <w:rsid w:val="20510322"/>
    <w:rsid w:val="2162E4B0"/>
    <w:rsid w:val="21DD316A"/>
    <w:rsid w:val="238A2B13"/>
    <w:rsid w:val="23CA2CA1"/>
    <w:rsid w:val="24AFAD42"/>
    <w:rsid w:val="24C94B66"/>
    <w:rsid w:val="24E0278A"/>
    <w:rsid w:val="251277DD"/>
    <w:rsid w:val="2598DA0A"/>
    <w:rsid w:val="263A37D6"/>
    <w:rsid w:val="26851366"/>
    <w:rsid w:val="279A07D4"/>
    <w:rsid w:val="2A4ACDB7"/>
    <w:rsid w:val="2A9EDF1A"/>
    <w:rsid w:val="2B4617C5"/>
    <w:rsid w:val="2CE21879"/>
    <w:rsid w:val="2D71FEAC"/>
    <w:rsid w:val="2E08A8DF"/>
    <w:rsid w:val="2EFCC77F"/>
    <w:rsid w:val="314AA3EF"/>
    <w:rsid w:val="31C7F4EF"/>
    <w:rsid w:val="32022B86"/>
    <w:rsid w:val="32134A30"/>
    <w:rsid w:val="32C1487A"/>
    <w:rsid w:val="32D59E20"/>
    <w:rsid w:val="336B7989"/>
    <w:rsid w:val="35F5913F"/>
    <w:rsid w:val="3602032A"/>
    <w:rsid w:val="37593CC5"/>
    <w:rsid w:val="376FA5D9"/>
    <w:rsid w:val="38DC0CAB"/>
    <w:rsid w:val="39391E3A"/>
    <w:rsid w:val="3A18308B"/>
    <w:rsid w:val="3AA10E56"/>
    <w:rsid w:val="3AF80492"/>
    <w:rsid w:val="3C107E5A"/>
    <w:rsid w:val="3CBA1EA3"/>
    <w:rsid w:val="3E6ADDDB"/>
    <w:rsid w:val="3F59A5A3"/>
    <w:rsid w:val="3F863B71"/>
    <w:rsid w:val="3FC7CAE9"/>
    <w:rsid w:val="40F6DA70"/>
    <w:rsid w:val="41128379"/>
    <w:rsid w:val="43687F61"/>
    <w:rsid w:val="440884EF"/>
    <w:rsid w:val="444FB7C3"/>
    <w:rsid w:val="4454387F"/>
    <w:rsid w:val="44AA4F48"/>
    <w:rsid w:val="44BA90AA"/>
    <w:rsid w:val="454C055D"/>
    <w:rsid w:val="47D7F6C3"/>
    <w:rsid w:val="47E62365"/>
    <w:rsid w:val="4962F0F4"/>
    <w:rsid w:val="4A4C74E0"/>
    <w:rsid w:val="4D57184A"/>
    <w:rsid w:val="4ED98AED"/>
    <w:rsid w:val="4FCB11D8"/>
    <w:rsid w:val="56B9A587"/>
    <w:rsid w:val="57226786"/>
    <w:rsid w:val="57B9A610"/>
    <w:rsid w:val="5951187B"/>
    <w:rsid w:val="5C836811"/>
    <w:rsid w:val="5CFF4C83"/>
    <w:rsid w:val="5D3997B9"/>
    <w:rsid w:val="5DD5EFA4"/>
    <w:rsid w:val="5FA0DFE3"/>
    <w:rsid w:val="6137C0C9"/>
    <w:rsid w:val="61C5DCCC"/>
    <w:rsid w:val="6340D6F2"/>
    <w:rsid w:val="649C3524"/>
    <w:rsid w:val="657EB458"/>
    <w:rsid w:val="65B564CD"/>
    <w:rsid w:val="66716E93"/>
    <w:rsid w:val="67753008"/>
    <w:rsid w:val="689AC540"/>
    <w:rsid w:val="689D2CBD"/>
    <w:rsid w:val="68FEFED1"/>
    <w:rsid w:val="69AF3E63"/>
    <w:rsid w:val="6B7F4D5A"/>
    <w:rsid w:val="6BD26602"/>
    <w:rsid w:val="6BEC971B"/>
    <w:rsid w:val="6C07500F"/>
    <w:rsid w:val="6D6B2183"/>
    <w:rsid w:val="6DAFBA5A"/>
    <w:rsid w:val="6DCAF0DB"/>
    <w:rsid w:val="6F79FA28"/>
    <w:rsid w:val="70128E4B"/>
    <w:rsid w:val="7150EA7C"/>
    <w:rsid w:val="717B8D78"/>
    <w:rsid w:val="719D22F0"/>
    <w:rsid w:val="720DE116"/>
    <w:rsid w:val="725CF7F5"/>
    <w:rsid w:val="742A2601"/>
    <w:rsid w:val="7477A180"/>
    <w:rsid w:val="74BC2F95"/>
    <w:rsid w:val="761371E1"/>
    <w:rsid w:val="76814F67"/>
    <w:rsid w:val="76CD8965"/>
    <w:rsid w:val="77FB9BD9"/>
    <w:rsid w:val="7A7ABFDB"/>
    <w:rsid w:val="7AEA479B"/>
    <w:rsid w:val="7B333C9B"/>
    <w:rsid w:val="7B42E3DB"/>
    <w:rsid w:val="7B580D2C"/>
    <w:rsid w:val="7BEBABF6"/>
    <w:rsid w:val="7C4B656E"/>
    <w:rsid w:val="7D1564B1"/>
    <w:rsid w:val="7D1DD0B6"/>
    <w:rsid w:val="7D31EDC3"/>
    <w:rsid w:val="7D943161"/>
    <w:rsid w:val="7DB723F3"/>
    <w:rsid w:val="7E153971"/>
    <w:rsid w:val="7F05F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2E91"/>
  <w15:docId w15:val="{26564AD5-3023-4F5C-AA47-DA346EDB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styleId="UnresolvedMention">
    <w:name w:val="Unresolved Mention"/>
    <w:basedOn w:val="DefaultParagraphFont"/>
    <w:uiPriority w:val="99"/>
    <w:unhideWhenUsed/>
    <w:rsid w:val="005570BB"/>
    <w:rPr>
      <w:color w:val="605E5C"/>
      <w:shd w:val="clear" w:color="auto" w:fill="E1DFDD"/>
    </w:rPr>
  </w:style>
  <w:style w:type="character" w:styleId="Mention">
    <w:name w:val="Mention"/>
    <w:basedOn w:val="DefaultParagraphFont"/>
    <w:uiPriority w:val="99"/>
    <w:unhideWhenUsed/>
    <w:rsid w:val="005570BB"/>
    <w:rPr>
      <w:color w:val="2B579A"/>
      <w:shd w:val="clear" w:color="auto" w:fill="E1DFDD"/>
    </w:rPr>
  </w:style>
  <w:style w:type="table" w:styleId="TableGrid">
    <w:name w:val="Table Grid"/>
    <w:basedOn w:val="TableNormal"/>
    <w:uiPriority w:val="39"/>
    <w:rsid w:val="002E7C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E7CD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andard">
    <w:name w:val="Standard"/>
    <w:rsid w:val="00D054FD"/>
    <w:pPr>
      <w:suppressAutoHyphens/>
    </w:pPr>
  </w:style>
  <w:style w:type="table" w:customStyle="1" w:styleId="Style1">
    <w:name w:val="Style1"/>
    <w:basedOn w:val="TableNormal"/>
    <w:uiPriority w:val="99"/>
    <w:rsid w:val="00D054FD"/>
    <w:pPr>
      <w:autoSpaceDN/>
      <w:spacing w:line="240" w:lineRule="auto"/>
      <w:textAlignment w:val="auto"/>
    </w:pPr>
    <w:rPr>
      <w:rFonts w:asciiTheme="minorHAnsi" w:eastAsiaTheme="minorEastAsia" w:hAnsiTheme="minorHAnsi" w:cstheme="minorBidi"/>
      <w:sz w:val="24"/>
      <w:lang w:eastAsia="en-US"/>
    </w:rPr>
    <w:tblPr>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Pr>
  </w:style>
  <w:style w:type="paragraph" w:customStyle="1" w:styleId="Default">
    <w:name w:val="Default"/>
    <w:rsid w:val="00D054FD"/>
    <w:pPr>
      <w:autoSpaceDE w:val="0"/>
      <w:adjustRightInd w:val="0"/>
      <w:spacing w:line="240" w:lineRule="auto"/>
      <w:textAlignment w:val="auto"/>
    </w:pPr>
    <w:rPr>
      <w:rFonts w:eastAsiaTheme="minorEastAsia"/>
      <w:color w:val="000000"/>
      <w:sz w:val="24"/>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D0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993">
      <w:bodyDiv w:val="1"/>
      <w:marLeft w:val="0"/>
      <w:marRight w:val="0"/>
      <w:marTop w:val="0"/>
      <w:marBottom w:val="0"/>
      <w:divBdr>
        <w:top w:val="none" w:sz="0" w:space="0" w:color="auto"/>
        <w:left w:val="none" w:sz="0" w:space="0" w:color="auto"/>
        <w:bottom w:val="none" w:sz="0" w:space="0" w:color="auto"/>
        <w:right w:val="none" w:sz="0" w:space="0" w:color="auto"/>
      </w:divBdr>
    </w:div>
    <w:div w:id="179704914">
      <w:bodyDiv w:val="1"/>
      <w:marLeft w:val="0"/>
      <w:marRight w:val="0"/>
      <w:marTop w:val="0"/>
      <w:marBottom w:val="0"/>
      <w:divBdr>
        <w:top w:val="none" w:sz="0" w:space="0" w:color="auto"/>
        <w:left w:val="none" w:sz="0" w:space="0" w:color="auto"/>
        <w:bottom w:val="none" w:sz="0" w:space="0" w:color="auto"/>
        <w:right w:val="none" w:sz="0" w:space="0" w:color="auto"/>
      </w:divBdr>
    </w:div>
    <w:div w:id="795299016">
      <w:bodyDiv w:val="1"/>
      <w:marLeft w:val="0"/>
      <w:marRight w:val="0"/>
      <w:marTop w:val="0"/>
      <w:marBottom w:val="0"/>
      <w:divBdr>
        <w:top w:val="none" w:sz="0" w:space="0" w:color="auto"/>
        <w:left w:val="none" w:sz="0" w:space="0" w:color="auto"/>
        <w:bottom w:val="none" w:sz="0" w:space="0" w:color="auto"/>
        <w:right w:val="none" w:sz="0" w:space="0" w:color="auto"/>
      </w:divBdr>
    </w:div>
    <w:div w:id="185114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digitalmarketplace.service.gov.uk/" TargetMode="External"/><Relationship Id="rId28" Type="http://schemas.openxmlformats.org/officeDocument/2006/relationships/fontTable" Target="fontTable.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12617</Words>
  <Characters>71917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Davies Group ltd</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Nicola Green</cp:lastModifiedBy>
  <cp:revision>2</cp:revision>
  <cp:lastPrinted>2020-06-10T10:41:00Z</cp:lastPrinted>
  <dcterms:created xsi:type="dcterms:W3CDTF">2022-05-27T09:19:00Z</dcterms:created>
  <dcterms:modified xsi:type="dcterms:W3CDTF">2022-05-27T09:19:00Z</dcterms:modified>
</cp:coreProperties>
</file>