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CC" w:rsidRDefault="00365BCC" w:rsidP="00365BCC">
      <w:pPr>
        <w:spacing w:before="468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5BCC" w:rsidRPr="007B7953" w:rsidTr="00D27C9F">
        <w:tc>
          <w:tcPr>
            <w:tcW w:w="5000" w:type="pct"/>
            <w:tcBorders>
              <w:top w:val="single" w:sz="4" w:space="0" w:color="818A8F"/>
              <w:bottom w:val="single" w:sz="4" w:space="0" w:color="818A8F"/>
            </w:tcBorders>
            <w:tcMar>
              <w:top w:w="284" w:type="dxa"/>
              <w:left w:w="0" w:type="dxa"/>
              <w:bottom w:w="284" w:type="dxa"/>
              <w:right w:w="0" w:type="dxa"/>
            </w:tcMar>
          </w:tcPr>
          <w:p w:rsidR="00365BCC" w:rsidRPr="007B7953" w:rsidRDefault="00F21259" w:rsidP="0012012F">
            <w:pPr>
              <w:pStyle w:val="Title"/>
            </w:pPr>
            <w:r>
              <w:rPr>
                <w:sz w:val="72"/>
              </w:rPr>
              <w:t>Invitation to Tender</w:t>
            </w:r>
          </w:p>
        </w:tc>
      </w:tr>
    </w:tbl>
    <w:p w:rsidR="00A52039" w:rsidRDefault="00A52039"/>
    <w:p w:rsidR="00222847" w:rsidRDefault="009C67C3" w:rsidP="00222847">
      <w:pPr>
        <w:jc w:val="center"/>
        <w:rPr>
          <w:sz w:val="56"/>
          <w:szCs w:val="56"/>
        </w:rPr>
      </w:pPr>
      <w:r>
        <w:rPr>
          <w:sz w:val="56"/>
          <w:szCs w:val="56"/>
        </w:rPr>
        <w:t xml:space="preserve">MICROSOFT </w:t>
      </w:r>
      <w:r w:rsidR="00A02955">
        <w:rPr>
          <w:sz w:val="56"/>
          <w:szCs w:val="56"/>
        </w:rPr>
        <w:t>E</w:t>
      </w:r>
      <w:r w:rsidR="00A52039" w:rsidRPr="00A52039">
        <w:rPr>
          <w:sz w:val="56"/>
          <w:szCs w:val="56"/>
        </w:rPr>
        <w:t>RP &amp; CRM SOFTWARE IMPLEMENTATION PROJECT</w:t>
      </w:r>
    </w:p>
    <w:p w:rsidR="00EE2815" w:rsidRPr="00A87CC3" w:rsidRDefault="00EE2815" w:rsidP="00222847">
      <w:pPr>
        <w:jc w:val="center"/>
        <w:rPr>
          <w:sz w:val="36"/>
          <w:szCs w:val="36"/>
        </w:rPr>
      </w:pPr>
      <w:r w:rsidRPr="00A87CC3">
        <w:rPr>
          <w:sz w:val="36"/>
          <w:szCs w:val="36"/>
        </w:rPr>
        <w:t>DUKERP BI</w:t>
      </w:r>
      <w:r w:rsidRPr="00F7481C">
        <w:rPr>
          <w:sz w:val="36"/>
          <w:szCs w:val="36"/>
        </w:rPr>
        <w:t>G2</w:t>
      </w:r>
      <w:r w:rsidR="00310A2D" w:rsidRPr="00F7481C">
        <w:rPr>
          <w:sz w:val="36"/>
          <w:szCs w:val="36"/>
        </w:rPr>
        <w:t>081</w:t>
      </w:r>
    </w:p>
    <w:p w:rsidR="00A52039" w:rsidRDefault="00A52039">
      <w:pPr>
        <w:rPr>
          <w:rFonts w:asciiTheme="majorHAnsi" w:hAnsiTheme="majorHAnsi"/>
          <w:color w:val="002F5F"/>
          <w:sz w:val="28"/>
        </w:rPr>
      </w:pPr>
      <w:r>
        <w:br w:type="page"/>
      </w:r>
    </w:p>
    <w:p w:rsidR="00365BCC" w:rsidRDefault="00365BCC" w:rsidP="00365BCC">
      <w:pPr>
        <w:pStyle w:val="Subtitle"/>
        <w:spacing w:before="280"/>
      </w:pPr>
      <w:r>
        <w:lastRenderedPageBreak/>
        <w:t>Version Control</w:t>
      </w:r>
    </w:p>
    <w:tbl>
      <w:tblPr>
        <w:tblStyle w:val="TableGrid"/>
        <w:tblW w:w="5000" w:type="pct"/>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CellMar>
          <w:top w:w="85" w:type="dxa"/>
          <w:left w:w="142" w:type="dxa"/>
          <w:bottom w:w="85" w:type="dxa"/>
          <w:right w:w="142" w:type="dxa"/>
        </w:tblCellMar>
        <w:tblLook w:val="04A0" w:firstRow="1" w:lastRow="0" w:firstColumn="1" w:lastColumn="0" w:noHBand="0" w:noVBand="1"/>
      </w:tblPr>
      <w:tblGrid>
        <w:gridCol w:w="1092"/>
        <w:gridCol w:w="1346"/>
        <w:gridCol w:w="7190"/>
      </w:tblGrid>
      <w:tr w:rsidR="002C40E5" w:rsidTr="00EB4C4F">
        <w:trPr>
          <w:trHeight w:val="269"/>
        </w:trPr>
        <w:tc>
          <w:tcPr>
            <w:tcW w:w="567" w:type="pct"/>
            <w:shd w:val="clear" w:color="auto" w:fill="DEEAF6"/>
          </w:tcPr>
          <w:p w:rsidR="002C40E5" w:rsidRDefault="002C40E5" w:rsidP="00D27C9F">
            <w:r>
              <w:t>Version</w:t>
            </w:r>
          </w:p>
        </w:tc>
        <w:tc>
          <w:tcPr>
            <w:tcW w:w="699" w:type="pct"/>
            <w:shd w:val="clear" w:color="auto" w:fill="DEEAF6"/>
          </w:tcPr>
          <w:p w:rsidR="002C40E5" w:rsidRDefault="002C40E5" w:rsidP="00D27C9F">
            <w:r>
              <w:t>Date</w:t>
            </w:r>
          </w:p>
        </w:tc>
        <w:tc>
          <w:tcPr>
            <w:tcW w:w="3734" w:type="pct"/>
            <w:shd w:val="clear" w:color="auto" w:fill="DEEAF6"/>
          </w:tcPr>
          <w:p w:rsidR="002C40E5" w:rsidRDefault="002C40E5" w:rsidP="00D27C9F">
            <w:r>
              <w:t>Description</w:t>
            </w:r>
          </w:p>
        </w:tc>
      </w:tr>
      <w:tr w:rsidR="002C40E5" w:rsidTr="00EB4C4F">
        <w:trPr>
          <w:trHeight w:val="269"/>
        </w:trPr>
        <w:tc>
          <w:tcPr>
            <w:tcW w:w="567" w:type="pct"/>
          </w:tcPr>
          <w:p w:rsidR="002C40E5" w:rsidRDefault="001D19D1" w:rsidP="00D27C9F">
            <w:r>
              <w:t>1.0</w:t>
            </w:r>
          </w:p>
        </w:tc>
        <w:tc>
          <w:tcPr>
            <w:tcW w:w="699" w:type="pct"/>
          </w:tcPr>
          <w:p w:rsidR="002C40E5" w:rsidRDefault="00331AB5" w:rsidP="00D27C9F">
            <w:r>
              <w:t>09/03</w:t>
            </w:r>
            <w:r w:rsidR="00EB4C4F">
              <w:t>/2017</w:t>
            </w:r>
          </w:p>
        </w:tc>
        <w:tc>
          <w:tcPr>
            <w:tcW w:w="3734" w:type="pct"/>
          </w:tcPr>
          <w:p w:rsidR="002C40E5" w:rsidRDefault="00EB4C4F" w:rsidP="00EB4C4F">
            <w:r>
              <w:t xml:space="preserve">Tender </w:t>
            </w:r>
            <w:r w:rsidR="00CB56AC">
              <w:t>document creation with requirements</w:t>
            </w:r>
          </w:p>
        </w:tc>
      </w:tr>
    </w:tbl>
    <w:p w:rsidR="00365BCC" w:rsidRDefault="00365BCC"/>
    <w:p w:rsidR="002C40E5" w:rsidRDefault="002C40E5">
      <w:r>
        <w:rPr>
          <w:i/>
          <w:iCs/>
          <w:sz w:val="16"/>
          <w:szCs w:val="16"/>
        </w:rPr>
        <w:t>The information that is contained in this document is the property of Datasharp UK Limited. The contents of the document must not be reproduced or disclosed wholly or in part or used for purposes other than that for which it is supplied without the prior written permission of Datasharp UK Limited. © Copyright Datasharp UK Limited.</w:t>
      </w:r>
      <w:bookmarkStart w:id="0" w:name="_GoBack"/>
      <w:bookmarkEnd w:id="0"/>
    </w:p>
    <w:p w:rsidR="00DF1634" w:rsidRDefault="00DF1634">
      <w:pPr>
        <w:pStyle w:val="TOCHeading"/>
      </w:pPr>
    </w:p>
    <w:sdt>
      <w:sdtPr>
        <w:rPr>
          <w:rFonts w:asciiTheme="minorHAnsi" w:eastAsiaTheme="minorHAnsi" w:hAnsiTheme="minorHAnsi" w:cstheme="minorBidi"/>
          <w:color w:val="auto"/>
          <w:sz w:val="22"/>
          <w:szCs w:val="22"/>
          <w:lang w:val="en-GB"/>
        </w:rPr>
        <w:id w:val="-1356961490"/>
        <w:docPartObj>
          <w:docPartGallery w:val="Table of Contents"/>
          <w:docPartUnique/>
        </w:docPartObj>
      </w:sdtPr>
      <w:sdtEndPr>
        <w:rPr>
          <w:b/>
          <w:bCs/>
          <w:noProof/>
        </w:rPr>
      </w:sdtEndPr>
      <w:sdtContent>
        <w:p w:rsidR="00DF1634" w:rsidRPr="00B149D1" w:rsidRDefault="00DF1634">
          <w:pPr>
            <w:pStyle w:val="TOCHeading"/>
          </w:pPr>
          <w:r w:rsidRPr="00B149D1">
            <w:t>Contents</w:t>
          </w:r>
        </w:p>
        <w:p w:rsidR="00D5168D" w:rsidRPr="00B149D1" w:rsidRDefault="00DF1634">
          <w:pPr>
            <w:pStyle w:val="TOC1"/>
            <w:tabs>
              <w:tab w:val="right" w:leader="dot" w:pos="9628"/>
            </w:tabs>
            <w:rPr>
              <w:rFonts w:eastAsiaTheme="minorEastAsia"/>
              <w:noProof/>
              <w:lang w:eastAsia="en-GB"/>
            </w:rPr>
          </w:pPr>
          <w:r w:rsidRPr="00B149D1">
            <w:fldChar w:fldCharType="begin"/>
          </w:r>
          <w:r w:rsidRPr="00B149D1">
            <w:instrText xml:space="preserve"> TOC \o "1-3" \h \z \u </w:instrText>
          </w:r>
          <w:r w:rsidRPr="00B149D1">
            <w:fldChar w:fldCharType="separate"/>
          </w:r>
          <w:hyperlink w:anchor="_Toc474747013" w:history="1">
            <w:r w:rsidR="00D5168D" w:rsidRPr="00B149D1">
              <w:rPr>
                <w:rStyle w:val="Hyperlink"/>
                <w:rFonts w:eastAsiaTheme="majorEastAsia" w:cstheme="majorBidi"/>
                <w:noProof/>
              </w:rPr>
              <w:t>1 Background/Introduction</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_Toc474747013 \h </w:instrText>
            </w:r>
            <w:r w:rsidR="00D5168D" w:rsidRPr="00B149D1">
              <w:rPr>
                <w:noProof/>
                <w:webHidden/>
              </w:rPr>
            </w:r>
            <w:r w:rsidR="00D5168D" w:rsidRPr="00B149D1">
              <w:rPr>
                <w:noProof/>
                <w:webHidden/>
              </w:rPr>
              <w:fldChar w:fldCharType="separate"/>
            </w:r>
            <w:r w:rsidR="007E248A">
              <w:rPr>
                <w:noProof/>
                <w:webHidden/>
              </w:rPr>
              <w:t>3</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16" w:history="1">
            <w:r w:rsidR="00D5168D" w:rsidRPr="00B149D1">
              <w:rPr>
                <w:rStyle w:val="Hyperlink"/>
                <w:rFonts w:eastAsiaTheme="majorEastAsia" w:cstheme="majorBidi"/>
                <w:noProof/>
              </w:rPr>
              <w:t>2 Project Specifications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_Toc474747016 \h </w:instrText>
            </w:r>
            <w:r w:rsidR="00D5168D" w:rsidRPr="00B149D1">
              <w:rPr>
                <w:noProof/>
                <w:webHidden/>
              </w:rPr>
            </w:r>
            <w:r w:rsidR="00D5168D" w:rsidRPr="00B149D1">
              <w:rPr>
                <w:noProof/>
                <w:webHidden/>
              </w:rPr>
              <w:fldChar w:fldCharType="separate"/>
            </w:r>
            <w:r w:rsidR="007E248A">
              <w:rPr>
                <w:noProof/>
                <w:webHidden/>
              </w:rPr>
              <w:t>4</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17" w:history="1">
            <w:r w:rsidR="00D5168D" w:rsidRPr="00B149D1">
              <w:rPr>
                <w:rStyle w:val="Hyperlink"/>
                <w:rFonts w:eastAsiaTheme="majorEastAsia" w:cstheme="majorBidi"/>
                <w:noProof/>
              </w:rPr>
              <w:t>3 ITT Timetable</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_Toc474747017 \h </w:instrText>
            </w:r>
            <w:r w:rsidR="00D5168D" w:rsidRPr="00B149D1">
              <w:rPr>
                <w:noProof/>
                <w:webHidden/>
              </w:rPr>
            </w:r>
            <w:r w:rsidR="00D5168D" w:rsidRPr="00B149D1">
              <w:rPr>
                <w:noProof/>
                <w:webHidden/>
              </w:rPr>
              <w:fldChar w:fldCharType="separate"/>
            </w:r>
            <w:r w:rsidR="007E248A">
              <w:rPr>
                <w:noProof/>
                <w:webHidden/>
              </w:rPr>
              <w:t>5</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18" w:history="1">
            <w:r w:rsidR="00D5168D" w:rsidRPr="00B149D1">
              <w:rPr>
                <w:rStyle w:val="Hyperlink"/>
                <w:rFonts w:eastAsiaTheme="majorEastAsia" w:cstheme="majorBidi"/>
                <w:noProof/>
              </w:rPr>
              <w:t>4 Conflicts of Interest</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_Toc474747018 \h </w:instrText>
            </w:r>
            <w:r w:rsidR="00D5168D" w:rsidRPr="00B149D1">
              <w:rPr>
                <w:noProof/>
                <w:webHidden/>
              </w:rPr>
            </w:r>
            <w:r w:rsidR="00D5168D" w:rsidRPr="00B149D1">
              <w:rPr>
                <w:noProof/>
                <w:webHidden/>
              </w:rPr>
              <w:fldChar w:fldCharType="separate"/>
            </w:r>
            <w:r w:rsidR="007E248A">
              <w:rPr>
                <w:noProof/>
                <w:webHidden/>
              </w:rPr>
              <w:t>5</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19" w:history="1">
            <w:r w:rsidR="00D5168D" w:rsidRPr="00B149D1">
              <w:rPr>
                <w:rStyle w:val="Hyperlink"/>
                <w:rFonts w:eastAsiaTheme="majorEastAsia" w:cstheme="majorBidi"/>
                <w:noProof/>
              </w:rPr>
              <w:t>5 Consortium or sub-contracting</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_Toc474747019 \h </w:instrText>
            </w:r>
            <w:r w:rsidR="00D5168D" w:rsidRPr="00B149D1">
              <w:rPr>
                <w:noProof/>
                <w:webHidden/>
              </w:rPr>
            </w:r>
            <w:r w:rsidR="00D5168D" w:rsidRPr="00B149D1">
              <w:rPr>
                <w:noProof/>
                <w:webHidden/>
              </w:rPr>
              <w:fldChar w:fldCharType="separate"/>
            </w:r>
            <w:r w:rsidR="007E248A">
              <w:rPr>
                <w:noProof/>
                <w:webHidden/>
              </w:rPr>
              <w:t>6</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20" w:history="1">
            <w:r w:rsidR="00D5168D" w:rsidRPr="00B149D1">
              <w:rPr>
                <w:rStyle w:val="Hyperlink"/>
                <w:rFonts w:eastAsiaTheme="majorEastAsia" w:cstheme="majorBidi"/>
                <w:noProof/>
              </w:rPr>
              <w:t>6 Tender Application Requirements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_Toc474747020 \h </w:instrText>
            </w:r>
            <w:r w:rsidR="00D5168D" w:rsidRPr="00B149D1">
              <w:rPr>
                <w:noProof/>
                <w:webHidden/>
              </w:rPr>
            </w:r>
            <w:r w:rsidR="00D5168D" w:rsidRPr="00B149D1">
              <w:rPr>
                <w:noProof/>
                <w:webHidden/>
              </w:rPr>
              <w:fldChar w:fldCharType="separate"/>
            </w:r>
            <w:r w:rsidR="007E248A">
              <w:rPr>
                <w:noProof/>
                <w:webHidden/>
              </w:rPr>
              <w:t>6</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21" w:history="1">
            <w:r w:rsidR="00D5168D" w:rsidRPr="00B149D1">
              <w:rPr>
                <w:rStyle w:val="Hyperlink"/>
                <w:noProof/>
              </w:rPr>
              <w:t>7 Supplier response</w:t>
            </w:r>
            <w:r w:rsidR="00D5168D" w:rsidRPr="00B149D1">
              <w:rPr>
                <w:noProof/>
                <w:webHidden/>
              </w:rPr>
              <w:tab/>
            </w:r>
            <w:r w:rsidR="007E248A">
              <w:rPr>
                <w:noProof/>
                <w:webHidden/>
              </w:rPr>
              <w:t>6</w:t>
            </w:r>
          </w:hyperlink>
        </w:p>
        <w:p w:rsidR="00D5168D" w:rsidRPr="00B149D1" w:rsidRDefault="00955DB1">
          <w:pPr>
            <w:pStyle w:val="TOC1"/>
            <w:tabs>
              <w:tab w:val="right" w:leader="dot" w:pos="9628"/>
            </w:tabs>
            <w:rPr>
              <w:rFonts w:eastAsiaTheme="minorEastAsia"/>
              <w:noProof/>
              <w:lang w:eastAsia="en-GB"/>
            </w:rPr>
          </w:pPr>
          <w:hyperlink w:anchor="_Toc474747023" w:history="1">
            <w:r w:rsidR="005E4527" w:rsidRPr="00B149D1">
              <w:rPr>
                <w:rStyle w:val="Hyperlink"/>
                <w:rFonts w:eastAsiaTheme="majorEastAsia" w:cstheme="majorBidi"/>
                <w:noProof/>
              </w:rPr>
              <w:t xml:space="preserve">8 Tender Evaluation </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_Toc474747023 \h </w:instrText>
            </w:r>
            <w:r w:rsidR="00D5168D" w:rsidRPr="00B149D1">
              <w:rPr>
                <w:noProof/>
                <w:webHidden/>
              </w:rPr>
            </w:r>
            <w:r w:rsidR="00D5168D" w:rsidRPr="00B149D1">
              <w:rPr>
                <w:noProof/>
                <w:webHidden/>
              </w:rPr>
              <w:fldChar w:fldCharType="separate"/>
            </w:r>
            <w:r w:rsidR="007E248A">
              <w:rPr>
                <w:noProof/>
                <w:webHidden/>
              </w:rPr>
              <w:t>8</w:t>
            </w:r>
            <w:r w:rsidR="00D5168D" w:rsidRPr="00B149D1">
              <w:rPr>
                <w:noProof/>
                <w:webHidden/>
              </w:rPr>
              <w:fldChar w:fldCharType="end"/>
            </w:r>
          </w:hyperlink>
        </w:p>
        <w:p w:rsidR="00D5168D" w:rsidRPr="00B149D1" w:rsidRDefault="00955DB1">
          <w:pPr>
            <w:pStyle w:val="TOC1"/>
            <w:tabs>
              <w:tab w:val="right" w:leader="dot" w:pos="9628"/>
            </w:tabs>
            <w:rPr>
              <w:rFonts w:eastAsiaTheme="minorEastAsia"/>
              <w:noProof/>
              <w:lang w:eastAsia="en-GB"/>
            </w:rPr>
          </w:pPr>
          <w:hyperlink w:anchor="_Toc474747024" w:history="1">
            <w:r w:rsidR="00D5168D" w:rsidRPr="00B149D1">
              <w:rPr>
                <w:rStyle w:val="Hyperlink"/>
                <w:rFonts w:eastAsiaTheme="majorEastAsia" w:cstheme="majorBidi"/>
                <w:noProof/>
              </w:rPr>
              <w:t>9 Tender Returns</w:t>
            </w:r>
            <w:r w:rsidR="00D5168D" w:rsidRPr="00B149D1">
              <w:rPr>
                <w:noProof/>
                <w:webHidden/>
              </w:rPr>
              <w:tab/>
            </w:r>
          </w:hyperlink>
          <w:r w:rsidR="007E248A">
            <w:rPr>
              <w:noProof/>
            </w:rPr>
            <w:t>9</w:t>
          </w:r>
        </w:p>
        <w:p w:rsidR="00D5168D" w:rsidRPr="00B149D1" w:rsidRDefault="00955DB1">
          <w:pPr>
            <w:pStyle w:val="TOC1"/>
            <w:tabs>
              <w:tab w:val="right" w:leader="dot" w:pos="9628"/>
            </w:tabs>
            <w:rPr>
              <w:rFonts w:eastAsiaTheme="minorEastAsia"/>
              <w:noProof/>
              <w:lang w:eastAsia="en-GB"/>
            </w:rPr>
          </w:pPr>
          <w:hyperlink w:anchor="_Toc474747025" w:history="1">
            <w:r w:rsidR="00D5168D" w:rsidRPr="00B149D1">
              <w:rPr>
                <w:rStyle w:val="Hyperlink"/>
                <w:rFonts w:eastAsiaTheme="majorEastAsia" w:cstheme="majorBidi"/>
                <w:noProof/>
              </w:rPr>
              <w:t>10 Clarification</w:t>
            </w:r>
            <w:r w:rsidR="00D5168D" w:rsidRPr="00B149D1">
              <w:rPr>
                <w:noProof/>
                <w:webHidden/>
              </w:rPr>
              <w:tab/>
            </w:r>
            <w:r w:rsidR="007E248A">
              <w:rPr>
                <w:noProof/>
                <w:webHidden/>
              </w:rPr>
              <w:t>9</w:t>
            </w:r>
          </w:hyperlink>
        </w:p>
        <w:p w:rsidR="00D5168D" w:rsidRPr="00B149D1" w:rsidRDefault="00955DB1">
          <w:pPr>
            <w:pStyle w:val="TOC1"/>
            <w:tabs>
              <w:tab w:val="right" w:leader="dot" w:pos="9628"/>
            </w:tabs>
            <w:rPr>
              <w:rFonts w:eastAsiaTheme="minorEastAsia"/>
              <w:noProof/>
              <w:lang w:eastAsia="en-GB"/>
            </w:rPr>
          </w:pPr>
          <w:hyperlink w:anchor="_Toc474747026" w:history="1">
            <w:r w:rsidR="00D5168D" w:rsidRPr="00B149D1">
              <w:rPr>
                <w:rStyle w:val="Hyperlink"/>
                <w:rFonts w:eastAsiaTheme="majorEastAsia" w:cstheme="majorBidi"/>
                <w:noProof/>
              </w:rPr>
              <w:t>11 Disclaimer</w:t>
            </w:r>
            <w:r w:rsidR="00D5168D" w:rsidRPr="00B149D1">
              <w:rPr>
                <w:noProof/>
                <w:webHidden/>
              </w:rPr>
              <w:tab/>
            </w:r>
          </w:hyperlink>
          <w:r w:rsidR="007E248A">
            <w:rPr>
              <w:noProof/>
            </w:rPr>
            <w:t>10</w:t>
          </w:r>
        </w:p>
        <w:p w:rsidR="00D5168D" w:rsidRPr="00B149D1" w:rsidRDefault="00955DB1">
          <w:pPr>
            <w:pStyle w:val="TOC1"/>
            <w:tabs>
              <w:tab w:val="right" w:leader="dot" w:pos="9628"/>
            </w:tabs>
            <w:rPr>
              <w:rFonts w:eastAsiaTheme="minorEastAsia"/>
              <w:noProof/>
              <w:lang w:eastAsia="en-GB"/>
            </w:rPr>
          </w:pPr>
          <w:hyperlink w:anchor="_Toc474747027" w:history="1">
            <w:r w:rsidR="00D5168D" w:rsidRPr="00B149D1">
              <w:rPr>
                <w:rStyle w:val="Hyperlink"/>
                <w:rFonts w:eastAsiaTheme="majorEastAsia" w:cstheme="majorBidi"/>
                <w:noProof/>
              </w:rPr>
              <w:t>12</w:t>
            </w:r>
            <w:r w:rsidR="00A436CD" w:rsidRPr="00B149D1">
              <w:rPr>
                <w:rStyle w:val="Hyperlink"/>
                <w:rFonts w:eastAsiaTheme="majorEastAsia" w:cstheme="majorBidi"/>
                <w:noProof/>
              </w:rPr>
              <w:t xml:space="preserve"> </w:t>
            </w:r>
            <w:r w:rsidR="00D52212" w:rsidRPr="00B149D1">
              <w:rPr>
                <w:rStyle w:val="Hyperlink"/>
                <w:rFonts w:eastAsiaTheme="majorEastAsia" w:cstheme="majorBidi"/>
                <w:noProof/>
              </w:rPr>
              <w:t>Enclosures</w:t>
            </w:r>
            <w:r w:rsidR="00D5168D" w:rsidRPr="00B149D1">
              <w:rPr>
                <w:noProof/>
                <w:webHidden/>
              </w:rPr>
              <w:tab/>
            </w:r>
          </w:hyperlink>
          <w:r w:rsidR="007E248A">
            <w:rPr>
              <w:noProof/>
            </w:rPr>
            <w:t>10</w:t>
          </w:r>
        </w:p>
        <w:p w:rsidR="00DF1634" w:rsidRDefault="00DF1634">
          <w:r w:rsidRPr="00B149D1">
            <w:rPr>
              <w:bCs/>
              <w:noProof/>
            </w:rPr>
            <w:fldChar w:fldCharType="end"/>
          </w:r>
        </w:p>
      </w:sdtContent>
    </w:sdt>
    <w:p w:rsidR="000A70F8" w:rsidRDefault="000A70F8">
      <w:pPr>
        <w:rPr>
          <w:rStyle w:val="Heading1Char"/>
        </w:rPr>
      </w:pPr>
      <w:bookmarkStart w:id="1" w:name="_Toc474747013"/>
      <w:r>
        <w:rPr>
          <w:rStyle w:val="Heading1Char"/>
        </w:rPr>
        <w:br w:type="page"/>
      </w:r>
    </w:p>
    <w:p w:rsidR="00365BCC" w:rsidRPr="00365BCC" w:rsidRDefault="007230DE" w:rsidP="00365BC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r>
        <w:rPr>
          <w:rStyle w:val="Heading1Char"/>
        </w:rPr>
        <w:lastRenderedPageBreak/>
        <w:t xml:space="preserve">1 </w:t>
      </w:r>
      <w:r w:rsidR="00883718">
        <w:rPr>
          <w:rStyle w:val="Heading1Char"/>
        </w:rPr>
        <w:t>Background/</w:t>
      </w:r>
      <w:r w:rsidR="00DF1F5C">
        <w:rPr>
          <w:rStyle w:val="Heading1Char"/>
        </w:rPr>
        <w:t>Introduction</w:t>
      </w:r>
      <w:bookmarkEnd w:id="1"/>
    </w:p>
    <w:p w:rsidR="00CC472A" w:rsidRDefault="00AC4B1C" w:rsidP="00CC472A">
      <w:pPr>
        <w:spacing w:after="0"/>
      </w:pPr>
      <w:r>
        <w:t xml:space="preserve">Datasharp UK Ltd (‘Datasharp’ from here on) </w:t>
      </w:r>
      <w:r w:rsidR="00CC472A">
        <w:t>has been in operation for 35 years and is still a family run company. Datasharp pride themselves on service and excellence in providing bespoke telephone solutions and IT solutions to business customers across the UK</w:t>
      </w:r>
    </w:p>
    <w:p w:rsidR="00CC472A" w:rsidRDefault="00CC472A" w:rsidP="00CC472A">
      <w:pPr>
        <w:spacing w:after="0"/>
      </w:pPr>
    </w:p>
    <w:p w:rsidR="00CC472A" w:rsidRDefault="00CC472A" w:rsidP="00CC472A">
      <w:pPr>
        <w:spacing w:after="0"/>
      </w:pPr>
      <w:r>
        <w:t>Datasharp recently expanded its team into a second premises in Truro Business Park to accommodate its expansion into IT Services and Support. Datasharp benefit from the talent located in Cornwall and across the South West, and the new premises with custom built test and development areas ensure Datasharp can continue to provide its customers with a superior level of care.</w:t>
      </w:r>
    </w:p>
    <w:p w:rsidR="00CC472A" w:rsidRDefault="00CC472A" w:rsidP="00CC472A">
      <w:pPr>
        <w:spacing w:after="0"/>
      </w:pPr>
    </w:p>
    <w:p w:rsidR="00CC472A" w:rsidRDefault="00CC472A" w:rsidP="00CC472A">
      <w:pPr>
        <w:spacing w:after="0"/>
      </w:pPr>
      <w:r>
        <w:t>In 2016 Datasharp was recognised by Microsoft as being ranked in their Top 5% of Network Partners globally. This recognition follows Datasharp’s latest accreditation for “Small and Midmarket Cloud Solutions” for implementing and supporting Microsoft’s cloud services, in particular Microsoft Office 365. This recognition is testament to the fact that Datasharp are dedicated to remaining at the forefront of technology for the benefit of its customers.</w:t>
      </w:r>
    </w:p>
    <w:p w:rsidR="00CC472A" w:rsidRDefault="00CC472A" w:rsidP="00CC472A">
      <w:pPr>
        <w:spacing w:after="0"/>
      </w:pPr>
    </w:p>
    <w:p w:rsidR="00CC472A" w:rsidRDefault="00CC472A" w:rsidP="00CC472A">
      <w:pPr>
        <w:spacing w:after="0"/>
      </w:pPr>
      <w:r>
        <w:t xml:space="preserve">Datasharp currently uses a combination of Sunrise service management and Access Dimensions accounting systems to help run its business. Datasharp’s believes the current systems are unable to support the business’ growth plans and has decided to replace them with a fully integrated Microsoft Dynamics </w:t>
      </w:r>
      <w:r w:rsidR="00AC4B1C">
        <w:t xml:space="preserve">ERP and CRM software </w:t>
      </w:r>
      <w:r>
        <w:t>solution.</w:t>
      </w:r>
    </w:p>
    <w:p w:rsidR="00CC472A" w:rsidRDefault="00CC472A" w:rsidP="00CC472A">
      <w:pPr>
        <w:spacing w:after="0"/>
      </w:pPr>
    </w:p>
    <w:p w:rsidR="00EA1A5C" w:rsidRPr="00EA1A5C" w:rsidRDefault="00267FE3" w:rsidP="00CC472A">
      <w:pPr>
        <w:spacing w:after="0"/>
      </w:pPr>
      <w:r>
        <w:t>Datasharp</w:t>
      </w:r>
      <w:r w:rsidR="00EA1A5C">
        <w:t xml:space="preserve"> require</w:t>
      </w:r>
      <w:r>
        <w:t>s</w:t>
      </w:r>
      <w:r w:rsidR="00EA1A5C">
        <w:t xml:space="preserve"> a</w:t>
      </w:r>
      <w:r w:rsidR="00CC472A">
        <w:t xml:space="preserve"> single</w:t>
      </w:r>
      <w:r w:rsidR="00EA1A5C">
        <w:t xml:space="preserve"> provider of services to assist and manage the implementation of Microsoft Dynamics</w:t>
      </w:r>
      <w:r w:rsidR="00AC4B1C">
        <w:t xml:space="preserve"> 365 (Enterprise Edition). </w:t>
      </w:r>
      <w:r w:rsidR="00EA1A5C">
        <w:t>This ne</w:t>
      </w:r>
      <w:r w:rsidR="00E2163B">
        <w:t xml:space="preserve">ed arises due to company growth and to enable Datasharp </w:t>
      </w:r>
      <w:r w:rsidR="00EA1A5C">
        <w:t>to provide even better services to its customers, and with the long-term future in mind.</w:t>
      </w:r>
    </w:p>
    <w:p w:rsidR="00A97BAE" w:rsidRPr="00A97BAE" w:rsidRDefault="00A97BAE" w:rsidP="00A97BAE"/>
    <w:p w:rsidR="00365BCC" w:rsidRDefault="00222847" w:rsidP="00A87CC3">
      <w:pPr>
        <w:pStyle w:val="Heading2"/>
      </w:pPr>
      <w:bookmarkStart w:id="2" w:name="_Toc474747014"/>
      <w:r>
        <w:t>Company description and profile</w:t>
      </w:r>
      <w:bookmarkEnd w:id="2"/>
    </w:p>
    <w:p w:rsidR="00EA1A5C" w:rsidRDefault="00EA1A5C" w:rsidP="00577A50">
      <w:pPr>
        <w:spacing w:before="120" w:after="0" w:line="240" w:lineRule="auto"/>
      </w:pPr>
      <w:r>
        <w:t>Please see:</w:t>
      </w:r>
    </w:p>
    <w:p w:rsidR="007D15B9" w:rsidRDefault="007B6D02" w:rsidP="007D15B9">
      <w:pPr>
        <w:spacing w:before="120" w:after="0" w:line="240" w:lineRule="auto"/>
        <w:ind w:firstLine="720"/>
      </w:pPr>
      <w:r w:rsidRPr="00F7481C">
        <w:t>Enclosure 1</w:t>
      </w:r>
      <w:r w:rsidR="007D15B9" w:rsidRPr="00F7481C">
        <w:t>:</w:t>
      </w:r>
      <w:r w:rsidR="007D15B9">
        <w:tab/>
      </w:r>
      <w:r w:rsidR="00F7481C">
        <w:tab/>
      </w:r>
      <w:r w:rsidR="007D15B9" w:rsidRPr="00BE6679">
        <w:rPr>
          <w:i/>
        </w:rPr>
        <w:t>Welcome to Datasharp.pdf</w:t>
      </w:r>
    </w:p>
    <w:p w:rsidR="00222847" w:rsidRDefault="00EA1A5C" w:rsidP="00577A50">
      <w:pPr>
        <w:spacing w:before="120" w:after="0" w:line="240" w:lineRule="auto"/>
        <w:ind w:firstLine="720"/>
      </w:pPr>
      <w:r>
        <w:t>Our website:</w:t>
      </w:r>
      <w:r>
        <w:tab/>
      </w:r>
      <w:r>
        <w:tab/>
      </w:r>
      <w:hyperlink r:id="rId8" w:history="1">
        <w:r w:rsidR="007614F3" w:rsidRPr="00ED2BBA">
          <w:rPr>
            <w:rStyle w:val="Hyperlink"/>
          </w:rPr>
          <w:t>www.datas</w:t>
        </w:r>
        <w:r w:rsidR="007614F3" w:rsidRPr="00ED2BBA" w:rsidDel="007614F3">
          <w:rPr>
            <w:rStyle w:val="Hyperlink"/>
          </w:rPr>
          <w:t>a</w:t>
        </w:r>
        <w:r w:rsidR="007614F3" w:rsidRPr="00ED2BBA">
          <w:rPr>
            <w:rStyle w:val="Hyperlink"/>
          </w:rPr>
          <w:t>harp.co.uk</w:t>
        </w:r>
      </w:hyperlink>
    </w:p>
    <w:p w:rsidR="00EA1A5C" w:rsidRDefault="00EA1A5C" w:rsidP="00222847"/>
    <w:p w:rsidR="00222847" w:rsidRDefault="00222847">
      <w:pPr>
        <w:pStyle w:val="Heading2"/>
      </w:pPr>
      <w:bookmarkStart w:id="3" w:name="_Toc474747015"/>
      <w:r>
        <w:t>Overview of project requirements and scope</w:t>
      </w:r>
      <w:bookmarkEnd w:id="3"/>
    </w:p>
    <w:p w:rsidR="00BD75C6" w:rsidRDefault="0023489C" w:rsidP="00601F0B">
      <w:pPr>
        <w:spacing w:after="0" w:line="240" w:lineRule="auto"/>
      </w:pPr>
      <w:r>
        <w:t xml:space="preserve">The project scope is </w:t>
      </w:r>
      <w:r w:rsidR="0098673E">
        <w:t>for the provision of services to implement a Microsoft</w:t>
      </w:r>
      <w:r w:rsidR="00601F0B">
        <w:t xml:space="preserve"> Dynamics 365 solution at Datasharp, covering all aspects of the company, including:</w:t>
      </w:r>
    </w:p>
    <w:p w:rsidR="00601F0B" w:rsidRDefault="00601F0B" w:rsidP="00076291">
      <w:pPr>
        <w:pStyle w:val="ListParagraph"/>
        <w:numPr>
          <w:ilvl w:val="0"/>
          <w:numId w:val="11"/>
        </w:numPr>
        <w:spacing w:before="120" w:after="0" w:line="240" w:lineRule="auto"/>
        <w:ind w:left="714" w:hanging="357"/>
        <w:contextualSpacing w:val="0"/>
      </w:pPr>
      <w:r>
        <w:t>Sales &amp; Marketing</w:t>
      </w:r>
    </w:p>
    <w:p w:rsidR="00601F0B" w:rsidRDefault="00A538B0" w:rsidP="00076291">
      <w:pPr>
        <w:pStyle w:val="ListParagraph"/>
        <w:numPr>
          <w:ilvl w:val="0"/>
          <w:numId w:val="11"/>
        </w:numPr>
        <w:spacing w:before="120" w:after="0" w:line="240" w:lineRule="auto"/>
        <w:ind w:left="714" w:hanging="357"/>
        <w:contextualSpacing w:val="0"/>
      </w:pPr>
      <w:r>
        <w:t xml:space="preserve">Customer </w:t>
      </w:r>
      <w:r w:rsidR="00601F0B">
        <w:t>Service Delivery</w:t>
      </w:r>
      <w:r>
        <w:t xml:space="preserve"> – remote, field and internal</w:t>
      </w:r>
    </w:p>
    <w:p w:rsidR="00A538B0" w:rsidRDefault="00A538B0" w:rsidP="00076291">
      <w:pPr>
        <w:pStyle w:val="ListParagraph"/>
        <w:numPr>
          <w:ilvl w:val="0"/>
          <w:numId w:val="11"/>
        </w:numPr>
        <w:spacing w:before="120" w:after="0" w:line="240" w:lineRule="auto"/>
        <w:ind w:left="714" w:hanging="357"/>
        <w:contextualSpacing w:val="0"/>
      </w:pPr>
      <w:r>
        <w:t>Procurement, stock and order processing</w:t>
      </w:r>
    </w:p>
    <w:p w:rsidR="002B0450" w:rsidRDefault="00A538B0" w:rsidP="002B0450">
      <w:pPr>
        <w:pStyle w:val="ListParagraph"/>
        <w:numPr>
          <w:ilvl w:val="0"/>
          <w:numId w:val="11"/>
        </w:numPr>
        <w:spacing w:before="120" w:after="0" w:line="240" w:lineRule="auto"/>
        <w:ind w:left="714" w:hanging="357"/>
        <w:contextualSpacing w:val="0"/>
      </w:pPr>
      <w:r>
        <w:t>Finance</w:t>
      </w:r>
      <w:r w:rsidR="00076291">
        <w:t xml:space="preserve"> and Administration</w:t>
      </w:r>
    </w:p>
    <w:p w:rsidR="00621209" w:rsidRPr="005A196C" w:rsidRDefault="00621209" w:rsidP="00621209">
      <w:pPr>
        <w:spacing w:before="120" w:after="0" w:line="240" w:lineRule="auto"/>
      </w:pPr>
      <w:r>
        <w:t xml:space="preserve">For more information of the above requirements please refer to </w:t>
      </w:r>
      <w:r w:rsidR="007B6D02">
        <w:t>Enclosure 2</w:t>
      </w:r>
      <w:r>
        <w:t xml:space="preserve">: </w:t>
      </w:r>
      <w:r w:rsidRPr="00621209">
        <w:rPr>
          <w:i/>
        </w:rPr>
        <w:t xml:space="preserve">Datasharp </w:t>
      </w:r>
      <w:r w:rsidR="00566A7D">
        <w:rPr>
          <w:i/>
        </w:rPr>
        <w:t xml:space="preserve">Pre-Scoping </w:t>
      </w:r>
      <w:r w:rsidRPr="00621209">
        <w:rPr>
          <w:i/>
        </w:rPr>
        <w:t>Requirements</w:t>
      </w:r>
      <w:r w:rsidR="0036620F">
        <w:rPr>
          <w:i/>
        </w:rPr>
        <w:t>.</w:t>
      </w:r>
    </w:p>
    <w:p w:rsidR="00763F42" w:rsidRDefault="00763F42" w:rsidP="002B0450"/>
    <w:p w:rsidR="00364E1D" w:rsidRDefault="003A4722" w:rsidP="002B0450">
      <w:r>
        <w:lastRenderedPageBreak/>
        <w:t xml:space="preserve">The implementation will be a comprehensive </w:t>
      </w:r>
      <w:r w:rsidR="00364E1D">
        <w:t xml:space="preserve">replacement of the many </w:t>
      </w:r>
      <w:r w:rsidR="00D0091C">
        <w:t xml:space="preserve">applications, </w:t>
      </w:r>
      <w:r w:rsidR="00364E1D">
        <w:t xml:space="preserve">tools </w:t>
      </w:r>
      <w:r w:rsidR="00D0091C">
        <w:t xml:space="preserve">and processes </w:t>
      </w:r>
      <w:r w:rsidR="00364E1D">
        <w:t>currently use</w:t>
      </w:r>
      <w:r w:rsidR="00D0091C">
        <w:t>d</w:t>
      </w:r>
      <w:r w:rsidR="00364E1D">
        <w:t xml:space="preserve"> at Datasharp.  The project will be complex and will require a team of highly skilled, experienced</w:t>
      </w:r>
      <w:r w:rsidR="00C05EBA">
        <w:t xml:space="preserve">, </w:t>
      </w:r>
      <w:r w:rsidR="00364E1D">
        <w:t xml:space="preserve">practical </w:t>
      </w:r>
      <w:r w:rsidR="00C05EBA">
        <w:t xml:space="preserve">and well-coordinated </w:t>
      </w:r>
      <w:r w:rsidR="00364E1D">
        <w:t xml:space="preserve">individuals </w:t>
      </w:r>
      <w:r w:rsidR="00603CAA">
        <w:t xml:space="preserve">employed by </w:t>
      </w:r>
      <w:r w:rsidR="00364E1D">
        <w:t xml:space="preserve">one service provider.  This team will work closely with Datasharp to see the successful project through, with tight cooperation </w:t>
      </w:r>
      <w:r w:rsidR="006E1A92">
        <w:t xml:space="preserve">and liaison </w:t>
      </w:r>
      <w:r w:rsidR="00364E1D">
        <w:t>between both organisations.</w:t>
      </w:r>
    </w:p>
    <w:p w:rsidR="00A676F7" w:rsidRDefault="00A676F7" w:rsidP="002B0450">
      <w:r>
        <w:t>After extensive analysis of requirements and detailed research into software products</w:t>
      </w:r>
      <w:r w:rsidR="003A4722">
        <w:t xml:space="preserve"> we have established the following overall requirements:</w:t>
      </w:r>
    </w:p>
    <w:p w:rsidR="00A676F7" w:rsidRDefault="004102E3" w:rsidP="004102E3">
      <w:pPr>
        <w:pStyle w:val="ListParagraph"/>
        <w:numPr>
          <w:ilvl w:val="0"/>
          <w:numId w:val="12"/>
        </w:numPr>
        <w:spacing w:before="120" w:after="0" w:line="240" w:lineRule="auto"/>
        <w:contextualSpacing w:val="0"/>
      </w:pPr>
      <w:r w:rsidRPr="004102E3">
        <w:t xml:space="preserve">As a Microsoft Gold Partner Datasharp will be using Microsoft Dynamics 365 </w:t>
      </w:r>
      <w:r w:rsidRPr="00F7481C">
        <w:t>software</w:t>
      </w:r>
      <w:r w:rsidR="00F7481C" w:rsidRPr="00F7481C">
        <w:t xml:space="preserve"> </w:t>
      </w:r>
      <w:r w:rsidRPr="00F7481C">
        <w:t>for</w:t>
      </w:r>
      <w:r w:rsidRPr="004102E3">
        <w:t xml:space="preserve"> this project.  It is likely that we will procure this directly but we welcome cost estimates for the anticipated licence requirements.</w:t>
      </w:r>
    </w:p>
    <w:p w:rsidR="004102E3" w:rsidRDefault="004102E3" w:rsidP="004102E3">
      <w:pPr>
        <w:pStyle w:val="ListParagraph"/>
        <w:numPr>
          <w:ilvl w:val="0"/>
          <w:numId w:val="12"/>
        </w:numPr>
        <w:spacing w:before="120" w:after="0" w:line="240" w:lineRule="auto"/>
        <w:contextualSpacing w:val="0"/>
      </w:pPr>
      <w:r>
        <w:t>The project must be carried out and managed by a single supplier, without involving sub-contractors, ‘partners’ or other companies within a consortium.</w:t>
      </w:r>
    </w:p>
    <w:p w:rsidR="00C62423" w:rsidRDefault="004102E3" w:rsidP="00577A50">
      <w:pPr>
        <w:pStyle w:val="ListParagraph"/>
        <w:numPr>
          <w:ilvl w:val="0"/>
          <w:numId w:val="12"/>
        </w:numPr>
        <w:spacing w:before="120"/>
        <w:ind w:left="714" w:hanging="357"/>
        <w:contextualSpacing w:val="0"/>
      </w:pPr>
      <w:r>
        <w:t>We</w:t>
      </w:r>
      <w:r w:rsidR="00C62423">
        <w:t xml:space="preserve"> require the project team</w:t>
      </w:r>
      <w:r>
        <w:t xml:space="preserve"> of the selected supplier</w:t>
      </w:r>
      <w:r w:rsidR="00C62423">
        <w:t xml:space="preserve"> to have extremely good knowle</w:t>
      </w:r>
      <w:r w:rsidR="00823956">
        <w:t xml:space="preserve">dge </w:t>
      </w:r>
      <w:r w:rsidR="00C62423">
        <w:t xml:space="preserve">and practical experience </w:t>
      </w:r>
      <w:r w:rsidR="002D1334">
        <w:t xml:space="preserve">with </w:t>
      </w:r>
      <w:r w:rsidR="00C62423">
        <w:t xml:space="preserve">successful implementations </w:t>
      </w:r>
      <w:r w:rsidR="00823956">
        <w:t xml:space="preserve">of </w:t>
      </w:r>
      <w:r w:rsidR="00900476">
        <w:t xml:space="preserve">Microsoft </w:t>
      </w:r>
      <w:r w:rsidR="009F5356">
        <w:t>ERP and CRM software, including Field Service and Project Service Automation.</w:t>
      </w:r>
    </w:p>
    <w:p w:rsidR="007D15B9" w:rsidRDefault="007D15B9" w:rsidP="00A87CC3">
      <w:r>
        <w:t xml:space="preserve">The objective is to complete the implementation of the software during the Summer of 2017. </w:t>
      </w:r>
    </w:p>
    <w:p w:rsidR="00577A50" w:rsidRDefault="00577A50" w:rsidP="00577A50">
      <w:pPr>
        <w:spacing w:before="120" w:after="0" w:line="240" w:lineRule="auto"/>
      </w:pPr>
      <w:r w:rsidRPr="00577A50">
        <w:t>The purchase of this system is part of a grant funded application process and therefore procurement will be subject to grant approval of the project as a whole</w:t>
      </w:r>
      <w:r w:rsidRPr="00023C49">
        <w:t xml:space="preserve">. We will </w:t>
      </w:r>
      <w:r w:rsidR="00B13887" w:rsidRPr="00023C49">
        <w:t>award the contract to the lowest compliant bid.</w:t>
      </w:r>
    </w:p>
    <w:p w:rsidR="00AC4B1C" w:rsidRPr="00577A50" w:rsidRDefault="00AC4B1C" w:rsidP="00577A50">
      <w:pPr>
        <w:spacing w:before="120" w:after="0" w:line="240" w:lineRule="auto"/>
      </w:pPr>
    </w:p>
    <w:p w:rsidR="00DF1F5C" w:rsidRPr="00365BCC" w:rsidRDefault="007230DE" w:rsidP="00DF1F5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4" w:name="_Toc474747016"/>
      <w:r>
        <w:rPr>
          <w:rStyle w:val="Heading1Char"/>
        </w:rPr>
        <w:t xml:space="preserve">2 </w:t>
      </w:r>
      <w:r w:rsidR="00AC4B1C">
        <w:rPr>
          <w:rStyle w:val="Heading1Char"/>
        </w:rPr>
        <w:t>Project</w:t>
      </w:r>
      <w:r w:rsidR="00DF1F5C">
        <w:rPr>
          <w:rStyle w:val="Heading1Char"/>
        </w:rPr>
        <w:t xml:space="preserve"> Specifications</w:t>
      </w:r>
      <w:bookmarkEnd w:id="4"/>
    </w:p>
    <w:p w:rsidR="006A47D2" w:rsidRDefault="006A47D2" w:rsidP="006A47D2">
      <w:r>
        <w:t xml:space="preserve">In the requirements documents </w:t>
      </w:r>
      <w:r w:rsidRPr="00F7481C">
        <w:t xml:space="preserve">listed in </w:t>
      </w:r>
      <w:r w:rsidR="007B6D02" w:rsidRPr="00F7481C">
        <w:t xml:space="preserve">Enclosure 2 </w:t>
      </w:r>
      <w:r w:rsidRPr="00F7481C">
        <w:t>we</w:t>
      </w:r>
      <w:r>
        <w:t xml:space="preserve"> have mapped out the functional areas of our business in a way that is not dependent on the current structure of Datasharp’s business and its departments.  The diagram is a definition of each part of the business operation that will combine to produce a full and comprehensively integrated whole system, using the methods built into the new software.  The</w:t>
      </w:r>
      <w:r w:rsidR="00876273">
        <w:t xml:space="preserve"> second document is list of currently known </w:t>
      </w:r>
      <w:r>
        <w:t>requirements based on that diagram</w:t>
      </w:r>
      <w:r w:rsidR="00876273">
        <w:t xml:space="preserve"> and prior to a full scoping exercise at the start of the project</w:t>
      </w:r>
      <w:r>
        <w:t>.</w:t>
      </w:r>
    </w:p>
    <w:p w:rsidR="00E2163B" w:rsidRDefault="00E2163B" w:rsidP="00BD75C6">
      <w:r>
        <w:t>This implementation will include:</w:t>
      </w:r>
    </w:p>
    <w:p w:rsidR="00E576A6" w:rsidRDefault="00E576A6" w:rsidP="00E576A6">
      <w:pPr>
        <w:pStyle w:val="ListParagraph"/>
        <w:numPr>
          <w:ilvl w:val="0"/>
          <w:numId w:val="13"/>
        </w:numPr>
        <w:spacing w:after="0" w:line="240" w:lineRule="auto"/>
      </w:pPr>
      <w:r>
        <w:t>Installation</w:t>
      </w:r>
    </w:p>
    <w:p w:rsidR="00E2163B" w:rsidRDefault="00E2163B">
      <w:pPr>
        <w:pStyle w:val="ListParagraph"/>
        <w:numPr>
          <w:ilvl w:val="0"/>
          <w:numId w:val="13"/>
        </w:numPr>
        <w:spacing w:after="0" w:line="240" w:lineRule="auto"/>
      </w:pPr>
      <w:r>
        <w:t>Scoping</w:t>
      </w:r>
      <w:r w:rsidR="006A47D2">
        <w:t xml:space="preserve"> &amp; </w:t>
      </w:r>
      <w:r>
        <w:t>Design</w:t>
      </w:r>
    </w:p>
    <w:p w:rsidR="00E2163B" w:rsidRDefault="00E2163B" w:rsidP="00E2163B">
      <w:pPr>
        <w:pStyle w:val="ListParagraph"/>
        <w:numPr>
          <w:ilvl w:val="0"/>
          <w:numId w:val="13"/>
        </w:numPr>
        <w:spacing w:after="0" w:line="240" w:lineRule="auto"/>
      </w:pPr>
      <w:r>
        <w:t>Configuration</w:t>
      </w:r>
    </w:p>
    <w:p w:rsidR="00E2163B" w:rsidRDefault="00E2163B" w:rsidP="00E2163B">
      <w:pPr>
        <w:pStyle w:val="ListParagraph"/>
        <w:numPr>
          <w:ilvl w:val="0"/>
          <w:numId w:val="13"/>
        </w:numPr>
        <w:spacing w:after="0" w:line="240" w:lineRule="auto"/>
      </w:pPr>
      <w:r>
        <w:t>Development (where required)</w:t>
      </w:r>
    </w:p>
    <w:p w:rsidR="00E2163B" w:rsidRDefault="00E2163B" w:rsidP="00E2163B">
      <w:pPr>
        <w:pStyle w:val="ListParagraph"/>
        <w:numPr>
          <w:ilvl w:val="0"/>
          <w:numId w:val="13"/>
        </w:numPr>
        <w:spacing w:after="0" w:line="240" w:lineRule="auto"/>
      </w:pPr>
      <w:r>
        <w:t>Integration</w:t>
      </w:r>
      <w:r w:rsidR="006A2195">
        <w:t xml:space="preserve"> and data migration</w:t>
      </w:r>
      <w:r>
        <w:t xml:space="preserve"> between existing or new elements</w:t>
      </w:r>
    </w:p>
    <w:p w:rsidR="006A2195" w:rsidRDefault="006A2195" w:rsidP="006A2195">
      <w:pPr>
        <w:pStyle w:val="ListParagraph"/>
        <w:numPr>
          <w:ilvl w:val="0"/>
          <w:numId w:val="13"/>
        </w:numPr>
        <w:spacing w:after="0" w:line="240" w:lineRule="auto"/>
      </w:pPr>
      <w:r>
        <w:t>Testing and pilots</w:t>
      </w:r>
    </w:p>
    <w:p w:rsidR="00E2163B" w:rsidRDefault="00310A2D" w:rsidP="00E2163B">
      <w:pPr>
        <w:pStyle w:val="ListParagraph"/>
        <w:numPr>
          <w:ilvl w:val="0"/>
          <w:numId w:val="13"/>
        </w:numPr>
        <w:spacing w:after="0" w:line="240" w:lineRule="auto"/>
      </w:pPr>
      <w:r w:rsidRPr="00F7481C">
        <w:t xml:space="preserve">Commissioning </w:t>
      </w:r>
      <w:r w:rsidR="006A2195" w:rsidRPr="00F7481C">
        <w:t>and</w:t>
      </w:r>
      <w:r w:rsidR="006A2195">
        <w:t xml:space="preserve"> User Acceptance</w:t>
      </w:r>
    </w:p>
    <w:p w:rsidR="00E2163B" w:rsidRDefault="00E2163B" w:rsidP="00BD75C6">
      <w:pPr>
        <w:pStyle w:val="ListParagraph"/>
        <w:numPr>
          <w:ilvl w:val="0"/>
          <w:numId w:val="13"/>
        </w:numPr>
        <w:spacing w:after="0" w:line="240" w:lineRule="auto"/>
      </w:pPr>
      <w:r>
        <w:t>Project Management</w:t>
      </w:r>
    </w:p>
    <w:p w:rsidR="008E1A0F" w:rsidRDefault="008E1A0F" w:rsidP="00BD75C6"/>
    <w:p w:rsidR="000A2D79" w:rsidRPr="00B149D1" w:rsidRDefault="00B81F63">
      <w:pPr>
        <w:rPr>
          <w:rStyle w:val="Heading1Char"/>
          <w:rFonts w:asciiTheme="minorHAnsi" w:hAnsiTheme="minorHAnsi"/>
          <w:b/>
          <w:sz w:val="24"/>
          <w:szCs w:val="26"/>
        </w:rPr>
      </w:pPr>
      <w:r w:rsidRPr="00F7481C">
        <w:t>Your response should clearly demonstrate how the application of</w:t>
      </w:r>
      <w:r w:rsidR="006754E3" w:rsidRPr="00F7481C">
        <w:t xml:space="preserve"> Microsoft Dynamics </w:t>
      </w:r>
      <w:r w:rsidR="00B12886" w:rsidRPr="00F7481C">
        <w:t>365 Enterprise with Operations (AX)</w:t>
      </w:r>
      <w:r w:rsidR="006754E3" w:rsidRPr="00F7481C">
        <w:t xml:space="preserve"> and CRM along with the required configuration services, </w:t>
      </w:r>
      <w:r w:rsidRPr="00F7481C">
        <w:t xml:space="preserve">meets or exceeds </w:t>
      </w:r>
      <w:r w:rsidR="006754E3" w:rsidRPr="00F7481C">
        <w:t xml:space="preserve">the requirements </w:t>
      </w:r>
      <w:r w:rsidR="0036620F" w:rsidRPr="00F7481C">
        <w:t xml:space="preserve">as </w:t>
      </w:r>
      <w:r w:rsidR="006E0F49" w:rsidRPr="00F7481C">
        <w:t>specified in</w:t>
      </w:r>
      <w:r w:rsidRPr="00F7481C">
        <w:t xml:space="preserve"> the</w:t>
      </w:r>
      <w:r w:rsidR="006E0F49" w:rsidRPr="00F7481C">
        <w:t xml:space="preserve"> </w:t>
      </w:r>
      <w:r w:rsidR="00B149D1">
        <w:t>Enclosure 2</w:t>
      </w:r>
      <w:r w:rsidR="0036620F" w:rsidRPr="00F7481C">
        <w:t xml:space="preserve"> document</w:t>
      </w:r>
      <w:r w:rsidR="00B149D1">
        <w:t>s.</w:t>
      </w:r>
    </w:p>
    <w:p w:rsidR="00AD3BF4" w:rsidRPr="00365BCC" w:rsidRDefault="00913B05" w:rsidP="00AD3BF4">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5" w:name="_Toc474747017"/>
      <w:r>
        <w:rPr>
          <w:rStyle w:val="Heading1Char"/>
        </w:rPr>
        <w:lastRenderedPageBreak/>
        <w:t xml:space="preserve">3 </w:t>
      </w:r>
      <w:r w:rsidR="003C5EE6">
        <w:rPr>
          <w:rStyle w:val="Heading1Char"/>
        </w:rPr>
        <w:t>ITT Timetable</w:t>
      </w:r>
      <w:bookmarkEnd w:id="5"/>
    </w:p>
    <w:p w:rsidR="00B36A19" w:rsidRPr="00CB5C71" w:rsidRDefault="00B36A19" w:rsidP="00B36A19">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B36A19" w:rsidRPr="00CB5C71" w:rsidTr="00F23511">
        <w:trPr>
          <w:jc w:val="center"/>
        </w:trPr>
        <w:tc>
          <w:tcPr>
            <w:tcW w:w="3935" w:type="dxa"/>
            <w:shd w:val="clear" w:color="auto" w:fill="auto"/>
          </w:tcPr>
          <w:p w:rsidR="00B36A19" w:rsidRPr="002B1BAD" w:rsidRDefault="00B36A19" w:rsidP="00F23511">
            <w:r w:rsidRPr="002B1BAD">
              <w:t>Activity</w:t>
            </w:r>
          </w:p>
        </w:tc>
        <w:tc>
          <w:tcPr>
            <w:tcW w:w="3781" w:type="dxa"/>
            <w:shd w:val="clear" w:color="auto" w:fill="auto"/>
          </w:tcPr>
          <w:p w:rsidR="00B36A19" w:rsidRPr="002B1BAD" w:rsidRDefault="00B36A19" w:rsidP="00F23511">
            <w:r w:rsidRPr="002B1BAD">
              <w:t>Date</w:t>
            </w:r>
          </w:p>
        </w:tc>
      </w:tr>
      <w:tr w:rsidR="00B36A19" w:rsidRPr="00CB5C71" w:rsidTr="00F23511">
        <w:trPr>
          <w:jc w:val="center"/>
        </w:trPr>
        <w:tc>
          <w:tcPr>
            <w:tcW w:w="3935" w:type="dxa"/>
            <w:shd w:val="clear" w:color="auto" w:fill="auto"/>
          </w:tcPr>
          <w:p w:rsidR="00B36A19" w:rsidRPr="002B1BAD" w:rsidRDefault="00B36A19" w:rsidP="00F23511">
            <w:r w:rsidRPr="002B1BAD">
              <w:t>Date ITT available on Contracts Finder</w:t>
            </w:r>
          </w:p>
        </w:tc>
        <w:tc>
          <w:tcPr>
            <w:tcW w:w="3781" w:type="dxa"/>
            <w:shd w:val="clear" w:color="auto" w:fill="auto"/>
          </w:tcPr>
          <w:p w:rsidR="00B36A19" w:rsidRPr="002B1BAD" w:rsidRDefault="002B1BAD" w:rsidP="00F23511">
            <w:r w:rsidRPr="002B1BAD">
              <w:t>13</w:t>
            </w:r>
            <w:r w:rsidRPr="002B1BAD">
              <w:rPr>
                <w:vertAlign w:val="superscript"/>
              </w:rPr>
              <w:t>th</w:t>
            </w:r>
            <w:r w:rsidRPr="002B1BAD">
              <w:t xml:space="preserve"> March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raising queries</w:t>
            </w:r>
          </w:p>
        </w:tc>
        <w:tc>
          <w:tcPr>
            <w:tcW w:w="3781" w:type="dxa"/>
            <w:shd w:val="clear" w:color="auto" w:fill="auto"/>
          </w:tcPr>
          <w:p w:rsidR="00B36A19" w:rsidRPr="002B1BAD" w:rsidRDefault="002B1BAD" w:rsidP="007B6D02">
            <w:r w:rsidRPr="002B1BAD">
              <w:t>20</w:t>
            </w:r>
            <w:r w:rsidRPr="002B1BAD">
              <w:rPr>
                <w:vertAlign w:val="superscript"/>
              </w:rPr>
              <w:t>th</w:t>
            </w:r>
            <w:r w:rsidRPr="002B1BAD">
              <w:t xml:space="preserve"> March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clarifications to queries</w:t>
            </w:r>
          </w:p>
        </w:tc>
        <w:tc>
          <w:tcPr>
            <w:tcW w:w="3781" w:type="dxa"/>
            <w:shd w:val="clear" w:color="auto" w:fill="auto"/>
          </w:tcPr>
          <w:p w:rsidR="00B36A19" w:rsidRPr="002B1BAD" w:rsidRDefault="002B1BAD" w:rsidP="007B6D02">
            <w:r w:rsidRPr="002B1BAD">
              <w:t>27</w:t>
            </w:r>
            <w:r w:rsidRPr="002B1BAD">
              <w:rPr>
                <w:vertAlign w:val="superscript"/>
              </w:rPr>
              <w:t>th</w:t>
            </w:r>
            <w:r w:rsidRPr="002B1BAD">
              <w:t xml:space="preserve"> March 2017</w:t>
            </w:r>
          </w:p>
        </w:tc>
      </w:tr>
      <w:tr w:rsidR="00B36A19" w:rsidRPr="00CB5C71" w:rsidTr="00F23511">
        <w:trPr>
          <w:jc w:val="center"/>
        </w:trPr>
        <w:tc>
          <w:tcPr>
            <w:tcW w:w="3935" w:type="dxa"/>
            <w:shd w:val="clear" w:color="auto" w:fill="auto"/>
          </w:tcPr>
          <w:p w:rsidR="00B36A19" w:rsidRPr="002B1BAD" w:rsidRDefault="00B36A19" w:rsidP="00F23511">
            <w:r w:rsidRPr="002B1BAD">
              <w:t>Deadline to return ITT</w:t>
            </w:r>
          </w:p>
        </w:tc>
        <w:tc>
          <w:tcPr>
            <w:tcW w:w="3781" w:type="dxa"/>
            <w:shd w:val="clear" w:color="auto" w:fill="auto"/>
          </w:tcPr>
          <w:p w:rsidR="00B36A19" w:rsidRPr="002B1BAD" w:rsidRDefault="002B1BAD" w:rsidP="007B6D02">
            <w:r w:rsidRPr="002B1BAD">
              <w:t>3</w:t>
            </w:r>
            <w:r w:rsidRPr="002B1BAD">
              <w:rPr>
                <w:vertAlign w:val="superscript"/>
              </w:rPr>
              <w:t>rd</w:t>
            </w:r>
            <w:r w:rsidRPr="002B1BAD">
              <w:t xml:space="preserve"> April 2017</w:t>
            </w:r>
          </w:p>
        </w:tc>
      </w:tr>
      <w:tr w:rsidR="00B36A19" w:rsidRPr="00CB5C71" w:rsidTr="00F23511">
        <w:trPr>
          <w:jc w:val="center"/>
        </w:trPr>
        <w:tc>
          <w:tcPr>
            <w:tcW w:w="3935" w:type="dxa"/>
            <w:shd w:val="clear" w:color="auto" w:fill="auto"/>
          </w:tcPr>
          <w:p w:rsidR="00B36A19" w:rsidRPr="002B1BAD" w:rsidRDefault="00B36A19" w:rsidP="00F23511">
            <w:r w:rsidRPr="002B1BAD">
              <w:t>Evaluation of ITT</w:t>
            </w:r>
          </w:p>
        </w:tc>
        <w:tc>
          <w:tcPr>
            <w:tcW w:w="3781" w:type="dxa"/>
            <w:shd w:val="clear" w:color="auto" w:fill="auto"/>
          </w:tcPr>
          <w:p w:rsidR="00B36A19" w:rsidRPr="002B1BAD" w:rsidRDefault="002B1BAD" w:rsidP="007B6D02">
            <w:r w:rsidRPr="002B1BAD">
              <w:t>7</w:t>
            </w:r>
            <w:r w:rsidRPr="002B1BAD">
              <w:rPr>
                <w:vertAlign w:val="superscript"/>
              </w:rPr>
              <w:t>th</w:t>
            </w:r>
            <w:r w:rsidRPr="002B1BAD">
              <w:t xml:space="preserve"> April 2017</w:t>
            </w:r>
            <w:r w:rsidR="00B1349A" w:rsidRPr="002B1BAD">
              <w:t xml:space="preserve">  </w:t>
            </w:r>
          </w:p>
        </w:tc>
      </w:tr>
      <w:tr w:rsidR="00B36A19" w:rsidRPr="00CB5C71" w:rsidTr="00F23511">
        <w:trPr>
          <w:jc w:val="center"/>
        </w:trPr>
        <w:tc>
          <w:tcPr>
            <w:tcW w:w="3935" w:type="dxa"/>
            <w:shd w:val="clear" w:color="auto" w:fill="auto"/>
          </w:tcPr>
          <w:p w:rsidR="00B36A19" w:rsidRPr="00BD79EC" w:rsidRDefault="00B36A19" w:rsidP="00F23511">
            <w:r w:rsidRPr="00BD79EC">
              <w:t>Award of Contract</w:t>
            </w:r>
            <w:r>
              <w:t xml:space="preserve"> </w:t>
            </w:r>
          </w:p>
        </w:tc>
        <w:tc>
          <w:tcPr>
            <w:tcW w:w="3781" w:type="dxa"/>
            <w:shd w:val="clear" w:color="auto" w:fill="auto"/>
          </w:tcPr>
          <w:p w:rsidR="00B36A19" w:rsidRPr="00B5663A" w:rsidRDefault="00B36A19" w:rsidP="00F23511">
            <w:r>
              <w:t>This is subject to successfully obtaining grant funding and will normally be no later than 90 days from contract evaluation</w:t>
            </w:r>
          </w:p>
        </w:tc>
      </w:tr>
    </w:tbl>
    <w:p w:rsidR="00B36A19" w:rsidRDefault="00B36A19" w:rsidP="00B36A19">
      <w:pPr>
        <w:rPr>
          <w:b/>
          <w:sz w:val="24"/>
          <w:szCs w:val="24"/>
        </w:rPr>
      </w:pPr>
    </w:p>
    <w:p w:rsidR="003C5EE6" w:rsidRPr="00365BCC" w:rsidRDefault="00913B05" w:rsidP="003C5EE6">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6" w:name="_Toc474747018"/>
      <w:r>
        <w:rPr>
          <w:rStyle w:val="Heading1Char"/>
        </w:rPr>
        <w:t xml:space="preserve">4 </w:t>
      </w:r>
      <w:r w:rsidR="003C5EE6">
        <w:rPr>
          <w:rStyle w:val="Heading1Char"/>
        </w:rPr>
        <w:t>Conflicts of Interest</w:t>
      </w:r>
      <w:bookmarkEnd w:id="6"/>
    </w:p>
    <w:p w:rsidR="003C5EE6" w:rsidRPr="006D2C78" w:rsidRDefault="003C5EE6" w:rsidP="003C5EE6">
      <w:pPr>
        <w:spacing w:before="120" w:after="120" w:line="240" w:lineRule="auto"/>
        <w:jc w:val="both"/>
      </w:pPr>
      <w:r w:rsidRPr="006D2C78">
        <w:t>Please provide a statement with regards to a conflict of interest for this procurement through the provision of either:</w:t>
      </w:r>
    </w:p>
    <w:p w:rsidR="003C5EE6" w:rsidRDefault="003C5EE6" w:rsidP="003C5EE6">
      <w:pPr>
        <w:spacing w:before="120" w:after="120" w:line="240" w:lineRule="auto"/>
        <w:jc w:val="both"/>
      </w:pPr>
      <w:r w:rsidRPr="006D2C78">
        <w:t xml:space="preserve">A Declaration that to your knowledge there is no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3C5EE6" w:rsidRPr="006D2C78" w:rsidRDefault="003C5EE6" w:rsidP="003C5EE6">
      <w:pPr>
        <w:spacing w:before="120" w:after="120" w:line="240" w:lineRule="auto"/>
        <w:jc w:val="both"/>
      </w:pPr>
      <w:r w:rsidRPr="006D2C78">
        <w:t>Or</w:t>
      </w:r>
      <w:r w:rsidR="00785CC4">
        <w:t>:</w:t>
      </w:r>
    </w:p>
    <w:p w:rsidR="003C5EE6" w:rsidRPr="006D2C78" w:rsidRDefault="003C5EE6" w:rsidP="003C5EE6">
      <w:pPr>
        <w:spacing w:before="120" w:after="120" w:line="240" w:lineRule="auto"/>
        <w:jc w:val="both"/>
      </w:pPr>
      <w:r w:rsidRPr="006D2C78">
        <w:t xml:space="preserve">A Declaration that there is a likely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7F5F29" w:rsidRDefault="007F5F29" w:rsidP="003C5EE6">
      <w:pPr>
        <w:spacing w:before="120" w:after="120" w:line="240" w:lineRule="auto"/>
        <w:jc w:val="both"/>
      </w:pPr>
    </w:p>
    <w:p w:rsidR="003C5EE6" w:rsidRPr="006D2C78" w:rsidRDefault="003C5EE6" w:rsidP="003C5EE6">
      <w:pPr>
        <w:spacing w:before="120" w:after="120" w:line="240" w:lineRule="auto"/>
        <w:jc w:val="both"/>
      </w:pPr>
      <w:r>
        <w:t xml:space="preserve">This will permit </w:t>
      </w:r>
      <w:r w:rsidR="00267FE3">
        <w:t>Datasharp</w:t>
      </w:r>
      <w:r>
        <w:t>,</w:t>
      </w:r>
      <w:r w:rsidRPr="006D2C78">
        <w:t xml:space="preserve"> </w:t>
      </w:r>
      <w:r>
        <w:t xml:space="preserve">in the event of </w:t>
      </w:r>
      <w:r w:rsidRPr="006D2C78">
        <w:t>a conflict</w:t>
      </w:r>
      <w:r>
        <w:t xml:space="preserve"> of interest, to take appropriate steps to ensure </w:t>
      </w:r>
      <w:r w:rsidRPr="006D2C78">
        <w:t xml:space="preserve">that the evaluation of any submission will be undertaken by an independent and impartial </w:t>
      </w:r>
      <w:r>
        <w:t>party</w:t>
      </w:r>
      <w:r w:rsidRPr="006D2C78">
        <w:t>.</w:t>
      </w:r>
    </w:p>
    <w:p w:rsidR="003C5EE6" w:rsidRPr="006D2C78" w:rsidRDefault="003C5EE6" w:rsidP="003C5EE6">
      <w:pPr>
        <w:spacing w:before="120" w:after="120" w:line="240" w:lineRule="auto"/>
        <w:jc w:val="both"/>
      </w:pPr>
    </w:p>
    <w:p w:rsidR="003C5EE6" w:rsidRPr="006D2C78" w:rsidRDefault="003C5EE6" w:rsidP="003C5EE6">
      <w:pPr>
        <w:spacing w:before="120" w:after="120" w:line="240" w:lineRule="auto"/>
        <w:jc w:val="both"/>
        <w:rPr>
          <w:b/>
        </w:rPr>
      </w:pPr>
      <w:r w:rsidRPr="006D2C78">
        <w:rPr>
          <w:b/>
        </w:rPr>
        <w:t>Exclusion</w:t>
      </w:r>
    </w:p>
    <w:p w:rsidR="003C5EE6" w:rsidRPr="006D2C78" w:rsidRDefault="00267FE3" w:rsidP="003C5EE6">
      <w:pPr>
        <w:spacing w:before="120" w:after="120" w:line="240" w:lineRule="auto"/>
        <w:jc w:val="both"/>
      </w:pPr>
      <w:r>
        <w:t>Datasharp</w:t>
      </w:r>
      <w:r w:rsidR="003C5EE6" w:rsidRPr="006D2C78">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rsidR="00B149D1" w:rsidRDefault="003C5EE6" w:rsidP="003C5EE6">
      <w:pPr>
        <w:spacing w:before="120" w:after="120" w:line="240" w:lineRule="auto"/>
        <w:jc w:val="both"/>
      </w:pPr>
      <w:r w:rsidRPr="006D2C78">
        <w:tab/>
      </w:r>
    </w:p>
    <w:p w:rsidR="00B149D1" w:rsidRDefault="00B149D1" w:rsidP="003C5EE6">
      <w:pPr>
        <w:spacing w:before="120" w:after="120" w:line="240" w:lineRule="auto"/>
        <w:jc w:val="both"/>
      </w:pPr>
    </w:p>
    <w:p w:rsidR="003C5EE6" w:rsidRPr="006D2C78" w:rsidRDefault="003C5EE6" w:rsidP="00B149D1">
      <w:pPr>
        <w:spacing w:before="120" w:after="120" w:line="240" w:lineRule="auto"/>
        <w:ind w:firstLine="720"/>
        <w:jc w:val="both"/>
      </w:pPr>
      <w:r w:rsidRPr="006D2C78">
        <w:lastRenderedPageBreak/>
        <w:t>Participation in a criminal organisation</w:t>
      </w:r>
    </w:p>
    <w:p w:rsidR="003C5EE6" w:rsidRPr="006D2C78" w:rsidRDefault="003C5EE6" w:rsidP="003C5EE6">
      <w:pPr>
        <w:spacing w:before="120" w:after="120" w:line="240" w:lineRule="auto"/>
        <w:jc w:val="both"/>
      </w:pPr>
      <w:r w:rsidRPr="006D2C78">
        <w:tab/>
        <w:t>Corruption</w:t>
      </w:r>
    </w:p>
    <w:p w:rsidR="003C5EE6" w:rsidRPr="006D2C78" w:rsidRDefault="003C5EE6" w:rsidP="003C5EE6">
      <w:pPr>
        <w:spacing w:before="120" w:after="120" w:line="240" w:lineRule="auto"/>
        <w:jc w:val="both"/>
      </w:pPr>
      <w:r w:rsidRPr="006D2C78">
        <w:tab/>
        <w:t>Fraud</w:t>
      </w:r>
    </w:p>
    <w:p w:rsidR="003C5EE6" w:rsidRPr="006D2C78" w:rsidRDefault="003C5EE6" w:rsidP="003C5EE6">
      <w:pPr>
        <w:spacing w:before="120" w:after="120" w:line="240" w:lineRule="auto"/>
        <w:jc w:val="both"/>
      </w:pPr>
      <w:r w:rsidRPr="006D2C78">
        <w:tab/>
        <w:t>Terrorist offences or offences linked to terrorist activities</w:t>
      </w:r>
    </w:p>
    <w:p w:rsidR="007F5F29" w:rsidRPr="006D2C78" w:rsidRDefault="003C5EE6" w:rsidP="003C5EE6">
      <w:pPr>
        <w:spacing w:before="120" w:after="120" w:line="240" w:lineRule="auto"/>
        <w:jc w:val="both"/>
      </w:pPr>
      <w:r w:rsidRPr="006D2C78">
        <w:tab/>
        <w:t>Money laundering or terr</w:t>
      </w:r>
      <w:r>
        <w:t>or</w:t>
      </w:r>
      <w:r w:rsidRPr="006D2C78">
        <w:t>ist financing</w:t>
      </w:r>
    </w:p>
    <w:p w:rsidR="00453436" w:rsidRDefault="003C5EE6" w:rsidP="00B149D1">
      <w:pPr>
        <w:spacing w:before="120" w:after="120" w:line="240" w:lineRule="auto"/>
        <w:ind w:firstLine="720"/>
        <w:jc w:val="both"/>
      </w:pPr>
      <w:r w:rsidRPr="006D2C78">
        <w:t>Child labour and other forms of trafficking in human beings</w:t>
      </w:r>
    </w:p>
    <w:p w:rsidR="00B149D1" w:rsidRDefault="00B149D1" w:rsidP="00B149D1">
      <w:pPr>
        <w:spacing w:before="120" w:after="120" w:line="240" w:lineRule="auto"/>
        <w:ind w:firstLine="720"/>
        <w:jc w:val="both"/>
      </w:pPr>
    </w:p>
    <w:p w:rsidR="003C5EE6" w:rsidRPr="00365BCC" w:rsidRDefault="00913B05" w:rsidP="003C5EE6">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7" w:name="_Toc474747019"/>
      <w:r>
        <w:rPr>
          <w:rStyle w:val="Heading1Char"/>
        </w:rPr>
        <w:t xml:space="preserve">5 </w:t>
      </w:r>
      <w:r w:rsidR="003C5EE6">
        <w:rPr>
          <w:rStyle w:val="Heading1Char"/>
        </w:rPr>
        <w:t>Consortium or sub-contracting</w:t>
      </w:r>
      <w:bookmarkEnd w:id="7"/>
    </w:p>
    <w:p w:rsidR="003C5EE6" w:rsidRDefault="004102E3" w:rsidP="00DB4446">
      <w:pPr>
        <w:spacing w:before="120" w:after="0" w:line="240" w:lineRule="auto"/>
        <w:rPr>
          <w:rFonts w:cstheme="minorHAnsi"/>
        </w:rPr>
      </w:pPr>
      <w:r>
        <w:t>The project must be carried out and managed by a single supplier, without involving sub-contractors, ‘partners’ or other companies within a consortium.</w:t>
      </w:r>
      <w:r w:rsidR="00DB4446">
        <w:rPr>
          <w:rFonts w:cstheme="minorHAnsi"/>
        </w:rPr>
        <w:t xml:space="preserve"> A</w:t>
      </w:r>
      <w:r w:rsidR="003C5EE6" w:rsidRPr="003C5EE6">
        <w:rPr>
          <w:rFonts w:cstheme="minorHAnsi"/>
        </w:rPr>
        <w:t xml:space="preserve">ll information requested should be given in respect of the proposed </w:t>
      </w:r>
      <w:r w:rsidR="00DB4446">
        <w:rPr>
          <w:rFonts w:cstheme="minorHAnsi"/>
        </w:rPr>
        <w:t>contractor.</w:t>
      </w:r>
    </w:p>
    <w:p w:rsidR="00D52212" w:rsidRPr="00DB4446" w:rsidRDefault="00D52212" w:rsidP="00DB4446">
      <w:pPr>
        <w:spacing w:before="120" w:after="0" w:line="240" w:lineRule="auto"/>
      </w:pPr>
    </w:p>
    <w:p w:rsidR="0000702C" w:rsidRPr="00365BCC" w:rsidRDefault="00913B05" w:rsidP="0000702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8" w:name="_Toc474747020"/>
      <w:r>
        <w:rPr>
          <w:rStyle w:val="Heading1Char"/>
        </w:rPr>
        <w:t xml:space="preserve">6 </w:t>
      </w:r>
      <w:r w:rsidR="0000702C">
        <w:rPr>
          <w:rStyle w:val="Heading1Char"/>
        </w:rPr>
        <w:t>Tender Application Requirements</w:t>
      </w:r>
      <w:bookmarkEnd w:id="8"/>
    </w:p>
    <w:p w:rsidR="0000702C" w:rsidRPr="00A87CC3" w:rsidRDefault="0000702C" w:rsidP="0000702C">
      <w:r w:rsidRPr="00A87CC3">
        <w:t xml:space="preserve">Please provide </w:t>
      </w:r>
      <w:r w:rsidR="00F85FE0">
        <w:t>pdf files</w:t>
      </w:r>
      <w:r w:rsidRPr="00A87CC3">
        <w:t xml:space="preserve"> of your application which should include: </w:t>
      </w:r>
    </w:p>
    <w:p w:rsidR="0000702C" w:rsidRPr="00F7481C" w:rsidRDefault="0000702C" w:rsidP="0000702C">
      <w:pPr>
        <w:numPr>
          <w:ilvl w:val="0"/>
          <w:numId w:val="15"/>
        </w:numPr>
        <w:spacing w:after="200" w:line="276" w:lineRule="auto"/>
      </w:pPr>
      <w:r w:rsidRPr="00A87CC3">
        <w:t xml:space="preserve">Confirmation </w:t>
      </w:r>
      <w:r w:rsidRPr="00097DFA">
        <w:t>that you the supplier</w:t>
      </w:r>
      <w:r w:rsidRPr="00A87CC3">
        <w:t xml:space="preserve"> are able to meet the </w:t>
      </w:r>
      <w:r w:rsidRPr="00F7481C">
        <w:t>req</w:t>
      </w:r>
      <w:r w:rsidR="0036620F" w:rsidRPr="00F7481C">
        <w:t>uirements outlined in the brief</w:t>
      </w:r>
    </w:p>
    <w:p w:rsidR="0000702C" w:rsidRPr="00023C49" w:rsidRDefault="00097DFA" w:rsidP="0000702C">
      <w:pPr>
        <w:numPr>
          <w:ilvl w:val="0"/>
          <w:numId w:val="15"/>
        </w:numPr>
        <w:spacing w:after="200" w:line="276" w:lineRule="auto"/>
      </w:pPr>
      <w:r w:rsidRPr="00023C49">
        <w:t>The following r</w:t>
      </w:r>
      <w:r w:rsidR="0000702C" w:rsidRPr="00023C49">
        <w:t>eference</w:t>
      </w:r>
      <w:r w:rsidRPr="00023C49">
        <w:t xml:space="preserve"> </w:t>
      </w:r>
      <w:r w:rsidR="00B13887" w:rsidRPr="00023C49">
        <w:t>must be included in any correspondence</w:t>
      </w:r>
      <w:r w:rsidR="0000702C" w:rsidRPr="00023C49">
        <w:t>:</w:t>
      </w:r>
      <w:r w:rsidR="0000702C" w:rsidRPr="00023C49">
        <w:rPr>
          <w:b/>
        </w:rPr>
        <w:t xml:space="preserve">  </w:t>
      </w:r>
      <w:r w:rsidR="00F40A08" w:rsidRPr="00023C49">
        <w:t>DUKERP BIG2</w:t>
      </w:r>
      <w:r w:rsidR="00B81F63" w:rsidRPr="00023C49">
        <w:t>081</w:t>
      </w:r>
      <w:r w:rsidR="00B13887" w:rsidRPr="00023C49">
        <w:t>. In particular, this reference must be used in the subject of any email.</w:t>
      </w:r>
    </w:p>
    <w:p w:rsidR="0000702C" w:rsidRPr="00A87CC3" w:rsidRDefault="0000702C" w:rsidP="0000702C">
      <w:pPr>
        <w:numPr>
          <w:ilvl w:val="0"/>
          <w:numId w:val="15"/>
        </w:numPr>
        <w:spacing w:after="200" w:line="276" w:lineRule="auto"/>
      </w:pPr>
      <w:r w:rsidRPr="00A87CC3">
        <w:t xml:space="preserve">Details of who </w:t>
      </w:r>
      <w:r w:rsidRPr="00097DFA">
        <w:t>to contact</w:t>
      </w:r>
      <w:r w:rsidRPr="00A87CC3">
        <w:t xml:space="preserve"> in your company in relation to this tender </w:t>
      </w:r>
    </w:p>
    <w:p w:rsidR="0000702C" w:rsidRPr="00097DFA" w:rsidRDefault="0000702C" w:rsidP="0000702C">
      <w:pPr>
        <w:numPr>
          <w:ilvl w:val="0"/>
          <w:numId w:val="15"/>
        </w:numPr>
        <w:spacing w:after="200" w:line="276" w:lineRule="auto"/>
      </w:pPr>
      <w:r w:rsidRPr="00097DFA">
        <w:t>Company registration Number and VAT number (if appropriate)</w:t>
      </w:r>
    </w:p>
    <w:p w:rsidR="00906816" w:rsidRDefault="00DB4446" w:rsidP="000A70F8">
      <w:pPr>
        <w:numPr>
          <w:ilvl w:val="0"/>
          <w:numId w:val="15"/>
        </w:numPr>
        <w:spacing w:after="200" w:line="276" w:lineRule="auto"/>
      </w:pPr>
      <w:r w:rsidRPr="00DB4446">
        <w:t xml:space="preserve">A comprehensive proposal demonstrating your understanding of Datasharp’s requirements and how a Microsoft Dynamics 365 </w:t>
      </w:r>
      <w:r>
        <w:t xml:space="preserve">solution </w:t>
      </w:r>
      <w:r w:rsidRPr="00DB4446">
        <w:t xml:space="preserve">can be successfully implemented based on the requirements and scope documentation provide in </w:t>
      </w:r>
      <w:r w:rsidR="00D52212">
        <w:t>Enclosure 2</w:t>
      </w:r>
      <w:r w:rsidR="00E11FBA">
        <w:t xml:space="preserve"> with associated costs. </w:t>
      </w:r>
      <w:r w:rsidR="004753DC">
        <w:t xml:space="preserve">The proposal must </w:t>
      </w:r>
      <w:r w:rsidR="00906816">
        <w:t xml:space="preserve">provide </w:t>
      </w:r>
      <w:r w:rsidR="00906816" w:rsidRPr="00906816">
        <w:t xml:space="preserve">the information </w:t>
      </w:r>
      <w:r w:rsidR="00906816">
        <w:t>in the</w:t>
      </w:r>
      <w:r w:rsidR="00906816" w:rsidRPr="00906816">
        <w:t xml:space="preserve"> format </w:t>
      </w:r>
      <w:r w:rsidR="00906816">
        <w:t>a</w:t>
      </w:r>
      <w:r w:rsidR="00906816" w:rsidRPr="00097DFA">
        <w:t>s outlined in Section 7 – Supplier Response</w:t>
      </w:r>
      <w:bookmarkStart w:id="9" w:name="_Toc461637874"/>
    </w:p>
    <w:p w:rsidR="00B149D1" w:rsidRPr="000A70F8" w:rsidRDefault="00B149D1" w:rsidP="00B149D1">
      <w:pPr>
        <w:spacing w:after="200" w:line="276" w:lineRule="auto"/>
        <w:ind w:left="720"/>
      </w:pPr>
    </w:p>
    <w:p w:rsidR="004753DC" w:rsidRPr="004753DC" w:rsidRDefault="004753DC" w:rsidP="004753DC">
      <w:pPr>
        <w:pStyle w:val="Heading1"/>
      </w:pPr>
      <w:bookmarkStart w:id="10" w:name="_Toc474747021"/>
      <w:r>
        <w:t xml:space="preserve">7 </w:t>
      </w:r>
      <w:r w:rsidRPr="004753DC">
        <w:t>Supplier response</w:t>
      </w:r>
      <w:bookmarkEnd w:id="9"/>
      <w:bookmarkEnd w:id="10"/>
    </w:p>
    <w:p w:rsidR="004753DC" w:rsidRPr="00906816" w:rsidRDefault="004753DC" w:rsidP="007230DE">
      <w:pPr>
        <w:spacing w:after="0" w:line="240" w:lineRule="auto"/>
        <w:rPr>
          <w:rFonts w:ascii="Calibri" w:hAnsi="Calibri" w:cs="Arial"/>
        </w:rPr>
      </w:pPr>
      <w:r w:rsidRPr="00906816">
        <w:rPr>
          <w:rFonts w:ascii="Calibri" w:eastAsia="Arial" w:hAnsi="Calibri" w:cs="Arial"/>
        </w:rPr>
        <w:t xml:space="preserve">This section describes the </w:t>
      </w:r>
      <w:r w:rsidRPr="00F7481C">
        <w:rPr>
          <w:rFonts w:ascii="Calibri" w:eastAsia="Arial" w:hAnsi="Calibri" w:cs="Arial"/>
        </w:rPr>
        <w:t>information and format that suppliers are requested to fo</w:t>
      </w:r>
      <w:r w:rsidR="007230DE" w:rsidRPr="00F7481C">
        <w:rPr>
          <w:rFonts w:ascii="Calibri" w:eastAsia="Arial" w:hAnsi="Calibri" w:cs="Arial"/>
        </w:rPr>
        <w:t>llow when responding to this ITT</w:t>
      </w:r>
      <w:r w:rsidRPr="00F7481C">
        <w:rPr>
          <w:rFonts w:ascii="Calibri" w:eastAsia="Arial" w:hAnsi="Calibri" w:cs="Arial"/>
        </w:rPr>
        <w:t xml:space="preserve">. Suppliers should refer to </w:t>
      </w:r>
      <w:r w:rsidR="009B2D8E" w:rsidRPr="00F7481C">
        <w:rPr>
          <w:rFonts w:ascii="Calibri" w:eastAsia="Arial" w:hAnsi="Calibri" w:cs="Arial"/>
        </w:rPr>
        <w:t xml:space="preserve">Enclosure </w:t>
      </w:r>
      <w:r w:rsidR="006B36A6" w:rsidRPr="00F7481C">
        <w:rPr>
          <w:rFonts w:ascii="Calibri" w:eastAsia="Arial" w:hAnsi="Calibri" w:cs="Arial"/>
        </w:rPr>
        <w:t>2</w:t>
      </w:r>
      <w:r w:rsidR="009B2D8E" w:rsidRPr="00F7481C">
        <w:rPr>
          <w:rFonts w:ascii="Calibri" w:eastAsia="Arial" w:hAnsi="Calibri" w:cs="Arial"/>
        </w:rPr>
        <w:t xml:space="preserve"> </w:t>
      </w:r>
      <w:r w:rsidR="00676208" w:rsidRPr="00F7481C">
        <w:rPr>
          <w:rFonts w:ascii="Calibri" w:eastAsia="Arial" w:hAnsi="Calibri" w:cs="Arial"/>
        </w:rPr>
        <w:t xml:space="preserve">and use the following headings </w:t>
      </w:r>
      <w:r w:rsidRPr="00F7481C">
        <w:rPr>
          <w:rFonts w:ascii="Calibri" w:eastAsia="Arial" w:hAnsi="Calibri" w:cs="Arial"/>
        </w:rPr>
        <w:t>when providing their responses.</w:t>
      </w:r>
    </w:p>
    <w:p w:rsidR="004753DC" w:rsidRPr="00906816" w:rsidRDefault="004753DC" w:rsidP="007230DE">
      <w:pPr>
        <w:spacing w:after="0" w:line="240" w:lineRule="auto"/>
        <w:rPr>
          <w:rFonts w:ascii="Calibri" w:hAnsi="Calibri" w:cs="Arial"/>
        </w:rPr>
      </w:pPr>
    </w:p>
    <w:p w:rsidR="004753DC" w:rsidRPr="00906816" w:rsidRDefault="00D93ED1" w:rsidP="007230DE">
      <w:pPr>
        <w:pStyle w:val="Heading2"/>
        <w:spacing w:before="0" w:after="0" w:line="240" w:lineRule="auto"/>
        <w:rPr>
          <w:rFonts w:ascii="Calibri" w:hAnsi="Calibri"/>
          <w:color w:val="auto"/>
          <w:sz w:val="22"/>
          <w:szCs w:val="22"/>
        </w:rPr>
      </w:pPr>
      <w:bookmarkStart w:id="11" w:name="_Toc511789946"/>
      <w:bookmarkStart w:id="12" w:name="_Toc526674672"/>
      <w:bookmarkStart w:id="13" w:name="_Toc461637875"/>
      <w:bookmarkStart w:id="14" w:name="_Toc474747022"/>
      <w:r>
        <w:rPr>
          <w:rFonts w:ascii="Calibri" w:eastAsia="Calibri" w:hAnsi="Calibri" w:cs="Calibri"/>
          <w:color w:val="auto"/>
          <w:sz w:val="22"/>
          <w:szCs w:val="22"/>
        </w:rPr>
        <w:t xml:space="preserve">Executive </w:t>
      </w:r>
      <w:r w:rsidR="004753DC" w:rsidRPr="00906816">
        <w:rPr>
          <w:rFonts w:ascii="Calibri" w:eastAsia="Calibri" w:hAnsi="Calibri" w:cs="Calibri"/>
          <w:color w:val="auto"/>
          <w:sz w:val="22"/>
          <w:szCs w:val="22"/>
        </w:rPr>
        <w:t>summary</w:t>
      </w:r>
      <w:bookmarkEnd w:id="11"/>
      <w:bookmarkEnd w:id="12"/>
      <w:bookmarkEnd w:id="13"/>
      <w:r>
        <w:rPr>
          <w:rFonts w:ascii="Calibri" w:eastAsia="Calibri" w:hAnsi="Calibri" w:cs="Calibri"/>
          <w:color w:val="auto"/>
          <w:sz w:val="22"/>
          <w:szCs w:val="22"/>
        </w:rPr>
        <w:t>:</w:t>
      </w:r>
      <w:bookmarkEnd w:id="14"/>
    </w:p>
    <w:p w:rsidR="002514C5" w:rsidRDefault="004753DC" w:rsidP="002514C5">
      <w:pPr>
        <w:spacing w:after="0" w:line="240" w:lineRule="auto"/>
        <w:rPr>
          <w:rFonts w:ascii="Calibri" w:eastAsia="Arial" w:hAnsi="Calibri" w:cs="Arial"/>
        </w:rPr>
      </w:pPr>
      <w:r w:rsidRPr="002514C5">
        <w:rPr>
          <w:rFonts w:ascii="Calibri" w:eastAsia="Arial" w:hAnsi="Calibri" w:cs="Arial"/>
        </w:rPr>
        <w:t>Suppli</w:t>
      </w:r>
      <w:r w:rsidR="00854081" w:rsidRPr="002514C5">
        <w:rPr>
          <w:rFonts w:ascii="Calibri" w:eastAsia="Arial" w:hAnsi="Calibri" w:cs="Arial"/>
        </w:rPr>
        <w:t xml:space="preserve">ers are asked to provide </w:t>
      </w:r>
      <w:r w:rsidR="002514C5">
        <w:rPr>
          <w:rFonts w:ascii="Calibri" w:eastAsia="Arial" w:hAnsi="Calibri" w:cs="Arial"/>
        </w:rPr>
        <w:t>the following:</w:t>
      </w:r>
    </w:p>
    <w:p w:rsidR="00E11FBA" w:rsidRPr="002514C5" w:rsidRDefault="002514C5" w:rsidP="002514C5">
      <w:pPr>
        <w:pStyle w:val="ListParagraph"/>
        <w:numPr>
          <w:ilvl w:val="0"/>
          <w:numId w:val="32"/>
        </w:numPr>
        <w:spacing w:after="0" w:line="240" w:lineRule="auto"/>
        <w:rPr>
          <w:rFonts w:ascii="Calibri" w:eastAsia="Arial" w:hAnsi="Calibri" w:cs="Arial"/>
        </w:rPr>
      </w:pPr>
      <w:r w:rsidRPr="002514C5">
        <w:rPr>
          <w:rFonts w:ascii="Calibri" w:eastAsia="Arial" w:hAnsi="Calibri" w:cs="Arial"/>
        </w:rPr>
        <w:t>Company</w:t>
      </w:r>
      <w:r>
        <w:rPr>
          <w:rFonts w:ascii="Calibri" w:eastAsia="Arial" w:hAnsi="Calibri" w:cs="Arial"/>
        </w:rPr>
        <w:t xml:space="preserve"> overview</w:t>
      </w:r>
      <w:r w:rsidR="00854081" w:rsidRPr="002514C5">
        <w:rPr>
          <w:rFonts w:ascii="Calibri" w:eastAsia="Arial" w:hAnsi="Calibri" w:cs="Arial"/>
        </w:rPr>
        <w:t xml:space="preserve">, </w:t>
      </w:r>
      <w:r w:rsidR="007230DE" w:rsidRPr="002514C5">
        <w:rPr>
          <w:rFonts w:ascii="Calibri" w:eastAsia="Arial" w:hAnsi="Calibri" w:cs="Arial"/>
        </w:rPr>
        <w:t>Microso</w:t>
      </w:r>
      <w:r w:rsidR="00D93ED1" w:rsidRPr="002514C5">
        <w:rPr>
          <w:rFonts w:ascii="Calibri" w:eastAsia="Arial" w:hAnsi="Calibri" w:cs="Arial"/>
        </w:rPr>
        <w:t xml:space="preserve">ft Dynamics </w:t>
      </w:r>
      <w:r w:rsidR="00676208" w:rsidRPr="002514C5">
        <w:rPr>
          <w:rFonts w:ascii="Calibri" w:eastAsia="Arial" w:hAnsi="Calibri" w:cs="Arial"/>
        </w:rPr>
        <w:t>365</w:t>
      </w:r>
      <w:r w:rsidR="00D93ED1" w:rsidRPr="002514C5">
        <w:rPr>
          <w:rFonts w:ascii="Calibri" w:eastAsia="Arial" w:hAnsi="Calibri" w:cs="Arial"/>
        </w:rPr>
        <w:t xml:space="preserve"> credentials</w:t>
      </w:r>
      <w:r w:rsidR="00854081" w:rsidRPr="002514C5">
        <w:rPr>
          <w:rFonts w:ascii="Calibri" w:eastAsia="Arial" w:hAnsi="Calibri" w:cs="Arial"/>
        </w:rPr>
        <w:t xml:space="preserve"> and suitability for Datasharp’</w:t>
      </w:r>
      <w:r w:rsidRPr="002514C5">
        <w:rPr>
          <w:rFonts w:ascii="Calibri" w:eastAsia="Arial" w:hAnsi="Calibri" w:cs="Arial"/>
        </w:rPr>
        <w:t xml:space="preserve">s </w:t>
      </w:r>
      <w:r>
        <w:rPr>
          <w:rFonts w:ascii="Calibri" w:eastAsia="Arial" w:hAnsi="Calibri" w:cs="Arial"/>
        </w:rPr>
        <w:t>project</w:t>
      </w:r>
      <w:r w:rsidR="00854081" w:rsidRPr="002514C5">
        <w:rPr>
          <w:rFonts w:ascii="Calibri" w:eastAsia="Arial" w:hAnsi="Calibri" w:cs="Arial"/>
        </w:rPr>
        <w:t xml:space="preserve"> </w:t>
      </w:r>
    </w:p>
    <w:p w:rsidR="004753DC" w:rsidRPr="00D90763" w:rsidRDefault="004753DC" w:rsidP="00D90763">
      <w:pPr>
        <w:pStyle w:val="ListParagraph"/>
        <w:numPr>
          <w:ilvl w:val="0"/>
          <w:numId w:val="22"/>
        </w:numPr>
        <w:spacing w:after="0" w:line="240" w:lineRule="auto"/>
        <w:jc w:val="both"/>
        <w:rPr>
          <w:rFonts w:ascii="Calibri" w:eastAsia="Arial,Calibri" w:hAnsi="Calibri" w:cs="Arial"/>
        </w:rPr>
      </w:pPr>
      <w:r w:rsidRPr="00D93ED1">
        <w:rPr>
          <w:rFonts w:ascii="Calibri" w:eastAsia="Arial" w:hAnsi="Calibri" w:cs="Arial"/>
        </w:rPr>
        <w:t>Cost summary</w:t>
      </w:r>
      <w:r w:rsidR="002514C5">
        <w:rPr>
          <w:rFonts w:ascii="Calibri" w:eastAsia="Arial" w:hAnsi="Calibri" w:cs="Arial"/>
        </w:rPr>
        <w:t>;</w:t>
      </w:r>
      <w:r w:rsidR="00D90763">
        <w:rPr>
          <w:rFonts w:ascii="Calibri" w:eastAsia="Arial" w:hAnsi="Calibri" w:cs="Arial"/>
        </w:rPr>
        <w:t xml:space="preserve"> broken down by initial and recurring </w:t>
      </w:r>
      <w:r w:rsidR="002514C5">
        <w:rPr>
          <w:rFonts w:ascii="Calibri" w:eastAsia="Arial" w:hAnsi="Calibri" w:cs="Arial"/>
        </w:rPr>
        <w:t>costs plus</w:t>
      </w:r>
      <w:r w:rsidR="00D90763">
        <w:rPr>
          <w:rFonts w:ascii="Calibri" w:eastAsia="Arial" w:hAnsi="Calibri" w:cs="Arial"/>
        </w:rPr>
        <w:t xml:space="preserve"> </w:t>
      </w:r>
      <w:r w:rsidR="00D90763">
        <w:t xml:space="preserve">details of </w:t>
      </w:r>
      <w:r w:rsidR="00097DFA">
        <w:t xml:space="preserve">any additional </w:t>
      </w:r>
      <w:r w:rsidR="00D90763">
        <w:t>expense</w:t>
      </w:r>
      <w:r w:rsidR="00097DFA">
        <w:t>s</w:t>
      </w:r>
      <w:r w:rsidR="00D90763">
        <w:t xml:space="preserve"> </w:t>
      </w:r>
      <w:r w:rsidR="00097DFA">
        <w:t>likely to be incurred by Datasharp</w:t>
      </w:r>
    </w:p>
    <w:p w:rsidR="00907D8A" w:rsidRPr="00907D8A" w:rsidRDefault="0076068A" w:rsidP="00907D8A">
      <w:pPr>
        <w:pStyle w:val="ListParagraph"/>
        <w:numPr>
          <w:ilvl w:val="0"/>
          <w:numId w:val="29"/>
        </w:numPr>
        <w:spacing w:after="0" w:line="240" w:lineRule="auto"/>
        <w:rPr>
          <w:rFonts w:ascii="Calibri" w:hAnsi="Calibri" w:cs="Arial"/>
        </w:rPr>
      </w:pPr>
      <w:r w:rsidRPr="00D93ED1">
        <w:rPr>
          <w:rFonts w:ascii="Calibri" w:eastAsia="Arial" w:hAnsi="Calibri" w:cs="Arial"/>
        </w:rPr>
        <w:t>High level project plan illustrating delivery timeframes</w:t>
      </w:r>
    </w:p>
    <w:p w:rsidR="00676208" w:rsidRDefault="00676208" w:rsidP="00676208">
      <w:pPr>
        <w:spacing w:after="0" w:line="240" w:lineRule="auto"/>
        <w:rPr>
          <w:rFonts w:ascii="Calibri" w:eastAsia="Arial" w:hAnsi="Calibri" w:cs="Arial"/>
        </w:rPr>
      </w:pPr>
      <w:bookmarkStart w:id="15" w:name="_Toc461637876"/>
      <w:bookmarkEnd w:id="15"/>
    </w:p>
    <w:p w:rsidR="00B149D1" w:rsidRDefault="00B149D1" w:rsidP="00676208">
      <w:pPr>
        <w:spacing w:after="0" w:line="240" w:lineRule="auto"/>
        <w:rPr>
          <w:rFonts w:ascii="Calibri" w:eastAsia="Arial" w:hAnsi="Calibri" w:cs="Arial"/>
          <w:b/>
        </w:rPr>
      </w:pPr>
    </w:p>
    <w:p w:rsidR="00D93ED1" w:rsidRPr="00676208" w:rsidRDefault="005B32C4" w:rsidP="00676208">
      <w:pPr>
        <w:spacing w:after="0" w:line="240" w:lineRule="auto"/>
        <w:rPr>
          <w:rFonts w:ascii="Calibri" w:eastAsia="Arial" w:hAnsi="Calibri" w:cs="Arial"/>
          <w:b/>
        </w:rPr>
      </w:pPr>
      <w:r w:rsidRPr="00676208">
        <w:rPr>
          <w:rFonts w:ascii="Calibri" w:eastAsia="Arial" w:hAnsi="Calibri" w:cs="Arial"/>
          <w:b/>
        </w:rPr>
        <w:t>Meeting R</w:t>
      </w:r>
      <w:r w:rsidR="00D93ED1" w:rsidRPr="00676208">
        <w:rPr>
          <w:rFonts w:ascii="Calibri" w:eastAsia="Arial" w:hAnsi="Calibri" w:cs="Arial"/>
          <w:b/>
        </w:rPr>
        <w:t>equirements</w:t>
      </w:r>
    </w:p>
    <w:p w:rsidR="00D93ED1" w:rsidRPr="00F7481C" w:rsidRDefault="004753DC" w:rsidP="00763F42">
      <w:pPr>
        <w:spacing w:after="0" w:line="240" w:lineRule="auto"/>
        <w:rPr>
          <w:rFonts w:eastAsia="Arial,Calibri" w:cs="Arial"/>
        </w:rPr>
      </w:pPr>
      <w:r w:rsidRPr="00763F42">
        <w:rPr>
          <w:rFonts w:ascii="Calibri" w:eastAsia="Arial" w:hAnsi="Calibri" w:cs="Arial"/>
        </w:rPr>
        <w:t xml:space="preserve">Supplier should review </w:t>
      </w:r>
      <w:r w:rsidR="007230DE" w:rsidRPr="00763F42">
        <w:rPr>
          <w:rFonts w:ascii="Calibri" w:eastAsia="Arial" w:hAnsi="Calibri" w:cs="Arial"/>
        </w:rPr>
        <w:t>Datasharp’s</w:t>
      </w:r>
      <w:r w:rsidRPr="00763F42">
        <w:rPr>
          <w:rFonts w:ascii="Calibri" w:eastAsia="Arial" w:hAnsi="Calibri" w:cs="Arial"/>
        </w:rPr>
        <w:t xml:space="preserve"> </w:t>
      </w:r>
      <w:r w:rsidRPr="00F7481C">
        <w:rPr>
          <w:rFonts w:ascii="Calibri" w:eastAsia="Arial" w:hAnsi="Calibri" w:cs="Arial"/>
        </w:rPr>
        <w:t>requirements</w:t>
      </w:r>
      <w:r w:rsidR="007230DE" w:rsidRPr="00F7481C">
        <w:rPr>
          <w:rFonts w:ascii="Calibri" w:eastAsia="Arial" w:hAnsi="Calibri" w:cs="Arial"/>
        </w:rPr>
        <w:t xml:space="preserve"> </w:t>
      </w:r>
      <w:r w:rsidRPr="00F7481C">
        <w:rPr>
          <w:rFonts w:ascii="Calibri" w:eastAsia="Arial" w:hAnsi="Calibri" w:cs="Arial"/>
        </w:rPr>
        <w:t xml:space="preserve">supplied </w:t>
      </w:r>
      <w:r w:rsidR="00D93ED1" w:rsidRPr="00F7481C">
        <w:rPr>
          <w:rFonts w:ascii="Calibri" w:eastAsia="Arial" w:hAnsi="Calibri" w:cs="Arial"/>
        </w:rPr>
        <w:t xml:space="preserve">in </w:t>
      </w:r>
      <w:r w:rsidR="009B2D8E" w:rsidRPr="00F7481C">
        <w:rPr>
          <w:rFonts w:ascii="Calibri" w:eastAsia="Arial" w:hAnsi="Calibri" w:cs="Arial"/>
        </w:rPr>
        <w:t xml:space="preserve">Enclosure </w:t>
      </w:r>
      <w:r w:rsidR="006B36A6" w:rsidRPr="00F7481C">
        <w:rPr>
          <w:rFonts w:ascii="Calibri" w:eastAsia="Arial" w:hAnsi="Calibri" w:cs="Arial"/>
        </w:rPr>
        <w:t>2</w:t>
      </w:r>
      <w:r w:rsidR="009B2D8E" w:rsidRPr="00F7481C">
        <w:rPr>
          <w:rFonts w:ascii="Calibri" w:eastAsia="Arial" w:hAnsi="Calibri" w:cs="Arial"/>
        </w:rPr>
        <w:t xml:space="preserve"> </w:t>
      </w:r>
      <w:r w:rsidR="00D93ED1" w:rsidRPr="00F7481C">
        <w:rPr>
          <w:rFonts w:ascii="Calibri" w:eastAsia="Arial" w:hAnsi="Calibri" w:cs="Arial"/>
        </w:rPr>
        <w:t xml:space="preserve">and provide </w:t>
      </w:r>
      <w:r w:rsidR="00D93ED1" w:rsidRPr="00F7481C">
        <w:rPr>
          <w:rFonts w:eastAsia="Arial,Calibri" w:cs="Arial"/>
        </w:rPr>
        <w:t>a</w:t>
      </w:r>
      <w:r w:rsidRPr="00F7481C">
        <w:rPr>
          <w:rFonts w:eastAsia="Arial,Calibri" w:cs="Arial"/>
        </w:rPr>
        <w:t xml:space="preserve"> </w:t>
      </w:r>
      <w:r w:rsidR="005B32C4" w:rsidRPr="00F7481C">
        <w:rPr>
          <w:rFonts w:eastAsia="Arial,Calibri" w:cs="Arial"/>
        </w:rPr>
        <w:t>response</w:t>
      </w:r>
      <w:r w:rsidR="00F7481C" w:rsidRPr="00F7481C">
        <w:rPr>
          <w:rFonts w:eastAsia="Arial,Calibri" w:cs="Arial"/>
        </w:rPr>
        <w:t xml:space="preserve"> </w:t>
      </w:r>
      <w:r w:rsidR="009B2D8E" w:rsidRPr="00F7481C">
        <w:rPr>
          <w:rFonts w:eastAsia="Arial,Calibri" w:cs="Arial"/>
        </w:rPr>
        <w:t xml:space="preserve">which clearly demonstrates </w:t>
      </w:r>
      <w:r w:rsidR="001107B2" w:rsidRPr="00F7481C">
        <w:rPr>
          <w:rFonts w:eastAsia="Arial,Calibri" w:cs="Arial"/>
        </w:rPr>
        <w:t>your understanding and ability</w:t>
      </w:r>
      <w:r w:rsidR="009B2D8E" w:rsidRPr="00F7481C">
        <w:rPr>
          <w:rFonts w:eastAsia="Arial,Calibri" w:cs="Arial"/>
        </w:rPr>
        <w:t xml:space="preserve"> to meet our requirement.  Specifically</w:t>
      </w:r>
      <w:r w:rsidR="001107B2" w:rsidRPr="00F7481C">
        <w:rPr>
          <w:rFonts w:eastAsia="Arial,Calibri" w:cs="Arial"/>
        </w:rPr>
        <w:t xml:space="preserve"> </w:t>
      </w:r>
      <w:r w:rsidR="00763F42" w:rsidRPr="00F7481C">
        <w:rPr>
          <w:rFonts w:eastAsia="Arial,Calibri" w:cs="Arial"/>
        </w:rPr>
        <w:t>explain</w:t>
      </w:r>
      <w:r w:rsidRPr="00F7481C">
        <w:rPr>
          <w:rFonts w:eastAsia="Arial,Calibri" w:cs="Arial"/>
        </w:rPr>
        <w:t xml:space="preserve"> </w:t>
      </w:r>
      <w:r w:rsidR="00763F42" w:rsidRPr="00F7481C">
        <w:rPr>
          <w:rFonts w:eastAsia="Arial,Calibri" w:cs="Arial"/>
        </w:rPr>
        <w:t xml:space="preserve">in detail </w:t>
      </w:r>
      <w:r w:rsidR="00D93ED1" w:rsidRPr="00F7481C">
        <w:rPr>
          <w:rFonts w:eastAsia="Arial,Calibri" w:cs="Arial"/>
        </w:rPr>
        <w:t xml:space="preserve">how Dynamics 365 will </w:t>
      </w:r>
      <w:r w:rsidR="00EE357B" w:rsidRPr="00F7481C">
        <w:rPr>
          <w:rFonts w:eastAsia="Arial,Calibri" w:cs="Arial"/>
        </w:rPr>
        <w:t xml:space="preserve">be used to </w:t>
      </w:r>
      <w:r w:rsidR="00D93ED1" w:rsidRPr="00F7481C">
        <w:rPr>
          <w:rFonts w:eastAsia="Arial,Calibri" w:cs="Arial"/>
        </w:rPr>
        <w:t xml:space="preserve">meet </w:t>
      </w:r>
      <w:r w:rsidR="00763F42" w:rsidRPr="00F7481C">
        <w:rPr>
          <w:rFonts w:eastAsia="Arial,Calibri" w:cs="Arial"/>
        </w:rPr>
        <w:t>the following</w:t>
      </w:r>
      <w:r w:rsidRPr="00F7481C">
        <w:rPr>
          <w:rFonts w:eastAsia="Arial,Calibri" w:cs="Arial"/>
        </w:rPr>
        <w:t xml:space="preserve"> stated business </w:t>
      </w:r>
      <w:r w:rsidR="00D93ED1" w:rsidRPr="00F7481C">
        <w:rPr>
          <w:rFonts w:eastAsia="Arial,Calibri" w:cs="Arial"/>
        </w:rPr>
        <w:t>requirements</w:t>
      </w:r>
      <w:r w:rsidR="005B32C4" w:rsidRPr="00F7481C">
        <w:rPr>
          <w:rFonts w:eastAsia="Arial,Calibri" w:cs="Arial"/>
        </w:rPr>
        <w:t>.</w:t>
      </w:r>
    </w:p>
    <w:p w:rsidR="00F237E5" w:rsidRPr="00F7481C" w:rsidRDefault="00F237E5" w:rsidP="00763F42">
      <w:pPr>
        <w:pStyle w:val="ListParagraph"/>
        <w:numPr>
          <w:ilvl w:val="0"/>
          <w:numId w:val="28"/>
        </w:numPr>
        <w:spacing w:after="0" w:line="240" w:lineRule="auto"/>
        <w:rPr>
          <w:rFonts w:eastAsia="Arial,Calibri" w:cs="Arial"/>
        </w:rPr>
      </w:pPr>
      <w:r w:rsidRPr="00F7481C">
        <w:rPr>
          <w:rFonts w:eastAsia="Arial,Calibri" w:cs="Arial"/>
        </w:rPr>
        <w:t>Explain how AX will provide the nominal / transaction detail required by Datasharp.</w:t>
      </w:r>
    </w:p>
    <w:p w:rsidR="00135E17" w:rsidRPr="00F7481C" w:rsidRDefault="00D11B52" w:rsidP="00135E17">
      <w:pPr>
        <w:pStyle w:val="ListParagraph"/>
        <w:numPr>
          <w:ilvl w:val="0"/>
          <w:numId w:val="28"/>
        </w:numPr>
        <w:rPr>
          <w:rFonts w:eastAsia="Arial,Calibri" w:cs="Arial"/>
        </w:rPr>
      </w:pPr>
      <w:r w:rsidRPr="00F7481C">
        <w:rPr>
          <w:rFonts w:eastAsia="Arial,Calibri" w:cs="Arial"/>
        </w:rPr>
        <w:t>Explain</w:t>
      </w:r>
      <w:r w:rsidR="00135E17" w:rsidRPr="00F7481C">
        <w:rPr>
          <w:rFonts w:eastAsia="Arial,Calibri" w:cs="Arial"/>
        </w:rPr>
        <w:t xml:space="preserve"> how the time</w:t>
      </w:r>
      <w:r w:rsidRPr="00F7481C">
        <w:rPr>
          <w:rFonts w:eastAsia="Arial,Calibri" w:cs="Arial"/>
        </w:rPr>
        <w:t xml:space="preserve"> </w:t>
      </w:r>
      <w:r w:rsidR="00135E17" w:rsidRPr="00F7481C">
        <w:rPr>
          <w:rFonts w:eastAsia="Arial,Calibri" w:cs="Arial"/>
        </w:rPr>
        <w:t>r</w:t>
      </w:r>
      <w:r w:rsidRPr="00F7481C">
        <w:rPr>
          <w:rFonts w:eastAsia="Arial,Calibri" w:cs="Arial"/>
        </w:rPr>
        <w:t>ecording</w:t>
      </w:r>
      <w:r w:rsidR="00135E17" w:rsidRPr="00F7481C">
        <w:rPr>
          <w:rFonts w:eastAsia="Arial,Calibri" w:cs="Arial"/>
        </w:rPr>
        <w:t xml:space="preserve"> would work from a </w:t>
      </w:r>
      <w:r w:rsidRPr="00F7481C">
        <w:rPr>
          <w:rFonts w:eastAsia="Arial,Calibri" w:cs="Arial"/>
        </w:rPr>
        <w:t xml:space="preserve">transaction level and from the </w:t>
      </w:r>
      <w:r w:rsidR="00135E17" w:rsidRPr="00F7481C">
        <w:rPr>
          <w:rFonts w:eastAsia="Arial,Calibri" w:cs="Arial"/>
        </w:rPr>
        <w:t>user's point of view</w:t>
      </w:r>
    </w:p>
    <w:p w:rsidR="00F237E5" w:rsidRPr="00024AFF" w:rsidRDefault="00F237E5" w:rsidP="00135E17">
      <w:pPr>
        <w:pStyle w:val="ListParagraph"/>
        <w:numPr>
          <w:ilvl w:val="0"/>
          <w:numId w:val="28"/>
        </w:numPr>
        <w:rPr>
          <w:rFonts w:eastAsia="Arial,Calibri" w:cs="Arial"/>
        </w:rPr>
      </w:pPr>
      <w:r w:rsidRPr="00024AFF">
        <w:rPr>
          <w:rFonts w:eastAsia="Arial,Calibri" w:cs="Arial"/>
        </w:rPr>
        <w:t>Explain how the resource scheduler would work from a user’s point of view.</w:t>
      </w:r>
    </w:p>
    <w:p w:rsidR="00135E17" w:rsidRPr="00024AFF" w:rsidRDefault="00F237E5" w:rsidP="00135E17">
      <w:pPr>
        <w:pStyle w:val="ListParagraph"/>
        <w:numPr>
          <w:ilvl w:val="0"/>
          <w:numId w:val="28"/>
        </w:numPr>
        <w:rPr>
          <w:rFonts w:eastAsia="Arial,Calibri" w:cs="Arial"/>
        </w:rPr>
      </w:pPr>
      <w:r w:rsidRPr="00024AFF">
        <w:rPr>
          <w:rFonts w:eastAsia="Arial,Calibri" w:cs="Arial"/>
        </w:rPr>
        <w:t>Explain h</w:t>
      </w:r>
      <w:r w:rsidR="00135E17" w:rsidRPr="00024AFF">
        <w:rPr>
          <w:rFonts w:eastAsia="Arial,Calibri" w:cs="Arial"/>
        </w:rPr>
        <w:t xml:space="preserve">ow would a supervisor have visibility of what engineers are working on in real time before a case is </w:t>
      </w:r>
      <w:r w:rsidRPr="00024AFF">
        <w:rPr>
          <w:rFonts w:eastAsia="Arial,Calibri" w:cs="Arial"/>
        </w:rPr>
        <w:t>closed</w:t>
      </w:r>
    </w:p>
    <w:p w:rsidR="00135E17" w:rsidRDefault="00763F42" w:rsidP="00763F42">
      <w:pPr>
        <w:pStyle w:val="ListParagraph"/>
        <w:numPr>
          <w:ilvl w:val="0"/>
          <w:numId w:val="28"/>
        </w:numPr>
        <w:spacing w:after="0" w:line="240" w:lineRule="auto"/>
        <w:rPr>
          <w:rFonts w:eastAsia="Arial,Calibri" w:cs="Arial"/>
        </w:rPr>
      </w:pPr>
      <w:r w:rsidRPr="00024AFF">
        <w:rPr>
          <w:rFonts w:eastAsia="Arial,Calibri" w:cs="Arial"/>
        </w:rPr>
        <w:t xml:space="preserve">Explain the functionality of the customer portal to enhance </w:t>
      </w:r>
      <w:r w:rsidRPr="00763F42">
        <w:rPr>
          <w:rFonts w:eastAsia="Arial,Calibri" w:cs="Arial"/>
        </w:rPr>
        <w:t>Datasharp's operation</w:t>
      </w:r>
      <w:r>
        <w:rPr>
          <w:rFonts w:eastAsia="Arial,Calibri" w:cs="Arial"/>
        </w:rPr>
        <w:t xml:space="preserve"> and p</w:t>
      </w:r>
      <w:r w:rsidR="00135E17" w:rsidRPr="00135E17">
        <w:rPr>
          <w:rFonts w:eastAsia="Arial,Calibri" w:cs="Arial"/>
        </w:rPr>
        <w:t>rovide screen shots of what the customer portal will look like</w:t>
      </w:r>
    </w:p>
    <w:p w:rsidR="00763F42" w:rsidRPr="00854081" w:rsidRDefault="00763F42" w:rsidP="00763F42">
      <w:pPr>
        <w:pStyle w:val="ListParagraph"/>
        <w:numPr>
          <w:ilvl w:val="0"/>
          <w:numId w:val="28"/>
        </w:numPr>
        <w:spacing w:after="0" w:line="240" w:lineRule="auto"/>
        <w:rPr>
          <w:rFonts w:eastAsia="Arial,Calibri" w:cs="Arial"/>
        </w:rPr>
      </w:pPr>
      <w:r w:rsidRPr="00763F42">
        <w:rPr>
          <w:rFonts w:eastAsia="Arial,Calibri" w:cs="Arial"/>
        </w:rPr>
        <w:t xml:space="preserve">Explain the use of </w:t>
      </w:r>
      <w:r>
        <w:rPr>
          <w:rFonts w:eastAsia="Arial,Calibri" w:cs="Arial"/>
        </w:rPr>
        <w:t>any proposed integration middleware</w:t>
      </w:r>
    </w:p>
    <w:p w:rsidR="00676208" w:rsidRDefault="00676208" w:rsidP="00676208">
      <w:pPr>
        <w:spacing w:after="0" w:line="240" w:lineRule="auto"/>
        <w:rPr>
          <w:rFonts w:eastAsia="Arial,Calibri" w:cs="Arial"/>
        </w:rPr>
      </w:pPr>
    </w:p>
    <w:p w:rsidR="00E11FBA" w:rsidRPr="00676208" w:rsidRDefault="005B32C4" w:rsidP="00676208">
      <w:pPr>
        <w:spacing w:after="0" w:line="240" w:lineRule="auto"/>
        <w:rPr>
          <w:rFonts w:eastAsia="Arial,Calibri" w:cs="Arial"/>
          <w:b/>
        </w:rPr>
      </w:pPr>
      <w:r w:rsidRPr="00676208">
        <w:rPr>
          <w:rFonts w:eastAsia="Arial,Calibri" w:cs="Arial"/>
          <w:b/>
        </w:rPr>
        <w:t>Delivery Approach</w:t>
      </w:r>
    </w:p>
    <w:p w:rsidR="00854081" w:rsidRDefault="00854081" w:rsidP="00854081">
      <w:pPr>
        <w:pStyle w:val="NormalIndent"/>
        <w:keepLines/>
        <w:numPr>
          <w:ilvl w:val="0"/>
          <w:numId w:val="27"/>
        </w:numPr>
        <w:tabs>
          <w:tab w:val="left" w:pos="567"/>
        </w:tabs>
        <w:spacing w:line="240" w:lineRule="auto"/>
        <w:rPr>
          <w:rFonts w:eastAsia="Arial" w:cs="Arial"/>
          <w:color w:val="auto"/>
          <w:szCs w:val="22"/>
        </w:rPr>
      </w:pPr>
      <w:r>
        <w:rPr>
          <w:rFonts w:eastAsia="Arial" w:cs="Arial"/>
          <w:color w:val="auto"/>
          <w:szCs w:val="22"/>
        </w:rPr>
        <w:t>Confirm h</w:t>
      </w:r>
      <w:r w:rsidRPr="007230DE">
        <w:rPr>
          <w:rFonts w:eastAsia="Arial" w:cs="Arial"/>
          <w:color w:val="auto"/>
          <w:szCs w:val="22"/>
        </w:rPr>
        <w:t xml:space="preserve">ow </w:t>
      </w:r>
      <w:r>
        <w:rPr>
          <w:rFonts w:eastAsia="Arial" w:cs="Arial"/>
          <w:color w:val="auto"/>
          <w:szCs w:val="22"/>
        </w:rPr>
        <w:t xml:space="preserve">you would </w:t>
      </w:r>
      <w:r w:rsidRPr="007230DE">
        <w:rPr>
          <w:rFonts w:eastAsia="Arial" w:cs="Arial"/>
          <w:color w:val="auto"/>
          <w:szCs w:val="22"/>
        </w:rPr>
        <w:t xml:space="preserve">engage with </w:t>
      </w:r>
      <w:r>
        <w:rPr>
          <w:rFonts w:eastAsia="Arial" w:cs="Arial"/>
          <w:color w:val="auto"/>
          <w:szCs w:val="22"/>
        </w:rPr>
        <w:t>Datasharp to define our detailed needs.</w:t>
      </w:r>
    </w:p>
    <w:p w:rsidR="007230DE" w:rsidRDefault="004753DC" w:rsidP="00854081">
      <w:pPr>
        <w:pStyle w:val="NormalIndent"/>
        <w:keepLines/>
        <w:numPr>
          <w:ilvl w:val="0"/>
          <w:numId w:val="27"/>
        </w:numPr>
        <w:tabs>
          <w:tab w:val="left" w:pos="567"/>
        </w:tabs>
        <w:spacing w:line="240" w:lineRule="auto"/>
        <w:rPr>
          <w:rFonts w:eastAsia="Arial" w:cs="Arial"/>
          <w:color w:val="auto"/>
          <w:szCs w:val="22"/>
        </w:rPr>
      </w:pPr>
      <w:r w:rsidRPr="00906816">
        <w:rPr>
          <w:rFonts w:eastAsia="Arial" w:cs="Arial"/>
          <w:color w:val="auto"/>
          <w:szCs w:val="22"/>
        </w:rPr>
        <w:t xml:space="preserve">Describe </w:t>
      </w:r>
      <w:r w:rsidR="00854081">
        <w:rPr>
          <w:rFonts w:eastAsia="Arial" w:cs="Arial"/>
          <w:color w:val="auto"/>
          <w:szCs w:val="22"/>
        </w:rPr>
        <w:t xml:space="preserve">your engagement approach that, as a minimum, </w:t>
      </w:r>
      <w:r w:rsidRPr="00906816">
        <w:rPr>
          <w:rFonts w:eastAsia="Arial" w:cs="Arial"/>
          <w:color w:val="auto"/>
          <w:szCs w:val="22"/>
        </w:rPr>
        <w:t>will resul</w:t>
      </w:r>
      <w:r w:rsidR="00135E17">
        <w:rPr>
          <w:rFonts w:eastAsia="Arial" w:cs="Arial"/>
          <w:color w:val="auto"/>
          <w:szCs w:val="22"/>
        </w:rPr>
        <w:t>t in the deliverables specified</w:t>
      </w:r>
    </w:p>
    <w:p w:rsidR="00B149D1" w:rsidRDefault="00135E17" w:rsidP="00B149D1">
      <w:pPr>
        <w:pStyle w:val="NormalIndent"/>
        <w:keepLines/>
        <w:numPr>
          <w:ilvl w:val="0"/>
          <w:numId w:val="27"/>
        </w:numPr>
        <w:tabs>
          <w:tab w:val="left" w:pos="567"/>
        </w:tabs>
        <w:spacing w:line="240" w:lineRule="auto"/>
        <w:rPr>
          <w:rFonts w:eastAsia="Arial" w:cs="Arial"/>
          <w:color w:val="auto"/>
          <w:szCs w:val="22"/>
        </w:rPr>
      </w:pPr>
      <w:r w:rsidRPr="00135E17">
        <w:rPr>
          <w:rFonts w:eastAsia="Arial" w:cs="Arial"/>
          <w:color w:val="auto"/>
          <w:szCs w:val="22"/>
        </w:rPr>
        <w:t>Define the roles and qualifications, skills and e</w:t>
      </w:r>
      <w:r w:rsidR="00763F42">
        <w:rPr>
          <w:rFonts w:eastAsia="Arial" w:cs="Arial"/>
          <w:color w:val="auto"/>
          <w:szCs w:val="22"/>
        </w:rPr>
        <w:t>xperience of the assigned staff to Datasharp’s project</w:t>
      </w:r>
    </w:p>
    <w:p w:rsidR="00D52212" w:rsidRPr="00B149D1" w:rsidRDefault="00D52212" w:rsidP="00B149D1">
      <w:pPr>
        <w:pStyle w:val="NormalIndent"/>
        <w:keepLines/>
        <w:numPr>
          <w:ilvl w:val="0"/>
          <w:numId w:val="27"/>
        </w:numPr>
        <w:tabs>
          <w:tab w:val="left" w:pos="567"/>
        </w:tabs>
        <w:spacing w:line="240" w:lineRule="auto"/>
        <w:rPr>
          <w:rFonts w:eastAsia="Arial" w:cs="Arial"/>
          <w:color w:val="auto"/>
          <w:szCs w:val="22"/>
        </w:rPr>
      </w:pPr>
      <w:r w:rsidRPr="00B149D1">
        <w:rPr>
          <w:rFonts w:eastAsiaTheme="majorEastAsia" w:cstheme="minorHAnsi"/>
        </w:rPr>
        <w:t>The project must be started no later than 1</w:t>
      </w:r>
      <w:r w:rsidRPr="00B149D1">
        <w:rPr>
          <w:rFonts w:eastAsiaTheme="majorEastAsia" w:cstheme="minorHAnsi"/>
          <w:vertAlign w:val="superscript"/>
        </w:rPr>
        <w:t>st</w:t>
      </w:r>
      <w:r w:rsidRPr="00B149D1">
        <w:rPr>
          <w:rFonts w:eastAsiaTheme="majorEastAsia" w:cstheme="minorHAnsi"/>
        </w:rPr>
        <w:t xml:space="preserve"> June 2017 and be completed to Go Live within 9 months.</w:t>
      </w:r>
    </w:p>
    <w:p w:rsidR="00D52212" w:rsidRPr="000A70F8" w:rsidRDefault="00D52212" w:rsidP="00D52212">
      <w:pPr>
        <w:pStyle w:val="NormalIndent"/>
        <w:keepLines/>
        <w:tabs>
          <w:tab w:val="left" w:pos="567"/>
        </w:tabs>
        <w:spacing w:line="240" w:lineRule="auto"/>
        <w:ind w:left="0"/>
        <w:rPr>
          <w:rFonts w:eastAsia="Arial" w:cs="Arial"/>
          <w:color w:val="auto"/>
          <w:szCs w:val="22"/>
        </w:rPr>
      </w:pPr>
    </w:p>
    <w:p w:rsidR="00676208" w:rsidRPr="00676208" w:rsidRDefault="00676208" w:rsidP="00676208">
      <w:pPr>
        <w:pStyle w:val="NormalIndent"/>
        <w:keepLines/>
        <w:tabs>
          <w:tab w:val="left" w:pos="567"/>
        </w:tabs>
        <w:spacing w:line="240" w:lineRule="auto"/>
        <w:ind w:left="0"/>
        <w:rPr>
          <w:rFonts w:eastAsia="Arial" w:cs="Arial"/>
          <w:b/>
          <w:color w:val="auto"/>
          <w:szCs w:val="22"/>
        </w:rPr>
      </w:pPr>
      <w:r w:rsidRPr="00676208">
        <w:rPr>
          <w:rFonts w:eastAsia="Arial" w:cs="Arial"/>
          <w:b/>
          <w:color w:val="auto"/>
          <w:szCs w:val="22"/>
        </w:rPr>
        <w:t>Implementation Services</w:t>
      </w:r>
    </w:p>
    <w:p w:rsidR="00854081" w:rsidRDefault="00676208" w:rsidP="00854081">
      <w:pPr>
        <w:pStyle w:val="BodyText"/>
        <w:spacing w:line="240" w:lineRule="auto"/>
        <w:rPr>
          <w:rFonts w:eastAsia="Arial" w:cs="Arial"/>
          <w:color w:val="auto"/>
          <w:szCs w:val="22"/>
        </w:rPr>
      </w:pPr>
      <w:r>
        <w:rPr>
          <w:rFonts w:eastAsia="Arial" w:cs="Arial"/>
          <w:color w:val="auto"/>
          <w:szCs w:val="22"/>
        </w:rPr>
        <w:t xml:space="preserve">State the estimated service days to be performed </w:t>
      </w:r>
      <w:r w:rsidR="00854081">
        <w:rPr>
          <w:rFonts w:eastAsia="Arial" w:cs="Arial"/>
          <w:color w:val="auto"/>
          <w:szCs w:val="22"/>
        </w:rPr>
        <w:t>for each of the following tasks:</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Project Initiation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Installation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Scoping /Functional Solution Design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Technical Solution Design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Entity Configuration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Functional Development</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Integration Development</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Administration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Data Migration</w:t>
      </w:r>
    </w:p>
    <w:p w:rsidR="00854081" w:rsidRPr="00854081"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User Acceptance Testing (UAT)</w:t>
      </w:r>
    </w:p>
    <w:p w:rsidR="00676208" w:rsidRPr="00906816" w:rsidRDefault="00854081" w:rsidP="00854081">
      <w:pPr>
        <w:pStyle w:val="BodyText"/>
        <w:numPr>
          <w:ilvl w:val="0"/>
          <w:numId w:val="30"/>
        </w:numPr>
        <w:spacing w:line="240" w:lineRule="auto"/>
        <w:rPr>
          <w:rFonts w:eastAsia="Arial" w:cs="Arial"/>
          <w:color w:val="auto"/>
          <w:szCs w:val="22"/>
        </w:rPr>
      </w:pPr>
      <w:r w:rsidRPr="00854081">
        <w:rPr>
          <w:rFonts w:eastAsia="Arial" w:cs="Arial"/>
          <w:color w:val="auto"/>
          <w:szCs w:val="22"/>
        </w:rPr>
        <w:t>Go Live</w:t>
      </w:r>
    </w:p>
    <w:p w:rsidR="00676208" w:rsidRDefault="00676208" w:rsidP="00676208">
      <w:pPr>
        <w:pStyle w:val="BodyText"/>
        <w:spacing w:line="240" w:lineRule="auto"/>
        <w:rPr>
          <w:rFonts w:eastAsia="Arial" w:cs="Arial"/>
          <w:color w:val="auto"/>
          <w:szCs w:val="22"/>
        </w:rPr>
      </w:pPr>
    </w:p>
    <w:p w:rsidR="00676208" w:rsidRPr="00023C49" w:rsidRDefault="00F721EC" w:rsidP="00676208">
      <w:pPr>
        <w:pStyle w:val="BodyText"/>
        <w:spacing w:line="240" w:lineRule="auto"/>
        <w:rPr>
          <w:rFonts w:eastAsia="Arial" w:cs="Arial"/>
          <w:b/>
          <w:color w:val="auto"/>
          <w:szCs w:val="22"/>
        </w:rPr>
      </w:pPr>
      <w:r w:rsidRPr="00023C49">
        <w:rPr>
          <w:rFonts w:eastAsia="Arial" w:cs="Arial"/>
          <w:b/>
          <w:color w:val="auto"/>
          <w:szCs w:val="22"/>
        </w:rPr>
        <w:t>Commissioning</w:t>
      </w:r>
    </w:p>
    <w:p w:rsidR="00676208" w:rsidRPr="00023C49" w:rsidRDefault="00D11B52" w:rsidP="00854081">
      <w:pPr>
        <w:pStyle w:val="BodyText"/>
        <w:numPr>
          <w:ilvl w:val="0"/>
          <w:numId w:val="31"/>
        </w:numPr>
        <w:spacing w:line="240" w:lineRule="auto"/>
        <w:rPr>
          <w:rFonts w:eastAsia="Arial" w:cs="Arial"/>
          <w:color w:val="auto"/>
          <w:szCs w:val="22"/>
        </w:rPr>
      </w:pPr>
      <w:r w:rsidRPr="00023C49">
        <w:rPr>
          <w:rFonts w:eastAsia="Arial" w:cs="Arial"/>
          <w:color w:val="auto"/>
          <w:szCs w:val="22"/>
        </w:rPr>
        <w:t>S</w:t>
      </w:r>
      <w:r w:rsidR="00854081" w:rsidRPr="00023C49">
        <w:rPr>
          <w:rFonts w:eastAsia="Arial" w:cs="Arial"/>
          <w:color w:val="auto"/>
          <w:szCs w:val="22"/>
        </w:rPr>
        <w:t xml:space="preserve">tate </w:t>
      </w:r>
      <w:r w:rsidR="00F721EC" w:rsidRPr="00023C49">
        <w:rPr>
          <w:rFonts w:eastAsia="Arial" w:cs="Arial"/>
          <w:color w:val="auto"/>
          <w:szCs w:val="22"/>
        </w:rPr>
        <w:t>how the system is to be commissioned onsite.</w:t>
      </w:r>
    </w:p>
    <w:p w:rsidR="00854081" w:rsidRDefault="00854081" w:rsidP="00676208">
      <w:pPr>
        <w:pStyle w:val="BodyText"/>
        <w:spacing w:line="240" w:lineRule="auto"/>
        <w:rPr>
          <w:rFonts w:eastAsia="Arial" w:cs="Arial"/>
          <w:color w:val="auto"/>
          <w:szCs w:val="22"/>
        </w:rPr>
      </w:pPr>
    </w:p>
    <w:p w:rsidR="00676208" w:rsidRPr="00854081" w:rsidRDefault="00676208" w:rsidP="00676208">
      <w:pPr>
        <w:pStyle w:val="BodyText"/>
        <w:spacing w:line="240" w:lineRule="auto"/>
        <w:rPr>
          <w:rFonts w:eastAsia="Arial" w:cs="Arial"/>
          <w:b/>
          <w:color w:val="auto"/>
          <w:szCs w:val="22"/>
        </w:rPr>
      </w:pPr>
      <w:r w:rsidRPr="00854081">
        <w:rPr>
          <w:rFonts w:eastAsia="Arial" w:cs="Arial"/>
          <w:b/>
          <w:color w:val="auto"/>
          <w:szCs w:val="22"/>
        </w:rPr>
        <w:t>Support Services</w:t>
      </w:r>
    </w:p>
    <w:p w:rsidR="004753DC" w:rsidRDefault="004753DC" w:rsidP="00135E17">
      <w:pPr>
        <w:pStyle w:val="BodyText"/>
        <w:numPr>
          <w:ilvl w:val="0"/>
          <w:numId w:val="31"/>
        </w:numPr>
        <w:spacing w:line="240" w:lineRule="auto"/>
        <w:rPr>
          <w:rFonts w:eastAsia="Arial" w:cs="Arial"/>
          <w:color w:val="auto"/>
          <w:szCs w:val="22"/>
        </w:rPr>
      </w:pPr>
      <w:r w:rsidRPr="00906816">
        <w:rPr>
          <w:rFonts w:eastAsia="Arial" w:cs="Arial"/>
          <w:color w:val="auto"/>
          <w:szCs w:val="22"/>
        </w:rPr>
        <w:t>Confirm your approach to customer success/account manag</w:t>
      </w:r>
      <w:r w:rsidR="007230DE">
        <w:rPr>
          <w:rFonts w:eastAsia="Arial" w:cs="Arial"/>
          <w:color w:val="auto"/>
          <w:szCs w:val="22"/>
        </w:rPr>
        <w:t>ement and helpdesk capabilities</w:t>
      </w:r>
      <w:r w:rsidR="00135E17">
        <w:rPr>
          <w:rFonts w:eastAsia="Arial" w:cs="Arial"/>
          <w:color w:val="auto"/>
          <w:szCs w:val="22"/>
        </w:rPr>
        <w:t xml:space="preserve"> with details of SLAs</w:t>
      </w:r>
    </w:p>
    <w:p w:rsidR="00135E17" w:rsidRPr="00906816" w:rsidRDefault="00135E17" w:rsidP="00135E17">
      <w:pPr>
        <w:pStyle w:val="BodyText"/>
        <w:numPr>
          <w:ilvl w:val="0"/>
          <w:numId w:val="31"/>
        </w:numPr>
        <w:spacing w:line="240" w:lineRule="auto"/>
        <w:rPr>
          <w:rFonts w:eastAsia="Arial" w:cs="Arial"/>
          <w:color w:val="auto"/>
          <w:szCs w:val="22"/>
        </w:rPr>
      </w:pPr>
      <w:r>
        <w:rPr>
          <w:rFonts w:eastAsia="Arial" w:cs="Arial"/>
          <w:color w:val="auto"/>
          <w:szCs w:val="22"/>
        </w:rPr>
        <w:t xml:space="preserve">Provide </w:t>
      </w:r>
      <w:r w:rsidRPr="00135E17">
        <w:rPr>
          <w:rFonts w:eastAsia="Arial" w:cs="Arial"/>
          <w:color w:val="auto"/>
          <w:szCs w:val="22"/>
        </w:rPr>
        <w:t>costs for ad hoc support as distinct from a pre-char</w:t>
      </w:r>
      <w:r>
        <w:rPr>
          <w:rFonts w:eastAsia="Arial" w:cs="Arial"/>
          <w:color w:val="auto"/>
          <w:szCs w:val="22"/>
        </w:rPr>
        <w:t>ged, on-going support agreement</w:t>
      </w:r>
    </w:p>
    <w:p w:rsidR="004753DC" w:rsidRPr="00906816" w:rsidRDefault="004753DC" w:rsidP="007230DE">
      <w:pPr>
        <w:spacing w:after="0" w:line="240" w:lineRule="auto"/>
        <w:rPr>
          <w:rFonts w:ascii="Calibri" w:hAnsi="Calibri" w:cs="Calibri"/>
        </w:rPr>
      </w:pPr>
    </w:p>
    <w:p w:rsidR="00D90763" w:rsidRPr="00D90763" w:rsidRDefault="00D90763" w:rsidP="007230DE">
      <w:pPr>
        <w:pStyle w:val="BodyTextIndent"/>
        <w:spacing w:after="0" w:line="240" w:lineRule="auto"/>
        <w:ind w:left="0"/>
        <w:rPr>
          <w:rFonts w:eastAsia="Arial" w:cs="Arial"/>
          <w:b/>
          <w:color w:val="auto"/>
          <w:szCs w:val="22"/>
        </w:rPr>
      </w:pPr>
      <w:bookmarkStart w:id="16" w:name="_Toc511789957"/>
      <w:bookmarkStart w:id="17" w:name="_Toc526674683"/>
      <w:r w:rsidRPr="00D90763">
        <w:rPr>
          <w:rFonts w:eastAsia="Arial" w:cs="Arial"/>
          <w:b/>
          <w:color w:val="auto"/>
          <w:szCs w:val="22"/>
        </w:rPr>
        <w:t>Company Overview</w:t>
      </w:r>
    </w:p>
    <w:p w:rsidR="004753DC" w:rsidRPr="00906816" w:rsidRDefault="004753DC" w:rsidP="007230DE">
      <w:pPr>
        <w:pStyle w:val="BodyTextIndent"/>
        <w:spacing w:after="0" w:line="240" w:lineRule="auto"/>
        <w:ind w:left="0"/>
        <w:rPr>
          <w:rFonts w:cs="Arial"/>
          <w:color w:val="auto"/>
          <w:szCs w:val="22"/>
        </w:rPr>
      </w:pPr>
      <w:r w:rsidRPr="00906816">
        <w:rPr>
          <w:rFonts w:eastAsia="Arial" w:cs="Arial"/>
          <w:color w:val="auto"/>
          <w:szCs w:val="22"/>
        </w:rPr>
        <w:t>Suppliers are also asked to answer the following questions:</w:t>
      </w:r>
    </w:p>
    <w:p w:rsidR="00E11FBA" w:rsidRPr="00E11FBA" w:rsidRDefault="004753DC" w:rsidP="00E11FBA">
      <w:pPr>
        <w:pStyle w:val="ListParagraph"/>
        <w:numPr>
          <w:ilvl w:val="0"/>
          <w:numId w:val="21"/>
        </w:numPr>
        <w:spacing w:after="0" w:line="240" w:lineRule="auto"/>
        <w:jc w:val="both"/>
        <w:rPr>
          <w:rFonts w:ascii="Calibri" w:eastAsia="Arial,Calibri" w:hAnsi="Calibri" w:cs="Arial"/>
        </w:rPr>
      </w:pPr>
      <w:r w:rsidRPr="00E11FBA">
        <w:rPr>
          <w:rFonts w:ascii="Calibri" w:eastAsia="Arial,Calibri" w:hAnsi="Calibri" w:cs="Arial"/>
        </w:rPr>
        <w:t>The date the company was established and how long the company has been in existence in its current form</w:t>
      </w:r>
    </w:p>
    <w:p w:rsidR="004753DC" w:rsidRPr="00E11FBA" w:rsidRDefault="004753DC" w:rsidP="00E11FBA">
      <w:pPr>
        <w:pStyle w:val="ListParagraph"/>
        <w:numPr>
          <w:ilvl w:val="0"/>
          <w:numId w:val="21"/>
        </w:numPr>
        <w:spacing w:after="0" w:line="240" w:lineRule="auto"/>
        <w:jc w:val="both"/>
        <w:rPr>
          <w:rFonts w:ascii="Calibri" w:eastAsia="Arial,Calibri" w:hAnsi="Calibri" w:cs="Arial"/>
        </w:rPr>
      </w:pPr>
      <w:r w:rsidRPr="00E11FBA">
        <w:rPr>
          <w:rFonts w:ascii="Calibri" w:eastAsia="Arial,Calibri" w:hAnsi="Calibri" w:cs="Arial"/>
        </w:rPr>
        <w:t>Approximate company turnover for each of the past three years</w:t>
      </w:r>
    </w:p>
    <w:p w:rsidR="003A472B" w:rsidRDefault="004753DC" w:rsidP="00E11FBA">
      <w:pPr>
        <w:pStyle w:val="ListParagraph"/>
        <w:numPr>
          <w:ilvl w:val="0"/>
          <w:numId w:val="21"/>
        </w:numPr>
        <w:spacing w:after="0" w:line="240" w:lineRule="auto"/>
        <w:jc w:val="both"/>
        <w:rPr>
          <w:rFonts w:ascii="Calibri" w:eastAsia="Arial,Calibri" w:hAnsi="Calibri" w:cs="Arial"/>
        </w:rPr>
      </w:pPr>
      <w:r w:rsidRPr="00E11FBA">
        <w:rPr>
          <w:rFonts w:ascii="Calibri" w:eastAsia="Arial,Calibri" w:hAnsi="Calibri" w:cs="Arial"/>
        </w:rPr>
        <w:t>The total number of</w:t>
      </w:r>
      <w:r w:rsidR="003A472B">
        <w:rPr>
          <w:rFonts w:ascii="Calibri" w:eastAsia="Arial,Calibri" w:hAnsi="Calibri" w:cs="Arial"/>
        </w:rPr>
        <w:t xml:space="preserve"> relevant technically qualified</w:t>
      </w:r>
      <w:r w:rsidRPr="00E11FBA">
        <w:rPr>
          <w:rFonts w:ascii="Calibri" w:eastAsia="Arial,Calibri" w:hAnsi="Calibri" w:cs="Arial"/>
        </w:rPr>
        <w:t xml:space="preserve"> staff</w:t>
      </w:r>
      <w:r w:rsidR="003A472B">
        <w:rPr>
          <w:rFonts w:ascii="Calibri" w:eastAsia="Arial,Calibri" w:hAnsi="Calibri" w:cs="Arial"/>
        </w:rPr>
        <w:t>,</w:t>
      </w:r>
      <w:r w:rsidR="00721346">
        <w:rPr>
          <w:rFonts w:ascii="Calibri" w:eastAsia="Arial,Calibri" w:hAnsi="Calibri" w:cs="Arial"/>
        </w:rPr>
        <w:t xml:space="preserve"> their relevant position to this tender </w:t>
      </w:r>
    </w:p>
    <w:p w:rsidR="004753DC" w:rsidRPr="00E11FBA" w:rsidRDefault="003A472B" w:rsidP="003A472B">
      <w:pPr>
        <w:pStyle w:val="ListParagraph"/>
        <w:spacing w:after="0" w:line="240" w:lineRule="auto"/>
        <w:jc w:val="both"/>
        <w:rPr>
          <w:rFonts w:ascii="Calibri" w:eastAsia="Arial,Calibri" w:hAnsi="Calibri" w:cs="Arial"/>
        </w:rPr>
      </w:pPr>
      <w:r>
        <w:rPr>
          <w:rFonts w:ascii="Calibri" w:eastAsia="Arial,Calibri" w:hAnsi="Calibri" w:cs="Arial"/>
        </w:rPr>
        <w:lastRenderedPageBreak/>
        <w:t>and their</w:t>
      </w:r>
      <w:r w:rsidR="004753DC" w:rsidRPr="00E11FBA">
        <w:rPr>
          <w:rFonts w:ascii="Calibri" w:eastAsia="Arial,Calibri" w:hAnsi="Calibri" w:cs="Arial"/>
        </w:rPr>
        <w:t xml:space="preserve"> </w:t>
      </w:r>
      <w:r>
        <w:rPr>
          <w:rFonts w:ascii="Calibri" w:eastAsia="Arial,Calibri" w:hAnsi="Calibri" w:cs="Arial"/>
        </w:rPr>
        <w:t xml:space="preserve">worldwide </w:t>
      </w:r>
      <w:r w:rsidR="004753DC" w:rsidRPr="00E11FBA">
        <w:rPr>
          <w:rFonts w:ascii="Calibri" w:eastAsia="Arial,Calibri" w:hAnsi="Calibri" w:cs="Arial"/>
        </w:rPr>
        <w:t>location</w:t>
      </w:r>
    </w:p>
    <w:p w:rsidR="00E11FBA" w:rsidRPr="00E11FBA" w:rsidRDefault="004753DC" w:rsidP="00E11FBA">
      <w:pPr>
        <w:pStyle w:val="ListParagraph"/>
        <w:numPr>
          <w:ilvl w:val="0"/>
          <w:numId w:val="21"/>
        </w:numPr>
        <w:spacing w:after="0" w:line="240" w:lineRule="auto"/>
        <w:jc w:val="both"/>
        <w:rPr>
          <w:rFonts w:ascii="Calibri" w:eastAsia="Arial,Calibri" w:hAnsi="Calibri" w:cs="Arial"/>
        </w:rPr>
      </w:pPr>
      <w:r w:rsidRPr="00E11FBA">
        <w:rPr>
          <w:rFonts w:ascii="Calibri" w:eastAsia="Arial,Calibri" w:hAnsi="Calibri" w:cs="Arial"/>
        </w:rPr>
        <w:t>The location of the company's main offices; the location of the office that would provide technical support (if that is different)</w:t>
      </w:r>
    </w:p>
    <w:p w:rsidR="002B1BAD" w:rsidRDefault="00D52212" w:rsidP="002D6CD7">
      <w:pPr>
        <w:pStyle w:val="ListParagraph"/>
        <w:numPr>
          <w:ilvl w:val="0"/>
          <w:numId w:val="21"/>
        </w:numPr>
        <w:spacing w:after="0" w:line="240" w:lineRule="auto"/>
        <w:jc w:val="both"/>
        <w:rPr>
          <w:rFonts w:ascii="Calibri" w:eastAsia="Arial,Calibri" w:hAnsi="Calibri" w:cs="Arial"/>
        </w:rPr>
      </w:pPr>
      <w:r>
        <w:rPr>
          <w:rFonts w:ascii="Calibri" w:eastAsia="Arial,Calibri" w:hAnsi="Calibri" w:cs="Arial"/>
        </w:rPr>
        <w:t>Provide a c</w:t>
      </w:r>
      <w:r w:rsidR="002B1BAD">
        <w:rPr>
          <w:rFonts w:ascii="Calibri" w:eastAsia="Arial,Calibri" w:hAnsi="Calibri" w:cs="Arial"/>
        </w:rPr>
        <w:t>opy</w:t>
      </w:r>
      <w:r w:rsidR="004753DC" w:rsidRPr="002B1BAD">
        <w:rPr>
          <w:rFonts w:ascii="Calibri" w:eastAsia="Arial,Calibri" w:hAnsi="Calibri" w:cs="Arial"/>
        </w:rPr>
        <w:t xml:space="preserve"> of the supplier’s professional indemnity or similar insurance, </w:t>
      </w:r>
      <w:r w:rsidR="002B1BAD">
        <w:rPr>
          <w:rFonts w:ascii="Calibri" w:eastAsia="Arial,Calibri" w:hAnsi="Calibri" w:cs="Arial"/>
        </w:rPr>
        <w:t xml:space="preserve">the supplier must have cover of a </w:t>
      </w:r>
      <w:r w:rsidR="002B1BAD" w:rsidRPr="002B1BAD">
        <w:rPr>
          <w:rFonts w:ascii="Calibri" w:eastAsia="Arial,Calibri" w:hAnsi="Calibri" w:cs="Arial"/>
        </w:rPr>
        <w:t>minimum of £5million cover</w:t>
      </w:r>
      <w:bookmarkEnd w:id="16"/>
      <w:bookmarkEnd w:id="17"/>
      <w:r w:rsidR="002B1BAD">
        <w:rPr>
          <w:rFonts w:ascii="Calibri" w:eastAsia="Arial,Calibri" w:hAnsi="Calibri" w:cs="Arial"/>
        </w:rPr>
        <w:t>.</w:t>
      </w:r>
    </w:p>
    <w:p w:rsidR="00D52212" w:rsidRPr="00D52212" w:rsidRDefault="00D52212" w:rsidP="00D52212">
      <w:pPr>
        <w:pStyle w:val="ListParagraph"/>
        <w:numPr>
          <w:ilvl w:val="0"/>
          <w:numId w:val="21"/>
        </w:numPr>
        <w:rPr>
          <w:rFonts w:eastAsiaTheme="majorEastAsia" w:cstheme="minorHAnsi"/>
        </w:rPr>
      </w:pPr>
      <w:r>
        <w:rPr>
          <w:rFonts w:eastAsiaTheme="majorEastAsia" w:cstheme="minorHAnsi"/>
        </w:rPr>
        <w:t>P</w:t>
      </w:r>
      <w:r w:rsidRPr="00D52212">
        <w:rPr>
          <w:rFonts w:eastAsiaTheme="majorEastAsia" w:cstheme="minorHAnsi"/>
        </w:rPr>
        <w:t>rovide evidence that it has experience working with similar organisations to Datasharp and implementation AX and CRM projects as joint and as individual products, where the CRM elements have been greater than 250 man days’ implementation.</w:t>
      </w:r>
    </w:p>
    <w:p w:rsidR="00D52212" w:rsidRPr="00D52212" w:rsidRDefault="00B149D1" w:rsidP="00D52212">
      <w:pPr>
        <w:pStyle w:val="ListParagraph"/>
        <w:numPr>
          <w:ilvl w:val="0"/>
          <w:numId w:val="21"/>
        </w:numPr>
        <w:rPr>
          <w:rFonts w:eastAsiaTheme="majorEastAsia" w:cstheme="minorHAnsi"/>
        </w:rPr>
      </w:pPr>
      <w:r>
        <w:rPr>
          <w:rFonts w:eastAsiaTheme="majorEastAsia" w:cstheme="minorHAnsi"/>
        </w:rPr>
        <w:t>P</w:t>
      </w:r>
      <w:r w:rsidR="00D52212" w:rsidRPr="00D52212">
        <w:rPr>
          <w:rFonts w:eastAsiaTheme="majorEastAsia" w:cstheme="minorHAnsi"/>
        </w:rPr>
        <w:t>rovide evidence that it is an established Microsoft Dynamics Gold Partner for ERP and CRM with at least 10 years’ track record of implementing both Dynamics AX and Dynamics CRM solutions.</w:t>
      </w:r>
    </w:p>
    <w:p w:rsidR="00D52212" w:rsidRPr="00D52212" w:rsidRDefault="00B149D1" w:rsidP="00D52212">
      <w:pPr>
        <w:pStyle w:val="ListParagraph"/>
        <w:numPr>
          <w:ilvl w:val="0"/>
          <w:numId w:val="21"/>
        </w:numPr>
        <w:rPr>
          <w:rFonts w:eastAsiaTheme="majorEastAsia" w:cstheme="minorHAnsi"/>
        </w:rPr>
      </w:pPr>
      <w:r>
        <w:rPr>
          <w:rFonts w:eastAsiaTheme="majorEastAsia" w:cstheme="minorHAnsi"/>
        </w:rPr>
        <w:t>P</w:t>
      </w:r>
      <w:r w:rsidR="00D52212" w:rsidRPr="00D52212">
        <w:rPr>
          <w:rFonts w:eastAsiaTheme="majorEastAsia" w:cstheme="minorHAnsi"/>
        </w:rPr>
        <w:t>rovide evidence that it is has provided long term support for both Dynamics AX and Dynamics CRM solutions being support contracts with a minimum of 3 years continued duration.</w:t>
      </w:r>
    </w:p>
    <w:p w:rsidR="00D52212" w:rsidRPr="00B149D1" w:rsidRDefault="00B149D1" w:rsidP="00B149D1">
      <w:pPr>
        <w:pStyle w:val="ListParagraph"/>
        <w:numPr>
          <w:ilvl w:val="0"/>
          <w:numId w:val="21"/>
        </w:numPr>
        <w:rPr>
          <w:rFonts w:eastAsiaTheme="majorEastAsia" w:cstheme="minorHAnsi"/>
        </w:rPr>
      </w:pPr>
      <w:r>
        <w:rPr>
          <w:rFonts w:eastAsiaTheme="majorEastAsia" w:cstheme="minorHAnsi"/>
        </w:rPr>
        <w:t>P</w:t>
      </w:r>
      <w:r w:rsidR="00D52212" w:rsidRPr="00D52212">
        <w:rPr>
          <w:rFonts w:eastAsiaTheme="majorEastAsia" w:cstheme="minorHAnsi"/>
        </w:rPr>
        <w:t>rovide a copy of the service level agreements for both the project delivery and ongoing support which detail that, if Datasharp notifies a requirement for the supplier to attend our site by 12:00 the supplier will attend site no later than 09:00 the following business day and if Datasharp notifies a requirement for the supplier to attend our site by 17:00 the supplier will attend site no later than 12:00 the following business day.</w:t>
      </w:r>
    </w:p>
    <w:p w:rsidR="00D90763" w:rsidRPr="002B1BAD" w:rsidRDefault="00D90763" w:rsidP="002D6CD7">
      <w:pPr>
        <w:pStyle w:val="ListParagraph"/>
        <w:numPr>
          <w:ilvl w:val="0"/>
          <w:numId w:val="21"/>
        </w:numPr>
        <w:spacing w:after="0" w:line="240" w:lineRule="auto"/>
        <w:jc w:val="both"/>
        <w:rPr>
          <w:rFonts w:ascii="Calibri" w:eastAsia="Arial,Calibri" w:hAnsi="Calibri" w:cs="Arial"/>
        </w:rPr>
      </w:pPr>
      <w:r w:rsidRPr="002B1BAD">
        <w:rPr>
          <w:rFonts w:ascii="Calibri" w:eastAsia="Arial,Calibri" w:hAnsi="Calibri" w:cs="Arial"/>
        </w:rPr>
        <w:t>Case Study - d</w:t>
      </w:r>
      <w:r w:rsidR="004753DC" w:rsidRPr="002B1BAD">
        <w:rPr>
          <w:rFonts w:ascii="Calibri" w:eastAsia="Arial,Calibri" w:hAnsi="Calibri" w:cs="Arial"/>
        </w:rPr>
        <w:t>etails of a</w:t>
      </w:r>
      <w:r w:rsidRPr="002B1BAD">
        <w:rPr>
          <w:rFonts w:ascii="Calibri" w:eastAsia="Arial,Calibri" w:hAnsi="Calibri" w:cs="Arial"/>
        </w:rPr>
        <w:t xml:space="preserve"> recent implementation</w:t>
      </w:r>
      <w:r w:rsidR="004753DC" w:rsidRPr="002B1BAD">
        <w:rPr>
          <w:rFonts w:ascii="Calibri" w:eastAsia="Arial,Calibri" w:hAnsi="Calibri" w:cs="Arial"/>
        </w:rPr>
        <w:t xml:space="preserve"> similar in profile to </w:t>
      </w:r>
      <w:r w:rsidR="00E11FBA" w:rsidRPr="002B1BAD">
        <w:rPr>
          <w:rFonts w:ascii="Calibri" w:eastAsia="Arial,Calibri" w:hAnsi="Calibri" w:cs="Arial"/>
        </w:rPr>
        <w:t>Datasharp</w:t>
      </w:r>
      <w:r w:rsidR="004753DC" w:rsidRPr="002B1BAD">
        <w:rPr>
          <w:rFonts w:ascii="Calibri" w:eastAsia="Arial,Calibri" w:hAnsi="Calibri" w:cs="Arial"/>
        </w:rPr>
        <w:t xml:space="preserve"> </w:t>
      </w:r>
    </w:p>
    <w:p w:rsidR="00E11FBA" w:rsidRDefault="00D90763" w:rsidP="00E11FBA">
      <w:pPr>
        <w:pStyle w:val="ListParagraph"/>
        <w:numPr>
          <w:ilvl w:val="0"/>
          <w:numId w:val="21"/>
        </w:numPr>
        <w:spacing w:after="0" w:line="240" w:lineRule="auto"/>
        <w:jc w:val="both"/>
        <w:rPr>
          <w:rFonts w:ascii="Calibri" w:eastAsia="Arial,Calibri" w:hAnsi="Calibri" w:cs="Arial"/>
        </w:rPr>
      </w:pPr>
      <w:r>
        <w:rPr>
          <w:rFonts w:ascii="Calibri" w:eastAsia="Arial,Calibri" w:hAnsi="Calibri" w:cs="Arial"/>
        </w:rPr>
        <w:t>References – details of three relevant references that we may contact</w:t>
      </w:r>
    </w:p>
    <w:p w:rsidR="00AB2030" w:rsidRDefault="00AB2030" w:rsidP="00AB2030">
      <w:pPr>
        <w:spacing w:after="0" w:line="240" w:lineRule="auto"/>
        <w:jc w:val="both"/>
        <w:rPr>
          <w:rFonts w:ascii="Calibri" w:eastAsia="Arial,Calibri" w:hAnsi="Calibri" w:cs="Arial"/>
        </w:rPr>
      </w:pPr>
    </w:p>
    <w:p w:rsidR="00AB2030" w:rsidRPr="00876273" w:rsidRDefault="00AB2030" w:rsidP="00AB2030">
      <w:pPr>
        <w:spacing w:after="0" w:line="240" w:lineRule="auto"/>
        <w:jc w:val="both"/>
        <w:rPr>
          <w:rFonts w:ascii="Calibri" w:eastAsia="Arial,Calibri" w:hAnsi="Calibri" w:cs="Arial"/>
          <w:b/>
        </w:rPr>
      </w:pPr>
      <w:r w:rsidRPr="00876273">
        <w:rPr>
          <w:rFonts w:ascii="Calibri" w:eastAsia="Arial,Calibri" w:hAnsi="Calibri" w:cs="Arial"/>
          <w:b/>
        </w:rPr>
        <w:t>Costs</w:t>
      </w:r>
    </w:p>
    <w:p w:rsidR="00AB2030" w:rsidRDefault="00AB2030" w:rsidP="00AB2030">
      <w:pPr>
        <w:spacing w:after="0" w:line="240" w:lineRule="auto"/>
        <w:jc w:val="both"/>
        <w:rPr>
          <w:rFonts w:ascii="Calibri" w:eastAsia="Arial,Calibri" w:hAnsi="Calibri" w:cs="Arial"/>
        </w:rPr>
      </w:pPr>
      <w:r>
        <w:rPr>
          <w:rFonts w:ascii="Calibri" w:eastAsia="Arial,Calibri" w:hAnsi="Calibri" w:cs="Arial"/>
        </w:rPr>
        <w:t>Suppliers are asked to detail the cost to provide this project detailing the following information:</w:t>
      </w:r>
    </w:p>
    <w:p w:rsidR="008A2A26" w:rsidRDefault="008A2A26" w:rsidP="00AB2030">
      <w:pPr>
        <w:pStyle w:val="ListParagraph"/>
        <w:numPr>
          <w:ilvl w:val="0"/>
          <w:numId w:val="33"/>
        </w:numPr>
        <w:spacing w:after="0" w:line="240" w:lineRule="auto"/>
        <w:jc w:val="both"/>
        <w:rPr>
          <w:rFonts w:ascii="Calibri" w:eastAsia="Arial,Calibri" w:hAnsi="Calibri" w:cs="Arial"/>
        </w:rPr>
      </w:pPr>
      <w:r>
        <w:rPr>
          <w:rFonts w:ascii="Calibri" w:eastAsia="Arial,Calibri" w:hAnsi="Calibri" w:cs="Arial"/>
        </w:rPr>
        <w:t>On Site Days:</w:t>
      </w:r>
    </w:p>
    <w:p w:rsidR="00AB2030" w:rsidRDefault="008C5C4E" w:rsidP="008A2A26">
      <w:pPr>
        <w:pStyle w:val="ListParagraph"/>
        <w:numPr>
          <w:ilvl w:val="1"/>
          <w:numId w:val="33"/>
        </w:numPr>
        <w:spacing w:after="0" w:line="240" w:lineRule="auto"/>
        <w:jc w:val="both"/>
        <w:rPr>
          <w:rFonts w:ascii="Calibri" w:eastAsia="Arial,Calibri" w:hAnsi="Calibri" w:cs="Arial"/>
        </w:rPr>
      </w:pPr>
      <w:r>
        <w:rPr>
          <w:rFonts w:ascii="Calibri" w:eastAsia="Arial,Calibri" w:hAnsi="Calibri" w:cs="Arial"/>
        </w:rPr>
        <w:t>Total number of days on</w:t>
      </w:r>
      <w:r w:rsidR="00876273">
        <w:rPr>
          <w:rFonts w:ascii="Calibri" w:eastAsia="Arial,Calibri" w:hAnsi="Calibri" w:cs="Arial"/>
        </w:rPr>
        <w:t xml:space="preserve"> </w:t>
      </w:r>
      <w:r>
        <w:rPr>
          <w:rFonts w:ascii="Calibri" w:eastAsia="Arial,Calibri" w:hAnsi="Calibri" w:cs="Arial"/>
        </w:rPr>
        <w:t>site</w:t>
      </w:r>
    </w:p>
    <w:p w:rsidR="008C5C4E" w:rsidRDefault="00876273" w:rsidP="008A2A26">
      <w:pPr>
        <w:pStyle w:val="ListParagraph"/>
        <w:numPr>
          <w:ilvl w:val="1"/>
          <w:numId w:val="33"/>
        </w:numPr>
        <w:spacing w:after="0" w:line="240" w:lineRule="auto"/>
        <w:jc w:val="both"/>
        <w:rPr>
          <w:rFonts w:ascii="Calibri" w:eastAsia="Arial,Calibri" w:hAnsi="Calibri" w:cs="Arial"/>
        </w:rPr>
      </w:pPr>
      <w:r>
        <w:rPr>
          <w:rFonts w:ascii="Calibri" w:eastAsia="Arial,Calibri" w:hAnsi="Calibri" w:cs="Arial"/>
        </w:rPr>
        <w:t>Total cost of on</w:t>
      </w:r>
      <w:r w:rsidR="008C5C4E">
        <w:rPr>
          <w:rFonts w:ascii="Calibri" w:eastAsia="Arial,Calibri" w:hAnsi="Calibri" w:cs="Arial"/>
        </w:rPr>
        <w:t>site days</w:t>
      </w:r>
    </w:p>
    <w:p w:rsidR="008C5C4E" w:rsidRDefault="008C5C4E" w:rsidP="008A2A26">
      <w:pPr>
        <w:pStyle w:val="ListParagraph"/>
        <w:numPr>
          <w:ilvl w:val="1"/>
          <w:numId w:val="33"/>
        </w:numPr>
        <w:spacing w:after="0" w:line="240" w:lineRule="auto"/>
        <w:jc w:val="both"/>
        <w:rPr>
          <w:rFonts w:ascii="Calibri" w:eastAsia="Arial,Calibri" w:hAnsi="Calibri" w:cs="Arial"/>
        </w:rPr>
      </w:pPr>
      <w:r>
        <w:rPr>
          <w:rFonts w:ascii="Calibri" w:eastAsia="Arial,Calibri" w:hAnsi="Calibri" w:cs="Arial"/>
        </w:rPr>
        <w:t>Additional expenses charged for onsite days</w:t>
      </w:r>
    </w:p>
    <w:p w:rsidR="008A2A26" w:rsidRDefault="008A2A26" w:rsidP="00AB2030">
      <w:pPr>
        <w:pStyle w:val="ListParagraph"/>
        <w:numPr>
          <w:ilvl w:val="0"/>
          <w:numId w:val="33"/>
        </w:numPr>
        <w:spacing w:after="0" w:line="240" w:lineRule="auto"/>
        <w:jc w:val="both"/>
        <w:rPr>
          <w:rFonts w:ascii="Calibri" w:eastAsia="Arial,Calibri" w:hAnsi="Calibri" w:cs="Arial"/>
        </w:rPr>
      </w:pPr>
      <w:r>
        <w:rPr>
          <w:rFonts w:ascii="Calibri" w:eastAsia="Arial,Calibri" w:hAnsi="Calibri" w:cs="Arial"/>
        </w:rPr>
        <w:t>Off Site Days:</w:t>
      </w:r>
    </w:p>
    <w:p w:rsidR="008C5C4E" w:rsidRDefault="008C5C4E" w:rsidP="008A2A26">
      <w:pPr>
        <w:pStyle w:val="ListParagraph"/>
        <w:numPr>
          <w:ilvl w:val="1"/>
          <w:numId w:val="33"/>
        </w:numPr>
        <w:spacing w:after="0" w:line="240" w:lineRule="auto"/>
        <w:jc w:val="both"/>
        <w:rPr>
          <w:rFonts w:ascii="Calibri" w:eastAsia="Arial,Calibri" w:hAnsi="Calibri" w:cs="Arial"/>
        </w:rPr>
      </w:pPr>
      <w:r>
        <w:rPr>
          <w:rFonts w:ascii="Calibri" w:eastAsia="Arial,Calibri" w:hAnsi="Calibri" w:cs="Arial"/>
        </w:rPr>
        <w:t xml:space="preserve">Total number of </w:t>
      </w:r>
      <w:r w:rsidR="00876273">
        <w:rPr>
          <w:rFonts w:ascii="Calibri" w:eastAsia="Arial,Calibri" w:hAnsi="Calibri" w:cs="Arial"/>
        </w:rPr>
        <w:t xml:space="preserve">days </w:t>
      </w:r>
      <w:r>
        <w:rPr>
          <w:rFonts w:ascii="Calibri" w:eastAsia="Arial,Calibri" w:hAnsi="Calibri" w:cs="Arial"/>
        </w:rPr>
        <w:t>of</w:t>
      </w:r>
      <w:r w:rsidR="00876273">
        <w:rPr>
          <w:rFonts w:ascii="Calibri" w:eastAsia="Arial,Calibri" w:hAnsi="Calibri" w:cs="Arial"/>
        </w:rPr>
        <w:t>f site</w:t>
      </w:r>
    </w:p>
    <w:p w:rsidR="008C5C4E" w:rsidRPr="00024AFF" w:rsidRDefault="00876273" w:rsidP="008A2A26">
      <w:pPr>
        <w:pStyle w:val="ListParagraph"/>
        <w:numPr>
          <w:ilvl w:val="1"/>
          <w:numId w:val="33"/>
        </w:numPr>
        <w:spacing w:after="0" w:line="240" w:lineRule="auto"/>
        <w:jc w:val="both"/>
        <w:rPr>
          <w:rFonts w:ascii="Calibri" w:eastAsia="Arial,Calibri" w:hAnsi="Calibri" w:cs="Arial"/>
        </w:rPr>
      </w:pPr>
      <w:r>
        <w:rPr>
          <w:rFonts w:ascii="Calibri" w:eastAsia="Arial,Calibri" w:hAnsi="Calibri" w:cs="Arial"/>
        </w:rPr>
        <w:t xml:space="preserve">Total cost of </w:t>
      </w:r>
      <w:r w:rsidRPr="00024AFF">
        <w:rPr>
          <w:rFonts w:ascii="Calibri" w:eastAsia="Arial,Calibri" w:hAnsi="Calibri" w:cs="Arial"/>
        </w:rPr>
        <w:t>off</w:t>
      </w:r>
      <w:r w:rsidR="008C5C4E" w:rsidRPr="00024AFF">
        <w:rPr>
          <w:rFonts w:ascii="Calibri" w:eastAsia="Arial,Calibri" w:hAnsi="Calibri" w:cs="Arial"/>
        </w:rPr>
        <w:t>site days</w:t>
      </w:r>
    </w:p>
    <w:p w:rsidR="008C5C4E" w:rsidRPr="00024AFF" w:rsidRDefault="008C5C4E" w:rsidP="00AB2030">
      <w:pPr>
        <w:pStyle w:val="ListParagraph"/>
        <w:numPr>
          <w:ilvl w:val="0"/>
          <w:numId w:val="33"/>
        </w:numPr>
        <w:spacing w:after="0" w:line="240" w:lineRule="auto"/>
        <w:jc w:val="both"/>
        <w:rPr>
          <w:rFonts w:ascii="Calibri" w:eastAsia="Arial,Calibri" w:hAnsi="Calibri" w:cs="Arial"/>
        </w:rPr>
      </w:pPr>
      <w:r w:rsidRPr="00024AFF">
        <w:rPr>
          <w:rFonts w:ascii="Calibri" w:eastAsia="Arial,Calibri" w:hAnsi="Calibri" w:cs="Arial"/>
        </w:rPr>
        <w:t>Total project cost</w:t>
      </w:r>
      <w:r w:rsidR="006642A3" w:rsidRPr="00024AFF">
        <w:rPr>
          <w:rFonts w:ascii="Calibri" w:eastAsia="Arial,Calibri" w:hAnsi="Calibri" w:cs="Arial"/>
        </w:rPr>
        <w:t xml:space="preserve"> (sum of the above </w:t>
      </w:r>
      <w:r w:rsidR="001107B2" w:rsidRPr="00024AFF">
        <w:rPr>
          <w:rFonts w:ascii="Calibri" w:eastAsia="Arial,Calibri" w:hAnsi="Calibri" w:cs="Arial"/>
        </w:rPr>
        <w:t xml:space="preserve">cost </w:t>
      </w:r>
      <w:r w:rsidR="006642A3" w:rsidRPr="00024AFF">
        <w:rPr>
          <w:rFonts w:ascii="Calibri" w:eastAsia="Arial,Calibri" w:hAnsi="Calibri" w:cs="Arial"/>
        </w:rPr>
        <w:t>values)</w:t>
      </w:r>
    </w:p>
    <w:p w:rsidR="005E4527" w:rsidRDefault="005E4527" w:rsidP="00D90763">
      <w:pPr>
        <w:rPr>
          <w:b/>
        </w:rPr>
      </w:pPr>
    </w:p>
    <w:p w:rsidR="0076068A" w:rsidRPr="00D90763" w:rsidRDefault="0076068A" w:rsidP="00D90763">
      <w:pPr>
        <w:rPr>
          <w:b/>
        </w:rPr>
      </w:pPr>
    </w:p>
    <w:p w:rsidR="00883718" w:rsidRPr="00365BCC" w:rsidRDefault="00906816" w:rsidP="00883718">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8" w:name="_Toc474747023"/>
      <w:r>
        <w:rPr>
          <w:rStyle w:val="Heading1Char"/>
        </w:rPr>
        <w:t>8</w:t>
      </w:r>
      <w:r w:rsidR="007230DE">
        <w:rPr>
          <w:rStyle w:val="Heading1Char"/>
        </w:rPr>
        <w:t xml:space="preserve"> </w:t>
      </w:r>
      <w:r w:rsidR="00883718">
        <w:rPr>
          <w:rStyle w:val="Heading1Char"/>
        </w:rPr>
        <w:t xml:space="preserve">Tender </w:t>
      </w:r>
      <w:bookmarkEnd w:id="18"/>
      <w:r w:rsidR="005E4527">
        <w:rPr>
          <w:rStyle w:val="Heading1Char"/>
        </w:rPr>
        <w:t>Evaluation</w:t>
      </w:r>
    </w:p>
    <w:p w:rsidR="004753DC" w:rsidRPr="004753DC" w:rsidRDefault="00F23511" w:rsidP="00FE4D5C">
      <w:pPr>
        <w:spacing w:after="0" w:line="240" w:lineRule="auto"/>
        <w:rPr>
          <w:rFonts w:eastAsiaTheme="majorEastAsia" w:cstheme="minorHAnsi"/>
        </w:rPr>
      </w:pPr>
      <w:r>
        <w:rPr>
          <w:rFonts w:eastAsiaTheme="majorEastAsia" w:cstheme="minorHAnsi"/>
        </w:rPr>
        <w:t>Datasharp</w:t>
      </w:r>
      <w:r w:rsidR="004753DC" w:rsidRPr="004753DC">
        <w:rPr>
          <w:rFonts w:eastAsiaTheme="majorEastAsia" w:cstheme="minorHAnsi"/>
        </w:rPr>
        <w:t xml:space="preserve"> has committed</w:t>
      </w:r>
      <w:r>
        <w:rPr>
          <w:rFonts w:eastAsiaTheme="majorEastAsia" w:cstheme="minorHAnsi"/>
        </w:rPr>
        <w:t xml:space="preserve"> to make substantive investment</w:t>
      </w:r>
      <w:r w:rsidR="004753DC" w:rsidRPr="004753DC">
        <w:rPr>
          <w:rFonts w:eastAsiaTheme="majorEastAsia" w:cstheme="minorHAnsi"/>
        </w:rPr>
        <w:t xml:space="preserve"> in </w:t>
      </w:r>
      <w:r>
        <w:rPr>
          <w:rFonts w:eastAsiaTheme="majorEastAsia" w:cstheme="minorHAnsi"/>
        </w:rPr>
        <w:t>a Microsoft Dynamics 365 system</w:t>
      </w:r>
      <w:r w:rsidR="004753DC" w:rsidRPr="004753DC">
        <w:rPr>
          <w:rFonts w:eastAsiaTheme="majorEastAsia" w:cstheme="minorHAnsi"/>
        </w:rPr>
        <w:t xml:space="preserve"> to </w:t>
      </w:r>
      <w:r>
        <w:rPr>
          <w:rFonts w:eastAsiaTheme="majorEastAsia" w:cstheme="minorHAnsi"/>
        </w:rPr>
        <w:t>improve the efficiency of</w:t>
      </w:r>
      <w:r w:rsidR="004753DC" w:rsidRPr="004753DC">
        <w:rPr>
          <w:rFonts w:eastAsiaTheme="majorEastAsia" w:cstheme="minorHAnsi"/>
        </w:rPr>
        <w:t xml:space="preserve"> the </w:t>
      </w:r>
      <w:r>
        <w:rPr>
          <w:rFonts w:eastAsiaTheme="majorEastAsia" w:cstheme="minorHAnsi"/>
        </w:rPr>
        <w:t>organisation to support growth.</w:t>
      </w:r>
    </w:p>
    <w:p w:rsidR="004753DC" w:rsidRPr="004753DC" w:rsidRDefault="004753DC" w:rsidP="00FE4D5C">
      <w:pPr>
        <w:spacing w:after="0" w:line="240" w:lineRule="auto"/>
        <w:rPr>
          <w:rFonts w:eastAsiaTheme="majorEastAsia" w:cstheme="minorHAnsi"/>
        </w:rPr>
      </w:pPr>
    </w:p>
    <w:p w:rsidR="004753DC" w:rsidRDefault="004753DC" w:rsidP="00FE4D5C">
      <w:pPr>
        <w:spacing w:after="0" w:line="240" w:lineRule="auto"/>
        <w:rPr>
          <w:rFonts w:eastAsiaTheme="majorEastAsia" w:cstheme="minorHAnsi"/>
        </w:rPr>
      </w:pPr>
      <w:r w:rsidRPr="004753DC">
        <w:rPr>
          <w:rFonts w:eastAsiaTheme="majorEastAsia" w:cstheme="minorHAnsi"/>
        </w:rPr>
        <w:t xml:space="preserve">The sponsor of the </w:t>
      </w:r>
      <w:r w:rsidR="00F23511">
        <w:rPr>
          <w:rFonts w:eastAsiaTheme="majorEastAsia" w:cstheme="minorHAnsi"/>
        </w:rPr>
        <w:t>Dynamics 365</w:t>
      </w:r>
      <w:r w:rsidRPr="004753DC">
        <w:rPr>
          <w:rFonts w:eastAsiaTheme="majorEastAsia" w:cstheme="minorHAnsi"/>
        </w:rPr>
        <w:t xml:space="preserve"> Project is the </w:t>
      </w:r>
      <w:r w:rsidR="00FE4D5C">
        <w:rPr>
          <w:rFonts w:eastAsiaTheme="majorEastAsia" w:cstheme="minorHAnsi"/>
        </w:rPr>
        <w:t>Managing Director, Jane Cockcroft</w:t>
      </w:r>
      <w:r w:rsidR="00F06248">
        <w:rPr>
          <w:rFonts w:eastAsiaTheme="majorEastAsia" w:cstheme="minorHAnsi"/>
        </w:rPr>
        <w:t>,</w:t>
      </w:r>
      <w:r w:rsidR="00FE4D5C">
        <w:rPr>
          <w:rFonts w:eastAsiaTheme="majorEastAsia" w:cstheme="minorHAnsi"/>
        </w:rPr>
        <w:t xml:space="preserve"> </w:t>
      </w:r>
      <w:r w:rsidR="00F23511">
        <w:rPr>
          <w:rFonts w:eastAsiaTheme="majorEastAsia" w:cstheme="minorHAnsi"/>
        </w:rPr>
        <w:t xml:space="preserve">supported by a </w:t>
      </w:r>
      <w:r w:rsidRPr="004753DC">
        <w:rPr>
          <w:rFonts w:eastAsiaTheme="majorEastAsia" w:cstheme="minorHAnsi"/>
        </w:rPr>
        <w:t>steering committee. The steering committee will select the preferred supplier.</w:t>
      </w:r>
    </w:p>
    <w:p w:rsidR="00FB27A7" w:rsidRDefault="00FB27A7" w:rsidP="00FE4D5C">
      <w:pPr>
        <w:spacing w:after="0" w:line="240" w:lineRule="auto"/>
        <w:rPr>
          <w:rFonts w:eastAsiaTheme="majorEastAsia" w:cstheme="minorHAnsi"/>
        </w:rPr>
      </w:pPr>
    </w:p>
    <w:p w:rsidR="00FB27A7" w:rsidRPr="004753DC" w:rsidRDefault="00FB27A7" w:rsidP="00FE4D5C">
      <w:pPr>
        <w:spacing w:after="0" w:line="240" w:lineRule="auto"/>
        <w:rPr>
          <w:rFonts w:eastAsiaTheme="majorEastAsia" w:cstheme="minorHAnsi"/>
        </w:rPr>
      </w:pPr>
      <w:r w:rsidRPr="00453436">
        <w:t xml:space="preserve">The tender will be </w:t>
      </w:r>
      <w:r w:rsidR="005E4527">
        <w:t>awarded to the lowest compliant bid.</w:t>
      </w:r>
    </w:p>
    <w:p w:rsidR="00907D8A" w:rsidRPr="005E4527" w:rsidRDefault="00907D8A" w:rsidP="005E4527">
      <w:pPr>
        <w:spacing w:after="0" w:line="240" w:lineRule="auto"/>
        <w:rPr>
          <w:rFonts w:eastAsiaTheme="majorEastAsia" w:cstheme="minorHAnsi"/>
        </w:rPr>
      </w:pPr>
    </w:p>
    <w:p w:rsidR="006E0F49" w:rsidRDefault="006E0F49" w:rsidP="006E0F49">
      <w:pPr>
        <w:spacing w:after="0" w:line="240" w:lineRule="auto"/>
        <w:ind w:left="360"/>
        <w:rPr>
          <w:rFonts w:eastAsiaTheme="majorEastAsia" w:cstheme="minorHAnsi"/>
        </w:rPr>
      </w:pPr>
    </w:p>
    <w:p w:rsidR="00B149D1" w:rsidRDefault="00B149D1" w:rsidP="006E0F49">
      <w:pPr>
        <w:spacing w:after="0" w:line="240" w:lineRule="auto"/>
        <w:ind w:left="360"/>
        <w:rPr>
          <w:rFonts w:eastAsiaTheme="majorEastAsia" w:cstheme="minorHAnsi"/>
        </w:rPr>
      </w:pPr>
    </w:p>
    <w:p w:rsidR="00B149D1" w:rsidRDefault="00B149D1" w:rsidP="006E0F49">
      <w:pPr>
        <w:spacing w:after="0" w:line="240" w:lineRule="auto"/>
        <w:ind w:left="360"/>
        <w:rPr>
          <w:rFonts w:eastAsiaTheme="majorEastAsia" w:cstheme="minorHAnsi"/>
        </w:rPr>
      </w:pPr>
    </w:p>
    <w:p w:rsidR="00B149D1" w:rsidRPr="006E0F49" w:rsidRDefault="00B149D1" w:rsidP="006E0F49">
      <w:pPr>
        <w:spacing w:after="0" w:line="240" w:lineRule="auto"/>
        <w:ind w:left="360"/>
        <w:rPr>
          <w:rFonts w:eastAsiaTheme="majorEastAsia" w:cstheme="minorHAnsi"/>
        </w:rPr>
      </w:pPr>
    </w:p>
    <w:p w:rsidR="00AA61EA" w:rsidRPr="00365BCC" w:rsidRDefault="00906816" w:rsidP="00AA61EA">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9" w:name="_Toc474747024"/>
      <w:r>
        <w:rPr>
          <w:rStyle w:val="Heading1Char"/>
        </w:rPr>
        <w:lastRenderedPageBreak/>
        <w:t>9</w:t>
      </w:r>
      <w:r w:rsidR="007230DE">
        <w:rPr>
          <w:rStyle w:val="Heading1Char"/>
        </w:rPr>
        <w:t xml:space="preserve"> </w:t>
      </w:r>
      <w:r w:rsidR="00AA61EA">
        <w:rPr>
          <w:rStyle w:val="Heading1Char"/>
        </w:rPr>
        <w:t>Tender Returns</w:t>
      </w:r>
      <w:bookmarkEnd w:id="19"/>
    </w:p>
    <w:p w:rsidR="00A30D57" w:rsidRPr="00A436CD" w:rsidRDefault="00A30D57" w:rsidP="00A30D57">
      <w:r w:rsidRPr="00A30D57">
        <w:t xml:space="preserve">Tenders may be returned by </w:t>
      </w:r>
      <w:r w:rsidR="00E30C02">
        <w:t>e-</w:t>
      </w:r>
      <w:r w:rsidR="00E30C02" w:rsidRPr="00A436CD">
        <w:t>mail</w:t>
      </w:r>
      <w:r w:rsidRPr="00A436CD">
        <w:t xml:space="preserve"> or post, or by delivery in person.</w:t>
      </w:r>
    </w:p>
    <w:p w:rsidR="00A30D57" w:rsidRPr="00A436CD" w:rsidRDefault="00A30D57" w:rsidP="00A30D57">
      <w:r w:rsidRPr="00A436CD">
        <w:t xml:space="preserve">Tenders are to be returned </w:t>
      </w:r>
      <w:r w:rsidR="00DD4430" w:rsidRPr="00A436CD">
        <w:t>by:</w:t>
      </w:r>
      <w:r w:rsidR="00DD4430" w:rsidRPr="00A436CD">
        <w:tab/>
      </w:r>
      <w:r w:rsidR="00A436CD" w:rsidRPr="00A436CD">
        <w:t>3</w:t>
      </w:r>
      <w:r w:rsidR="00A436CD" w:rsidRPr="00A436CD">
        <w:rPr>
          <w:vertAlign w:val="superscript"/>
        </w:rPr>
        <w:t>rd</w:t>
      </w:r>
      <w:r w:rsidR="00A436CD" w:rsidRPr="00A436CD">
        <w:t xml:space="preserve"> April 2017</w:t>
      </w:r>
    </w:p>
    <w:p w:rsidR="00A30D57" w:rsidRPr="00AD76E6" w:rsidRDefault="00A30D57" w:rsidP="00A30D57">
      <w:r w:rsidRPr="00A436CD">
        <w:t>Latest date to be returned:</w:t>
      </w:r>
      <w:r w:rsidRPr="00A436CD">
        <w:tab/>
      </w:r>
      <w:r w:rsidR="00A436CD" w:rsidRPr="00A436CD">
        <w:t>3</w:t>
      </w:r>
      <w:r w:rsidR="00A436CD" w:rsidRPr="00A436CD">
        <w:rPr>
          <w:vertAlign w:val="superscript"/>
        </w:rPr>
        <w:t>rd</w:t>
      </w:r>
      <w:r w:rsidR="00A436CD" w:rsidRPr="00A436CD">
        <w:t xml:space="preserve"> April 2017</w:t>
      </w:r>
    </w:p>
    <w:p w:rsidR="00A30D57" w:rsidRPr="00DD4430" w:rsidRDefault="00A30D57" w:rsidP="00A30D57">
      <w:r w:rsidRPr="00DD4430">
        <w:t>Latest time to be returned:</w:t>
      </w:r>
      <w:r w:rsidRPr="00DD4430">
        <w:tab/>
      </w:r>
      <w:r w:rsidR="009918C8" w:rsidRPr="00DD4430">
        <w:t>23:59</w:t>
      </w:r>
      <w:r w:rsidR="00927F57">
        <w:t xml:space="preserve"> (UK time)</w:t>
      </w:r>
    </w:p>
    <w:p w:rsidR="00E9511D" w:rsidRDefault="00A30D57" w:rsidP="00A30D57">
      <w:pPr>
        <w:rPr>
          <w:b/>
        </w:rPr>
      </w:pPr>
      <w:r w:rsidRPr="00A30D57">
        <w:t xml:space="preserve">If submitting by </w:t>
      </w:r>
      <w:r w:rsidR="00E30C02">
        <w:rPr>
          <w:b/>
        </w:rPr>
        <w:t>e-mail</w:t>
      </w:r>
      <w:r w:rsidRPr="00A30D57">
        <w:rPr>
          <w:b/>
        </w:rPr>
        <w:t>,</w:t>
      </w:r>
      <w:r w:rsidRPr="00A30D57">
        <w:t xml:space="preserve"> tenders should be sent electronically </w:t>
      </w:r>
      <w:r w:rsidRPr="00E9511D">
        <w:t xml:space="preserve">to </w:t>
      </w:r>
      <w:r w:rsidR="00CF2012" w:rsidRPr="00A87CC3">
        <w:rPr>
          <w:b/>
          <w:i/>
        </w:rPr>
        <w:t>paul.hayes@datasharp.co.uk</w:t>
      </w:r>
      <w:r w:rsidR="00E9511D" w:rsidRPr="00A87CC3">
        <w:rPr>
          <w:b/>
        </w:rPr>
        <w:t xml:space="preserve"> </w:t>
      </w:r>
      <w:r w:rsidRPr="00E9511D">
        <w:t xml:space="preserve">with </w:t>
      </w:r>
      <w:r w:rsidRPr="00A30D57">
        <w:t xml:space="preserve">the following message </w:t>
      </w:r>
      <w:r w:rsidRPr="00A30D57">
        <w:rPr>
          <w:b/>
        </w:rPr>
        <w:t>clearly noted in the Subject box</w:t>
      </w:r>
      <w:r w:rsidR="00E9511D">
        <w:rPr>
          <w:b/>
        </w:rPr>
        <w:t>:</w:t>
      </w:r>
    </w:p>
    <w:p w:rsidR="00A30D57" w:rsidRPr="00A87CC3" w:rsidRDefault="00E9511D" w:rsidP="00A87CC3">
      <w:pPr>
        <w:jc w:val="center"/>
        <w:rPr>
          <w:i/>
        </w:rPr>
      </w:pPr>
      <w:r w:rsidRPr="00A87CC3">
        <w:rPr>
          <w:i/>
        </w:rPr>
        <w:t>TENDER -</w:t>
      </w:r>
      <w:r w:rsidRPr="00A87CC3">
        <w:rPr>
          <w:b/>
          <w:i/>
        </w:rPr>
        <w:t xml:space="preserve"> </w:t>
      </w:r>
      <w:r w:rsidRPr="00A87CC3">
        <w:rPr>
          <w:i/>
        </w:rPr>
        <w:t>Microsoft ERP &amp; CR</w:t>
      </w:r>
      <w:r w:rsidR="00464DBC" w:rsidRPr="00A87CC3">
        <w:rPr>
          <w:i/>
        </w:rPr>
        <w:t>M</w:t>
      </w:r>
      <w:r w:rsidRPr="00A87CC3">
        <w:rPr>
          <w:i/>
        </w:rPr>
        <w:t xml:space="preserve"> Software Implementation Project DUKERP BIG2</w:t>
      </w:r>
      <w:r w:rsidR="00F721EC">
        <w:rPr>
          <w:i/>
        </w:rPr>
        <w:t>081</w:t>
      </w:r>
    </w:p>
    <w:p w:rsidR="00E9511D" w:rsidRPr="00A87CC3" w:rsidRDefault="00E9511D" w:rsidP="00A30D57">
      <w:pPr>
        <w:rPr>
          <w:rFonts w:cstheme="minorHAnsi"/>
        </w:rPr>
      </w:pPr>
      <w:r w:rsidRPr="00A87CC3">
        <w:rPr>
          <w:rFonts w:eastAsia="Times New Roman" w:cstheme="minorHAnsi"/>
          <w:lang w:eastAsia="en-GB"/>
        </w:rPr>
        <w:t xml:space="preserve">E-mail submissions should not give any indications as to the tenderers identity. A business name identified via </w:t>
      </w:r>
      <w:r w:rsidR="00E30C02">
        <w:rPr>
          <w:rFonts w:eastAsia="Times New Roman" w:cstheme="minorHAnsi"/>
          <w:lang w:eastAsia="en-GB"/>
        </w:rPr>
        <w:t>e-mail</w:t>
      </w:r>
      <w:r w:rsidRPr="00A87CC3">
        <w:rPr>
          <w:rFonts w:eastAsia="Times New Roman" w:cstheme="minorHAnsi"/>
          <w:lang w:eastAsia="en-GB"/>
        </w:rPr>
        <w:t xml:space="preserve"> address will not disqualify the tender. </w:t>
      </w:r>
      <w:r>
        <w:rPr>
          <w:rFonts w:eastAsia="Times New Roman" w:cstheme="minorHAnsi"/>
          <w:lang w:eastAsia="en-GB"/>
        </w:rPr>
        <w:t>T</w:t>
      </w:r>
      <w:r w:rsidRPr="00A87CC3">
        <w:rPr>
          <w:rFonts w:eastAsia="Times New Roman" w:cstheme="minorHAnsi"/>
          <w:lang w:eastAsia="en-GB"/>
        </w:rPr>
        <w:t>he receipt of docum</w:t>
      </w:r>
      <w:r>
        <w:rPr>
          <w:rFonts w:eastAsia="Times New Roman" w:cstheme="minorHAnsi"/>
          <w:lang w:eastAsia="en-GB"/>
        </w:rPr>
        <w:t xml:space="preserve">ents using this format is the tenderer’s </w:t>
      </w:r>
      <w:r w:rsidRPr="00A87CC3">
        <w:rPr>
          <w:rFonts w:eastAsia="Times New Roman" w:cstheme="minorHAnsi"/>
          <w:lang w:eastAsia="en-GB"/>
        </w:rPr>
        <w:t>responsibility.</w:t>
      </w:r>
    </w:p>
    <w:p w:rsidR="00F917C9" w:rsidRDefault="00A30D57" w:rsidP="00464DBC">
      <w:r w:rsidRPr="00A87CC3">
        <w:rPr>
          <w:rFonts w:cstheme="minorHAnsi"/>
        </w:rPr>
        <w:t xml:space="preserve">Tenderers are advised to request an acknowledgement of receipt when submitting by </w:t>
      </w:r>
      <w:r w:rsidR="00E30C02">
        <w:rPr>
          <w:rFonts w:cstheme="minorHAnsi"/>
        </w:rPr>
        <w:t>e-mail</w:t>
      </w:r>
      <w:r w:rsidRPr="00A87CC3">
        <w:rPr>
          <w:rFonts w:cstheme="minorHAnsi"/>
        </w:rPr>
        <w:t>.</w:t>
      </w:r>
    </w:p>
    <w:p w:rsidR="00464DBC" w:rsidRPr="00A87CC3" w:rsidRDefault="00464DBC" w:rsidP="00464DBC">
      <w:r w:rsidRPr="00A87CC3">
        <w:t>If submitting by post or in person, the Tender must be enclosed in a sealed en</w:t>
      </w:r>
      <w:r>
        <w:t>velope, only marked as follows:</w:t>
      </w:r>
    </w:p>
    <w:p w:rsidR="00464DBC" w:rsidRPr="00A436CD" w:rsidRDefault="00464DBC" w:rsidP="00464DBC">
      <w:pPr>
        <w:rPr>
          <w:i/>
        </w:rPr>
      </w:pPr>
      <w:r w:rsidRPr="00A436CD">
        <w:rPr>
          <w:i/>
        </w:rPr>
        <w:t>Tender - Strictly Confidential – Microsoft ERP &amp; CRM Software Implementation Project DUKERP BIG2</w:t>
      </w:r>
      <w:r w:rsidR="002B6371" w:rsidRPr="00A436CD">
        <w:rPr>
          <w:i/>
        </w:rPr>
        <w:t>081</w:t>
      </w:r>
      <w:r w:rsidRPr="00A436CD" w:rsidDel="00E9511D">
        <w:rPr>
          <w:b/>
          <w:i/>
        </w:rPr>
        <w:t xml:space="preserve"> </w:t>
      </w:r>
    </w:p>
    <w:p w:rsidR="00464DBC" w:rsidRPr="00A436CD" w:rsidRDefault="00464DBC" w:rsidP="00464DBC">
      <w:r w:rsidRPr="00A436CD">
        <w:t>Contract Reference Number: BIG2</w:t>
      </w:r>
      <w:r w:rsidR="002B6371" w:rsidRPr="00A436CD">
        <w:t>081</w:t>
      </w:r>
      <w:r w:rsidRPr="00A436CD">
        <w:t xml:space="preserve"> </w:t>
      </w:r>
    </w:p>
    <w:p w:rsidR="00464DBC" w:rsidRPr="00A436CD" w:rsidRDefault="00464DBC" w:rsidP="00A87CC3">
      <w:pPr>
        <w:spacing w:after="0" w:line="240" w:lineRule="auto"/>
        <w:jc w:val="both"/>
      </w:pPr>
      <w:r w:rsidRPr="00A436CD">
        <w:t xml:space="preserve">Addressed to: </w:t>
      </w:r>
    </w:p>
    <w:p w:rsidR="00464DBC" w:rsidRPr="00A436CD" w:rsidRDefault="00464DBC" w:rsidP="00A87CC3">
      <w:pPr>
        <w:spacing w:after="0" w:line="240" w:lineRule="auto"/>
        <w:ind w:left="720"/>
        <w:jc w:val="both"/>
      </w:pPr>
      <w:r w:rsidRPr="00A436CD">
        <w:t>Paul Hayes</w:t>
      </w:r>
    </w:p>
    <w:p w:rsidR="00464DBC" w:rsidRPr="00A436CD" w:rsidRDefault="00464DBC" w:rsidP="00A87CC3">
      <w:pPr>
        <w:spacing w:after="0" w:line="240" w:lineRule="auto"/>
        <w:ind w:left="720"/>
        <w:jc w:val="both"/>
      </w:pPr>
      <w:r w:rsidRPr="00A436CD">
        <w:t>Head of Finance</w:t>
      </w:r>
    </w:p>
    <w:p w:rsidR="00464DBC" w:rsidRPr="00A436CD" w:rsidRDefault="00464DBC" w:rsidP="00A87CC3">
      <w:pPr>
        <w:spacing w:after="0" w:line="240" w:lineRule="auto"/>
        <w:ind w:left="720"/>
        <w:jc w:val="both"/>
      </w:pPr>
      <w:r w:rsidRPr="00A436CD">
        <w:t>Datasharp UK Ltd</w:t>
      </w:r>
    </w:p>
    <w:p w:rsidR="00464DBC" w:rsidRPr="00A436CD" w:rsidRDefault="00464DBC" w:rsidP="00A87CC3">
      <w:pPr>
        <w:spacing w:after="0" w:line="240" w:lineRule="auto"/>
        <w:ind w:left="720"/>
        <w:jc w:val="both"/>
      </w:pPr>
      <w:r w:rsidRPr="00A436CD">
        <w:t>Woodlands Court</w:t>
      </w:r>
    </w:p>
    <w:p w:rsidR="00464DBC" w:rsidRDefault="00464DBC" w:rsidP="00A87CC3">
      <w:pPr>
        <w:spacing w:after="0" w:line="240" w:lineRule="auto"/>
        <w:ind w:left="720"/>
        <w:jc w:val="both"/>
      </w:pPr>
      <w:r w:rsidRPr="00A436CD">
        <w:t>Truro Business Park</w:t>
      </w:r>
    </w:p>
    <w:p w:rsidR="00464DBC" w:rsidRDefault="00464DBC" w:rsidP="00A87CC3">
      <w:pPr>
        <w:spacing w:after="0" w:line="240" w:lineRule="auto"/>
        <w:ind w:left="720"/>
        <w:jc w:val="both"/>
      </w:pPr>
      <w:r>
        <w:t>Truro</w:t>
      </w:r>
    </w:p>
    <w:p w:rsidR="00464DBC" w:rsidRDefault="00464DBC" w:rsidP="00A87CC3">
      <w:pPr>
        <w:spacing w:after="0" w:line="240" w:lineRule="auto"/>
        <w:ind w:left="720"/>
        <w:jc w:val="both"/>
      </w:pPr>
      <w:r>
        <w:t>Cornwall  TR4 9NH</w:t>
      </w:r>
    </w:p>
    <w:p w:rsidR="00464DBC" w:rsidRDefault="00464DBC" w:rsidP="00464DBC">
      <w:pPr>
        <w:jc w:val="both"/>
      </w:pPr>
    </w:p>
    <w:p w:rsidR="00464DBC" w:rsidRPr="00464DBC" w:rsidRDefault="00464DBC" w:rsidP="00464DBC">
      <w:pPr>
        <w:jc w:val="both"/>
      </w:pPr>
      <w:r w:rsidRPr="00464DBC">
        <w:t>The envelope should not give any indication to the Tenderer’s identity.  Marking by the carrier will not disqualify the tender.</w:t>
      </w:r>
    </w:p>
    <w:p w:rsidR="00B149D1" w:rsidRDefault="00464DBC" w:rsidP="00464DBC">
      <w:pPr>
        <w:jc w:val="both"/>
      </w:pPr>
      <w:r w:rsidRPr="00464DBC">
        <w:t xml:space="preserve">If delivery </w:t>
      </w:r>
      <w:r w:rsidRPr="00464DBC">
        <w:rPr>
          <w:b/>
        </w:rPr>
        <w:t>by hand</w:t>
      </w:r>
      <w:r w:rsidRPr="00464DBC">
        <w:t xml:space="preserve"> please obtain an official Receipt at point of delivery</w:t>
      </w:r>
    </w:p>
    <w:p w:rsidR="00B149D1" w:rsidRPr="00A87CC3" w:rsidRDefault="00B149D1" w:rsidP="00464DBC">
      <w:pPr>
        <w:jc w:val="both"/>
      </w:pPr>
    </w:p>
    <w:p w:rsidR="00A30D57" w:rsidRPr="00365BCC" w:rsidRDefault="00906816" w:rsidP="00A30D57">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20" w:name="_Toc474747025"/>
      <w:r>
        <w:rPr>
          <w:rStyle w:val="Heading1Char"/>
        </w:rPr>
        <w:t>10</w:t>
      </w:r>
      <w:r w:rsidR="007230DE">
        <w:rPr>
          <w:rStyle w:val="Heading1Char"/>
        </w:rPr>
        <w:t xml:space="preserve"> </w:t>
      </w:r>
      <w:r w:rsidR="00A30D57">
        <w:rPr>
          <w:rStyle w:val="Heading1Char"/>
        </w:rPr>
        <w:t>Clarification</w:t>
      </w:r>
      <w:bookmarkEnd w:id="20"/>
    </w:p>
    <w:p w:rsidR="00A30D57" w:rsidRPr="00A30D57" w:rsidRDefault="00A30D57" w:rsidP="00A30D57">
      <w:r w:rsidRPr="00A30D57">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w:t>
      </w:r>
      <w:r w:rsidR="00A436CD">
        <w:t>questions to be raised is 20</w:t>
      </w:r>
      <w:r w:rsidR="00A436CD" w:rsidRPr="00A436CD">
        <w:rPr>
          <w:vertAlign w:val="superscript"/>
        </w:rPr>
        <w:t>th</w:t>
      </w:r>
      <w:r w:rsidR="00A436CD">
        <w:t xml:space="preserve"> March 2017</w:t>
      </w:r>
      <w:r w:rsidRPr="00A30D57">
        <w:t>. All e-mailed queries should be sent to:-</w:t>
      </w:r>
    </w:p>
    <w:p w:rsidR="00B149D1" w:rsidRDefault="00B149D1" w:rsidP="00A30D57"/>
    <w:p w:rsidR="00B149D1" w:rsidRDefault="00B149D1" w:rsidP="00A30D57"/>
    <w:p w:rsidR="00A30D57" w:rsidRPr="00A30D57" w:rsidRDefault="00A30D57" w:rsidP="00A30D57">
      <w:r w:rsidRPr="00A30D57">
        <w:lastRenderedPageBreak/>
        <w:t>Name:</w:t>
      </w:r>
      <w:r w:rsidR="000F7568">
        <w:tab/>
        <w:t>Robert Gillett</w:t>
      </w:r>
    </w:p>
    <w:p w:rsidR="00A30D57" w:rsidRPr="00A30D57" w:rsidRDefault="000F7568" w:rsidP="00A30D57">
      <w:r>
        <w:t>E</w:t>
      </w:r>
      <w:r w:rsidR="00A30D57" w:rsidRPr="00A30D57">
        <w:t>-mail:</w:t>
      </w:r>
      <w:r>
        <w:tab/>
        <w:t>robert.gillett@datasharp.co.uk</w:t>
      </w:r>
    </w:p>
    <w:p w:rsidR="00A30D57" w:rsidRPr="00A30D57" w:rsidRDefault="00A30D57" w:rsidP="00A30D57">
      <w:r w:rsidRPr="00A30D57">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07489" w:rsidRPr="00ED7EB0">
        <w:t xml:space="preserve">Jane Cockcroft </w:t>
      </w:r>
      <w:r w:rsidRPr="00A30D57">
        <w:t xml:space="preserve">of </w:t>
      </w:r>
      <w:r w:rsidR="00267FE3">
        <w:t>Datasharp</w:t>
      </w:r>
      <w:r w:rsidRPr="00A30D57">
        <w:t>. All such correspondence shall be returned with the Tender Documents and shall form part of the Contract.</w:t>
      </w:r>
    </w:p>
    <w:p w:rsidR="00A30D57" w:rsidRPr="00A30D57" w:rsidRDefault="00A30D57" w:rsidP="00A30D57">
      <w:r w:rsidRPr="00A30D57">
        <w:t xml:space="preserve">Tenderers must provide a single point of contact in their organisation for all contact between the Tenderer and </w:t>
      </w:r>
      <w:r w:rsidR="00267FE3">
        <w:t>Datasharp</w:t>
      </w:r>
      <w:r w:rsidR="000A4E45">
        <w:t>.</w:t>
      </w:r>
    </w:p>
    <w:p w:rsidR="00033923" w:rsidRDefault="00A30D57" w:rsidP="00A30D57">
      <w:r w:rsidRPr="00A30D57">
        <w:t>Responses to any queries will be shared through Contracts Finder website</w:t>
      </w:r>
      <w:r w:rsidR="000A4E45">
        <w:t>.</w:t>
      </w:r>
    </w:p>
    <w:p w:rsidR="00B149D1" w:rsidRPr="00B149D1" w:rsidRDefault="00B149D1" w:rsidP="00A30D57"/>
    <w:p w:rsidR="00033923" w:rsidRPr="00365BCC" w:rsidRDefault="00906816" w:rsidP="00033923">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21" w:name="_Toc474747026"/>
      <w:r>
        <w:rPr>
          <w:rStyle w:val="Heading1Char"/>
        </w:rPr>
        <w:t>11</w:t>
      </w:r>
      <w:r w:rsidR="007230DE">
        <w:rPr>
          <w:rStyle w:val="Heading1Char"/>
        </w:rPr>
        <w:t xml:space="preserve"> </w:t>
      </w:r>
      <w:r w:rsidR="00033923">
        <w:rPr>
          <w:rStyle w:val="Heading1Char"/>
        </w:rPr>
        <w:t>Disclaimer</w:t>
      </w:r>
      <w:bookmarkEnd w:id="21"/>
    </w:p>
    <w:p w:rsidR="00033923" w:rsidRPr="00033923" w:rsidRDefault="00033923" w:rsidP="00033923">
      <w:r w:rsidRPr="00033923">
        <w:t xml:space="preserve">The issue of this documentation does not commit </w:t>
      </w:r>
      <w:r w:rsidR="00267FE3">
        <w:t>Datasharp</w:t>
      </w:r>
      <w:r w:rsidR="000A4E45" w:rsidRPr="00033923">
        <w:t xml:space="preserve"> </w:t>
      </w:r>
      <w:r w:rsidRPr="00033923">
        <w:t>to award any contract pursuant to the bid process or</w:t>
      </w:r>
      <w:r w:rsidR="000A4E45">
        <w:t xml:space="preserve"> to</w:t>
      </w:r>
      <w:r w:rsidRPr="00033923">
        <w:t xml:space="preserve"> enter into a contractual relationship with any provider of the service.  Nothing in the documentation or in any other communications made between </w:t>
      </w:r>
      <w:r w:rsidR="00267FE3">
        <w:t>Datasharp</w:t>
      </w:r>
      <w:r w:rsidR="000A4E45">
        <w:t xml:space="preserve"> </w:t>
      </w:r>
      <w:r w:rsidRPr="00033923">
        <w:t xml:space="preserve">or its agents and any other party, or any part thereof, shall be taken as constituting a contract, agreement or representation between </w:t>
      </w:r>
      <w:r w:rsidR="00267FE3">
        <w:t>Datasharp</w:t>
      </w:r>
      <w:r w:rsidRPr="00033923">
        <w:t xml:space="preserve"> and any other party (save for a formal award of contract made in writing by or on behalf of </w:t>
      </w:r>
      <w:r w:rsidR="00267FE3">
        <w:t>Datasharp</w:t>
      </w:r>
      <w:r w:rsidRPr="00033923">
        <w:t>).</w:t>
      </w:r>
    </w:p>
    <w:p w:rsidR="00033923" w:rsidRPr="00033923" w:rsidRDefault="00033923" w:rsidP="00033923">
      <w:r w:rsidRPr="00033923">
        <w:t xml:space="preserve">Bidders must obtain for themselves, at their own responsibility and expense, all information necessary for the preparation of their tender responses.  Information supplied to bidders by </w:t>
      </w:r>
      <w:r w:rsidR="00267FE3">
        <w:t>Datasharp</w:t>
      </w:r>
      <w:r w:rsidRPr="00033923">
        <w:t xml:space="preserve"> or any information contained in </w:t>
      </w:r>
      <w:r w:rsidR="00267FE3">
        <w:t>Datasharp</w:t>
      </w:r>
      <w:r w:rsidRPr="00033923">
        <w:t xml:space="preserve">’s publications are supplied only for general guidance in the preparation of the tender response.  Bidders must satisfy themselves by their own investigations as to the accuracy of any such information and no responsibility is accepted by </w:t>
      </w:r>
      <w:r w:rsidR="00267FE3">
        <w:t>Datasharp</w:t>
      </w:r>
      <w:r w:rsidRPr="00033923">
        <w:t xml:space="preserve"> for any loss or damage of whatever kind and howsoever caused arising from the use by bidders of such information.</w:t>
      </w:r>
    </w:p>
    <w:p w:rsidR="00033923" w:rsidRPr="00033923" w:rsidRDefault="00033923" w:rsidP="00033923">
      <w:r w:rsidRPr="00033923">
        <w:t xml:space="preserve">Bidders shall be responsible for their own costs and expenses in connection with or arising out of their response. </w:t>
      </w:r>
      <w:r w:rsidR="00267FE3">
        <w:t>Datasharp</w:t>
      </w:r>
      <w:r w:rsidRPr="00033923">
        <w:t xml:space="preserve"> reserves the right to vary or change all or any part of the basis of the procedures for the procurement process at any time or not to proceed with the proposed procurement at all.</w:t>
      </w:r>
    </w:p>
    <w:p w:rsidR="00033923" w:rsidRDefault="00033923" w:rsidP="00033923">
      <w:r w:rsidRPr="00033923">
        <w:t xml:space="preserve">Cancellation of the procurement process (at any time) under any circumstances will not render </w:t>
      </w:r>
      <w:r w:rsidR="00267FE3">
        <w:t>Datasharp</w:t>
      </w:r>
      <w:r w:rsidR="000A4E45">
        <w:t xml:space="preserve"> </w:t>
      </w:r>
      <w:r w:rsidRPr="00033923">
        <w:t>liable for any costs or expenses incurred by bidders during the procurement process.</w:t>
      </w:r>
    </w:p>
    <w:p w:rsidR="00B149D1" w:rsidRPr="00033923" w:rsidRDefault="00B149D1" w:rsidP="00033923"/>
    <w:p w:rsidR="001028C1" w:rsidRPr="00365BCC" w:rsidRDefault="00906816" w:rsidP="001028C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22" w:name="_Toc474747027"/>
      <w:r>
        <w:rPr>
          <w:rStyle w:val="Heading1Char"/>
        </w:rPr>
        <w:t>12</w:t>
      </w:r>
      <w:r w:rsidR="007230DE">
        <w:rPr>
          <w:rStyle w:val="Heading1Char"/>
        </w:rPr>
        <w:t xml:space="preserve"> </w:t>
      </w:r>
      <w:bookmarkEnd w:id="22"/>
      <w:r w:rsidR="00B81F63">
        <w:rPr>
          <w:rStyle w:val="Heading1Char"/>
        </w:rPr>
        <w:t>Enclosures</w:t>
      </w:r>
    </w:p>
    <w:p w:rsidR="00033923" w:rsidRDefault="00033923" w:rsidP="00A30D57">
      <w:pPr>
        <w:rPr>
          <w:rFonts w:eastAsiaTheme="majorEastAsia" w:cstheme="minorHAnsi"/>
          <w:b/>
          <w:color w:val="00ADEF"/>
        </w:rPr>
      </w:pPr>
    </w:p>
    <w:p w:rsidR="001028C1" w:rsidRDefault="00B81F63" w:rsidP="00A87CC3">
      <w:pPr>
        <w:pStyle w:val="Heading2"/>
      </w:pPr>
      <w:bookmarkStart w:id="23" w:name="_Toc474747028"/>
      <w:r w:rsidRPr="00B81F63">
        <w:t>Enclosure</w:t>
      </w:r>
      <w:r>
        <w:t xml:space="preserve"> 1 </w:t>
      </w:r>
      <w:r w:rsidR="0073563E">
        <w:t xml:space="preserve">- </w:t>
      </w:r>
      <w:r w:rsidR="0073563E" w:rsidRPr="0073563E">
        <w:t>Welcome to Datasharp.pdf</w:t>
      </w:r>
      <w:bookmarkEnd w:id="23"/>
    </w:p>
    <w:p w:rsidR="00A25E1C" w:rsidRPr="00A87CC3" w:rsidRDefault="00A25E1C">
      <w:r>
        <w:t>Please refer to the following companion file:</w:t>
      </w:r>
    </w:p>
    <w:p w:rsidR="00D85AC9" w:rsidRDefault="00D85AC9" w:rsidP="00B149D1">
      <w:r w:rsidRPr="00BE6679">
        <w:rPr>
          <w:i/>
        </w:rPr>
        <w:t>Welcome to Datasharp.pdf</w:t>
      </w:r>
      <w:r w:rsidRPr="001D6311" w:rsidDel="007614F3">
        <w:rPr>
          <w:i/>
        </w:rPr>
        <w:t xml:space="preserve"> </w:t>
      </w:r>
    </w:p>
    <w:p w:rsidR="001028C1" w:rsidRPr="00A436CD" w:rsidRDefault="00B81F63" w:rsidP="00A87CC3">
      <w:pPr>
        <w:pStyle w:val="Heading2"/>
      </w:pPr>
      <w:bookmarkStart w:id="24" w:name="_Toc474747029"/>
      <w:r w:rsidRPr="00A436CD">
        <w:lastRenderedPageBreak/>
        <w:t xml:space="preserve">Enclosure 2 </w:t>
      </w:r>
      <w:r w:rsidR="00621209" w:rsidRPr="00A436CD">
        <w:t xml:space="preserve">- Datasharp </w:t>
      </w:r>
      <w:r w:rsidR="00566A7D" w:rsidRPr="00A436CD">
        <w:t>Pre-Scoping</w:t>
      </w:r>
      <w:r w:rsidR="00621209" w:rsidRPr="00A436CD">
        <w:t xml:space="preserve"> Requirements</w:t>
      </w:r>
      <w:bookmarkEnd w:id="24"/>
    </w:p>
    <w:p w:rsidR="007614F3" w:rsidRPr="00A436CD" w:rsidRDefault="007B6D02" w:rsidP="007614F3">
      <w:r w:rsidRPr="00A436CD">
        <w:rPr>
          <w:i/>
        </w:rPr>
        <w:t xml:space="preserve">Annex A </w:t>
      </w:r>
      <w:r w:rsidR="007614F3" w:rsidRPr="00A436CD">
        <w:rPr>
          <w:i/>
        </w:rPr>
        <w:t>Datas</w:t>
      </w:r>
      <w:r w:rsidR="00801177" w:rsidRPr="00A436CD">
        <w:rPr>
          <w:i/>
        </w:rPr>
        <w:t>harp hi</w:t>
      </w:r>
      <w:r w:rsidR="003A5146" w:rsidRPr="00A436CD">
        <w:rPr>
          <w:i/>
        </w:rPr>
        <w:t xml:space="preserve">gh level </w:t>
      </w:r>
      <w:r w:rsidR="003A5146" w:rsidRPr="00A436CD">
        <w:t xml:space="preserve">business </w:t>
      </w:r>
      <w:r w:rsidR="003A5146" w:rsidRPr="00A436CD">
        <w:rPr>
          <w:i/>
        </w:rPr>
        <w:t>mapping</w:t>
      </w:r>
      <w:r w:rsidRPr="00A436CD">
        <w:rPr>
          <w:i/>
        </w:rPr>
        <w:t>:</w:t>
      </w:r>
      <w:r w:rsidR="001B6098" w:rsidRPr="00A436CD">
        <w:t xml:space="preserve">  F</w:t>
      </w:r>
      <w:r w:rsidR="007614F3" w:rsidRPr="00A436CD">
        <w:t>unctional business areas relevant to the project</w:t>
      </w:r>
    </w:p>
    <w:p w:rsidR="001028C1" w:rsidRPr="00A436CD" w:rsidRDefault="007B6D02">
      <w:r w:rsidRPr="00A436CD">
        <w:rPr>
          <w:i/>
        </w:rPr>
        <w:t xml:space="preserve">Annex B </w:t>
      </w:r>
      <w:r w:rsidR="003F7658" w:rsidRPr="00A436CD">
        <w:rPr>
          <w:i/>
        </w:rPr>
        <w:t>Datasharp Pre-Scoping Requirements</w:t>
      </w:r>
      <w:r w:rsidR="001B6098" w:rsidRPr="00A436CD">
        <w:t>:  L</w:t>
      </w:r>
      <w:r w:rsidR="007614F3" w:rsidRPr="00A436CD">
        <w:t>ist of the requirements details of each of the functional areas described earlier.</w:t>
      </w:r>
    </w:p>
    <w:p w:rsidR="00801177" w:rsidRPr="00A436CD" w:rsidRDefault="007B6D02">
      <w:r w:rsidRPr="00A436CD">
        <w:rPr>
          <w:i/>
        </w:rPr>
        <w:t xml:space="preserve">Annex C </w:t>
      </w:r>
      <w:r w:rsidR="00801177" w:rsidRPr="00A436CD">
        <w:rPr>
          <w:i/>
        </w:rPr>
        <w:t>Management Accounts report requirements example</w:t>
      </w:r>
      <w:r w:rsidR="001B6098" w:rsidRPr="00A436CD">
        <w:t>:  E</w:t>
      </w:r>
      <w:r w:rsidR="00801177" w:rsidRPr="00A436CD">
        <w:t xml:space="preserve">xample spreadsheet report referred to in </w:t>
      </w:r>
      <w:r w:rsidR="00801177" w:rsidRPr="00A436CD">
        <w:rPr>
          <w:i/>
        </w:rPr>
        <w:t>Datasharp Pre-Scoping Requirements</w:t>
      </w:r>
      <w:r w:rsidR="001B6098" w:rsidRPr="00A436CD">
        <w:t>.</w:t>
      </w:r>
      <w:r w:rsidRPr="00A436CD">
        <w:t xml:space="preserve"> -</w:t>
      </w:r>
      <w:r w:rsidR="001B6098" w:rsidRPr="00A436CD">
        <w:t xml:space="preserve">  See </w:t>
      </w:r>
      <w:r w:rsidR="00801177" w:rsidRPr="00A436CD">
        <w:t>Business Support section &gt; Nominal Ledger &gt; Tiered Categorisation (BS.3.3.4.2).</w:t>
      </w:r>
    </w:p>
    <w:p w:rsidR="001B6098" w:rsidRPr="001B6098" w:rsidRDefault="007B6D02" w:rsidP="001B6098">
      <w:r w:rsidRPr="00A436CD">
        <w:rPr>
          <w:i/>
        </w:rPr>
        <w:t xml:space="preserve">Annex D </w:t>
      </w:r>
      <w:r w:rsidR="00F237E5" w:rsidRPr="00A436CD">
        <w:rPr>
          <w:i/>
        </w:rPr>
        <w:t>Datasharp ex</w:t>
      </w:r>
      <w:r w:rsidR="00CE1130" w:rsidRPr="00A436CD">
        <w:rPr>
          <w:i/>
        </w:rPr>
        <w:t>ample scoping for prospectiv</w:t>
      </w:r>
      <w:r w:rsidRPr="00A436CD">
        <w:rPr>
          <w:i/>
        </w:rPr>
        <w:t>e vendors of AX &amp; CRM services</w:t>
      </w:r>
      <w:r w:rsidR="001B6098" w:rsidRPr="00A436CD">
        <w:t xml:space="preserve">:  Sample scoping of requirements for </w:t>
      </w:r>
      <w:r w:rsidR="00CE1130" w:rsidRPr="00A436CD">
        <w:t>three key areas to be covered.  Note that this is just a sample to aid prospective vendors’ understanding of some parts of the proposed new system.</w:t>
      </w:r>
    </w:p>
    <w:p w:rsidR="001B6098" w:rsidRPr="006E0F49" w:rsidRDefault="001B6098">
      <w:pPr>
        <w:rPr>
          <w:rFonts w:eastAsiaTheme="majorEastAsia" w:cstheme="majorBidi"/>
          <w:b/>
          <w:color w:val="00ADEF"/>
          <w:sz w:val="24"/>
          <w:szCs w:val="26"/>
        </w:rPr>
      </w:pPr>
    </w:p>
    <w:sectPr w:rsidR="001B6098" w:rsidRPr="006E0F49" w:rsidSect="000A70F8">
      <w:headerReference w:type="default" r:id="rId9"/>
      <w:footerReference w:type="even" r:id="rId10"/>
      <w:footerReference w:type="default" r:id="rId11"/>
      <w:headerReference w:type="first" r:id="rId12"/>
      <w:pgSz w:w="11906" w:h="16838"/>
      <w:pgMar w:top="1134" w:right="1134" w:bottom="1701" w:left="1134"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E6" w:rsidRDefault="00EF0FE6" w:rsidP="00365BCC">
      <w:pPr>
        <w:spacing w:after="0" w:line="240" w:lineRule="auto"/>
      </w:pPr>
      <w:r>
        <w:separator/>
      </w:r>
    </w:p>
  </w:endnote>
  <w:endnote w:type="continuationSeparator" w:id="0">
    <w:p w:rsidR="00EF0FE6" w:rsidRDefault="00EF0FE6" w:rsidP="0036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Pr="00964F86" w:rsidRDefault="00F23511" w:rsidP="00365BCC">
    <w:pPr>
      <w:pStyle w:val="Footer"/>
      <w:jc w:val="right"/>
      <w:rPr>
        <w:noProof/>
        <w:color w:val="FFFFFF" w:themeColor="background1"/>
      </w:rPr>
    </w:pPr>
    <w:r w:rsidRPr="00964F86">
      <w:rPr>
        <w:color w:val="FFFFFF" w:themeColor="background1"/>
      </w:rPr>
      <w:t xml:space="preserve">Page | </w:t>
    </w:r>
    <w:r w:rsidRPr="00964F86">
      <w:rPr>
        <w:color w:val="FFFFFF" w:themeColor="background1"/>
      </w:rPr>
      <w:fldChar w:fldCharType="begin"/>
    </w:r>
    <w:r w:rsidRPr="00964F86">
      <w:rPr>
        <w:color w:val="FFFFFF" w:themeColor="background1"/>
      </w:rPr>
      <w:instrText xml:space="preserve"> PAGE   \* MERGEFORMAT </w:instrText>
    </w:r>
    <w:r w:rsidRPr="00964F86">
      <w:rPr>
        <w:color w:val="FFFFFF" w:themeColor="background1"/>
      </w:rPr>
      <w:fldChar w:fldCharType="separate"/>
    </w:r>
    <w:r w:rsidR="00955DB1">
      <w:rPr>
        <w:noProof/>
        <w:color w:val="FFFFFF" w:themeColor="background1"/>
      </w:rPr>
      <w:t>7</w:t>
    </w:r>
    <w:r w:rsidRPr="00964F86">
      <w:rPr>
        <w:noProof/>
        <w:color w:val="FFFFFF" w:themeColor="background1"/>
      </w:rPr>
      <w:fldChar w:fldCharType="end"/>
    </w:r>
  </w:p>
  <w:p w:rsidR="00F23511" w:rsidRDefault="00F23511" w:rsidP="00365B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E6" w:rsidRDefault="00EF0FE6" w:rsidP="00365BCC">
      <w:pPr>
        <w:spacing w:after="0" w:line="240" w:lineRule="auto"/>
      </w:pPr>
      <w:r>
        <w:separator/>
      </w:r>
    </w:p>
  </w:footnote>
  <w:footnote w:type="continuationSeparator" w:id="0">
    <w:p w:rsidR="00EF0FE6" w:rsidRDefault="00EF0FE6" w:rsidP="0036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Header"/>
      <w:jc w:val="right"/>
    </w:pPr>
    <w:r>
      <w:rPr>
        <w:noProof/>
        <w:lang w:eastAsia="en-GB"/>
      </w:rPr>
      <w:drawing>
        <wp:anchor distT="0" distB="0" distL="114300" distR="114300" simplePos="0" relativeHeight="251659264" behindDoc="1" locked="0" layoutInCell="1" allowOverlap="1" wp14:anchorId="445CA4DE" wp14:editId="312DAA2C">
          <wp:simplePos x="0" y="0"/>
          <wp:positionH relativeFrom="page">
            <wp:align>left</wp:align>
          </wp:positionH>
          <wp:positionV relativeFrom="page">
            <wp:align>bottom</wp:align>
          </wp:positionV>
          <wp:extent cx="7556400" cy="10684800"/>
          <wp:effectExtent l="0" t="0" r="698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mplate-Guid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pPr>
      <w:pStyle w:val="Header"/>
    </w:pPr>
    <w:r>
      <w:rPr>
        <w:noProof/>
        <w:lang w:eastAsia="en-GB"/>
      </w:rPr>
      <w:drawing>
        <wp:anchor distT="0" distB="0" distL="114300" distR="114300" simplePos="0" relativeHeight="251661312" behindDoc="1" locked="0" layoutInCell="1" allowOverlap="1" wp14:anchorId="725EC465" wp14:editId="38A13F11">
          <wp:simplePos x="0" y="0"/>
          <wp:positionH relativeFrom="page">
            <wp:align>left</wp:align>
          </wp:positionH>
          <wp:positionV relativeFrom="page">
            <wp:align>top</wp:align>
          </wp:positionV>
          <wp:extent cx="7542000" cy="10663200"/>
          <wp:effectExtent l="0" t="0" r="190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neral -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A9C"/>
    <w:multiLevelType w:val="hybridMultilevel"/>
    <w:tmpl w:val="53102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6D3D33"/>
    <w:multiLevelType w:val="hybridMultilevel"/>
    <w:tmpl w:val="B8F6556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85560"/>
    <w:multiLevelType w:val="hybridMultilevel"/>
    <w:tmpl w:val="2A1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E37F3"/>
    <w:multiLevelType w:val="hybridMultilevel"/>
    <w:tmpl w:val="49B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94670"/>
    <w:multiLevelType w:val="multilevel"/>
    <w:tmpl w:val="2F067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4E4344"/>
    <w:multiLevelType w:val="hybridMultilevel"/>
    <w:tmpl w:val="964A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D372E"/>
    <w:multiLevelType w:val="hybridMultilevel"/>
    <w:tmpl w:val="D91480D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41501AA"/>
    <w:multiLevelType w:val="hybridMultilevel"/>
    <w:tmpl w:val="14789EE4"/>
    <w:lvl w:ilvl="0" w:tplc="85BCF8D2">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963B2"/>
    <w:multiLevelType w:val="hybridMultilevel"/>
    <w:tmpl w:val="0B122A0A"/>
    <w:lvl w:ilvl="0" w:tplc="08090001">
      <w:start w:val="1"/>
      <w:numFmt w:val="bullet"/>
      <w:lvlText w:val=""/>
      <w:lvlJc w:val="left"/>
      <w:pPr>
        <w:ind w:left="720" w:hanging="360"/>
      </w:pPr>
      <w:rPr>
        <w:rFonts w:ascii="Symbol" w:hAnsi="Symbol" w:hint="default"/>
      </w:rPr>
    </w:lvl>
    <w:lvl w:ilvl="1" w:tplc="7952D7DE">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96D85"/>
    <w:multiLevelType w:val="hybridMultilevel"/>
    <w:tmpl w:val="101073D8"/>
    <w:lvl w:ilvl="0" w:tplc="08090001">
      <w:start w:val="1"/>
      <w:numFmt w:val="bullet"/>
      <w:lvlText w:val=""/>
      <w:lvlJc w:val="left"/>
      <w:pPr>
        <w:ind w:left="720" w:hanging="360"/>
      </w:pPr>
      <w:rPr>
        <w:rFonts w:ascii="Symbol" w:hAnsi="Symbol" w:hint="default"/>
      </w:rPr>
    </w:lvl>
    <w:lvl w:ilvl="1" w:tplc="F4785E34">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3440"/>
    <w:multiLevelType w:val="hybridMultilevel"/>
    <w:tmpl w:val="89B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83ACB"/>
    <w:multiLevelType w:val="hybridMultilevel"/>
    <w:tmpl w:val="670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D2093"/>
    <w:multiLevelType w:val="hybridMultilevel"/>
    <w:tmpl w:val="A4F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51BB6"/>
    <w:multiLevelType w:val="hybridMultilevel"/>
    <w:tmpl w:val="884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C3702"/>
    <w:multiLevelType w:val="hybridMultilevel"/>
    <w:tmpl w:val="0DBA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B563C"/>
    <w:multiLevelType w:val="hybridMultilevel"/>
    <w:tmpl w:val="34A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B6A55"/>
    <w:multiLevelType w:val="hybridMultilevel"/>
    <w:tmpl w:val="F76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55F4A"/>
    <w:multiLevelType w:val="hybridMultilevel"/>
    <w:tmpl w:val="FB5CC10E"/>
    <w:lvl w:ilvl="0" w:tplc="7DA6D3B8">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E1878"/>
    <w:multiLevelType w:val="hybridMultilevel"/>
    <w:tmpl w:val="B978E5E4"/>
    <w:lvl w:ilvl="0" w:tplc="05DE753C">
      <w:start w:val="1"/>
      <w:numFmt w:val="lowerLetter"/>
      <w:lvlText w:val="%1)"/>
      <w:lvlJc w:val="left"/>
      <w:pPr>
        <w:tabs>
          <w:tab w:val="num" w:pos="1440"/>
        </w:tabs>
        <w:ind w:left="1440" w:hanging="720"/>
      </w:pPr>
      <w:rPr>
        <w:rFonts w:hint="default"/>
      </w:rPr>
    </w:lvl>
    <w:lvl w:ilvl="1" w:tplc="484CF69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15235F7"/>
    <w:multiLevelType w:val="hybridMultilevel"/>
    <w:tmpl w:val="A1F85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013D4C"/>
    <w:multiLevelType w:val="hybridMultilevel"/>
    <w:tmpl w:val="A554F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4F7810"/>
    <w:multiLevelType w:val="hybridMultilevel"/>
    <w:tmpl w:val="C2BE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84359"/>
    <w:multiLevelType w:val="hybridMultilevel"/>
    <w:tmpl w:val="C0EC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9"/>
  </w:num>
  <w:num w:numId="4">
    <w:abstractNumId w:val="24"/>
  </w:num>
  <w:num w:numId="5">
    <w:abstractNumId w:val="12"/>
  </w:num>
  <w:num w:numId="6">
    <w:abstractNumId w:val="23"/>
  </w:num>
  <w:num w:numId="7">
    <w:abstractNumId w:val="3"/>
  </w:num>
  <w:num w:numId="8">
    <w:abstractNumId w:val="16"/>
  </w:num>
  <w:num w:numId="9">
    <w:abstractNumId w:val="14"/>
  </w:num>
  <w:num w:numId="10">
    <w:abstractNumId w:val="4"/>
  </w:num>
  <w:num w:numId="11">
    <w:abstractNumId w:val="30"/>
  </w:num>
  <w:num w:numId="12">
    <w:abstractNumId w:val="28"/>
  </w:num>
  <w:num w:numId="13">
    <w:abstractNumId w:val="13"/>
  </w:num>
  <w:num w:numId="14">
    <w:abstractNumId w:val="17"/>
  </w:num>
  <w:num w:numId="15">
    <w:abstractNumId w:val="32"/>
  </w:num>
  <w:num w:numId="16">
    <w:abstractNumId w:val="7"/>
  </w:num>
  <w:num w:numId="17">
    <w:abstractNumId w:val="5"/>
  </w:num>
  <w:num w:numId="18">
    <w:abstractNumId w:val="26"/>
  </w:num>
  <w:num w:numId="19">
    <w:abstractNumId w:val="27"/>
  </w:num>
  <w:num w:numId="20">
    <w:abstractNumId w:val="6"/>
  </w:num>
  <w:num w:numId="21">
    <w:abstractNumId w:val="25"/>
  </w:num>
  <w:num w:numId="22">
    <w:abstractNumId w:val="0"/>
  </w:num>
  <w:num w:numId="23">
    <w:abstractNumId w:val="31"/>
  </w:num>
  <w:num w:numId="24">
    <w:abstractNumId w:val="15"/>
  </w:num>
  <w:num w:numId="25">
    <w:abstractNumId w:val="11"/>
  </w:num>
  <w:num w:numId="26">
    <w:abstractNumId w:val="2"/>
  </w:num>
  <w:num w:numId="27">
    <w:abstractNumId w:val="18"/>
  </w:num>
  <w:num w:numId="28">
    <w:abstractNumId w:val="21"/>
  </w:num>
  <w:num w:numId="29">
    <w:abstractNumId w:val="29"/>
  </w:num>
  <w:num w:numId="30">
    <w:abstractNumId w:val="22"/>
  </w:num>
  <w:num w:numId="31">
    <w:abstractNumId w:val="19"/>
  </w:num>
  <w:num w:numId="32">
    <w:abstractNumId w:val="2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C"/>
    <w:rsid w:val="00003C2D"/>
    <w:rsid w:val="00004D39"/>
    <w:rsid w:val="0000702C"/>
    <w:rsid w:val="00023C49"/>
    <w:rsid w:val="00024AFF"/>
    <w:rsid w:val="00030080"/>
    <w:rsid w:val="00032E27"/>
    <w:rsid w:val="00033923"/>
    <w:rsid w:val="00052EE2"/>
    <w:rsid w:val="00066AE4"/>
    <w:rsid w:val="00076291"/>
    <w:rsid w:val="00097DFA"/>
    <w:rsid w:val="000A2D79"/>
    <w:rsid w:val="000A4E45"/>
    <w:rsid w:val="000A70F8"/>
    <w:rsid w:val="000B2BD4"/>
    <w:rsid w:val="000B7339"/>
    <w:rsid w:val="000D4D6B"/>
    <w:rsid w:val="000E52D4"/>
    <w:rsid w:val="000F7568"/>
    <w:rsid w:val="00100263"/>
    <w:rsid w:val="001028C1"/>
    <w:rsid w:val="001107B2"/>
    <w:rsid w:val="001126B7"/>
    <w:rsid w:val="0012012F"/>
    <w:rsid w:val="0013341D"/>
    <w:rsid w:val="001346D9"/>
    <w:rsid w:val="00135CE0"/>
    <w:rsid w:val="00135E17"/>
    <w:rsid w:val="001478E4"/>
    <w:rsid w:val="001655FE"/>
    <w:rsid w:val="001727A6"/>
    <w:rsid w:val="001B6098"/>
    <w:rsid w:val="001D19D1"/>
    <w:rsid w:val="001D6311"/>
    <w:rsid w:val="00204B48"/>
    <w:rsid w:val="00213AB0"/>
    <w:rsid w:val="00222847"/>
    <w:rsid w:val="0023489C"/>
    <w:rsid w:val="002435E1"/>
    <w:rsid w:val="0025068F"/>
    <w:rsid w:val="002514C5"/>
    <w:rsid w:val="00267FE3"/>
    <w:rsid w:val="00270716"/>
    <w:rsid w:val="00282DB7"/>
    <w:rsid w:val="00283BF0"/>
    <w:rsid w:val="002869FE"/>
    <w:rsid w:val="002A12BA"/>
    <w:rsid w:val="002B0450"/>
    <w:rsid w:val="002B1BAD"/>
    <w:rsid w:val="002B6371"/>
    <w:rsid w:val="002C40E5"/>
    <w:rsid w:val="002D1334"/>
    <w:rsid w:val="00303062"/>
    <w:rsid w:val="00307E2D"/>
    <w:rsid w:val="00310A2D"/>
    <w:rsid w:val="003113B7"/>
    <w:rsid w:val="00315B6A"/>
    <w:rsid w:val="003279D4"/>
    <w:rsid w:val="00331AB5"/>
    <w:rsid w:val="003330B5"/>
    <w:rsid w:val="003336AA"/>
    <w:rsid w:val="00336EB7"/>
    <w:rsid w:val="003551F8"/>
    <w:rsid w:val="00364E1D"/>
    <w:rsid w:val="00365BCC"/>
    <w:rsid w:val="0036620F"/>
    <w:rsid w:val="003839D5"/>
    <w:rsid w:val="00387F6C"/>
    <w:rsid w:val="003A0A73"/>
    <w:rsid w:val="003A4722"/>
    <w:rsid w:val="003A472B"/>
    <w:rsid w:val="003A5146"/>
    <w:rsid w:val="003C2035"/>
    <w:rsid w:val="003C3A9D"/>
    <w:rsid w:val="003C5EE6"/>
    <w:rsid w:val="003E29AA"/>
    <w:rsid w:val="003E3E4A"/>
    <w:rsid w:val="003E407E"/>
    <w:rsid w:val="003F7658"/>
    <w:rsid w:val="003F7BDB"/>
    <w:rsid w:val="004020CC"/>
    <w:rsid w:val="004020F4"/>
    <w:rsid w:val="004102E3"/>
    <w:rsid w:val="00422242"/>
    <w:rsid w:val="0043649E"/>
    <w:rsid w:val="00441948"/>
    <w:rsid w:val="00453436"/>
    <w:rsid w:val="004577A6"/>
    <w:rsid w:val="00462CBA"/>
    <w:rsid w:val="00464DBC"/>
    <w:rsid w:val="00473270"/>
    <w:rsid w:val="004753DC"/>
    <w:rsid w:val="004B523F"/>
    <w:rsid w:val="004D2F49"/>
    <w:rsid w:val="004E19C5"/>
    <w:rsid w:val="00516765"/>
    <w:rsid w:val="00524AA9"/>
    <w:rsid w:val="00543E89"/>
    <w:rsid w:val="0055466B"/>
    <w:rsid w:val="00566A7D"/>
    <w:rsid w:val="005708D0"/>
    <w:rsid w:val="00577A50"/>
    <w:rsid w:val="00580193"/>
    <w:rsid w:val="005A09B2"/>
    <w:rsid w:val="005A196C"/>
    <w:rsid w:val="005B32C4"/>
    <w:rsid w:val="005C66E0"/>
    <w:rsid w:val="005E4527"/>
    <w:rsid w:val="005F1301"/>
    <w:rsid w:val="005F4D21"/>
    <w:rsid w:val="00601F0B"/>
    <w:rsid w:val="00603CAA"/>
    <w:rsid w:val="006100C1"/>
    <w:rsid w:val="00621209"/>
    <w:rsid w:val="006642A3"/>
    <w:rsid w:val="00666424"/>
    <w:rsid w:val="0067445D"/>
    <w:rsid w:val="006754E3"/>
    <w:rsid w:val="00676208"/>
    <w:rsid w:val="006763CC"/>
    <w:rsid w:val="006806F0"/>
    <w:rsid w:val="0069315B"/>
    <w:rsid w:val="00697F48"/>
    <w:rsid w:val="006A1085"/>
    <w:rsid w:val="006A2195"/>
    <w:rsid w:val="006A47D2"/>
    <w:rsid w:val="006B36A6"/>
    <w:rsid w:val="006C0DC3"/>
    <w:rsid w:val="006D407C"/>
    <w:rsid w:val="006E0F49"/>
    <w:rsid w:val="006E1A92"/>
    <w:rsid w:val="007065C1"/>
    <w:rsid w:val="0071413E"/>
    <w:rsid w:val="00717B91"/>
    <w:rsid w:val="00721346"/>
    <w:rsid w:val="007230DE"/>
    <w:rsid w:val="0072798D"/>
    <w:rsid w:val="007302A9"/>
    <w:rsid w:val="00733219"/>
    <w:rsid w:val="0073563E"/>
    <w:rsid w:val="00744740"/>
    <w:rsid w:val="00745597"/>
    <w:rsid w:val="0076068A"/>
    <w:rsid w:val="007614F3"/>
    <w:rsid w:val="00763F42"/>
    <w:rsid w:val="007749B8"/>
    <w:rsid w:val="007828FC"/>
    <w:rsid w:val="00785CC4"/>
    <w:rsid w:val="007B6D02"/>
    <w:rsid w:val="007B6F2D"/>
    <w:rsid w:val="007D0EEA"/>
    <w:rsid w:val="007D15B9"/>
    <w:rsid w:val="007E0AD9"/>
    <w:rsid w:val="007E248A"/>
    <w:rsid w:val="007F5F29"/>
    <w:rsid w:val="00801177"/>
    <w:rsid w:val="00802F0F"/>
    <w:rsid w:val="00823956"/>
    <w:rsid w:val="0083503E"/>
    <w:rsid w:val="008404EB"/>
    <w:rsid w:val="00842579"/>
    <w:rsid w:val="00851AE0"/>
    <w:rsid w:val="00854081"/>
    <w:rsid w:val="00876273"/>
    <w:rsid w:val="00883718"/>
    <w:rsid w:val="008974C8"/>
    <w:rsid w:val="008A2A26"/>
    <w:rsid w:val="008B1DC1"/>
    <w:rsid w:val="008C5C4E"/>
    <w:rsid w:val="008E1A0F"/>
    <w:rsid w:val="008E53F4"/>
    <w:rsid w:val="008F017F"/>
    <w:rsid w:val="008F65E9"/>
    <w:rsid w:val="00900476"/>
    <w:rsid w:val="00906816"/>
    <w:rsid w:val="00907D8A"/>
    <w:rsid w:val="00913B05"/>
    <w:rsid w:val="00927F57"/>
    <w:rsid w:val="00932794"/>
    <w:rsid w:val="0093689D"/>
    <w:rsid w:val="009464A6"/>
    <w:rsid w:val="00954640"/>
    <w:rsid w:val="00955516"/>
    <w:rsid w:val="00955DB1"/>
    <w:rsid w:val="009608FD"/>
    <w:rsid w:val="00967BCB"/>
    <w:rsid w:val="00976892"/>
    <w:rsid w:val="0098640B"/>
    <w:rsid w:val="0098673E"/>
    <w:rsid w:val="009918C8"/>
    <w:rsid w:val="00991A49"/>
    <w:rsid w:val="0099288B"/>
    <w:rsid w:val="00995EC2"/>
    <w:rsid w:val="009B1E0B"/>
    <w:rsid w:val="009B2D8E"/>
    <w:rsid w:val="009C67C3"/>
    <w:rsid w:val="009E660E"/>
    <w:rsid w:val="009F5356"/>
    <w:rsid w:val="00A01056"/>
    <w:rsid w:val="00A02955"/>
    <w:rsid w:val="00A07489"/>
    <w:rsid w:val="00A25CAD"/>
    <w:rsid w:val="00A25E1C"/>
    <w:rsid w:val="00A30D57"/>
    <w:rsid w:val="00A436CD"/>
    <w:rsid w:val="00A45DF2"/>
    <w:rsid w:val="00A52039"/>
    <w:rsid w:val="00A538B0"/>
    <w:rsid w:val="00A676F7"/>
    <w:rsid w:val="00A87CC3"/>
    <w:rsid w:val="00A97BAE"/>
    <w:rsid w:val="00AA3156"/>
    <w:rsid w:val="00AA61EA"/>
    <w:rsid w:val="00AB19E1"/>
    <w:rsid w:val="00AB2030"/>
    <w:rsid w:val="00AC3556"/>
    <w:rsid w:val="00AC4B1C"/>
    <w:rsid w:val="00AD3BF4"/>
    <w:rsid w:val="00AD76E6"/>
    <w:rsid w:val="00AE2224"/>
    <w:rsid w:val="00B06C8E"/>
    <w:rsid w:val="00B12886"/>
    <w:rsid w:val="00B1349A"/>
    <w:rsid w:val="00B13887"/>
    <w:rsid w:val="00B149D1"/>
    <w:rsid w:val="00B17FF2"/>
    <w:rsid w:val="00B36A19"/>
    <w:rsid w:val="00B412CD"/>
    <w:rsid w:val="00B74112"/>
    <w:rsid w:val="00B81F63"/>
    <w:rsid w:val="00B946C2"/>
    <w:rsid w:val="00BB13F5"/>
    <w:rsid w:val="00BB2559"/>
    <w:rsid w:val="00BB3B45"/>
    <w:rsid w:val="00BB761C"/>
    <w:rsid w:val="00BC3147"/>
    <w:rsid w:val="00BD1802"/>
    <w:rsid w:val="00BD75C6"/>
    <w:rsid w:val="00BE5B45"/>
    <w:rsid w:val="00C03261"/>
    <w:rsid w:val="00C05EBA"/>
    <w:rsid w:val="00C061BA"/>
    <w:rsid w:val="00C07665"/>
    <w:rsid w:val="00C2659B"/>
    <w:rsid w:val="00C40652"/>
    <w:rsid w:val="00C56F20"/>
    <w:rsid w:val="00C62423"/>
    <w:rsid w:val="00C66989"/>
    <w:rsid w:val="00C96140"/>
    <w:rsid w:val="00CA57C9"/>
    <w:rsid w:val="00CB56AC"/>
    <w:rsid w:val="00CB6075"/>
    <w:rsid w:val="00CC472A"/>
    <w:rsid w:val="00CC5F16"/>
    <w:rsid w:val="00CD7E40"/>
    <w:rsid w:val="00CE1130"/>
    <w:rsid w:val="00CE6DD8"/>
    <w:rsid w:val="00CF1B52"/>
    <w:rsid w:val="00CF2012"/>
    <w:rsid w:val="00CF587C"/>
    <w:rsid w:val="00D0091C"/>
    <w:rsid w:val="00D11B52"/>
    <w:rsid w:val="00D27C9F"/>
    <w:rsid w:val="00D5168D"/>
    <w:rsid w:val="00D52212"/>
    <w:rsid w:val="00D7638A"/>
    <w:rsid w:val="00D76E00"/>
    <w:rsid w:val="00D77D92"/>
    <w:rsid w:val="00D85AC9"/>
    <w:rsid w:val="00D90763"/>
    <w:rsid w:val="00D93ED1"/>
    <w:rsid w:val="00DB4446"/>
    <w:rsid w:val="00DD3D8F"/>
    <w:rsid w:val="00DD4430"/>
    <w:rsid w:val="00DD6316"/>
    <w:rsid w:val="00DE2170"/>
    <w:rsid w:val="00DE7EF8"/>
    <w:rsid w:val="00DF1634"/>
    <w:rsid w:val="00DF1F5C"/>
    <w:rsid w:val="00DF603D"/>
    <w:rsid w:val="00E056BC"/>
    <w:rsid w:val="00E0640B"/>
    <w:rsid w:val="00E11FBA"/>
    <w:rsid w:val="00E2163B"/>
    <w:rsid w:val="00E267CE"/>
    <w:rsid w:val="00E30C02"/>
    <w:rsid w:val="00E45BF0"/>
    <w:rsid w:val="00E556B0"/>
    <w:rsid w:val="00E576A6"/>
    <w:rsid w:val="00E66351"/>
    <w:rsid w:val="00E66AE4"/>
    <w:rsid w:val="00E7104A"/>
    <w:rsid w:val="00E857B5"/>
    <w:rsid w:val="00E901E6"/>
    <w:rsid w:val="00E9511D"/>
    <w:rsid w:val="00EA1A5C"/>
    <w:rsid w:val="00EA6C74"/>
    <w:rsid w:val="00EB4C4F"/>
    <w:rsid w:val="00ED2F30"/>
    <w:rsid w:val="00ED5B23"/>
    <w:rsid w:val="00ED7EB0"/>
    <w:rsid w:val="00EE10F9"/>
    <w:rsid w:val="00EE2815"/>
    <w:rsid w:val="00EE357B"/>
    <w:rsid w:val="00EF0FE6"/>
    <w:rsid w:val="00EF2615"/>
    <w:rsid w:val="00F06248"/>
    <w:rsid w:val="00F11EF1"/>
    <w:rsid w:val="00F21259"/>
    <w:rsid w:val="00F21AC0"/>
    <w:rsid w:val="00F23511"/>
    <w:rsid w:val="00F237E5"/>
    <w:rsid w:val="00F40A08"/>
    <w:rsid w:val="00F4334B"/>
    <w:rsid w:val="00F56210"/>
    <w:rsid w:val="00F6373C"/>
    <w:rsid w:val="00F711BA"/>
    <w:rsid w:val="00F721EC"/>
    <w:rsid w:val="00F7481C"/>
    <w:rsid w:val="00F81C02"/>
    <w:rsid w:val="00F842EC"/>
    <w:rsid w:val="00F85FE0"/>
    <w:rsid w:val="00F91733"/>
    <w:rsid w:val="00F917C9"/>
    <w:rsid w:val="00F95F98"/>
    <w:rsid w:val="00F96AEE"/>
    <w:rsid w:val="00F96B76"/>
    <w:rsid w:val="00FB27A7"/>
    <w:rsid w:val="00FE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C84EED"/>
  <w15:docId w15:val="{BAE99C3C-87EC-44AF-8983-76F52A41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5516"/>
  </w:style>
  <w:style w:type="paragraph" w:styleId="Heading1">
    <w:name w:val="heading 1"/>
    <w:basedOn w:val="Normal"/>
    <w:next w:val="Normal"/>
    <w:link w:val="Heading1Char"/>
    <w:uiPriority w:val="9"/>
    <w:qFormat/>
    <w:rsid w:val="00365BCC"/>
    <w:pPr>
      <w:keepNext/>
      <w:keepLines/>
      <w:pBdr>
        <w:bottom w:val="single" w:sz="4" w:space="1" w:color="818A8F"/>
      </w:pBdr>
      <w:spacing w:after="240"/>
      <w:jc w:val="both"/>
      <w:outlineLvl w:val="0"/>
    </w:pPr>
    <w:rPr>
      <w:rFonts w:asciiTheme="majorHAnsi" w:eastAsiaTheme="majorEastAsia" w:hAnsiTheme="majorHAnsi" w:cstheme="majorBidi"/>
      <w:color w:val="00ADEF"/>
      <w:sz w:val="40"/>
      <w:szCs w:val="32"/>
    </w:rPr>
  </w:style>
  <w:style w:type="paragraph" w:styleId="Heading2">
    <w:name w:val="heading 2"/>
    <w:basedOn w:val="Normal"/>
    <w:next w:val="Normal"/>
    <w:link w:val="Heading2Char"/>
    <w:uiPriority w:val="9"/>
    <w:unhideWhenUsed/>
    <w:qFormat/>
    <w:rsid w:val="00365BCC"/>
    <w:pPr>
      <w:keepNext/>
      <w:keepLines/>
      <w:spacing w:before="40"/>
      <w:outlineLvl w:val="1"/>
    </w:pPr>
    <w:rPr>
      <w:rFonts w:eastAsiaTheme="majorEastAsia" w:cstheme="majorBidi"/>
      <w:b/>
      <w:color w:val="00ADEF"/>
      <w:sz w:val="24"/>
      <w:szCs w:val="26"/>
    </w:rPr>
  </w:style>
  <w:style w:type="paragraph" w:styleId="Heading3">
    <w:name w:val="heading 3"/>
    <w:basedOn w:val="Normal"/>
    <w:next w:val="Normal"/>
    <w:link w:val="Heading3Char"/>
    <w:uiPriority w:val="9"/>
    <w:unhideWhenUsed/>
    <w:qFormat/>
    <w:rsid w:val="00365BCC"/>
    <w:pPr>
      <w:keepNext/>
      <w:keepLines/>
      <w:spacing w:before="40" w:after="100"/>
      <w:jc w:val="both"/>
      <w:outlineLvl w:val="2"/>
    </w:pPr>
    <w:rPr>
      <w:rFonts w:asciiTheme="majorHAnsi" w:eastAsiaTheme="majorEastAsia" w:hAnsiTheme="majorHAnsi" w:cstheme="majorBidi"/>
      <w:b/>
      <w:color w:val="002F5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CC"/>
  </w:style>
  <w:style w:type="paragraph" w:styleId="Footer">
    <w:name w:val="footer"/>
    <w:basedOn w:val="Normal"/>
    <w:link w:val="FooterChar"/>
    <w:unhideWhenUsed/>
    <w:rsid w:val="0036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CC"/>
  </w:style>
  <w:style w:type="paragraph" w:styleId="Title">
    <w:name w:val="Title"/>
    <w:basedOn w:val="Normal"/>
    <w:next w:val="Normal"/>
    <w:link w:val="TitleChar"/>
    <w:uiPriority w:val="10"/>
    <w:qFormat/>
    <w:rsid w:val="00365BCC"/>
    <w:pPr>
      <w:suppressAutoHyphens/>
      <w:autoSpaceDE w:val="0"/>
      <w:autoSpaceDN w:val="0"/>
      <w:adjustRightInd w:val="0"/>
      <w:spacing w:after="0" w:line="240" w:lineRule="auto"/>
      <w:jc w:val="center"/>
      <w:textAlignment w:val="center"/>
    </w:pPr>
    <w:rPr>
      <w:rFonts w:ascii="Calibri" w:eastAsiaTheme="majorEastAsia" w:hAnsi="Calibri" w:cs="Calibri"/>
      <w:b/>
      <w:color w:val="00B0F0"/>
      <w:sz w:val="56"/>
      <w:szCs w:val="76"/>
    </w:rPr>
  </w:style>
  <w:style w:type="character" w:customStyle="1" w:styleId="TitleChar">
    <w:name w:val="Title Char"/>
    <w:basedOn w:val="DefaultParagraphFont"/>
    <w:link w:val="Title"/>
    <w:uiPriority w:val="10"/>
    <w:rsid w:val="00365BCC"/>
    <w:rPr>
      <w:rFonts w:ascii="Calibri" w:eastAsiaTheme="majorEastAsia" w:hAnsi="Calibri" w:cs="Calibri"/>
      <w:b/>
      <w:color w:val="00B0F0"/>
      <w:sz w:val="56"/>
      <w:szCs w:val="76"/>
    </w:rPr>
  </w:style>
  <w:style w:type="table" w:customStyle="1" w:styleId="TableGrid1">
    <w:name w:val="Table Grid1"/>
    <w:basedOn w:val="TableNormal"/>
    <w:next w:val="TableGrid"/>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Heading">
    <w:name w:val="Proposal Heading"/>
    <w:basedOn w:val="Heading3"/>
    <w:link w:val="ProposalHeadingChar"/>
    <w:rsid w:val="00365BCC"/>
    <w:pPr>
      <w:keepNext w:val="0"/>
      <w:keepLines w:val="0"/>
      <w:suppressAutoHyphens/>
      <w:autoSpaceDE w:val="0"/>
      <w:autoSpaceDN w:val="0"/>
      <w:adjustRightInd w:val="0"/>
      <w:spacing w:before="0" w:line="240" w:lineRule="auto"/>
      <w:textAlignment w:val="center"/>
    </w:pPr>
    <w:rPr>
      <w:rFonts w:ascii="Calibri" w:hAnsi="Calibri" w:cs="Calibri"/>
      <w:color w:val="000000"/>
    </w:rPr>
  </w:style>
  <w:style w:type="character" w:customStyle="1" w:styleId="ProposalHeadingChar">
    <w:name w:val="Proposal Heading Char"/>
    <w:basedOn w:val="Heading3Char"/>
    <w:link w:val="ProposalHeading"/>
    <w:rsid w:val="00365BCC"/>
    <w:rPr>
      <w:rFonts w:ascii="Calibri" w:eastAsiaTheme="majorEastAsia" w:hAnsi="Calibri" w:cs="Calibri"/>
      <w:b/>
      <w:color w:val="000000"/>
      <w:szCs w:val="24"/>
    </w:rPr>
  </w:style>
  <w:style w:type="table" w:styleId="TableGrid">
    <w:name w:val="Table Grid"/>
    <w:basedOn w:val="TableNormal"/>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5BCC"/>
    <w:rPr>
      <w:rFonts w:asciiTheme="majorHAnsi" w:eastAsiaTheme="majorEastAsia" w:hAnsiTheme="majorHAnsi" w:cstheme="majorBidi"/>
      <w:b/>
      <w:color w:val="002F5F"/>
      <w:szCs w:val="24"/>
    </w:rPr>
  </w:style>
  <w:style w:type="paragraph" w:styleId="Subtitle">
    <w:name w:val="Subtitle"/>
    <w:basedOn w:val="Normal"/>
    <w:next w:val="Normal"/>
    <w:link w:val="SubtitleChar"/>
    <w:uiPriority w:val="11"/>
    <w:qFormat/>
    <w:rsid w:val="00365BCC"/>
    <w:rPr>
      <w:rFonts w:asciiTheme="majorHAnsi" w:hAnsiTheme="majorHAnsi"/>
      <w:color w:val="002F5F"/>
      <w:sz w:val="28"/>
    </w:rPr>
  </w:style>
  <w:style w:type="character" w:customStyle="1" w:styleId="SubtitleChar">
    <w:name w:val="Subtitle Char"/>
    <w:basedOn w:val="DefaultParagraphFont"/>
    <w:link w:val="Subtitle"/>
    <w:uiPriority w:val="11"/>
    <w:rsid w:val="00365BCC"/>
    <w:rPr>
      <w:rFonts w:asciiTheme="majorHAnsi" w:hAnsiTheme="majorHAnsi"/>
      <w:color w:val="002F5F"/>
      <w:sz w:val="28"/>
    </w:rPr>
  </w:style>
  <w:style w:type="character" w:customStyle="1" w:styleId="Heading1Char">
    <w:name w:val="Heading 1 Char"/>
    <w:basedOn w:val="DefaultParagraphFont"/>
    <w:link w:val="Heading1"/>
    <w:uiPriority w:val="9"/>
    <w:rsid w:val="00365BCC"/>
    <w:rPr>
      <w:rFonts w:asciiTheme="majorHAnsi" w:eastAsiaTheme="majorEastAsia" w:hAnsiTheme="majorHAnsi" w:cstheme="majorBidi"/>
      <w:color w:val="00ADEF"/>
      <w:sz w:val="40"/>
      <w:szCs w:val="32"/>
    </w:rPr>
  </w:style>
  <w:style w:type="character" w:customStyle="1" w:styleId="Heading2Char">
    <w:name w:val="Heading 2 Char"/>
    <w:basedOn w:val="DefaultParagraphFont"/>
    <w:link w:val="Heading2"/>
    <w:uiPriority w:val="9"/>
    <w:rsid w:val="00365BCC"/>
    <w:rPr>
      <w:rFonts w:eastAsiaTheme="majorEastAsia" w:cstheme="majorBidi"/>
      <w:b/>
      <w:color w:val="00ADEF"/>
      <w:sz w:val="24"/>
      <w:szCs w:val="26"/>
    </w:rPr>
  </w:style>
  <w:style w:type="paragraph" w:styleId="TOCHeading">
    <w:name w:val="TOC Heading"/>
    <w:basedOn w:val="Heading1"/>
    <w:next w:val="Normal"/>
    <w:uiPriority w:val="39"/>
    <w:unhideWhenUsed/>
    <w:qFormat/>
    <w:rsid w:val="00365BCC"/>
    <w:pPr>
      <w:pBdr>
        <w:bottom w:val="none" w:sz="0" w:space="0" w:color="auto"/>
      </w:pBdr>
      <w:spacing w:before="240" w:after="0"/>
      <w:jc w:val="left"/>
      <w:outlineLvl w:val="9"/>
    </w:pPr>
    <w:rPr>
      <w:color w:val="2E74B5" w:themeColor="accent1" w:themeShade="BF"/>
      <w:sz w:val="32"/>
      <w:lang w:val="en-US"/>
    </w:rPr>
  </w:style>
  <w:style w:type="paragraph" w:styleId="TOC1">
    <w:name w:val="toc 1"/>
    <w:basedOn w:val="Normal"/>
    <w:next w:val="Normal"/>
    <w:autoRedefine/>
    <w:uiPriority w:val="39"/>
    <w:unhideWhenUsed/>
    <w:rsid w:val="00365BCC"/>
    <w:pPr>
      <w:spacing w:after="100"/>
    </w:pPr>
  </w:style>
  <w:style w:type="paragraph" w:styleId="TOC2">
    <w:name w:val="toc 2"/>
    <w:basedOn w:val="Normal"/>
    <w:next w:val="Normal"/>
    <w:autoRedefine/>
    <w:uiPriority w:val="39"/>
    <w:unhideWhenUsed/>
    <w:rsid w:val="00365BCC"/>
    <w:pPr>
      <w:spacing w:after="100"/>
      <w:ind w:left="220"/>
    </w:pPr>
  </w:style>
  <w:style w:type="paragraph" w:styleId="TOC3">
    <w:name w:val="toc 3"/>
    <w:basedOn w:val="Normal"/>
    <w:next w:val="Normal"/>
    <w:autoRedefine/>
    <w:uiPriority w:val="39"/>
    <w:unhideWhenUsed/>
    <w:rsid w:val="00365BCC"/>
    <w:pPr>
      <w:spacing w:after="100"/>
      <w:ind w:left="440"/>
    </w:pPr>
  </w:style>
  <w:style w:type="character" w:styleId="Hyperlink">
    <w:name w:val="Hyperlink"/>
    <w:basedOn w:val="DefaultParagraphFont"/>
    <w:uiPriority w:val="99"/>
    <w:unhideWhenUsed/>
    <w:rsid w:val="00365BCC"/>
    <w:rPr>
      <w:color w:val="0563C1" w:themeColor="hyperlink"/>
      <w:u w:val="single"/>
    </w:rPr>
  </w:style>
  <w:style w:type="paragraph" w:customStyle="1" w:styleId="SalesTemplateHeading1">
    <w:name w:val="Sales Template Heading 1"/>
    <w:locked/>
    <w:rsid w:val="00EF2615"/>
    <w:pPr>
      <w:pageBreakBefore/>
      <w:spacing w:after="200" w:line="276" w:lineRule="auto"/>
    </w:pPr>
    <w:rPr>
      <w:rFonts w:eastAsiaTheme="minorEastAsia"/>
      <w:b/>
      <w:color w:val="00B0F0"/>
      <w:sz w:val="32"/>
      <w:lang w:eastAsia="en-GB"/>
    </w:rPr>
  </w:style>
  <w:style w:type="paragraph" w:styleId="ListParagraph">
    <w:name w:val="List Paragraph"/>
    <w:basedOn w:val="Normal"/>
    <w:uiPriority w:val="34"/>
    <w:qFormat/>
    <w:rsid w:val="002C40E5"/>
    <w:pPr>
      <w:ind w:left="720"/>
      <w:contextualSpacing/>
    </w:pPr>
  </w:style>
  <w:style w:type="paragraph" w:customStyle="1" w:styleId="Default">
    <w:name w:val="Default"/>
    <w:rsid w:val="00F21AC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17B91"/>
    <w:rPr>
      <w:color w:val="808080"/>
    </w:rPr>
  </w:style>
  <w:style w:type="character" w:styleId="FollowedHyperlink">
    <w:name w:val="FollowedHyperlink"/>
    <w:basedOn w:val="DefaultParagraphFont"/>
    <w:uiPriority w:val="99"/>
    <w:semiHidden/>
    <w:unhideWhenUsed/>
    <w:rsid w:val="00E7104A"/>
    <w:rPr>
      <w:color w:val="954F72" w:themeColor="followedHyperlink"/>
      <w:u w:val="single"/>
    </w:rPr>
  </w:style>
  <w:style w:type="paragraph" w:styleId="BalloonText">
    <w:name w:val="Balloon Text"/>
    <w:basedOn w:val="Normal"/>
    <w:link w:val="BalloonTextChar"/>
    <w:uiPriority w:val="99"/>
    <w:semiHidden/>
    <w:unhideWhenUsed/>
    <w:rsid w:val="00AB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E1"/>
    <w:rPr>
      <w:rFonts w:ascii="Segoe UI" w:hAnsi="Segoe UI" w:cs="Segoe UI"/>
      <w:sz w:val="18"/>
      <w:szCs w:val="18"/>
    </w:rPr>
  </w:style>
  <w:style w:type="paragraph" w:styleId="Revision">
    <w:name w:val="Revision"/>
    <w:hidden/>
    <w:uiPriority w:val="99"/>
    <w:semiHidden/>
    <w:rsid w:val="00A87CC3"/>
    <w:pPr>
      <w:spacing w:after="0" w:line="240" w:lineRule="auto"/>
    </w:pPr>
  </w:style>
  <w:style w:type="paragraph" w:styleId="BodyText">
    <w:name w:val="Body Text"/>
    <w:basedOn w:val="Normal"/>
    <w:link w:val="BodyTextChar"/>
    <w:rsid w:val="004753DC"/>
    <w:pPr>
      <w:spacing w:after="0" w:line="360" w:lineRule="auto"/>
      <w:jc w:val="both"/>
    </w:pPr>
    <w:rPr>
      <w:rFonts w:ascii="Calibri" w:eastAsia="Times New Roman" w:hAnsi="Calibri" w:cs="Times New Roman"/>
      <w:color w:val="404040"/>
      <w:szCs w:val="24"/>
      <w:lang w:eastAsia="en-GB"/>
    </w:rPr>
  </w:style>
  <w:style w:type="character" w:customStyle="1" w:styleId="BodyTextChar">
    <w:name w:val="Body Text Char"/>
    <w:basedOn w:val="DefaultParagraphFont"/>
    <w:link w:val="BodyText"/>
    <w:rsid w:val="004753DC"/>
    <w:rPr>
      <w:rFonts w:ascii="Calibri" w:eastAsia="Times New Roman" w:hAnsi="Calibri" w:cs="Times New Roman"/>
      <w:color w:val="404040"/>
      <w:szCs w:val="24"/>
      <w:lang w:eastAsia="en-GB"/>
    </w:rPr>
  </w:style>
  <w:style w:type="paragraph" w:styleId="BodyTextIndent">
    <w:name w:val="Body Text Indent"/>
    <w:basedOn w:val="Normal"/>
    <w:link w:val="BodyTextIndentChar"/>
    <w:rsid w:val="004753DC"/>
    <w:pPr>
      <w:spacing w:after="120" w:line="360" w:lineRule="auto"/>
      <w:ind w:left="360"/>
      <w:jc w:val="both"/>
    </w:pPr>
    <w:rPr>
      <w:rFonts w:ascii="Calibri" w:eastAsia="Times New Roman" w:hAnsi="Calibri" w:cs="Times New Roman"/>
      <w:color w:val="404040"/>
      <w:szCs w:val="24"/>
      <w:lang w:eastAsia="en-GB"/>
    </w:rPr>
  </w:style>
  <w:style w:type="character" w:customStyle="1" w:styleId="BodyTextIndentChar">
    <w:name w:val="Body Text Indent Char"/>
    <w:basedOn w:val="DefaultParagraphFont"/>
    <w:link w:val="BodyTextIndent"/>
    <w:rsid w:val="004753DC"/>
    <w:rPr>
      <w:rFonts w:ascii="Calibri" w:eastAsia="Times New Roman" w:hAnsi="Calibri" w:cs="Times New Roman"/>
      <w:color w:val="404040"/>
      <w:szCs w:val="24"/>
      <w:lang w:eastAsia="en-GB"/>
    </w:rPr>
  </w:style>
  <w:style w:type="character" w:styleId="FootnoteReference">
    <w:name w:val="footnote reference"/>
    <w:uiPriority w:val="99"/>
    <w:semiHidden/>
    <w:rsid w:val="004753DC"/>
    <w:rPr>
      <w:vertAlign w:val="superscript"/>
    </w:rPr>
  </w:style>
  <w:style w:type="paragraph" w:styleId="FootnoteText">
    <w:name w:val="footnote text"/>
    <w:basedOn w:val="Normal"/>
    <w:link w:val="FootnoteTextChar"/>
    <w:uiPriority w:val="99"/>
    <w:semiHidden/>
    <w:unhideWhenUsed/>
    <w:qFormat/>
    <w:rsid w:val="004753DC"/>
    <w:pPr>
      <w:spacing w:after="0" w:line="240" w:lineRule="auto"/>
      <w:jc w:val="both"/>
    </w:pPr>
    <w:rPr>
      <w:rFonts w:ascii="Calibri" w:eastAsia="Times New Roman" w:hAnsi="Calibri" w:cs="Times New Roman"/>
      <w:color w:val="404040"/>
      <w:sz w:val="16"/>
      <w:lang w:eastAsia="en-GB"/>
    </w:rPr>
  </w:style>
  <w:style w:type="character" w:customStyle="1" w:styleId="FootnoteTextChar">
    <w:name w:val="Footnote Text Char"/>
    <w:basedOn w:val="DefaultParagraphFont"/>
    <w:link w:val="FootnoteText"/>
    <w:uiPriority w:val="99"/>
    <w:semiHidden/>
    <w:rsid w:val="004753DC"/>
    <w:rPr>
      <w:rFonts w:ascii="Calibri" w:eastAsia="Times New Roman" w:hAnsi="Calibri" w:cs="Times New Roman"/>
      <w:color w:val="404040"/>
      <w:sz w:val="16"/>
      <w:lang w:eastAsia="en-GB"/>
    </w:rPr>
  </w:style>
  <w:style w:type="paragraph" w:styleId="NormalIndent">
    <w:name w:val="Normal Indent"/>
    <w:basedOn w:val="Normal"/>
    <w:rsid w:val="004753DC"/>
    <w:pPr>
      <w:spacing w:after="0" w:line="360" w:lineRule="auto"/>
      <w:ind w:left="720"/>
      <w:jc w:val="both"/>
    </w:pPr>
    <w:rPr>
      <w:rFonts w:ascii="Calibri" w:eastAsia="Times New Roman" w:hAnsi="Calibri" w:cs="Times New Roman"/>
      <w:color w:val="404040"/>
      <w:szCs w:val="24"/>
      <w:lang w:eastAsia="en-GB"/>
    </w:rPr>
  </w:style>
  <w:style w:type="paragraph" w:customStyle="1" w:styleId="indent2">
    <w:name w:val="indent2"/>
    <w:basedOn w:val="Normal"/>
    <w:rsid w:val="004753DC"/>
    <w:pPr>
      <w:spacing w:before="120" w:after="0" w:line="240" w:lineRule="auto"/>
      <w:ind w:left="1440" w:hanging="720"/>
      <w:jc w:val="both"/>
    </w:pPr>
    <w:rPr>
      <w:rFonts w:ascii="Arial" w:eastAsia="Times New Roman" w:hAnsi="Arial" w:cs="Arial"/>
      <w:color w:val="000000"/>
      <w:szCs w:val="20"/>
    </w:rPr>
  </w:style>
  <w:style w:type="character" w:styleId="LineNumber">
    <w:name w:val="line number"/>
    <w:basedOn w:val="DefaultParagraphFont"/>
    <w:uiPriority w:val="99"/>
    <w:semiHidden/>
    <w:unhideWhenUsed/>
    <w:rsid w:val="000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sharp.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0CA4-A077-4BD3-8BBA-C82D703D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Cole</dc:creator>
  <cp:lastModifiedBy>Paul Hayes</cp:lastModifiedBy>
  <cp:revision>2</cp:revision>
  <cp:lastPrinted>2017-03-08T13:28:00Z</cp:lastPrinted>
  <dcterms:created xsi:type="dcterms:W3CDTF">2017-03-13T13:41:00Z</dcterms:created>
  <dcterms:modified xsi:type="dcterms:W3CDTF">2017-03-13T13:41:00Z</dcterms:modified>
</cp:coreProperties>
</file>