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63A34" w14:textId="07F7A9EB" w:rsidR="004B511B" w:rsidRDefault="004B511B"/>
    <w:p w14:paraId="4B6148C9" w14:textId="06A58934" w:rsidR="004B511B" w:rsidRPr="004B511B" w:rsidRDefault="002B598A" w:rsidP="004B511B">
      <w:pPr>
        <w:rPr>
          <w:color w:val="E75561"/>
          <w:sz w:val="28"/>
        </w:rPr>
      </w:pPr>
      <w:r>
        <w:rPr>
          <w:color w:val="E75561"/>
          <w:sz w:val="28"/>
        </w:rPr>
        <w:t xml:space="preserve">Quote and </w:t>
      </w:r>
      <w:r w:rsidR="004B511B" w:rsidRPr="004B511B">
        <w:rPr>
          <w:color w:val="E75561"/>
          <w:sz w:val="28"/>
        </w:rPr>
        <w:t xml:space="preserve">Specification for a commissioned activity in the Norwich Opportunity Area </w:t>
      </w:r>
    </w:p>
    <w:p w14:paraId="0D163C13" w14:textId="4C86553E" w:rsidR="004B511B" w:rsidRPr="00AA184E" w:rsidRDefault="00777B85">
      <w:pPr>
        <w:rPr>
          <w:b/>
        </w:rPr>
      </w:pPr>
      <w:r>
        <w:t xml:space="preserve">Reference </w:t>
      </w:r>
      <w:r w:rsidRPr="00AA184E">
        <w:rPr>
          <w:b/>
        </w:rPr>
        <w:t>NCCQ41615</w:t>
      </w:r>
      <w:r w:rsidR="002B598A" w:rsidRPr="00AA184E">
        <w:rPr>
          <w:b/>
        </w:rPr>
        <w:t xml:space="preserve"> –  </w:t>
      </w:r>
      <w:r w:rsidR="00F555F5" w:rsidRPr="00F555F5">
        <w:rPr>
          <w:b/>
        </w:rPr>
        <w:t xml:space="preserve">Building a Communication Champion Network - Early Speech, Language, Listening and Communication </w:t>
      </w:r>
    </w:p>
    <w:p w14:paraId="2488C4B4" w14:textId="48AC3FC7" w:rsidR="002B598A" w:rsidRDefault="002B598A">
      <w:r>
        <w:t>Please ensure you complete the following.</w:t>
      </w:r>
      <w:bookmarkStart w:id="0" w:name="_GoBack"/>
      <w:bookmarkEnd w:id="0"/>
    </w:p>
    <w:p w14:paraId="2223D968" w14:textId="57024E9C" w:rsidR="00777B85" w:rsidRDefault="00777B85">
      <w:r>
        <w:t>Provider Name ___________________________________________________________________</w:t>
      </w:r>
    </w:p>
    <w:p w14:paraId="0E8EA93E" w14:textId="62BE91A5" w:rsidR="00777B85" w:rsidRDefault="00777B85">
      <w:r>
        <w:t>Name of person managing this bid ___________________________________________________</w:t>
      </w:r>
    </w:p>
    <w:p w14:paraId="43E6461A" w14:textId="08FB9182" w:rsidR="00777B85" w:rsidRDefault="00777B85">
      <w:r>
        <w:t>Email address ___________________________________________________________________</w:t>
      </w:r>
    </w:p>
    <w:p w14:paraId="3609D5EF" w14:textId="1DC12DB6" w:rsidR="00777B85" w:rsidRDefault="00777B85">
      <w:r>
        <w:t>Telephone Number _______________________________________________________________</w:t>
      </w:r>
    </w:p>
    <w:p w14:paraId="124C5560" w14:textId="77777777" w:rsidR="00777B85" w:rsidRDefault="00777B85"/>
    <w:tbl>
      <w:tblPr>
        <w:tblStyle w:val="TableGrid"/>
        <w:tblW w:w="10589" w:type="dxa"/>
        <w:tblLook w:val="04A0" w:firstRow="1" w:lastRow="0" w:firstColumn="1" w:lastColumn="0" w:noHBand="0" w:noVBand="1"/>
      </w:tblPr>
      <w:tblGrid>
        <w:gridCol w:w="1976"/>
        <w:gridCol w:w="8613"/>
      </w:tblGrid>
      <w:tr w:rsidR="00A876C7" w:rsidRPr="00CB2FFC" w14:paraId="749D3884" w14:textId="77777777" w:rsidTr="00A73CD8">
        <w:trPr>
          <w:trHeight w:val="536"/>
        </w:trPr>
        <w:tc>
          <w:tcPr>
            <w:tcW w:w="1976" w:type="dxa"/>
          </w:tcPr>
          <w:p w14:paraId="37736B18" w14:textId="77777777" w:rsidR="00A876C7" w:rsidRPr="00CB2FFC" w:rsidRDefault="00A876C7" w:rsidP="007119DA">
            <w:pPr>
              <w:rPr>
                <w:b/>
              </w:rPr>
            </w:pPr>
            <w:r w:rsidRPr="00CB2FFC">
              <w:rPr>
                <w:b/>
              </w:rPr>
              <w:t>1. Norwich Opportunity Area Priority</w:t>
            </w:r>
          </w:p>
        </w:tc>
        <w:tc>
          <w:tcPr>
            <w:tcW w:w="8613" w:type="dxa"/>
            <w:vAlign w:val="center"/>
          </w:tcPr>
          <w:p w14:paraId="61E04AAA" w14:textId="77777777" w:rsidR="00A876C7" w:rsidRPr="00CB2FFC" w:rsidRDefault="00A876C7" w:rsidP="007119DA">
            <w:r w:rsidRPr="00CB2FFC">
              <w:t xml:space="preserve">1. Improve </w:t>
            </w:r>
            <w:bookmarkStart w:id="1" w:name="_Hlk512333206"/>
            <w:r w:rsidRPr="00CB2FFC">
              <w:t>early speech, language, listening and communication</w:t>
            </w:r>
            <w:bookmarkEnd w:id="1"/>
          </w:p>
        </w:tc>
      </w:tr>
      <w:tr w:rsidR="00A876C7" w:rsidRPr="00CB2FFC" w14:paraId="48DCE75E" w14:textId="77777777" w:rsidTr="00A73CD8">
        <w:trPr>
          <w:trHeight w:val="536"/>
        </w:trPr>
        <w:tc>
          <w:tcPr>
            <w:tcW w:w="1976" w:type="dxa"/>
          </w:tcPr>
          <w:p w14:paraId="4E8E1B36" w14:textId="77777777" w:rsidR="00A876C7" w:rsidRPr="00CB2FFC" w:rsidRDefault="00A876C7" w:rsidP="007119DA">
            <w:pPr>
              <w:rPr>
                <w:b/>
              </w:rPr>
            </w:pPr>
            <w:r w:rsidRPr="00CB2FFC">
              <w:rPr>
                <w:b/>
              </w:rPr>
              <w:t>2. Strand</w:t>
            </w:r>
          </w:p>
        </w:tc>
        <w:tc>
          <w:tcPr>
            <w:tcW w:w="8613" w:type="dxa"/>
          </w:tcPr>
          <w:p w14:paraId="3CB6B8D0" w14:textId="77777777" w:rsidR="00A876C7" w:rsidRPr="00CB2FFC" w:rsidRDefault="00A876C7" w:rsidP="007119DA">
            <w:r w:rsidRPr="00CB2FFC">
              <w:t>1.1 Speech, Language Communication CPD Network</w:t>
            </w:r>
          </w:p>
        </w:tc>
      </w:tr>
      <w:tr w:rsidR="00A876C7" w:rsidRPr="00CB2FFC" w14:paraId="5600B194" w14:textId="77777777" w:rsidTr="00A73CD8">
        <w:trPr>
          <w:trHeight w:val="536"/>
        </w:trPr>
        <w:tc>
          <w:tcPr>
            <w:tcW w:w="1976" w:type="dxa"/>
          </w:tcPr>
          <w:p w14:paraId="5DA4D8E3" w14:textId="77777777" w:rsidR="00A876C7" w:rsidRPr="00CB2FFC" w:rsidRDefault="00A876C7" w:rsidP="007119DA">
            <w:pPr>
              <w:rPr>
                <w:b/>
              </w:rPr>
            </w:pPr>
            <w:r w:rsidRPr="00CB2FFC">
              <w:rPr>
                <w:b/>
              </w:rPr>
              <w:t>3. Activity Name</w:t>
            </w:r>
          </w:p>
        </w:tc>
        <w:tc>
          <w:tcPr>
            <w:tcW w:w="8613" w:type="dxa"/>
          </w:tcPr>
          <w:p w14:paraId="18217135" w14:textId="286948A2" w:rsidR="00A876C7" w:rsidRPr="00CB2FFC" w:rsidRDefault="00A876C7" w:rsidP="007119DA">
            <w:r w:rsidRPr="00CB2FFC">
              <w:t>1.1.</w:t>
            </w:r>
            <w:r w:rsidR="00812F55" w:rsidRPr="00CB2FFC">
              <w:t xml:space="preserve">3 Building a </w:t>
            </w:r>
            <w:r w:rsidRPr="00CB2FFC">
              <w:t xml:space="preserve">Communication Champion </w:t>
            </w:r>
            <w:r w:rsidR="00812F55" w:rsidRPr="00CB2FFC">
              <w:t>Network</w:t>
            </w:r>
          </w:p>
        </w:tc>
      </w:tr>
      <w:tr w:rsidR="00A876C7" w:rsidRPr="00CB2FFC" w14:paraId="211FCA58" w14:textId="77777777" w:rsidTr="00A73CD8">
        <w:trPr>
          <w:trHeight w:val="536"/>
        </w:trPr>
        <w:tc>
          <w:tcPr>
            <w:tcW w:w="1976" w:type="dxa"/>
          </w:tcPr>
          <w:p w14:paraId="73A964DC" w14:textId="77777777" w:rsidR="00A876C7" w:rsidRPr="00CB2FFC" w:rsidRDefault="00A876C7" w:rsidP="007119DA">
            <w:pPr>
              <w:rPr>
                <w:b/>
              </w:rPr>
            </w:pPr>
            <w:r w:rsidRPr="00CB2FFC">
              <w:rPr>
                <w:b/>
              </w:rPr>
              <w:t>4. Background</w:t>
            </w:r>
          </w:p>
        </w:tc>
        <w:tc>
          <w:tcPr>
            <w:tcW w:w="8613" w:type="dxa"/>
          </w:tcPr>
          <w:p w14:paraId="448F53EB" w14:textId="77777777" w:rsidR="00A876C7" w:rsidRPr="00CB2FFC" w:rsidRDefault="00A876C7" w:rsidP="00A876C7">
            <w:pPr>
              <w:pStyle w:val="ListParagraph"/>
              <w:numPr>
                <w:ilvl w:val="0"/>
                <w:numId w:val="3"/>
              </w:numPr>
              <w:rPr>
                <w:b/>
              </w:rPr>
            </w:pPr>
            <w:r w:rsidRPr="00CB2FFC">
              <w:rPr>
                <w:rFonts w:cs="HelveticaNeueLT Pro 45 Lt"/>
                <w:color w:val="000000"/>
              </w:rPr>
              <w:t>Local partners such as schools and voluntary sector organisations tell us that pupils too often have poor communication, social and emotional skills at school entry and that there is more to do to engage parents. There is a wide variety of early education providers in Norwich and the progress children make can vary significantly between them.</w:t>
            </w:r>
          </w:p>
          <w:p w14:paraId="49932BEC" w14:textId="77777777" w:rsidR="00A876C7" w:rsidRPr="00CB2FFC" w:rsidRDefault="00A876C7" w:rsidP="00A876C7">
            <w:pPr>
              <w:pStyle w:val="ListParagraph"/>
              <w:numPr>
                <w:ilvl w:val="0"/>
                <w:numId w:val="3"/>
              </w:numPr>
              <w:rPr>
                <w:b/>
              </w:rPr>
            </w:pPr>
            <w:r w:rsidRPr="00CB2FFC">
              <w:rPr>
                <w:rFonts w:cs="HelveticaNeueLT Pro 45 Lt"/>
                <w:color w:val="000000"/>
              </w:rPr>
              <w:t>Schools can refer children for speech and language therapy but find that the available service does not necessarily meet the whole challenge and there remains a need for improving support within the classroom.</w:t>
            </w:r>
          </w:p>
          <w:p w14:paraId="2E08D680" w14:textId="77777777" w:rsidR="00A876C7" w:rsidRPr="00CB2FFC" w:rsidRDefault="00A876C7" w:rsidP="00A876C7">
            <w:pPr>
              <w:pStyle w:val="ListParagraph"/>
              <w:numPr>
                <w:ilvl w:val="0"/>
                <w:numId w:val="3"/>
              </w:numPr>
              <w:rPr>
                <w:b/>
              </w:rPr>
            </w:pPr>
            <w:r w:rsidRPr="00CB2FFC">
              <w:rPr>
                <w:rFonts w:cs="HelveticaNeueLT Pro 45 Lt"/>
                <w:color w:val="000000"/>
              </w:rPr>
              <w:t xml:space="preserve">We know that children that are behind at age five: too often struggle to catch up in school; fall further behind their peers; and risk lower life chances. </w:t>
            </w:r>
          </w:p>
          <w:p w14:paraId="2419B735" w14:textId="7D54B900" w:rsidR="00A876C7" w:rsidRPr="00CB2FFC" w:rsidRDefault="00A876C7" w:rsidP="00A876C7">
            <w:pPr>
              <w:pStyle w:val="ListParagraph"/>
              <w:numPr>
                <w:ilvl w:val="0"/>
                <w:numId w:val="3"/>
              </w:numPr>
              <w:rPr>
                <w:rFonts w:cs="HelveticaNeueLT Pro 45 Lt"/>
                <w:color w:val="000000"/>
              </w:rPr>
            </w:pPr>
            <w:r w:rsidRPr="00CB2FFC">
              <w:rPr>
                <w:rFonts w:cs="HelveticaNeueLT Pro 45 Lt"/>
                <w:color w:val="000000"/>
              </w:rPr>
              <w:t>We would like to offer a universal approach to speech, language and communication development in Early Years which all school staff, not just teachers, can use in their daily interactions with children</w:t>
            </w:r>
            <w:r w:rsidR="00812F55" w:rsidRPr="00CB2FFC">
              <w:rPr>
                <w:rFonts w:cs="HelveticaNeueLT Pro 45 Lt"/>
                <w:color w:val="000000"/>
              </w:rPr>
              <w:t>, as well as staff in private, voluntary and independent settings</w:t>
            </w:r>
          </w:p>
          <w:p w14:paraId="09962368" w14:textId="2CD9462E" w:rsidR="00A876C7" w:rsidRPr="00CB2FFC" w:rsidRDefault="00A876C7" w:rsidP="00A876C7">
            <w:pPr>
              <w:pStyle w:val="ListParagraph"/>
              <w:numPr>
                <w:ilvl w:val="0"/>
                <w:numId w:val="3"/>
              </w:numPr>
              <w:rPr>
                <w:rFonts w:cs="HelveticaNeueLT Pro 45 Lt"/>
                <w:color w:val="000000"/>
              </w:rPr>
            </w:pPr>
            <w:r w:rsidRPr="00CB2FFC">
              <w:rPr>
                <w:rFonts w:cs="HelveticaNeueLT Pro 45 Lt"/>
                <w:color w:val="000000"/>
              </w:rPr>
              <w:t xml:space="preserve">We </w:t>
            </w:r>
            <w:r w:rsidR="00812F55" w:rsidRPr="00CB2FFC">
              <w:rPr>
                <w:rFonts w:cs="HelveticaNeueLT Pro 45 Lt"/>
                <w:color w:val="000000"/>
              </w:rPr>
              <w:t>have already begun</w:t>
            </w:r>
            <w:r w:rsidRPr="00CB2FFC">
              <w:rPr>
                <w:rFonts w:cs="HelveticaNeueLT Pro 45 Lt"/>
                <w:color w:val="000000"/>
              </w:rPr>
              <w:t xml:space="preserve"> to create “Communication Champions” within schools </w:t>
            </w:r>
            <w:r w:rsidR="00812F55" w:rsidRPr="00CB2FFC">
              <w:rPr>
                <w:rFonts w:cs="HelveticaNeueLT Pro 45 Lt"/>
                <w:color w:val="000000"/>
              </w:rPr>
              <w:t xml:space="preserve">and settings </w:t>
            </w:r>
            <w:r w:rsidRPr="00CB2FFC">
              <w:rPr>
                <w:rFonts w:cs="HelveticaNeueLT Pro 45 Lt"/>
                <w:color w:val="000000"/>
              </w:rPr>
              <w:t xml:space="preserve">that can cascade learning to </w:t>
            </w:r>
            <w:r w:rsidR="00812F55" w:rsidRPr="00CB2FFC">
              <w:rPr>
                <w:rFonts w:cs="HelveticaNeueLT Pro 45 Lt"/>
                <w:color w:val="000000"/>
              </w:rPr>
              <w:t>colleagues</w:t>
            </w:r>
            <w:r w:rsidRPr="00CB2FFC">
              <w:rPr>
                <w:rFonts w:cs="HelveticaNeueLT Pro 45 Lt"/>
                <w:color w:val="000000"/>
              </w:rPr>
              <w:t xml:space="preserve"> following a programme of CPD, and eventually form hubs in a network of schools </w:t>
            </w:r>
            <w:r w:rsidR="00812F55" w:rsidRPr="00CB2FFC">
              <w:rPr>
                <w:rFonts w:cs="HelveticaNeueLT Pro 45 Lt"/>
                <w:color w:val="000000"/>
              </w:rPr>
              <w:t xml:space="preserve">and settings </w:t>
            </w:r>
            <w:r w:rsidRPr="00CB2FFC">
              <w:rPr>
                <w:rFonts w:cs="HelveticaNeueLT Pro 45 Lt"/>
                <w:color w:val="000000"/>
              </w:rPr>
              <w:t>across Norwich</w:t>
            </w:r>
          </w:p>
          <w:p w14:paraId="26661F4A" w14:textId="590513EA" w:rsidR="00812F55" w:rsidRPr="00CB2FFC" w:rsidRDefault="00812F55" w:rsidP="00A876C7">
            <w:pPr>
              <w:pStyle w:val="ListParagraph"/>
              <w:numPr>
                <w:ilvl w:val="0"/>
                <w:numId w:val="3"/>
              </w:numPr>
              <w:rPr>
                <w:rFonts w:cs="HelveticaNeueLT Pro 45 Lt"/>
                <w:color w:val="000000"/>
              </w:rPr>
            </w:pPr>
            <w:r w:rsidRPr="00CB2FFC">
              <w:rPr>
                <w:rFonts w:cs="HelveticaNeueLT Pro 45 Lt"/>
                <w:color w:val="000000"/>
              </w:rPr>
              <w:t xml:space="preserve">To date the Opportunity Area has commissioned a programme mapped to the </w:t>
            </w:r>
            <w:r w:rsidRPr="00CB2FFC">
              <w:t>Enhanced Level of The Communication Trust’s Speech, Language and Communication Framework delivered over a series of 9 twilights between February and May 2018</w:t>
            </w:r>
          </w:p>
          <w:p w14:paraId="32D9D96A" w14:textId="26153AF2" w:rsidR="00812F55" w:rsidRPr="00CB2FFC" w:rsidRDefault="00812F55" w:rsidP="00A876C7">
            <w:pPr>
              <w:pStyle w:val="ListParagraph"/>
              <w:numPr>
                <w:ilvl w:val="0"/>
                <w:numId w:val="3"/>
              </w:numPr>
              <w:rPr>
                <w:rFonts w:cs="HelveticaNeueLT Pro 45 Lt"/>
                <w:color w:val="000000"/>
              </w:rPr>
            </w:pPr>
            <w:r w:rsidRPr="00CB2FFC">
              <w:rPr>
                <w:rFonts w:cs="HelveticaNeueLT Pro 45 Lt"/>
                <w:color w:val="000000"/>
              </w:rPr>
              <w:t>This specification is to continue further training for this first cohort, as well as training up a second cohort of Communication Champions</w:t>
            </w:r>
          </w:p>
          <w:p w14:paraId="5FD8F444" w14:textId="77777777" w:rsidR="00A876C7" w:rsidRPr="00CB2FFC" w:rsidRDefault="00A876C7" w:rsidP="007119DA"/>
        </w:tc>
      </w:tr>
      <w:tr w:rsidR="00A876C7" w:rsidRPr="00CB2FFC" w14:paraId="258E75DA" w14:textId="77777777" w:rsidTr="00A73CD8">
        <w:trPr>
          <w:trHeight w:val="536"/>
        </w:trPr>
        <w:tc>
          <w:tcPr>
            <w:tcW w:w="1976" w:type="dxa"/>
          </w:tcPr>
          <w:p w14:paraId="5BA24C30" w14:textId="77777777" w:rsidR="00A876C7" w:rsidRPr="00CB2FFC" w:rsidRDefault="00A876C7" w:rsidP="007119DA">
            <w:pPr>
              <w:rPr>
                <w:b/>
              </w:rPr>
            </w:pPr>
            <w:r w:rsidRPr="00CB2FFC">
              <w:rPr>
                <w:b/>
              </w:rPr>
              <w:t>5. Targeted individuals/schools</w:t>
            </w:r>
          </w:p>
        </w:tc>
        <w:tc>
          <w:tcPr>
            <w:tcW w:w="8613" w:type="dxa"/>
          </w:tcPr>
          <w:p w14:paraId="7C51AC71" w14:textId="5E702DE6" w:rsidR="00A876C7" w:rsidRPr="00CB2FFC" w:rsidRDefault="00A876C7" w:rsidP="007119DA">
            <w:r w:rsidRPr="00CB2FFC">
              <w:t>11 schools and 1</w:t>
            </w:r>
            <w:r w:rsidR="00812F55" w:rsidRPr="00CB2FFC">
              <w:t>5</w:t>
            </w:r>
            <w:r w:rsidRPr="00CB2FFC">
              <w:t xml:space="preserve"> settings in cohort 1, comprising </w:t>
            </w:r>
            <w:r w:rsidR="00812F55" w:rsidRPr="00CB2FFC">
              <w:t>6</w:t>
            </w:r>
            <w:r w:rsidR="00F55FA9" w:rsidRPr="00CB2FFC">
              <w:t>0</w:t>
            </w:r>
            <w:r w:rsidRPr="00CB2FFC">
              <w:t xml:space="preserve"> staff</w:t>
            </w:r>
          </w:p>
          <w:p w14:paraId="6451778A" w14:textId="0C736CCC" w:rsidR="00A876C7" w:rsidRPr="00CB2FFC" w:rsidRDefault="00A876C7" w:rsidP="007119DA">
            <w:r w:rsidRPr="00CB2FFC">
              <w:t>1</w:t>
            </w:r>
            <w:r w:rsidR="00812F55" w:rsidRPr="00CB2FFC">
              <w:t>1</w:t>
            </w:r>
            <w:r w:rsidRPr="00CB2FFC">
              <w:t xml:space="preserve"> schools and 1</w:t>
            </w:r>
            <w:r w:rsidR="00812F55" w:rsidRPr="00CB2FFC">
              <w:t>5</w:t>
            </w:r>
            <w:r w:rsidRPr="00CB2FFC">
              <w:t xml:space="preserve"> settings in cohort 2, comprising 6</w:t>
            </w:r>
            <w:r w:rsidR="00F55FA9" w:rsidRPr="00CB2FFC">
              <w:t>0</w:t>
            </w:r>
            <w:r w:rsidRPr="00CB2FFC">
              <w:t xml:space="preserve"> staff</w:t>
            </w:r>
          </w:p>
          <w:p w14:paraId="2463D927" w14:textId="77777777" w:rsidR="00A876C7" w:rsidRPr="00CB2FFC" w:rsidRDefault="00A876C7" w:rsidP="007119DA"/>
        </w:tc>
      </w:tr>
      <w:tr w:rsidR="00A876C7" w:rsidRPr="00CB2FFC" w14:paraId="59BF2542" w14:textId="77777777" w:rsidTr="00A73CD8">
        <w:trPr>
          <w:trHeight w:val="536"/>
        </w:trPr>
        <w:tc>
          <w:tcPr>
            <w:tcW w:w="1976" w:type="dxa"/>
          </w:tcPr>
          <w:p w14:paraId="654BE703" w14:textId="77777777" w:rsidR="00A876C7" w:rsidRPr="00CB2FFC" w:rsidRDefault="00A876C7" w:rsidP="007119DA">
            <w:pPr>
              <w:rPr>
                <w:b/>
              </w:rPr>
            </w:pPr>
            <w:r w:rsidRPr="00CB2FFC">
              <w:rPr>
                <w:b/>
              </w:rPr>
              <w:t>6. Anticipated costs and price cap</w:t>
            </w:r>
          </w:p>
        </w:tc>
        <w:tc>
          <w:tcPr>
            <w:tcW w:w="8613" w:type="dxa"/>
          </w:tcPr>
          <w:p w14:paraId="79932F88" w14:textId="6C3F92AC" w:rsidR="00FA52CC" w:rsidRDefault="00FA52CC">
            <w:r>
              <w:t xml:space="preserve">Cost is to provide </w:t>
            </w:r>
            <w:proofErr w:type="gramStart"/>
            <w:r>
              <w:t>all of</w:t>
            </w:r>
            <w:proofErr w:type="gramEnd"/>
            <w:r>
              <w:t xml:space="preserve"> the below</w:t>
            </w:r>
          </w:p>
          <w:p w14:paraId="141AA71C" w14:textId="77777777" w:rsidR="00FA52CC" w:rsidRDefault="00FA52CC"/>
          <w:tbl>
            <w:tblPr>
              <w:tblStyle w:val="TableGrid"/>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8023"/>
            </w:tblGrid>
            <w:tr w:rsidR="00F55FA9" w:rsidRPr="00CB2FFC" w14:paraId="46E9F412" w14:textId="77777777" w:rsidTr="00453798">
              <w:trPr>
                <w:trHeight w:val="444"/>
              </w:trPr>
              <w:tc>
                <w:tcPr>
                  <w:tcW w:w="374" w:type="dxa"/>
                </w:tcPr>
                <w:p w14:paraId="2BEA4E7C" w14:textId="77777777" w:rsidR="00F55FA9" w:rsidRPr="00CB2FFC" w:rsidRDefault="00F55FA9" w:rsidP="007119DA">
                  <w:r w:rsidRPr="00CB2FFC">
                    <w:t>1</w:t>
                  </w:r>
                </w:p>
              </w:tc>
              <w:tc>
                <w:tcPr>
                  <w:tcW w:w="8023" w:type="dxa"/>
                </w:tcPr>
                <w:p w14:paraId="1243DDD7" w14:textId="04467E31" w:rsidR="00F55FA9" w:rsidRDefault="00F55FA9" w:rsidP="007119DA">
                  <w:r w:rsidRPr="00CB2FFC">
                    <w:t xml:space="preserve">Development of </w:t>
                  </w:r>
                  <w:r w:rsidR="00FB6876" w:rsidRPr="00CB2FFC">
                    <w:t>stage 3</w:t>
                  </w:r>
                  <w:r w:rsidRPr="00CB2FFC">
                    <w:t xml:space="preserve"> programme around The Communication Trust suite of resources</w:t>
                  </w:r>
                  <w:r w:rsidR="00777B85">
                    <w:t xml:space="preserve">.    </w:t>
                  </w:r>
                  <w:hyperlink r:id="rId7" w:history="1">
                    <w:r w:rsidR="00777B85">
                      <w:rPr>
                        <w:rStyle w:val="Hyperlink"/>
                      </w:rPr>
                      <w:t>https://www.thecommunicationtrust.org.uk/</w:t>
                    </w:r>
                  </w:hyperlink>
                </w:p>
                <w:p w14:paraId="4561ADD5" w14:textId="1609D52D" w:rsidR="009D0996" w:rsidRPr="00CB2FFC" w:rsidRDefault="009D0996" w:rsidP="007119DA"/>
              </w:tc>
            </w:tr>
            <w:tr w:rsidR="00F55FA9" w:rsidRPr="00CB2FFC" w14:paraId="31DA5EFD" w14:textId="77777777" w:rsidTr="00453798">
              <w:trPr>
                <w:trHeight w:val="627"/>
              </w:trPr>
              <w:tc>
                <w:tcPr>
                  <w:tcW w:w="374" w:type="dxa"/>
                </w:tcPr>
                <w:p w14:paraId="18452F2F" w14:textId="77777777" w:rsidR="00F55FA9" w:rsidRPr="00CB2FFC" w:rsidRDefault="00F55FA9" w:rsidP="007119DA">
                  <w:r w:rsidRPr="00CB2FFC">
                    <w:lastRenderedPageBreak/>
                    <w:t>2</w:t>
                  </w:r>
                </w:p>
              </w:tc>
              <w:tc>
                <w:tcPr>
                  <w:tcW w:w="8023" w:type="dxa"/>
                </w:tcPr>
                <w:p w14:paraId="46DF78A1" w14:textId="660B46B0" w:rsidR="00F55FA9" w:rsidRPr="00CB2FFC" w:rsidRDefault="00F55FA9" w:rsidP="00453798">
                  <w:r w:rsidRPr="00CB2FFC">
                    <w:t xml:space="preserve">Delivery of </w:t>
                  </w:r>
                  <w:r w:rsidR="00453798" w:rsidRPr="00CB2FFC">
                    <w:t>stage 2 training to cohort 2 and stage 3 training to cohorts 1 and 2</w:t>
                  </w:r>
                </w:p>
                <w:p w14:paraId="11D787C9" w14:textId="70033A46" w:rsidR="00F55FA9" w:rsidRPr="00CB2FFC" w:rsidRDefault="00F55FA9" w:rsidP="007119DA"/>
              </w:tc>
            </w:tr>
            <w:tr w:rsidR="00F55FA9" w:rsidRPr="00CB2FFC" w14:paraId="54CEC46E" w14:textId="77777777" w:rsidTr="00453798">
              <w:trPr>
                <w:trHeight w:val="627"/>
              </w:trPr>
              <w:tc>
                <w:tcPr>
                  <w:tcW w:w="374" w:type="dxa"/>
                </w:tcPr>
                <w:p w14:paraId="217ACC4E" w14:textId="77777777" w:rsidR="00F55FA9" w:rsidRPr="00CB2FFC" w:rsidRDefault="00F55FA9" w:rsidP="007119DA">
                  <w:r w:rsidRPr="00CB2FFC">
                    <w:t>3</w:t>
                  </w:r>
                </w:p>
              </w:tc>
              <w:tc>
                <w:tcPr>
                  <w:tcW w:w="8023" w:type="dxa"/>
                </w:tcPr>
                <w:p w14:paraId="7EFC8F3E" w14:textId="77777777" w:rsidR="00F55FA9" w:rsidRPr="00CB2FFC" w:rsidRDefault="00F55FA9" w:rsidP="007119DA">
                  <w:r w:rsidRPr="00CB2FFC">
                    <w:t>Associated physical/electronic resource pack for attendees</w:t>
                  </w:r>
                </w:p>
                <w:p w14:paraId="3A104598" w14:textId="77777777" w:rsidR="00F55FA9" w:rsidRPr="00CB2FFC" w:rsidRDefault="00F55FA9" w:rsidP="007119DA"/>
              </w:tc>
            </w:tr>
            <w:tr w:rsidR="00F55FA9" w:rsidRPr="00CB2FFC" w14:paraId="10BF90BE" w14:textId="77777777" w:rsidTr="00453798">
              <w:trPr>
                <w:trHeight w:val="613"/>
              </w:trPr>
              <w:tc>
                <w:tcPr>
                  <w:tcW w:w="374" w:type="dxa"/>
                </w:tcPr>
                <w:p w14:paraId="1B52A587" w14:textId="77777777" w:rsidR="00F55FA9" w:rsidRPr="00CB2FFC" w:rsidRDefault="00F55FA9" w:rsidP="007119DA">
                  <w:r w:rsidRPr="00CB2FFC">
                    <w:t>4</w:t>
                  </w:r>
                </w:p>
              </w:tc>
              <w:tc>
                <w:tcPr>
                  <w:tcW w:w="8023" w:type="dxa"/>
                </w:tcPr>
                <w:p w14:paraId="4CA4DF4B" w14:textId="2E4DC0A6" w:rsidR="00F55FA9" w:rsidRPr="00CB2FFC" w:rsidRDefault="00F55FA9" w:rsidP="007119DA">
                  <w:r w:rsidRPr="00CB2FFC">
                    <w:t xml:space="preserve">Venue </w:t>
                  </w:r>
                  <w:proofErr w:type="gramStart"/>
                  <w:r w:rsidRPr="00CB2FFC">
                    <w:t>hire</w:t>
                  </w:r>
                  <w:proofErr w:type="gramEnd"/>
                  <w:r w:rsidR="00777B85">
                    <w:t xml:space="preserve"> in Norwich </w:t>
                  </w:r>
                </w:p>
                <w:p w14:paraId="6C172360" w14:textId="77777777" w:rsidR="00F55FA9" w:rsidRPr="00CB2FFC" w:rsidRDefault="00F55FA9" w:rsidP="007119DA"/>
              </w:tc>
            </w:tr>
            <w:tr w:rsidR="00F55FA9" w:rsidRPr="00CB2FFC" w14:paraId="40033649" w14:textId="77777777" w:rsidTr="00453798">
              <w:trPr>
                <w:trHeight w:val="613"/>
              </w:trPr>
              <w:tc>
                <w:tcPr>
                  <w:tcW w:w="374" w:type="dxa"/>
                </w:tcPr>
                <w:p w14:paraId="202086EB" w14:textId="77777777" w:rsidR="00F55FA9" w:rsidRPr="00CB2FFC" w:rsidRDefault="00F55FA9" w:rsidP="007119DA">
                  <w:r w:rsidRPr="00CB2FFC">
                    <w:t>5</w:t>
                  </w:r>
                </w:p>
              </w:tc>
              <w:tc>
                <w:tcPr>
                  <w:tcW w:w="8023" w:type="dxa"/>
                </w:tcPr>
                <w:p w14:paraId="1AE49A33" w14:textId="77777777" w:rsidR="00F55FA9" w:rsidRPr="00CB2FFC" w:rsidRDefault="00F55FA9" w:rsidP="007119DA">
                  <w:r w:rsidRPr="00CB2FFC">
                    <w:t>Event admin</w:t>
                  </w:r>
                </w:p>
              </w:tc>
            </w:tr>
            <w:tr w:rsidR="00F55FA9" w:rsidRPr="00CB2FFC" w14:paraId="0488C839" w14:textId="77777777" w:rsidTr="00453798">
              <w:trPr>
                <w:trHeight w:val="320"/>
              </w:trPr>
              <w:tc>
                <w:tcPr>
                  <w:tcW w:w="374" w:type="dxa"/>
                </w:tcPr>
                <w:p w14:paraId="5646637D" w14:textId="77777777" w:rsidR="00F55FA9" w:rsidRPr="00CB2FFC" w:rsidRDefault="00F55FA9" w:rsidP="007119DA"/>
              </w:tc>
              <w:tc>
                <w:tcPr>
                  <w:tcW w:w="8023" w:type="dxa"/>
                </w:tcPr>
                <w:p w14:paraId="65638B7F" w14:textId="45405AA7" w:rsidR="00F55FA9" w:rsidRPr="00CB2FFC" w:rsidRDefault="00F55FA9" w:rsidP="007119DA">
                  <w:pPr>
                    <w:rPr>
                      <w:b/>
                    </w:rPr>
                  </w:pPr>
                  <w:r w:rsidRPr="00CB2FFC">
                    <w:rPr>
                      <w:b/>
                    </w:rPr>
                    <w:t>Price cap £2</w:t>
                  </w:r>
                  <w:r w:rsidR="0007493A" w:rsidRPr="00CB2FFC">
                    <w:rPr>
                      <w:b/>
                    </w:rPr>
                    <w:t>8</w:t>
                  </w:r>
                  <w:r w:rsidRPr="00CB2FFC">
                    <w:rPr>
                      <w:b/>
                    </w:rPr>
                    <w:t xml:space="preserve"> 000</w:t>
                  </w:r>
                  <w:r w:rsidR="009D0996">
                    <w:rPr>
                      <w:b/>
                    </w:rPr>
                    <w:t xml:space="preserve"> to be inclusive of the above</w:t>
                  </w:r>
                </w:p>
              </w:tc>
            </w:tr>
            <w:tr w:rsidR="00453798" w:rsidRPr="00CB2FFC" w14:paraId="3C4CCC64" w14:textId="77777777" w:rsidTr="00453798">
              <w:trPr>
                <w:trHeight w:val="320"/>
              </w:trPr>
              <w:tc>
                <w:tcPr>
                  <w:tcW w:w="374" w:type="dxa"/>
                </w:tcPr>
                <w:p w14:paraId="568E39C4" w14:textId="77777777" w:rsidR="00453798" w:rsidRPr="00CB2FFC" w:rsidRDefault="00453798" w:rsidP="007119DA"/>
                <w:p w14:paraId="7FCACCB7" w14:textId="6949FD7B" w:rsidR="00453798" w:rsidRPr="00CB2FFC" w:rsidRDefault="00453798" w:rsidP="007119DA"/>
              </w:tc>
              <w:tc>
                <w:tcPr>
                  <w:tcW w:w="8023" w:type="dxa"/>
                </w:tcPr>
                <w:p w14:paraId="221C8CA8" w14:textId="77777777" w:rsidR="00453798" w:rsidRPr="00CB2FFC" w:rsidRDefault="00453798" w:rsidP="007119DA">
                  <w:pPr>
                    <w:rPr>
                      <w:b/>
                    </w:rPr>
                  </w:pPr>
                </w:p>
              </w:tc>
            </w:tr>
          </w:tbl>
          <w:p w14:paraId="0E75D6D3" w14:textId="77777777" w:rsidR="00A876C7" w:rsidRPr="00CB2FFC" w:rsidRDefault="00A876C7" w:rsidP="007119DA"/>
        </w:tc>
      </w:tr>
      <w:tr w:rsidR="00A876C7" w:rsidRPr="00CB2FFC" w14:paraId="41C11BF9" w14:textId="77777777" w:rsidTr="00A73CD8">
        <w:trPr>
          <w:trHeight w:val="536"/>
        </w:trPr>
        <w:tc>
          <w:tcPr>
            <w:tcW w:w="1976" w:type="dxa"/>
          </w:tcPr>
          <w:p w14:paraId="15052F31" w14:textId="77777777" w:rsidR="00A876C7" w:rsidRPr="00CB2FFC" w:rsidRDefault="00A876C7" w:rsidP="007119DA">
            <w:pPr>
              <w:rPr>
                <w:b/>
              </w:rPr>
            </w:pPr>
            <w:r w:rsidRPr="00CB2FFC">
              <w:rPr>
                <w:b/>
              </w:rPr>
              <w:lastRenderedPageBreak/>
              <w:t>7. Outputs</w:t>
            </w:r>
          </w:p>
        </w:tc>
        <w:tc>
          <w:tcPr>
            <w:tcW w:w="8613" w:type="dxa"/>
          </w:tcPr>
          <w:p w14:paraId="2F777372" w14:textId="45CDA515" w:rsidR="00EA3EE0" w:rsidRPr="00CB2FFC" w:rsidRDefault="00EA3EE0" w:rsidP="00453798">
            <w:r w:rsidRPr="00CB2FFC">
              <w:t xml:space="preserve">Delivery of 2 full days of stage 2 training for cohort 1 (group 2, 30 staff) in </w:t>
            </w:r>
            <w:r w:rsidR="00FA52CC">
              <w:t xml:space="preserve">the </w:t>
            </w:r>
            <w:r w:rsidRPr="00CB2FFC">
              <w:t xml:space="preserve">Summer term </w:t>
            </w:r>
            <w:r w:rsidR="00FA52CC">
              <w:t xml:space="preserve">of </w:t>
            </w:r>
            <w:r w:rsidRPr="00CB2FFC">
              <w:t>2018 (Saturdays</w:t>
            </w:r>
            <w:r w:rsidR="004B511B">
              <w:t xml:space="preserve"> in July</w:t>
            </w:r>
            <w:r w:rsidRPr="00CB2FFC">
              <w:t>)</w:t>
            </w:r>
          </w:p>
          <w:p w14:paraId="766ABC0A" w14:textId="77E46636" w:rsidR="00453798" w:rsidRPr="00CB2FFC" w:rsidRDefault="00453798" w:rsidP="00453798">
            <w:r w:rsidRPr="00CB2FFC">
              <w:t>Delivery of 9 x 1.5h twilight stage 2 sessions for cohort 2 (group 1, 30 staff) in</w:t>
            </w:r>
            <w:r w:rsidR="00FA52CC">
              <w:t xml:space="preserve"> the Christmas </w:t>
            </w:r>
            <w:r w:rsidRPr="00CB2FFC">
              <w:t>term</w:t>
            </w:r>
            <w:r w:rsidR="00FA52CC">
              <w:t xml:space="preserve"> of</w:t>
            </w:r>
            <w:r w:rsidRPr="00CB2FFC">
              <w:t xml:space="preserve"> 2018</w:t>
            </w:r>
          </w:p>
          <w:p w14:paraId="77BCB414" w14:textId="10321184" w:rsidR="00453798" w:rsidRPr="00CB2FFC" w:rsidRDefault="00453798" w:rsidP="00453798">
            <w:r w:rsidRPr="00CB2FFC">
              <w:t xml:space="preserve">Delivery of 2 full days of stage 2 training for cohort 2 (group 2, 30 staff) in </w:t>
            </w:r>
            <w:r w:rsidR="00FA52CC">
              <w:t>Christmas</w:t>
            </w:r>
            <w:r w:rsidR="00FA52CC" w:rsidRPr="00CB2FFC">
              <w:t xml:space="preserve"> </w:t>
            </w:r>
            <w:r w:rsidRPr="00CB2FFC">
              <w:t>term 2018</w:t>
            </w:r>
            <w:r w:rsidR="00EA3EE0" w:rsidRPr="00CB2FFC">
              <w:t xml:space="preserve"> (Saturdays)</w:t>
            </w:r>
          </w:p>
          <w:p w14:paraId="1D556B90" w14:textId="6BD6BE02" w:rsidR="00453798" w:rsidRPr="00CB2FFC" w:rsidRDefault="00453798" w:rsidP="00453798">
            <w:r w:rsidRPr="00CB2FFC">
              <w:t xml:space="preserve">Delivery of 10 x 1.5h twilight stage 3 sessions for cohort 1 (group 1, 30 staff) in </w:t>
            </w:r>
            <w:r w:rsidR="00FA52CC">
              <w:t>Christmas</w:t>
            </w:r>
            <w:r w:rsidR="00FA52CC" w:rsidRPr="00CB2FFC">
              <w:t xml:space="preserve"> </w:t>
            </w:r>
            <w:r w:rsidRPr="00CB2FFC">
              <w:t>term 2018</w:t>
            </w:r>
          </w:p>
          <w:p w14:paraId="710C365F" w14:textId="28443064" w:rsidR="00453798" w:rsidRPr="00CB2FFC" w:rsidRDefault="00453798" w:rsidP="00453798">
            <w:r w:rsidRPr="00CB2FFC">
              <w:t xml:space="preserve">Delivery of 3 full days of stage 3 training for cohort 1 (group 2, 30 staff) in </w:t>
            </w:r>
            <w:r w:rsidR="00FA52CC">
              <w:t>Christmas</w:t>
            </w:r>
            <w:r w:rsidR="00FA52CC" w:rsidRPr="00CB2FFC">
              <w:t xml:space="preserve"> </w:t>
            </w:r>
            <w:r w:rsidRPr="00CB2FFC">
              <w:t>term 2018</w:t>
            </w:r>
          </w:p>
          <w:p w14:paraId="5AA480BB" w14:textId="73EB640A" w:rsidR="00EA3EE0" w:rsidRPr="00CB2FFC" w:rsidRDefault="00EA3EE0" w:rsidP="00453798">
            <w:r w:rsidRPr="00CB2FFC">
              <w:t>(Saturdays)</w:t>
            </w:r>
          </w:p>
          <w:p w14:paraId="7C8ECA27" w14:textId="77777777" w:rsidR="00453798" w:rsidRPr="00CB2FFC" w:rsidRDefault="00453798" w:rsidP="00453798">
            <w:r w:rsidRPr="00CB2FFC">
              <w:t>Delivery of 10 x 1.5h twilight stage 3 sessions for cohort 2 (group 1, 30 staff) in Spring 2019</w:t>
            </w:r>
          </w:p>
          <w:p w14:paraId="7FBF812D" w14:textId="0943FD00" w:rsidR="00EA3EE0" w:rsidRPr="00CB2FFC" w:rsidRDefault="00453798" w:rsidP="00453798">
            <w:r w:rsidRPr="00CB2FFC">
              <w:t>Delivery of 3 full days of stage 3 training for cohort 2 (group 2, 30 staff) in Spring 2019</w:t>
            </w:r>
            <w:r w:rsidR="00EA3EE0" w:rsidRPr="00CB2FFC">
              <w:t xml:space="preserve"> (Saturdays)</w:t>
            </w:r>
          </w:p>
          <w:p w14:paraId="16C09D99" w14:textId="698A6D93" w:rsidR="00453798" w:rsidRPr="00CB2FFC" w:rsidRDefault="00453798" w:rsidP="007119DA">
            <w:pPr>
              <w:rPr>
                <w:b/>
              </w:rPr>
            </w:pPr>
          </w:p>
          <w:p w14:paraId="7E9A98F5" w14:textId="77777777" w:rsidR="000906E4" w:rsidRPr="00CB2FFC" w:rsidRDefault="000906E4" w:rsidP="007119DA">
            <w:pPr>
              <w:rPr>
                <w:b/>
              </w:rPr>
            </w:pPr>
          </w:p>
          <w:p w14:paraId="02F038F4" w14:textId="4E3AA844" w:rsidR="00A876C7" w:rsidRDefault="00A92A7F" w:rsidP="007119DA">
            <w:pPr>
              <w:rPr>
                <w:b/>
              </w:rPr>
            </w:pPr>
            <w:r w:rsidRPr="00CB2FFC">
              <w:rPr>
                <w:b/>
              </w:rPr>
              <w:t xml:space="preserve">Stage 2 - </w:t>
            </w:r>
            <w:r w:rsidR="00A876C7" w:rsidRPr="00CB2FFC">
              <w:rPr>
                <w:b/>
              </w:rPr>
              <w:t>9 twilight sessions</w:t>
            </w:r>
            <w:r w:rsidRPr="00CB2FFC">
              <w:rPr>
                <w:b/>
              </w:rPr>
              <w:t xml:space="preserve"> (group 1) and 2 full days on a Saturday (group 2), mapped to the enhanced level of the Speech, Language and Communication Framework</w:t>
            </w:r>
            <w:r w:rsidR="00A876C7" w:rsidRPr="00CB2FFC">
              <w:rPr>
                <w:b/>
              </w:rPr>
              <w:t xml:space="preserve"> to cover</w:t>
            </w:r>
            <w:r w:rsidR="00EA3EE0" w:rsidRPr="00CB2FFC">
              <w:rPr>
                <w:b/>
              </w:rPr>
              <w:t>, and with an overarching theme of “what does this look like back in my school?”</w:t>
            </w:r>
            <w:r w:rsidR="00A876C7" w:rsidRPr="00CB2FFC">
              <w:rPr>
                <w:b/>
              </w:rPr>
              <w:t>:</w:t>
            </w:r>
          </w:p>
          <w:p w14:paraId="3B56281F" w14:textId="77777777" w:rsidR="00F052E1" w:rsidRPr="00CB2FFC" w:rsidRDefault="00F052E1" w:rsidP="007119DA">
            <w:pPr>
              <w:rPr>
                <w:b/>
              </w:rPr>
            </w:pPr>
          </w:p>
          <w:p w14:paraId="3E9AFEB3" w14:textId="77777777" w:rsidR="00A876C7" w:rsidRPr="00CB2FFC" w:rsidRDefault="00A876C7" w:rsidP="00A92A7F">
            <w:pPr>
              <w:pStyle w:val="ListParagraph"/>
              <w:numPr>
                <w:ilvl w:val="0"/>
                <w:numId w:val="9"/>
              </w:numPr>
            </w:pPr>
            <w:r w:rsidRPr="00CB2FFC">
              <w:t>Completion of Speech, Language and Communication Framework, and baseline assessments for children</w:t>
            </w:r>
          </w:p>
          <w:p w14:paraId="5B29EA2C" w14:textId="77777777" w:rsidR="00A876C7" w:rsidRPr="00CB2FFC" w:rsidRDefault="00A876C7" w:rsidP="00A92A7F">
            <w:pPr>
              <w:pStyle w:val="ListParagraph"/>
              <w:numPr>
                <w:ilvl w:val="0"/>
                <w:numId w:val="9"/>
              </w:numPr>
            </w:pPr>
            <w:r w:rsidRPr="00CB2FFC">
              <w:t>Typical Speech, Language and Communication Development</w:t>
            </w:r>
          </w:p>
          <w:p w14:paraId="72098F52" w14:textId="77777777" w:rsidR="00A876C7" w:rsidRPr="00CB2FFC" w:rsidRDefault="00A876C7" w:rsidP="00A92A7F">
            <w:pPr>
              <w:pStyle w:val="ListParagraph"/>
              <w:numPr>
                <w:ilvl w:val="0"/>
                <w:numId w:val="9"/>
              </w:numPr>
            </w:pPr>
            <w:r w:rsidRPr="00CB2FFC">
              <w:t>Identification and Assessment of SLCN</w:t>
            </w:r>
          </w:p>
          <w:p w14:paraId="73CC27DC" w14:textId="77777777" w:rsidR="00A876C7" w:rsidRPr="00CB2FFC" w:rsidRDefault="00A876C7" w:rsidP="00A92A7F">
            <w:pPr>
              <w:pStyle w:val="ListParagraph"/>
              <w:numPr>
                <w:ilvl w:val="0"/>
                <w:numId w:val="9"/>
              </w:numPr>
            </w:pPr>
            <w:r w:rsidRPr="00CB2FFC">
              <w:t>Learning English as an Additional Language</w:t>
            </w:r>
          </w:p>
          <w:p w14:paraId="7A22127D" w14:textId="77777777" w:rsidR="00A876C7" w:rsidRPr="00CB2FFC" w:rsidRDefault="00A876C7" w:rsidP="00A92A7F">
            <w:pPr>
              <w:pStyle w:val="ListParagraph"/>
              <w:numPr>
                <w:ilvl w:val="0"/>
                <w:numId w:val="9"/>
              </w:numPr>
            </w:pPr>
            <w:r w:rsidRPr="00CB2FFC">
              <w:t xml:space="preserve">Relationship between SLCN and other areas of development </w:t>
            </w:r>
          </w:p>
          <w:p w14:paraId="082C3116" w14:textId="77777777" w:rsidR="00A876C7" w:rsidRPr="00CB2FFC" w:rsidRDefault="00A876C7" w:rsidP="00A92A7F">
            <w:pPr>
              <w:pStyle w:val="ListParagraph"/>
              <w:numPr>
                <w:ilvl w:val="0"/>
                <w:numId w:val="9"/>
              </w:numPr>
            </w:pPr>
            <w:r w:rsidRPr="00CB2FFC">
              <w:t>The Communication Environment</w:t>
            </w:r>
          </w:p>
          <w:p w14:paraId="2263CD38" w14:textId="77777777" w:rsidR="00A876C7" w:rsidRPr="00CB2FFC" w:rsidRDefault="00A876C7" w:rsidP="00A92A7F">
            <w:pPr>
              <w:pStyle w:val="ListParagraph"/>
              <w:numPr>
                <w:ilvl w:val="0"/>
                <w:numId w:val="9"/>
              </w:numPr>
            </w:pPr>
            <w:r w:rsidRPr="00CB2FFC">
              <w:t>Strategies and Support for Children with SLCN</w:t>
            </w:r>
          </w:p>
          <w:p w14:paraId="69C4A7F8" w14:textId="77777777" w:rsidR="00A876C7" w:rsidRPr="00CB2FFC" w:rsidRDefault="00A876C7" w:rsidP="00A92A7F">
            <w:pPr>
              <w:pStyle w:val="ListParagraph"/>
              <w:numPr>
                <w:ilvl w:val="0"/>
                <w:numId w:val="9"/>
              </w:numPr>
            </w:pPr>
            <w:r w:rsidRPr="00CB2FFC">
              <w:t>Reflecting on professional development around SLCN, roles and responsibilities when working with children with SLCN</w:t>
            </w:r>
          </w:p>
          <w:p w14:paraId="54EF7DA9" w14:textId="104D9669" w:rsidR="00A876C7" w:rsidRPr="00CB2FFC" w:rsidRDefault="00A876C7" w:rsidP="00A92A7F">
            <w:pPr>
              <w:pStyle w:val="ListParagraph"/>
              <w:numPr>
                <w:ilvl w:val="0"/>
                <w:numId w:val="9"/>
              </w:numPr>
            </w:pPr>
            <w:r w:rsidRPr="00CB2FFC">
              <w:t>Involving children with SLCN, and working with parents, carers, peers and friends</w:t>
            </w:r>
          </w:p>
          <w:p w14:paraId="0B8FF079" w14:textId="203DA9D7" w:rsidR="00EA3EE0" w:rsidRDefault="00EA3EE0" w:rsidP="00A92A7F">
            <w:pPr>
              <w:pStyle w:val="ListParagraph"/>
              <w:numPr>
                <w:ilvl w:val="0"/>
                <w:numId w:val="9"/>
              </w:numPr>
            </w:pPr>
            <w:r w:rsidRPr="00CB2FFC">
              <w:t>How to deliver an effective training programme to colleagues</w:t>
            </w:r>
          </w:p>
          <w:p w14:paraId="78A955E6" w14:textId="77777777" w:rsidR="009D0996" w:rsidRPr="00CB2FFC" w:rsidRDefault="009D0996" w:rsidP="00777B85">
            <w:pPr>
              <w:pStyle w:val="ListParagraph"/>
            </w:pPr>
          </w:p>
          <w:p w14:paraId="14DFE989" w14:textId="6D10BA27" w:rsidR="00A92A7F" w:rsidRPr="00CB2FFC" w:rsidRDefault="00A92A7F" w:rsidP="00A92A7F">
            <w:pPr>
              <w:rPr>
                <w:b/>
              </w:rPr>
            </w:pPr>
            <w:r w:rsidRPr="00CB2FFC">
              <w:rPr>
                <w:b/>
              </w:rPr>
              <w:t>Stage 3 - 10 twilight sessions (group 1) and 3 full days over 3 months on a Saturday (group 2)</w:t>
            </w:r>
            <w:r w:rsidR="00453798" w:rsidRPr="00CB2FFC">
              <w:rPr>
                <w:b/>
              </w:rPr>
              <w:t xml:space="preserve"> for both cohorts</w:t>
            </w:r>
          </w:p>
          <w:p w14:paraId="2CD95FF2" w14:textId="2CDCFA89" w:rsidR="00A92A7F" w:rsidRPr="00CB2FFC" w:rsidRDefault="00A92A7F" w:rsidP="00A92A7F">
            <w:pPr>
              <w:pStyle w:val="ListParagraph"/>
              <w:numPr>
                <w:ilvl w:val="0"/>
                <w:numId w:val="8"/>
              </w:numPr>
            </w:pPr>
            <w:r w:rsidRPr="00CB2FFC">
              <w:t>Creating a training programme for colleague</w:t>
            </w:r>
            <w:r w:rsidR="00F960F3" w:rsidRPr="00CB2FFC">
              <w:t>s</w:t>
            </w:r>
            <w:r w:rsidRPr="00CB2FFC">
              <w:t xml:space="preserve"> and parents</w:t>
            </w:r>
            <w:r w:rsidR="00F960F3" w:rsidRPr="00CB2FFC">
              <w:t xml:space="preserve"> in your organisation (TCT Initial Teacher Education resources and TCT Parent resources)</w:t>
            </w:r>
            <w:r w:rsidR="000906E4" w:rsidRPr="00CB2FFC">
              <w:t xml:space="preserve"> &amp; developing your own professional development plan</w:t>
            </w:r>
          </w:p>
          <w:p w14:paraId="778F733E" w14:textId="77777777" w:rsidR="00F960F3" w:rsidRPr="00CB2FFC" w:rsidRDefault="00F960F3" w:rsidP="00F960F3">
            <w:pPr>
              <w:ind w:left="360"/>
            </w:pPr>
            <w:r w:rsidRPr="00CB2FFC">
              <w:t>2-</w:t>
            </w:r>
            <w:proofErr w:type="gramStart"/>
            <w:r w:rsidRPr="00CB2FFC">
              <w:t>4.Being</w:t>
            </w:r>
            <w:proofErr w:type="gramEnd"/>
            <w:r w:rsidRPr="00CB2FFC">
              <w:t xml:space="preserve"> a champion – how to deliver, encouraging colleagues to change their practice, </w:t>
            </w:r>
          </w:p>
          <w:p w14:paraId="34E91CC1" w14:textId="77777777" w:rsidR="00F960F3" w:rsidRPr="00CB2FFC" w:rsidRDefault="00F960F3" w:rsidP="00F960F3">
            <w:pPr>
              <w:ind w:left="360"/>
            </w:pPr>
            <w:r w:rsidRPr="00CB2FFC">
              <w:t xml:space="preserve">       coaching and supporting colleagues, delivering the TCT online short course</w:t>
            </w:r>
          </w:p>
          <w:p w14:paraId="0B5A415C" w14:textId="77777777" w:rsidR="00F960F3" w:rsidRPr="00CB2FFC" w:rsidRDefault="00F960F3" w:rsidP="00F960F3">
            <w:pPr>
              <w:pStyle w:val="ListParagraph"/>
              <w:numPr>
                <w:ilvl w:val="0"/>
                <w:numId w:val="11"/>
              </w:numPr>
            </w:pPr>
            <w:r w:rsidRPr="00CB2FFC">
              <w:lastRenderedPageBreak/>
              <w:t>Attention and listening</w:t>
            </w:r>
          </w:p>
          <w:p w14:paraId="70372F4D" w14:textId="77777777" w:rsidR="00F960F3" w:rsidRPr="00CB2FFC" w:rsidRDefault="00F960F3" w:rsidP="00F960F3">
            <w:pPr>
              <w:pStyle w:val="ListParagraph"/>
              <w:numPr>
                <w:ilvl w:val="0"/>
                <w:numId w:val="11"/>
              </w:numPr>
            </w:pPr>
            <w:r w:rsidRPr="00CB2FFC">
              <w:t>Vocabulary</w:t>
            </w:r>
          </w:p>
          <w:p w14:paraId="7CF46A9B" w14:textId="77777777" w:rsidR="00F960F3" w:rsidRPr="00CB2FFC" w:rsidRDefault="00F960F3" w:rsidP="00F960F3">
            <w:pPr>
              <w:pStyle w:val="ListParagraph"/>
              <w:numPr>
                <w:ilvl w:val="0"/>
                <w:numId w:val="11"/>
              </w:numPr>
            </w:pPr>
            <w:r w:rsidRPr="00CB2FFC">
              <w:t>Development of understanding</w:t>
            </w:r>
          </w:p>
          <w:p w14:paraId="624A9EC0" w14:textId="77777777" w:rsidR="00F960F3" w:rsidRPr="00CB2FFC" w:rsidRDefault="00F960F3" w:rsidP="00F960F3">
            <w:pPr>
              <w:pStyle w:val="ListParagraph"/>
              <w:numPr>
                <w:ilvl w:val="0"/>
                <w:numId w:val="11"/>
              </w:numPr>
            </w:pPr>
            <w:r w:rsidRPr="00CB2FFC">
              <w:t>Supporting the development of sentences</w:t>
            </w:r>
          </w:p>
          <w:p w14:paraId="5DF8D413" w14:textId="77777777" w:rsidR="00F960F3" w:rsidRPr="00CB2FFC" w:rsidRDefault="00F960F3" w:rsidP="00F960F3">
            <w:pPr>
              <w:pStyle w:val="ListParagraph"/>
              <w:numPr>
                <w:ilvl w:val="0"/>
                <w:numId w:val="11"/>
              </w:numPr>
            </w:pPr>
            <w:r w:rsidRPr="00CB2FFC">
              <w:t>Speech sounds</w:t>
            </w:r>
          </w:p>
          <w:p w14:paraId="6F75A5CA" w14:textId="77777777" w:rsidR="00F960F3" w:rsidRPr="00CB2FFC" w:rsidRDefault="00453798" w:rsidP="00F960F3">
            <w:pPr>
              <w:pStyle w:val="ListParagraph"/>
              <w:numPr>
                <w:ilvl w:val="0"/>
                <w:numId w:val="11"/>
              </w:numPr>
            </w:pPr>
            <w:r w:rsidRPr="00CB2FFC">
              <w:t>Sustaining a network – marketing your events to other schools and parents</w:t>
            </w:r>
          </w:p>
          <w:p w14:paraId="5F2F0B7A" w14:textId="77777777" w:rsidR="00453798" w:rsidRPr="00CB2FFC" w:rsidRDefault="00453798" w:rsidP="00453798">
            <w:pPr>
              <w:pStyle w:val="ListParagraph"/>
            </w:pPr>
          </w:p>
          <w:p w14:paraId="2752BEEF" w14:textId="6CEA5C37" w:rsidR="00453798" w:rsidRPr="00CB2FFC" w:rsidRDefault="00453798" w:rsidP="00453798">
            <w:r w:rsidRPr="00CB2FFC">
              <w:t>Electronic and physical resource packs</w:t>
            </w:r>
            <w:r w:rsidR="009D0996">
              <w:t xml:space="preserve"> to be provided</w:t>
            </w:r>
            <w:r w:rsidR="00FA52CC">
              <w:t xml:space="preserve"> by the </w:t>
            </w:r>
            <w:r w:rsidR="00E75633">
              <w:t>provider</w:t>
            </w:r>
          </w:p>
          <w:p w14:paraId="386CD200" w14:textId="67AB07AF" w:rsidR="00453798" w:rsidRPr="00CB2FFC" w:rsidRDefault="00453798" w:rsidP="00453798"/>
        </w:tc>
      </w:tr>
      <w:tr w:rsidR="00A876C7" w:rsidRPr="00CB2FFC" w14:paraId="46DB0182" w14:textId="77777777" w:rsidTr="00A73CD8">
        <w:trPr>
          <w:trHeight w:val="989"/>
        </w:trPr>
        <w:tc>
          <w:tcPr>
            <w:tcW w:w="1976" w:type="dxa"/>
          </w:tcPr>
          <w:p w14:paraId="285AEE5C" w14:textId="77777777" w:rsidR="00A876C7" w:rsidRPr="00CB2FFC" w:rsidRDefault="00A876C7" w:rsidP="007119DA">
            <w:pPr>
              <w:rPr>
                <w:b/>
              </w:rPr>
            </w:pPr>
            <w:r w:rsidRPr="00CB2FFC">
              <w:rPr>
                <w:b/>
              </w:rPr>
              <w:lastRenderedPageBreak/>
              <w:t>8. Short term outcomes</w:t>
            </w:r>
          </w:p>
        </w:tc>
        <w:tc>
          <w:tcPr>
            <w:tcW w:w="8613" w:type="dxa"/>
            <w:vAlign w:val="center"/>
          </w:tcPr>
          <w:p w14:paraId="4376FD2A" w14:textId="2446032D" w:rsidR="00A876C7" w:rsidRPr="00CB2FFC" w:rsidRDefault="00A876C7" w:rsidP="007119DA">
            <w:r w:rsidRPr="00CB2FFC">
              <w:t>Trained members of staff from target schools</w:t>
            </w:r>
            <w:r w:rsidR="00453798" w:rsidRPr="00CB2FFC">
              <w:t xml:space="preserve"> and settings</w:t>
            </w:r>
            <w:r w:rsidRPr="00CB2FFC">
              <w:t xml:space="preserve"> become Communication Champions for their own </w:t>
            </w:r>
            <w:r w:rsidR="00453798" w:rsidRPr="00CB2FFC">
              <w:t>organisations</w:t>
            </w:r>
            <w:r w:rsidRPr="00CB2FFC">
              <w:t>, able to offer training and support to colleagues</w:t>
            </w:r>
            <w:r w:rsidR="00453798" w:rsidRPr="00CB2FFC">
              <w:t xml:space="preserve"> and parents</w:t>
            </w:r>
            <w:r w:rsidRPr="00CB2FFC">
              <w:t xml:space="preserve"> so that all </w:t>
            </w:r>
            <w:r w:rsidR="000906E4" w:rsidRPr="00CB2FFC">
              <w:t>adults around a child</w:t>
            </w:r>
            <w:r w:rsidRPr="00CB2FFC">
              <w:t xml:space="preserve"> can support children’s SLCN</w:t>
            </w:r>
          </w:p>
        </w:tc>
      </w:tr>
      <w:tr w:rsidR="00A876C7" w:rsidRPr="00CB2FFC" w14:paraId="0C0D7E9D" w14:textId="77777777" w:rsidTr="00A73CD8">
        <w:trPr>
          <w:trHeight w:val="977"/>
        </w:trPr>
        <w:tc>
          <w:tcPr>
            <w:tcW w:w="1976" w:type="dxa"/>
          </w:tcPr>
          <w:p w14:paraId="5AD5BC7B" w14:textId="77777777" w:rsidR="00A876C7" w:rsidRPr="00CB2FFC" w:rsidRDefault="00A876C7" w:rsidP="007119DA">
            <w:pPr>
              <w:rPr>
                <w:b/>
              </w:rPr>
            </w:pPr>
            <w:r w:rsidRPr="00CB2FFC">
              <w:rPr>
                <w:b/>
              </w:rPr>
              <w:t>9. Long term outcomes</w:t>
            </w:r>
          </w:p>
          <w:p w14:paraId="54AC95DF" w14:textId="77777777" w:rsidR="00A876C7" w:rsidRPr="00CB2FFC" w:rsidRDefault="00A876C7" w:rsidP="007119DA"/>
        </w:tc>
        <w:tc>
          <w:tcPr>
            <w:tcW w:w="8613" w:type="dxa"/>
          </w:tcPr>
          <w:p w14:paraId="7BFE6805" w14:textId="5FC431B3" w:rsidR="00A876C7" w:rsidRPr="00CB2FFC" w:rsidRDefault="00453798" w:rsidP="007119DA">
            <w:r w:rsidRPr="00CB2FFC">
              <w:t>A</w:t>
            </w:r>
            <w:r w:rsidR="00A876C7" w:rsidRPr="00CB2FFC">
              <w:t xml:space="preserve"> sustainable network of Communication Champions </w:t>
            </w:r>
            <w:proofErr w:type="gramStart"/>
            <w:r w:rsidR="00A876C7" w:rsidRPr="00CB2FFC">
              <w:t>support</w:t>
            </w:r>
            <w:proofErr w:type="gramEnd"/>
            <w:r w:rsidR="00A876C7" w:rsidRPr="00CB2FFC">
              <w:t xml:space="preserve"> ongoing CPD in universal speech, language and communication across Norwich schools</w:t>
            </w:r>
          </w:p>
          <w:p w14:paraId="69E98A1D" w14:textId="77777777" w:rsidR="00A876C7" w:rsidRPr="00CB2FFC" w:rsidRDefault="00A876C7" w:rsidP="007119DA"/>
          <w:p w14:paraId="74C44667" w14:textId="77777777" w:rsidR="00A876C7" w:rsidRPr="00CB2FFC" w:rsidRDefault="00A876C7" w:rsidP="007119DA">
            <w:r w:rsidRPr="00CB2FFC">
              <w:t>Speech, Language and Communication Early Learning Goals become an area of strength with all schools within the Network, meeting or exceeding the national average in the Year following this training.</w:t>
            </w:r>
          </w:p>
          <w:p w14:paraId="30897F84" w14:textId="2651076B" w:rsidR="00E41D6A" w:rsidRPr="00CB2FFC" w:rsidRDefault="00E41D6A" w:rsidP="00E41D6A">
            <w:r w:rsidRPr="00CB2FFC">
              <w:t xml:space="preserve">By 2021, the proportion of children achieving a good level of development in Norwich will be in the top half for all local authority districts in England. </w:t>
            </w:r>
          </w:p>
          <w:p w14:paraId="0D966818" w14:textId="5E241A7D" w:rsidR="0007493A" w:rsidRPr="00CB2FFC" w:rsidRDefault="0007493A" w:rsidP="00E41D6A"/>
          <w:p w14:paraId="2A1908F9" w14:textId="2AE06AC4" w:rsidR="0007493A" w:rsidRPr="00CB2FFC" w:rsidRDefault="0007493A" w:rsidP="00E41D6A">
            <w:r w:rsidRPr="00CB2FFC">
              <w:t xml:space="preserve">By 2021 the gap between the speech, language and communication skills of disadvantaged children and their peers, assessed through </w:t>
            </w:r>
            <w:proofErr w:type="spellStart"/>
            <w:r w:rsidRPr="00CB2FFC">
              <w:t>WellComm</w:t>
            </w:r>
            <w:proofErr w:type="spellEnd"/>
            <w:r w:rsidRPr="00CB2FFC">
              <w:t>, will be significantly reduced.</w:t>
            </w:r>
          </w:p>
          <w:p w14:paraId="3F6475F1" w14:textId="6033EFE5" w:rsidR="00453798" w:rsidRPr="00CB2FFC" w:rsidRDefault="00453798" w:rsidP="007119DA"/>
        </w:tc>
      </w:tr>
      <w:tr w:rsidR="00A876C7" w:rsidRPr="00CB2FFC" w14:paraId="2769A7F8" w14:textId="77777777" w:rsidTr="00A73CD8">
        <w:trPr>
          <w:trHeight w:val="731"/>
        </w:trPr>
        <w:tc>
          <w:tcPr>
            <w:tcW w:w="1976" w:type="dxa"/>
          </w:tcPr>
          <w:p w14:paraId="7CBEFB43" w14:textId="77777777" w:rsidR="00A876C7" w:rsidRPr="00CB2FFC" w:rsidRDefault="00A876C7" w:rsidP="007119DA">
            <w:pPr>
              <w:rPr>
                <w:b/>
              </w:rPr>
            </w:pPr>
            <w:r w:rsidRPr="00CB2FFC">
              <w:rPr>
                <w:b/>
              </w:rPr>
              <w:t>10. Evidence base</w:t>
            </w:r>
          </w:p>
        </w:tc>
        <w:tc>
          <w:tcPr>
            <w:tcW w:w="8613" w:type="dxa"/>
            <w:vAlign w:val="center"/>
          </w:tcPr>
          <w:p w14:paraId="45BA3C51" w14:textId="77777777" w:rsidR="00A876C7" w:rsidRPr="00CB2FFC" w:rsidRDefault="00A876C7" w:rsidP="007119DA">
            <w:r w:rsidRPr="00CB2FFC">
              <w:t>The Communication Trust – Talking about a generation</w:t>
            </w:r>
          </w:p>
          <w:p w14:paraId="14A8B663" w14:textId="77104722" w:rsidR="00A876C7" w:rsidRPr="00CB2FFC" w:rsidRDefault="00A876C7" w:rsidP="007119DA">
            <w:r w:rsidRPr="00CB2FFC">
              <w:t>The Early Intervention Foundation – L</w:t>
            </w:r>
            <w:r w:rsidR="00E41D6A" w:rsidRPr="00CB2FFC">
              <w:t>anguage</w:t>
            </w:r>
            <w:r w:rsidRPr="00CB2FFC">
              <w:t xml:space="preserve"> as a wellbeing indicator</w:t>
            </w:r>
          </w:p>
        </w:tc>
      </w:tr>
      <w:tr w:rsidR="00A876C7" w:rsidRPr="00CB2FFC" w14:paraId="3CFA5C9C" w14:textId="77777777" w:rsidTr="00A73CD8">
        <w:trPr>
          <w:trHeight w:val="731"/>
        </w:trPr>
        <w:tc>
          <w:tcPr>
            <w:tcW w:w="1976" w:type="dxa"/>
          </w:tcPr>
          <w:p w14:paraId="1B5D8AD2" w14:textId="77777777" w:rsidR="00A876C7" w:rsidRPr="00CB2FFC" w:rsidRDefault="00A876C7" w:rsidP="007119DA">
            <w:pPr>
              <w:rPr>
                <w:b/>
              </w:rPr>
            </w:pPr>
            <w:r w:rsidRPr="00CB2FFC">
              <w:rPr>
                <w:b/>
              </w:rPr>
              <w:t>11. Prospective providers should meet the following criteria:</w:t>
            </w:r>
          </w:p>
        </w:tc>
        <w:tc>
          <w:tcPr>
            <w:tcW w:w="8613" w:type="dxa"/>
            <w:vAlign w:val="center"/>
          </w:tcPr>
          <w:p w14:paraId="6EA356D4" w14:textId="21E47555" w:rsidR="00A876C7" w:rsidRPr="00CB2FFC" w:rsidRDefault="00A876C7" w:rsidP="007119DA">
            <w:r w:rsidRPr="00CB2FFC">
              <w:t>Expertise: Qualified Speech and Language Therapist.</w:t>
            </w:r>
            <w:r w:rsidR="000906E4" w:rsidRPr="00CB2FFC">
              <w:t xml:space="preserve">  An understanding of the impact of deprivation on speech and language</w:t>
            </w:r>
          </w:p>
          <w:p w14:paraId="0B46FA3B" w14:textId="4316BDE5" w:rsidR="00A876C7" w:rsidRPr="00CB2FFC" w:rsidRDefault="00A876C7" w:rsidP="007119DA">
            <w:r w:rsidRPr="00CB2FFC">
              <w:t xml:space="preserve">Experience: Use of/ familiarity with the resources offered by The Communication Trust.  Experience of </w:t>
            </w:r>
            <w:r w:rsidR="000906E4" w:rsidRPr="00CB2FFC">
              <w:t xml:space="preserve">delivering dynamic and engaging courses </w:t>
            </w:r>
            <w:r w:rsidRPr="00CB2FFC">
              <w:t xml:space="preserve">to </w:t>
            </w:r>
            <w:r w:rsidR="000906E4" w:rsidRPr="00CB2FFC">
              <w:t>staff in early years settings</w:t>
            </w:r>
            <w:r w:rsidRPr="00CB2FFC">
              <w:t>.</w:t>
            </w:r>
            <w:r w:rsidR="0007493A" w:rsidRPr="00CB2FFC">
              <w:t xml:space="preserve">  A proven track record of impactful partnerships.</w:t>
            </w:r>
          </w:p>
        </w:tc>
      </w:tr>
      <w:tr w:rsidR="00970020" w:rsidRPr="00CB2FFC" w14:paraId="4625E5EA" w14:textId="77777777" w:rsidTr="00A73CD8">
        <w:trPr>
          <w:trHeight w:val="983"/>
        </w:trPr>
        <w:tc>
          <w:tcPr>
            <w:tcW w:w="1976" w:type="dxa"/>
            <w:vMerge w:val="restart"/>
          </w:tcPr>
          <w:p w14:paraId="61281C06" w14:textId="632C0CF4" w:rsidR="00970020" w:rsidRPr="00CB2FFC" w:rsidRDefault="001451CF" w:rsidP="007119DA">
            <w:pPr>
              <w:rPr>
                <w:b/>
              </w:rPr>
            </w:pPr>
            <w:r w:rsidRPr="00CB2FFC">
              <w:rPr>
                <w:b/>
              </w:rPr>
              <w:t>12. Prospective providers are invited to submit:</w:t>
            </w:r>
          </w:p>
        </w:tc>
        <w:tc>
          <w:tcPr>
            <w:tcW w:w="8613" w:type="dxa"/>
          </w:tcPr>
          <w:p w14:paraId="50588B91" w14:textId="6253F161" w:rsidR="00970020" w:rsidRDefault="00970020" w:rsidP="00970020">
            <w:pPr>
              <w:numPr>
                <w:ilvl w:val="0"/>
                <w:numId w:val="14"/>
              </w:numPr>
            </w:pPr>
            <w:r w:rsidRPr="00CB2FFC">
              <w:t>Evidence of expertise and experience stated in section 11 above, including</w:t>
            </w:r>
            <w:r w:rsidR="002B598A">
              <w:t xml:space="preserve"> details of </w:t>
            </w:r>
            <w:r w:rsidRPr="00CB2FFC">
              <w:t xml:space="preserve">2 professional </w:t>
            </w:r>
            <w:r w:rsidR="002B598A" w:rsidRPr="00CB2FFC">
              <w:t>refer</w:t>
            </w:r>
            <w:r w:rsidR="002B598A">
              <w:t>ees</w:t>
            </w:r>
            <w:r w:rsidR="002B598A" w:rsidRPr="00CB2FFC">
              <w:t xml:space="preserve"> </w:t>
            </w:r>
            <w:r w:rsidRPr="00CB2FFC">
              <w:t>endorsing previous delivery of your courses</w:t>
            </w:r>
          </w:p>
          <w:p w14:paraId="30E1223B" w14:textId="5B5BE91C" w:rsidR="00970020" w:rsidRDefault="007B55E1" w:rsidP="00777B85">
            <w:pPr>
              <w:ind w:left="720"/>
            </w:pPr>
            <w:r>
              <w:t xml:space="preserve"> (Weighting </w:t>
            </w:r>
            <w:r w:rsidR="001451CF">
              <w:t>20</w:t>
            </w:r>
            <w:r w:rsidR="00970020" w:rsidRPr="00CB2FFC">
              <w:t>%)</w:t>
            </w:r>
          </w:p>
          <w:p w14:paraId="42259C9E" w14:textId="37F62633" w:rsidR="00970020" w:rsidRDefault="00970020" w:rsidP="00777B85">
            <w:pPr>
              <w:ind w:left="720"/>
            </w:pPr>
          </w:p>
          <w:p w14:paraId="79245355" w14:textId="288F4745" w:rsidR="00970020" w:rsidRDefault="00970020" w:rsidP="00777B85">
            <w:pPr>
              <w:ind w:left="720"/>
            </w:pPr>
            <w:r>
              <w:t>Please type your response here</w:t>
            </w:r>
            <w:r w:rsidR="001451CF">
              <w:t xml:space="preserve"> (1 side of A4)</w:t>
            </w:r>
          </w:p>
          <w:p w14:paraId="5AC802F2" w14:textId="57D85F04" w:rsidR="00970020" w:rsidRPr="00CB2FFC" w:rsidRDefault="00970020" w:rsidP="00777B85">
            <w:pPr>
              <w:pStyle w:val="ListParagraph"/>
            </w:pPr>
          </w:p>
        </w:tc>
      </w:tr>
      <w:tr w:rsidR="007B55E1" w:rsidRPr="00CB2FFC" w14:paraId="09ED99DD" w14:textId="77777777" w:rsidTr="00A73CD8">
        <w:trPr>
          <w:trHeight w:val="983"/>
        </w:trPr>
        <w:tc>
          <w:tcPr>
            <w:tcW w:w="1976" w:type="dxa"/>
            <w:vMerge/>
          </w:tcPr>
          <w:p w14:paraId="5CE6C807" w14:textId="77777777" w:rsidR="007B55E1" w:rsidRPr="00CB2FFC" w:rsidRDefault="007B55E1" w:rsidP="007119DA">
            <w:pPr>
              <w:rPr>
                <w:b/>
              </w:rPr>
            </w:pPr>
          </w:p>
        </w:tc>
        <w:tc>
          <w:tcPr>
            <w:tcW w:w="8613" w:type="dxa"/>
          </w:tcPr>
          <w:p w14:paraId="23CF195A" w14:textId="77777777" w:rsidR="00777B85" w:rsidRDefault="007B55E1" w:rsidP="00777B85">
            <w:pPr>
              <w:numPr>
                <w:ilvl w:val="0"/>
                <w:numId w:val="14"/>
              </w:numPr>
            </w:pPr>
            <w:r>
              <w:t>An outline of your workshop and delivery style, explaining how you will ensure that our Communication Champions are engaged and inspired throughout the course, and encouraged to develop their practice within their own setting.</w:t>
            </w:r>
            <w:r w:rsidR="00777B85">
              <w:t xml:space="preserve"> </w:t>
            </w:r>
          </w:p>
          <w:p w14:paraId="0FD69710" w14:textId="495FF612" w:rsidR="007B55E1" w:rsidRDefault="00777B85" w:rsidP="00777B85">
            <w:pPr>
              <w:pStyle w:val="ListParagraph"/>
              <w:numPr>
                <w:ilvl w:val="0"/>
                <w:numId w:val="16"/>
              </w:numPr>
            </w:pPr>
            <w:r>
              <w:t xml:space="preserve">If you are shortlisted, you will be invited to give a demonstration to support your response.  (see section </w:t>
            </w:r>
            <w:r w:rsidR="002B598A">
              <w:t>1</w:t>
            </w:r>
            <w:r w:rsidR="0039639A">
              <w:t>7</w:t>
            </w:r>
            <w:r>
              <w:t>)</w:t>
            </w:r>
          </w:p>
          <w:p w14:paraId="6AEC183B" w14:textId="700AB115" w:rsidR="007B55E1" w:rsidRDefault="007B55E1" w:rsidP="00777B85">
            <w:pPr>
              <w:ind w:left="720"/>
            </w:pPr>
            <w:r>
              <w:t xml:space="preserve">(Weighting </w:t>
            </w:r>
            <w:r w:rsidR="001451CF">
              <w:t>25</w:t>
            </w:r>
            <w:r>
              <w:t>%)</w:t>
            </w:r>
          </w:p>
          <w:p w14:paraId="1A6B4FB9" w14:textId="21DE3530" w:rsidR="007B55E1" w:rsidRDefault="007B55E1" w:rsidP="00777B85">
            <w:pPr>
              <w:ind w:left="720"/>
            </w:pPr>
          </w:p>
          <w:p w14:paraId="64AB4921" w14:textId="5815F6AD" w:rsidR="007B55E1" w:rsidRDefault="007B55E1" w:rsidP="00777B85">
            <w:pPr>
              <w:ind w:left="720"/>
            </w:pPr>
            <w:r>
              <w:t>Please type your response here</w:t>
            </w:r>
            <w:r w:rsidR="001451CF">
              <w:t xml:space="preserve"> </w:t>
            </w:r>
            <w:r w:rsidR="003A0097">
              <w:t>(2 sides of A4)</w:t>
            </w:r>
          </w:p>
          <w:p w14:paraId="1C948CE3" w14:textId="77777777" w:rsidR="007B55E1" w:rsidRPr="00CB2FFC" w:rsidRDefault="007B55E1" w:rsidP="00777B85">
            <w:pPr>
              <w:ind w:left="720"/>
            </w:pPr>
          </w:p>
        </w:tc>
      </w:tr>
      <w:tr w:rsidR="00970020" w:rsidRPr="00CB2FFC" w14:paraId="0D69E003" w14:textId="77777777" w:rsidTr="00A73CD8">
        <w:trPr>
          <w:trHeight w:val="983"/>
        </w:trPr>
        <w:tc>
          <w:tcPr>
            <w:tcW w:w="1976" w:type="dxa"/>
            <w:vMerge w:val="restart"/>
          </w:tcPr>
          <w:p w14:paraId="0201EA34" w14:textId="77777777" w:rsidR="00970020" w:rsidRPr="00CB2FFC" w:rsidRDefault="00970020" w:rsidP="007119DA">
            <w:pPr>
              <w:rPr>
                <w:b/>
              </w:rPr>
            </w:pPr>
          </w:p>
        </w:tc>
        <w:tc>
          <w:tcPr>
            <w:tcW w:w="8613" w:type="dxa"/>
          </w:tcPr>
          <w:p w14:paraId="1929E752" w14:textId="03EAE7C5" w:rsidR="00970020" w:rsidRDefault="00970020" w:rsidP="00970020">
            <w:pPr>
              <w:numPr>
                <w:ilvl w:val="0"/>
                <w:numId w:val="14"/>
              </w:numPr>
            </w:pPr>
            <w:r w:rsidRPr="00CB2FFC">
              <w:t>Approach to this project including staffing</w:t>
            </w:r>
            <w:r w:rsidR="00F052E1">
              <w:t>, evaluation</w:t>
            </w:r>
            <w:r w:rsidRPr="00CB2FFC">
              <w:t xml:space="preserve"> and a description of any potential conflicts of interest and how you will deal with them.  While it is our preference that applicants build on the work of The Communication Trust in the early establishment of the Communication Champion Network in Norwich, applicants are invited to suggest alternative resources and approaches where applicable.</w:t>
            </w:r>
          </w:p>
          <w:p w14:paraId="499FEB20" w14:textId="07E3C3EA" w:rsidR="00970020" w:rsidRDefault="00970020" w:rsidP="00777B85">
            <w:pPr>
              <w:ind w:left="720"/>
            </w:pPr>
            <w:r w:rsidRPr="00CB2FFC">
              <w:lastRenderedPageBreak/>
              <w:t xml:space="preserve"> </w:t>
            </w:r>
            <w:r w:rsidR="007B55E1">
              <w:t>(Weighting 2</w:t>
            </w:r>
            <w:r w:rsidRPr="00CB2FFC">
              <w:t>5%)</w:t>
            </w:r>
          </w:p>
          <w:p w14:paraId="37859833" w14:textId="1B2C9BFF" w:rsidR="00970020" w:rsidRDefault="00970020" w:rsidP="00777B85">
            <w:pPr>
              <w:ind w:left="720"/>
            </w:pPr>
          </w:p>
          <w:p w14:paraId="7ACCE18D" w14:textId="2176C8DB" w:rsidR="00970020" w:rsidRDefault="00970020" w:rsidP="00970020">
            <w:pPr>
              <w:ind w:left="720"/>
            </w:pPr>
            <w:r>
              <w:t>Please type your response here</w:t>
            </w:r>
            <w:r w:rsidR="003A0097">
              <w:t xml:space="preserve"> (1 side of A4)</w:t>
            </w:r>
          </w:p>
          <w:p w14:paraId="19693358" w14:textId="77777777" w:rsidR="00970020" w:rsidRDefault="00970020" w:rsidP="00777B85">
            <w:pPr>
              <w:ind w:left="720"/>
            </w:pPr>
          </w:p>
          <w:p w14:paraId="1E82725B" w14:textId="77777777" w:rsidR="00970020" w:rsidRPr="00CB2FFC" w:rsidRDefault="00970020" w:rsidP="00777B85">
            <w:pPr>
              <w:pStyle w:val="ListParagraph"/>
            </w:pPr>
          </w:p>
        </w:tc>
      </w:tr>
      <w:tr w:rsidR="00970020" w:rsidRPr="00CB2FFC" w14:paraId="3DC41567" w14:textId="77777777" w:rsidTr="00A73CD8">
        <w:trPr>
          <w:trHeight w:val="983"/>
        </w:trPr>
        <w:tc>
          <w:tcPr>
            <w:tcW w:w="1976" w:type="dxa"/>
            <w:vMerge/>
          </w:tcPr>
          <w:p w14:paraId="6ED83056" w14:textId="77777777" w:rsidR="00970020" w:rsidRPr="00CB2FFC" w:rsidRDefault="00970020" w:rsidP="007119DA">
            <w:pPr>
              <w:rPr>
                <w:b/>
              </w:rPr>
            </w:pPr>
          </w:p>
        </w:tc>
        <w:tc>
          <w:tcPr>
            <w:tcW w:w="8613" w:type="dxa"/>
          </w:tcPr>
          <w:p w14:paraId="626F3EBD" w14:textId="44C41C69" w:rsidR="003A0097" w:rsidRPr="0076638C" w:rsidRDefault="003A0097" w:rsidP="0076638C">
            <w:pPr>
              <w:rPr>
                <w:b/>
              </w:rPr>
            </w:pPr>
            <w:r w:rsidRPr="0076638C">
              <w:rPr>
                <w:b/>
              </w:rPr>
              <w:t>Price</w:t>
            </w:r>
          </w:p>
          <w:p w14:paraId="11ADE101" w14:textId="2DB70CB5" w:rsidR="00970020" w:rsidRDefault="00970020" w:rsidP="00970020">
            <w:pPr>
              <w:numPr>
                <w:ilvl w:val="0"/>
                <w:numId w:val="14"/>
              </w:numPr>
            </w:pPr>
            <w:r w:rsidRPr="00CB2FFC">
              <w:t xml:space="preserve">Details of your time, fees and expenses required to meet the outcomes and price cap </w:t>
            </w:r>
          </w:p>
          <w:p w14:paraId="2D3D08FA" w14:textId="20F5D30A" w:rsidR="00970020" w:rsidRDefault="00970020" w:rsidP="00777B85">
            <w:pPr>
              <w:ind w:left="720"/>
            </w:pPr>
            <w:r w:rsidRPr="00CB2FFC">
              <w:t>(weighting 30%)</w:t>
            </w:r>
          </w:p>
          <w:p w14:paraId="457930CD" w14:textId="77777777" w:rsidR="00970020" w:rsidRDefault="00970020" w:rsidP="00777B85">
            <w:pPr>
              <w:pStyle w:val="ListParagraph"/>
            </w:pPr>
          </w:p>
          <w:p w14:paraId="27FD6F3E" w14:textId="77777777" w:rsidR="0076638C" w:rsidRDefault="00970020" w:rsidP="00970020">
            <w:pPr>
              <w:ind w:left="720"/>
            </w:pPr>
            <w:r>
              <w:t>Please type your response here</w:t>
            </w:r>
          </w:p>
          <w:p w14:paraId="55520981" w14:textId="0B286216" w:rsidR="00970020" w:rsidRDefault="003A0097" w:rsidP="00970020">
            <w:pPr>
              <w:ind w:left="720"/>
            </w:pPr>
            <w:r>
              <w:t>(you may wish to show this as a table, you will be evaluated on the total, which is not to exceed the price cap)</w:t>
            </w:r>
          </w:p>
          <w:p w14:paraId="1B46ADB9" w14:textId="77777777" w:rsidR="0076638C" w:rsidRDefault="0076638C" w:rsidP="00970020">
            <w:pPr>
              <w:ind w:left="720"/>
            </w:pPr>
          </w:p>
          <w:p w14:paraId="76C34F3F" w14:textId="798D86CC" w:rsidR="00970020" w:rsidRPr="00CB2FFC" w:rsidRDefault="00970020" w:rsidP="00777B85">
            <w:pPr>
              <w:pStyle w:val="ListParagraph"/>
            </w:pPr>
          </w:p>
        </w:tc>
      </w:tr>
      <w:tr w:rsidR="00A876C7" w:rsidRPr="00CB2FFC" w14:paraId="1F9C6403" w14:textId="77777777" w:rsidTr="00A73CD8">
        <w:trPr>
          <w:trHeight w:val="983"/>
        </w:trPr>
        <w:tc>
          <w:tcPr>
            <w:tcW w:w="1976" w:type="dxa"/>
          </w:tcPr>
          <w:p w14:paraId="183CE8E7" w14:textId="77777777" w:rsidR="00A876C7" w:rsidRPr="00CB2FFC" w:rsidRDefault="00A876C7" w:rsidP="007119DA">
            <w:pPr>
              <w:rPr>
                <w:b/>
              </w:rPr>
            </w:pPr>
            <w:r w:rsidRPr="00CB2FFC">
              <w:rPr>
                <w:b/>
              </w:rPr>
              <w:t>13. Timetable</w:t>
            </w:r>
          </w:p>
        </w:tc>
        <w:tc>
          <w:tcPr>
            <w:tcW w:w="8613" w:type="dxa"/>
          </w:tcPr>
          <w:p w14:paraId="73BFB1AB" w14:textId="5A3DD13E" w:rsidR="00A876C7" w:rsidRPr="00CB2FFC" w:rsidRDefault="00A876C7" w:rsidP="007119DA">
            <w:r w:rsidRPr="00CB2FFC">
              <w:t xml:space="preserve">Proposals should be submitted by </w:t>
            </w:r>
            <w:r w:rsidR="00A60252" w:rsidRPr="00CB2FFC">
              <w:t>18</w:t>
            </w:r>
            <w:r w:rsidRPr="00CB2FFC">
              <w:t>/</w:t>
            </w:r>
            <w:r w:rsidR="00E41D6A" w:rsidRPr="00CB2FFC">
              <w:t>5/18</w:t>
            </w:r>
            <w:r w:rsidR="00970020">
              <w:t xml:space="preserve"> at 10am </w:t>
            </w:r>
          </w:p>
          <w:p w14:paraId="2A6CA3C2" w14:textId="59A86D88" w:rsidR="00A60252" w:rsidRPr="00CB2FFC" w:rsidRDefault="00A60252" w:rsidP="007119DA">
            <w:r w:rsidRPr="00CB2FFC">
              <w:t>Shortlisted applicants</w:t>
            </w:r>
            <w:r w:rsidR="00A876C7" w:rsidRPr="00CB2FFC">
              <w:t xml:space="preserve"> will be notified by </w:t>
            </w:r>
            <w:r w:rsidR="004B511B">
              <w:t>22</w:t>
            </w:r>
            <w:r w:rsidR="00A876C7" w:rsidRPr="00CB2FFC">
              <w:t>/</w:t>
            </w:r>
            <w:r w:rsidR="00E41D6A" w:rsidRPr="00CB2FFC">
              <w:t>5</w:t>
            </w:r>
            <w:r w:rsidR="00A876C7" w:rsidRPr="00CB2FFC">
              <w:t>/1</w:t>
            </w:r>
            <w:r w:rsidR="00E41D6A" w:rsidRPr="00CB2FFC">
              <w:t>8</w:t>
            </w:r>
            <w:r w:rsidRPr="00CB2FFC">
              <w:t xml:space="preserve"> </w:t>
            </w:r>
          </w:p>
          <w:p w14:paraId="29F1A4B7" w14:textId="35823C56" w:rsidR="00A60252" w:rsidRPr="00CB2FFC" w:rsidRDefault="00A60252" w:rsidP="007119DA">
            <w:r w:rsidRPr="00CB2FFC">
              <w:t xml:space="preserve">Interviews and demonstration of delivery week commencing </w:t>
            </w:r>
            <w:r w:rsidR="004B511B">
              <w:t>4</w:t>
            </w:r>
            <w:r w:rsidRPr="00CB2FFC">
              <w:t>/6/18</w:t>
            </w:r>
          </w:p>
          <w:p w14:paraId="293B461B" w14:textId="608038B7" w:rsidR="00A60252" w:rsidRPr="00CB2FFC" w:rsidRDefault="00A60252" w:rsidP="007119DA">
            <w:r w:rsidRPr="00CB2FFC">
              <w:t xml:space="preserve">Successful applicant will be notified by </w:t>
            </w:r>
            <w:r w:rsidR="004B511B">
              <w:t>11</w:t>
            </w:r>
            <w:r w:rsidRPr="00CB2FFC">
              <w:t>/6/18</w:t>
            </w:r>
          </w:p>
          <w:p w14:paraId="27FC92E7" w14:textId="79250C59" w:rsidR="00970020" w:rsidRPr="00CB2FFC" w:rsidRDefault="00A876C7" w:rsidP="007119DA">
            <w:r w:rsidRPr="00CB2FFC">
              <w:t xml:space="preserve">Project should be completed by:  </w:t>
            </w:r>
            <w:r w:rsidR="00E41D6A" w:rsidRPr="00CB2FFC">
              <w:t>May 2019</w:t>
            </w:r>
          </w:p>
        </w:tc>
      </w:tr>
      <w:tr w:rsidR="00A876C7" w:rsidRPr="00CB2FFC" w14:paraId="69214E96" w14:textId="77777777" w:rsidTr="00A73CD8">
        <w:trPr>
          <w:trHeight w:val="500"/>
        </w:trPr>
        <w:tc>
          <w:tcPr>
            <w:tcW w:w="1976" w:type="dxa"/>
          </w:tcPr>
          <w:p w14:paraId="4DB5947E" w14:textId="77777777" w:rsidR="00A876C7" w:rsidRPr="00CB2FFC" w:rsidRDefault="00A876C7" w:rsidP="007119DA">
            <w:pPr>
              <w:rPr>
                <w:b/>
              </w:rPr>
            </w:pPr>
            <w:r w:rsidRPr="00CB2FFC">
              <w:rPr>
                <w:b/>
              </w:rPr>
              <w:t>14. Additional information</w:t>
            </w:r>
          </w:p>
        </w:tc>
        <w:tc>
          <w:tcPr>
            <w:tcW w:w="8613" w:type="dxa"/>
          </w:tcPr>
          <w:p w14:paraId="4A0E719A" w14:textId="4D6D8E64" w:rsidR="00A876C7" w:rsidRPr="00CB2FFC" w:rsidRDefault="00E41D6A" w:rsidP="007119DA">
            <w:r w:rsidRPr="00CB2FFC">
              <w:t>The p</w:t>
            </w:r>
            <w:r w:rsidR="00A876C7" w:rsidRPr="00CB2FFC">
              <w:t xml:space="preserve">rovider should conduct </w:t>
            </w:r>
            <w:r w:rsidRPr="00CB2FFC">
              <w:t xml:space="preserve">an </w:t>
            </w:r>
            <w:r w:rsidR="00A876C7" w:rsidRPr="00CB2FFC">
              <w:t>evaluation</w:t>
            </w:r>
            <w:r w:rsidRPr="00CB2FFC">
              <w:t xml:space="preserve"> of the programme</w:t>
            </w:r>
            <w:r w:rsidR="000906E4" w:rsidRPr="00CB2FFC">
              <w:t xml:space="preserve"> at the end of each stage of training</w:t>
            </w:r>
            <w:r w:rsidRPr="00CB2FFC">
              <w:t xml:space="preserve"> and make the results available to the Norwich OA Priority 1 working group.</w:t>
            </w:r>
          </w:p>
          <w:p w14:paraId="7D439C94" w14:textId="77777777" w:rsidR="00A876C7" w:rsidRPr="00CB2FFC" w:rsidRDefault="00A876C7" w:rsidP="007119DA"/>
          <w:p w14:paraId="2728F3E5" w14:textId="7499654C" w:rsidR="00A60252" w:rsidRPr="00CB2FFC" w:rsidRDefault="00A60252" w:rsidP="007119DA">
            <w:r w:rsidRPr="00CB2FFC">
              <w:t xml:space="preserve">To discuss the requirements of </w:t>
            </w:r>
            <w:r w:rsidR="0076638C" w:rsidRPr="00CB2FFC">
              <w:t>th</w:t>
            </w:r>
            <w:r w:rsidR="0076638C">
              <w:t>e</w:t>
            </w:r>
            <w:r w:rsidR="0076638C" w:rsidRPr="00CB2FFC">
              <w:t xml:space="preserve"> </w:t>
            </w:r>
            <w:r w:rsidRPr="00CB2FFC">
              <w:t xml:space="preserve">specification further you are welcome to contact Jacqueline Bircham, Programme Director </w:t>
            </w:r>
            <w:hyperlink r:id="rId8" w:history="1">
              <w:r w:rsidRPr="00CB2FFC">
                <w:rPr>
                  <w:rStyle w:val="Hyperlink"/>
                </w:rPr>
                <w:t>Jacqueline.bircham@newanglia.co.uk</w:t>
              </w:r>
            </w:hyperlink>
            <w:r w:rsidRPr="00CB2FFC">
              <w:t xml:space="preserve"> 01603 510074.</w:t>
            </w:r>
          </w:p>
        </w:tc>
      </w:tr>
      <w:tr w:rsidR="002B598A" w:rsidRPr="00CB2FFC" w14:paraId="12FD5823" w14:textId="77777777" w:rsidTr="00A73CD8">
        <w:trPr>
          <w:trHeight w:val="500"/>
        </w:trPr>
        <w:tc>
          <w:tcPr>
            <w:tcW w:w="1976" w:type="dxa"/>
          </w:tcPr>
          <w:p w14:paraId="7B31B0C8" w14:textId="38145D23" w:rsidR="002B598A" w:rsidRPr="00CB2FFC" w:rsidRDefault="002B598A" w:rsidP="007119DA">
            <w:pPr>
              <w:rPr>
                <w:b/>
              </w:rPr>
            </w:pPr>
            <w:r>
              <w:rPr>
                <w:b/>
              </w:rPr>
              <w:t>15. Clarifications</w:t>
            </w:r>
          </w:p>
        </w:tc>
        <w:tc>
          <w:tcPr>
            <w:tcW w:w="8613" w:type="dxa"/>
          </w:tcPr>
          <w:p w14:paraId="67E90D31" w14:textId="77777777" w:rsidR="0039639A" w:rsidRDefault="002B598A" w:rsidP="002B598A">
            <w:pPr>
              <w:spacing w:before="120" w:after="120" w:line="276" w:lineRule="auto"/>
              <w:contextualSpacing/>
              <w:rPr>
                <w:rFonts w:ascii="Calibri" w:eastAsia="Calibri" w:hAnsi="Calibri" w:cs="Calibri"/>
              </w:rPr>
            </w:pPr>
            <w:r>
              <w:rPr>
                <w:rFonts w:ascii="Calibri" w:eastAsia="Calibri" w:hAnsi="Calibri" w:cs="Calibri"/>
              </w:rPr>
              <w:t xml:space="preserve">Please email any clarification questions to </w:t>
            </w:r>
            <w:hyperlink r:id="rId9" w:history="1">
              <w:r w:rsidRPr="008F5595">
                <w:rPr>
                  <w:rStyle w:val="Hyperlink"/>
                  <w:rFonts w:ascii="Calibri" w:eastAsia="Calibri" w:hAnsi="Calibri" w:cs="Calibri"/>
                </w:rPr>
                <w:t>sourcingteam@norfolk.gov.uk</w:t>
              </w:r>
            </w:hyperlink>
            <w:r>
              <w:rPr>
                <w:rFonts w:ascii="Calibri" w:eastAsia="Calibri" w:hAnsi="Calibri" w:cs="Calibri"/>
              </w:rPr>
              <w:t xml:space="preserve"> quoting </w:t>
            </w:r>
            <w:r w:rsidRPr="0076638C">
              <w:rPr>
                <w:rFonts w:ascii="Calibri" w:eastAsia="Calibri" w:hAnsi="Calibri" w:cs="Calibri"/>
                <w:b/>
              </w:rPr>
              <w:t>NCCQ41615 clarification</w:t>
            </w:r>
            <w:r>
              <w:rPr>
                <w:rFonts w:ascii="Calibri" w:eastAsia="Calibri" w:hAnsi="Calibri" w:cs="Calibri"/>
              </w:rPr>
              <w:t xml:space="preserve"> in the subject area.  </w:t>
            </w:r>
          </w:p>
          <w:p w14:paraId="60B97B25" w14:textId="296D79DE" w:rsidR="002B598A" w:rsidRDefault="002B598A" w:rsidP="002B598A">
            <w:pPr>
              <w:spacing w:before="120" w:after="120" w:line="276" w:lineRule="auto"/>
              <w:contextualSpacing/>
              <w:rPr>
                <w:rFonts w:ascii="Calibri" w:eastAsia="Calibri" w:hAnsi="Calibri" w:cs="Calibri"/>
              </w:rPr>
            </w:pPr>
            <w:r>
              <w:rPr>
                <w:rFonts w:ascii="Calibri" w:eastAsia="Calibri" w:hAnsi="Calibri" w:cs="Calibri"/>
              </w:rPr>
              <w:t xml:space="preserve">Please ensure that your email confirms your name and contact details so we can respond to you. </w:t>
            </w:r>
          </w:p>
          <w:p w14:paraId="5C451517" w14:textId="57C5BAFB" w:rsidR="002B598A" w:rsidRDefault="002B598A" w:rsidP="002B598A">
            <w:pPr>
              <w:spacing w:before="120" w:after="120" w:line="276" w:lineRule="auto"/>
              <w:contextualSpacing/>
              <w:rPr>
                <w:rStyle w:val="Hyperlink"/>
              </w:rPr>
            </w:pPr>
            <w:r>
              <w:rPr>
                <w:rFonts w:ascii="Calibri" w:eastAsia="Calibri" w:hAnsi="Calibri" w:cs="Calibri"/>
              </w:rPr>
              <w:t xml:space="preserve">Deadline for receipt of </w:t>
            </w:r>
            <w:r w:rsidR="0076638C">
              <w:rPr>
                <w:rFonts w:ascii="Calibri" w:eastAsia="Calibri" w:hAnsi="Calibri" w:cs="Calibri"/>
              </w:rPr>
              <w:t>clarifications</w:t>
            </w:r>
            <w:r>
              <w:rPr>
                <w:rFonts w:ascii="Calibri" w:eastAsia="Calibri" w:hAnsi="Calibri" w:cs="Calibri"/>
              </w:rPr>
              <w:t xml:space="preserve"> is </w:t>
            </w:r>
            <w:r w:rsidR="0076638C">
              <w:rPr>
                <w:rFonts w:ascii="Calibri" w:eastAsia="Calibri" w:hAnsi="Calibri" w:cs="Calibri"/>
              </w:rPr>
              <w:t>10</w:t>
            </w:r>
            <w:r w:rsidR="0076638C" w:rsidRPr="0076638C">
              <w:rPr>
                <w:rFonts w:ascii="Calibri" w:eastAsia="Calibri" w:hAnsi="Calibri" w:cs="Calibri"/>
                <w:vertAlign w:val="superscript"/>
              </w:rPr>
              <w:t>th</w:t>
            </w:r>
            <w:r w:rsidR="0076638C">
              <w:rPr>
                <w:rFonts w:ascii="Calibri" w:eastAsia="Calibri" w:hAnsi="Calibri" w:cs="Calibri"/>
              </w:rPr>
              <w:t xml:space="preserve"> May 2018 4pm.  </w:t>
            </w:r>
          </w:p>
          <w:p w14:paraId="3C57E51D" w14:textId="09B786C2" w:rsidR="002B598A" w:rsidRPr="00CB2FFC" w:rsidRDefault="002B598A" w:rsidP="007119DA"/>
        </w:tc>
      </w:tr>
      <w:tr w:rsidR="0039639A" w:rsidRPr="00CB2FFC" w14:paraId="6321417A" w14:textId="77777777" w:rsidTr="00A73CD8">
        <w:trPr>
          <w:trHeight w:val="500"/>
        </w:trPr>
        <w:tc>
          <w:tcPr>
            <w:tcW w:w="1976" w:type="dxa"/>
          </w:tcPr>
          <w:p w14:paraId="4BF0F415" w14:textId="02C9F6F9" w:rsidR="0039639A" w:rsidRDefault="0039639A" w:rsidP="007119DA">
            <w:pPr>
              <w:rPr>
                <w:b/>
              </w:rPr>
            </w:pPr>
            <w:r>
              <w:rPr>
                <w:b/>
              </w:rPr>
              <w:t>16. Submission of bids</w:t>
            </w:r>
          </w:p>
        </w:tc>
        <w:tc>
          <w:tcPr>
            <w:tcW w:w="8613" w:type="dxa"/>
          </w:tcPr>
          <w:p w14:paraId="75D0B79F" w14:textId="6E237BDE" w:rsidR="0039639A" w:rsidRDefault="0039639A" w:rsidP="002B598A">
            <w:pPr>
              <w:spacing w:before="120" w:after="120" w:line="276" w:lineRule="auto"/>
              <w:contextualSpacing/>
              <w:rPr>
                <w:rFonts w:ascii="Calibri" w:eastAsia="Calibri" w:hAnsi="Calibri" w:cs="Calibri"/>
              </w:rPr>
            </w:pPr>
            <w:r>
              <w:rPr>
                <w:rFonts w:ascii="Calibri" w:eastAsia="Calibri" w:hAnsi="Calibri" w:cs="Calibri"/>
              </w:rPr>
              <w:t xml:space="preserve">Please submit your completed quote to </w:t>
            </w:r>
            <w:hyperlink r:id="rId10" w:history="1">
              <w:r w:rsidRPr="0088040F">
                <w:rPr>
                  <w:rStyle w:val="Hyperlink"/>
                  <w:rFonts w:ascii="Calibri" w:eastAsia="Calibri" w:hAnsi="Calibri" w:cs="Calibri"/>
                </w:rPr>
                <w:t>sourcingteam@norfolk.gov.uk</w:t>
              </w:r>
            </w:hyperlink>
            <w:r>
              <w:rPr>
                <w:rFonts w:ascii="Calibri" w:eastAsia="Calibri" w:hAnsi="Calibri" w:cs="Calibri"/>
              </w:rPr>
              <w:t xml:space="preserve"> quoting </w:t>
            </w:r>
            <w:r w:rsidRPr="0039639A">
              <w:rPr>
                <w:rFonts w:ascii="Calibri" w:eastAsia="Calibri" w:hAnsi="Calibri" w:cs="Calibri"/>
                <w:b/>
              </w:rPr>
              <w:t>NCCQ41615 submission</w:t>
            </w:r>
            <w:r>
              <w:rPr>
                <w:rFonts w:ascii="Calibri" w:eastAsia="Calibri" w:hAnsi="Calibri" w:cs="Calibri"/>
              </w:rPr>
              <w:t xml:space="preserve"> in the subject area.  The deadline for submission is 10am on 18</w:t>
            </w:r>
            <w:r w:rsidRPr="0039639A">
              <w:rPr>
                <w:rFonts w:ascii="Calibri" w:eastAsia="Calibri" w:hAnsi="Calibri" w:cs="Calibri"/>
                <w:vertAlign w:val="superscript"/>
              </w:rPr>
              <w:t>th</w:t>
            </w:r>
            <w:r>
              <w:rPr>
                <w:rFonts w:ascii="Calibri" w:eastAsia="Calibri" w:hAnsi="Calibri" w:cs="Calibri"/>
              </w:rPr>
              <w:t xml:space="preserve"> May 2018.</w:t>
            </w:r>
          </w:p>
        </w:tc>
      </w:tr>
      <w:tr w:rsidR="00777B85" w:rsidRPr="00CB2FFC" w14:paraId="4D625BCC" w14:textId="77777777" w:rsidTr="00A73CD8">
        <w:trPr>
          <w:trHeight w:val="500"/>
        </w:trPr>
        <w:tc>
          <w:tcPr>
            <w:tcW w:w="1976" w:type="dxa"/>
          </w:tcPr>
          <w:p w14:paraId="5A86E629" w14:textId="016FF698" w:rsidR="00777B85" w:rsidRPr="00774EA5" w:rsidRDefault="00777B85" w:rsidP="00777B85">
            <w:pPr>
              <w:spacing w:before="120" w:after="120" w:line="276" w:lineRule="auto"/>
              <w:ind w:left="142"/>
              <w:rPr>
                <w:color w:val="000000" w:themeColor="text1"/>
              </w:rPr>
            </w:pPr>
            <w:r>
              <w:rPr>
                <w:b/>
              </w:rPr>
              <w:t>1</w:t>
            </w:r>
            <w:r w:rsidR="0039639A">
              <w:rPr>
                <w:b/>
              </w:rPr>
              <w:t>7</w:t>
            </w:r>
            <w:r w:rsidRPr="00764A9B">
              <w:rPr>
                <w:b/>
              </w:rPr>
              <w:t xml:space="preserve">. </w:t>
            </w:r>
            <w:r w:rsidRPr="001451CF">
              <w:rPr>
                <w:b/>
                <w:color w:val="000000" w:themeColor="text1"/>
              </w:rPr>
              <w:t>Presentation / Demonstration</w:t>
            </w:r>
          </w:p>
          <w:p w14:paraId="0678531D" w14:textId="50A7FA62" w:rsidR="00777B85" w:rsidRPr="00CB2FFC" w:rsidRDefault="00777B85" w:rsidP="007119DA">
            <w:pPr>
              <w:rPr>
                <w:b/>
              </w:rPr>
            </w:pPr>
          </w:p>
        </w:tc>
        <w:tc>
          <w:tcPr>
            <w:tcW w:w="8613" w:type="dxa"/>
          </w:tcPr>
          <w:p w14:paraId="7347FCC8" w14:textId="63EBCD25" w:rsidR="00777B85" w:rsidRDefault="00777B85" w:rsidP="00777B85">
            <w:pPr>
              <w:pStyle w:val="ListParagraph"/>
              <w:spacing w:before="120" w:after="120" w:line="276" w:lineRule="auto"/>
              <w:ind w:left="0"/>
              <w:rPr>
                <w:rFonts w:ascii="Calibri" w:hAnsi="Calibri" w:cs="Times New Roman"/>
              </w:rPr>
            </w:pPr>
            <w:r>
              <w:rPr>
                <w:rStyle w:val="Strong"/>
                <w:rFonts w:ascii="Calibri" w:hAnsi="Calibri"/>
                <w:color w:val="000000"/>
              </w:rPr>
              <w:t xml:space="preserve">It will </w:t>
            </w:r>
            <w:r>
              <w:rPr>
                <w:rFonts w:ascii="Calibri" w:hAnsi="Calibri"/>
                <w:color w:val="000000"/>
              </w:rPr>
              <w:t>be a requirement of the evaluation, for you to give a demonstration to support your response to question 2 in section 12.</w:t>
            </w:r>
          </w:p>
          <w:p w14:paraId="2BB98097" w14:textId="77777777" w:rsidR="00777B85" w:rsidRDefault="00777B85" w:rsidP="00777B85">
            <w:pPr>
              <w:pStyle w:val="ListParagraph"/>
              <w:spacing w:before="120" w:after="120" w:line="276" w:lineRule="auto"/>
              <w:ind w:left="0"/>
            </w:pPr>
            <w:r>
              <w:rPr>
                <w:rFonts w:ascii="Calibri" w:hAnsi="Calibri"/>
              </w:rPr>
              <w:t>The presentation will be used to clarify points in your response and check that there is a common understanding of our requirements and how you will meet these.  The scores that we have assigned for this question prior to the presentation may be revisited to ensure that the scores accurately reflect the quality of your proposal</w:t>
            </w:r>
            <w:r>
              <w:t>.</w:t>
            </w:r>
          </w:p>
          <w:p w14:paraId="0686E51E" w14:textId="68E8DE8B" w:rsidR="00777B85" w:rsidRDefault="00777B85" w:rsidP="00777B85">
            <w:r w:rsidRPr="006A47F9">
              <w:t xml:space="preserve">The </w:t>
            </w:r>
            <w:r>
              <w:t>presentation (if required)</w:t>
            </w:r>
            <w:r w:rsidRPr="006A47F9">
              <w:t xml:space="preserve"> will be </w:t>
            </w:r>
            <w:r>
              <w:t>in Norwich at County Hall.  You will be notified of the e</w:t>
            </w:r>
            <w:r>
              <w:rPr>
                <w:rFonts w:ascii="Calibri" w:hAnsi="Calibri" w:cs="Times New Roman"/>
              </w:rPr>
              <w:t>xact times if applicable.</w:t>
            </w:r>
          </w:p>
          <w:p w14:paraId="511929B8" w14:textId="77777777" w:rsidR="00777B85" w:rsidRPr="00CB2FFC" w:rsidRDefault="00777B85" w:rsidP="007119DA"/>
        </w:tc>
      </w:tr>
    </w:tbl>
    <w:p w14:paraId="75157A81" w14:textId="058EC7AB" w:rsidR="00F16668" w:rsidRPr="00CB2FFC" w:rsidRDefault="00F16668"/>
    <w:p w14:paraId="1D227B8F"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Scoring method for quality</w:t>
      </w:r>
    </w:p>
    <w:p w14:paraId="2244CC05" w14:textId="72711F0C" w:rsidR="00F052E1" w:rsidRPr="00777B85" w:rsidRDefault="00F052E1" w:rsidP="00777B85">
      <w:pPr>
        <w:pStyle w:val="ListParagraph"/>
        <w:numPr>
          <w:ilvl w:val="0"/>
          <w:numId w:val="5"/>
        </w:numPr>
        <w:spacing w:before="120" w:after="120" w:line="276" w:lineRule="auto"/>
        <w:ind w:left="720" w:hanging="578"/>
        <w:rPr>
          <w:color w:val="000000" w:themeColor="text1"/>
        </w:rPr>
      </w:pPr>
      <w:r w:rsidRPr="0067024D">
        <w:rPr>
          <w:color w:val="000000" w:themeColor="text1"/>
        </w:rPr>
        <w:t>The score for each question will be divided by the maximum possible score of five (5) and then multiplied by the individual weighting for that question to give a weighted score.</w:t>
      </w:r>
    </w:p>
    <w:p w14:paraId="4453A7F2" w14:textId="08BF7BE2" w:rsidR="00F052E1" w:rsidRPr="0067024D" w:rsidRDefault="00F052E1" w:rsidP="00F052E1">
      <w:pPr>
        <w:pStyle w:val="ListParagraph"/>
        <w:numPr>
          <w:ilvl w:val="0"/>
          <w:numId w:val="5"/>
        </w:numPr>
        <w:spacing w:before="120" w:after="120" w:line="276" w:lineRule="auto"/>
        <w:ind w:left="720" w:hanging="578"/>
        <w:rPr>
          <w:rFonts w:cs="Arial"/>
          <w:color w:val="000000" w:themeColor="text1"/>
        </w:rPr>
      </w:pPr>
      <w:r w:rsidRPr="0067024D">
        <w:rPr>
          <w:color w:val="000000" w:themeColor="text1"/>
        </w:rPr>
        <w:t>Suppliers</w:t>
      </w:r>
      <w:r w:rsidRPr="0067024D">
        <w:rPr>
          <w:rFonts w:cs="Arial"/>
          <w:color w:val="000000" w:themeColor="text1"/>
        </w:rPr>
        <w:t xml:space="preserve"> will be scored on their responses to the Supplier Questions in Section </w:t>
      </w:r>
      <w:r>
        <w:rPr>
          <w:rFonts w:cs="Arial"/>
          <w:color w:val="000000" w:themeColor="text1"/>
        </w:rPr>
        <w:t>12</w:t>
      </w:r>
      <w:r w:rsidRPr="0067024D">
        <w:rPr>
          <w:rFonts w:cs="Arial"/>
          <w:color w:val="000000" w:themeColor="text1"/>
        </w:rPr>
        <w:t xml:space="preserve"> in relation to the requirements of the specification. Each question is separately weighted. </w:t>
      </w:r>
    </w:p>
    <w:p w14:paraId="7C0E2848" w14:textId="77777777" w:rsidR="00C05236" w:rsidRDefault="00C05236" w:rsidP="00F052E1">
      <w:pPr>
        <w:keepNext/>
        <w:keepLines/>
        <w:overflowPunct w:val="0"/>
        <w:autoSpaceDE w:val="0"/>
        <w:autoSpaceDN w:val="0"/>
        <w:adjustRightInd w:val="0"/>
        <w:spacing w:before="120" w:after="120" w:line="276" w:lineRule="auto"/>
        <w:textAlignment w:val="baseline"/>
        <w:rPr>
          <w:color w:val="000000" w:themeColor="text1"/>
          <w:spacing w:val="15"/>
        </w:rPr>
      </w:pPr>
    </w:p>
    <w:p w14:paraId="585EB75E" w14:textId="256703EC"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Scoring method for Price</w:t>
      </w:r>
    </w:p>
    <w:p w14:paraId="44AD83CA" w14:textId="138947EF" w:rsidR="00F052E1" w:rsidRPr="0067024D" w:rsidRDefault="00F052E1" w:rsidP="00F052E1">
      <w:pPr>
        <w:pStyle w:val="ListParagraph"/>
        <w:numPr>
          <w:ilvl w:val="0"/>
          <w:numId w:val="5"/>
        </w:numPr>
        <w:spacing w:before="120" w:after="120" w:line="276" w:lineRule="auto"/>
        <w:ind w:left="720" w:hanging="578"/>
        <w:rPr>
          <w:rFonts w:cs="Arial"/>
          <w:b/>
          <w:color w:val="000000" w:themeColor="text1"/>
          <w:u w:val="single"/>
        </w:rPr>
      </w:pPr>
      <w:r w:rsidRPr="0067024D">
        <w:rPr>
          <w:noProof/>
          <w:color w:val="000000" w:themeColor="text1"/>
        </w:rPr>
        <w:t>The</w:t>
      </w:r>
      <w:r w:rsidRPr="0067024D">
        <w:rPr>
          <w:color w:val="000000" w:themeColor="text1"/>
        </w:rPr>
        <w:t xml:space="preserve"> price for </w:t>
      </w:r>
      <w:r w:rsidR="0076638C">
        <w:rPr>
          <w:color w:val="000000" w:themeColor="text1"/>
        </w:rPr>
        <w:t>this requirement</w:t>
      </w:r>
      <w:r w:rsidRPr="0067024D">
        <w:rPr>
          <w:color w:val="000000" w:themeColor="text1"/>
        </w:rPr>
        <w:t xml:space="preserve"> is capped at </w:t>
      </w:r>
      <w:r w:rsidRPr="0067024D">
        <w:rPr>
          <w:rFonts w:ascii="Calibri" w:hAnsi="Calibri"/>
          <w:color w:val="000000" w:themeColor="text1"/>
        </w:rPr>
        <w:t>£</w:t>
      </w:r>
      <w:r w:rsidR="007B55E1">
        <w:rPr>
          <w:rFonts w:ascii="Calibri" w:hAnsi="Calibri"/>
          <w:color w:val="000000" w:themeColor="text1"/>
        </w:rPr>
        <w:t>28</w:t>
      </w:r>
      <w:r w:rsidRPr="0067024D">
        <w:rPr>
          <w:rFonts w:ascii="Calibri" w:hAnsi="Calibri"/>
          <w:color w:val="000000" w:themeColor="text1"/>
        </w:rPr>
        <w:t>,000</w:t>
      </w:r>
      <w:r w:rsidRPr="0067024D">
        <w:rPr>
          <w:color w:val="000000" w:themeColor="text1"/>
        </w:rPr>
        <w:t>. Prices bid above this cap will automatically receive a score of 0 and their bid will be rejected, regardless of the score achieved for quality.</w:t>
      </w:r>
    </w:p>
    <w:p w14:paraId="4FA5B2C6" w14:textId="77777777" w:rsidR="00F052E1" w:rsidRPr="0067024D"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 xml:space="preserve">The formula to be used to calculate the score for price is as follows: </w:t>
      </w:r>
    </w:p>
    <w:p w14:paraId="22C84054" w14:textId="77777777" w:rsidR="00F052E1" w:rsidRPr="0067024D" w:rsidRDefault="00F052E1" w:rsidP="00F052E1">
      <w:pPr>
        <w:pStyle w:val="ListParagraph"/>
        <w:numPr>
          <w:ilvl w:val="1"/>
          <w:numId w:val="6"/>
        </w:numPr>
        <w:spacing w:before="120" w:after="120" w:line="276" w:lineRule="auto"/>
        <w:rPr>
          <w:color w:val="000000" w:themeColor="text1"/>
        </w:rPr>
      </w:pPr>
      <w:r w:rsidRPr="0067024D">
        <w:rPr>
          <w:color w:val="000000" w:themeColor="text1"/>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7758ADA7" w14:textId="77777777" w:rsidR="00F052E1" w:rsidRPr="0067024D"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 xml:space="preserve">A total of </w:t>
      </w:r>
      <w:r w:rsidRPr="0067024D">
        <w:rPr>
          <w:rFonts w:ascii="Calibri" w:hAnsi="Calibri"/>
          <w:color w:val="000000" w:themeColor="text1"/>
        </w:rPr>
        <w:t>30</w:t>
      </w:r>
      <w:r w:rsidRPr="0067024D">
        <w:rPr>
          <w:color w:val="000000" w:themeColor="text1"/>
        </w:rPr>
        <w:t>% of the overall score is allocated to Price.</w:t>
      </w:r>
    </w:p>
    <w:p w14:paraId="200AE963"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Overall score</w:t>
      </w:r>
    </w:p>
    <w:p w14:paraId="5DA84F68" w14:textId="04826770" w:rsidR="00F052E1" w:rsidRPr="007B55E1"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The Contract will be awarded to the Supplier whose quote results in the highest combined quality</w:t>
      </w:r>
      <w:r w:rsidRPr="0067024D">
        <w:rPr>
          <w:rFonts w:cs="Arial"/>
          <w:color w:val="000000" w:themeColor="text1"/>
        </w:rPr>
        <w:t xml:space="preserve"> and price score.</w:t>
      </w:r>
    </w:p>
    <w:p w14:paraId="62DF19F3" w14:textId="6D600D02" w:rsidR="00FE0BF6" w:rsidRPr="00CB2FFC" w:rsidRDefault="00AA184E" w:rsidP="00FE0BF6">
      <w:bookmarkStart w:id="2" w:name="_Ref484677962"/>
      <w:bookmarkEnd w:id="2"/>
      <w:r>
        <w:t xml:space="preserve">The following descriptors are used to award scores for quality.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9209"/>
        <w:gridCol w:w="1418"/>
      </w:tblGrid>
      <w:tr w:rsidR="00812F55" w:rsidRPr="00CB2FFC" w14:paraId="287CDD99" w14:textId="77777777" w:rsidTr="00A60252">
        <w:trPr>
          <w:cantSplit/>
          <w:trHeight w:val="487"/>
          <w:tblHeader/>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70E34" w14:textId="77777777" w:rsidR="00812F55" w:rsidRPr="00CB2FFC" w:rsidRDefault="00812F55" w:rsidP="007119DA">
            <w:pPr>
              <w:spacing w:after="0" w:line="240" w:lineRule="auto"/>
              <w:rPr>
                <w:b/>
                <w:i/>
                <w:iCs/>
              </w:rPr>
            </w:pPr>
            <w:r w:rsidRPr="00CB2FFC">
              <w:rPr>
                <w:b/>
                <w:i/>
                <w:iCs/>
              </w:rPr>
              <w:t>Descriptor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89C9B" w14:textId="77777777" w:rsidR="00812F55" w:rsidRPr="00CB2FFC" w:rsidRDefault="00812F55" w:rsidP="007119DA">
            <w:pPr>
              <w:spacing w:after="0" w:line="240" w:lineRule="auto"/>
              <w:jc w:val="center"/>
              <w:rPr>
                <w:b/>
                <w:i/>
                <w:iCs/>
              </w:rPr>
            </w:pPr>
            <w:r w:rsidRPr="00CB2FFC">
              <w:rPr>
                <w:b/>
                <w:i/>
                <w:iCs/>
              </w:rPr>
              <w:t>Mark awarded</w:t>
            </w:r>
          </w:p>
        </w:tc>
      </w:tr>
      <w:tr w:rsidR="00812F55" w:rsidRPr="00CB2FFC" w14:paraId="342717BD"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594DF0A6" w14:textId="77777777" w:rsidR="00812F55" w:rsidRPr="00CB2FFC" w:rsidRDefault="00812F55" w:rsidP="007119DA">
            <w:pPr>
              <w:spacing w:after="0" w:line="240" w:lineRule="auto"/>
            </w:pPr>
            <w:r w:rsidRPr="00CB2FFC">
              <w:t>Applicant fails to provide a response or provides a response of such a poor standard as to provide no confidence that the Applicant could successfully deliver the project.</w:t>
            </w:r>
          </w:p>
          <w:p w14:paraId="1E1607BE" w14:textId="77777777" w:rsidR="00812F55" w:rsidRPr="00CB2FFC" w:rsidRDefault="00812F55" w:rsidP="007119DA">
            <w:pPr>
              <w:spacing w:after="0" w:line="240" w:lineRule="auto"/>
              <w:rPr>
                <w:b/>
              </w:rPr>
            </w:pPr>
            <w:r w:rsidRPr="00CB2FFC">
              <w:rPr>
                <w:b/>
              </w:rPr>
              <w:t>If the approach or credentials receive a score of ‘0’, the entire submission will be rejected.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3CC07" w14:textId="77777777" w:rsidR="00812F55" w:rsidRPr="00CB2FFC" w:rsidRDefault="00812F55" w:rsidP="007119DA">
            <w:pPr>
              <w:spacing w:after="0" w:line="240" w:lineRule="auto"/>
              <w:jc w:val="center"/>
            </w:pPr>
            <w:r w:rsidRPr="00CB2FFC">
              <w:t>0</w:t>
            </w:r>
          </w:p>
        </w:tc>
      </w:tr>
      <w:tr w:rsidR="00812F55" w:rsidRPr="00CB2FFC" w14:paraId="7349A238"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5AC6766A" w14:textId="77777777" w:rsidR="00812F55" w:rsidRPr="00CB2FFC" w:rsidRDefault="00812F55" w:rsidP="007119DA">
            <w:pPr>
              <w:spacing w:after="0" w:line="240" w:lineRule="auto"/>
            </w:pPr>
            <w:r w:rsidRPr="00CB2FFC">
              <w:t xml:space="preserve">Applicant provides a response of such a poor standard as to provide little confidence that the Applicant meets the requirements. The response shows </w:t>
            </w:r>
            <w:r w:rsidRPr="00CB2FFC">
              <w:rPr>
                <w:b/>
              </w:rPr>
              <w:t xml:space="preserve">many or </w:t>
            </w:r>
            <w:proofErr w:type="gramStart"/>
            <w:r w:rsidRPr="00CB2FFC">
              <w:rPr>
                <w:b/>
              </w:rPr>
              <w:t>all</w:t>
            </w:r>
            <w:r w:rsidRPr="00CB2FFC">
              <w:t xml:space="preserve"> of</w:t>
            </w:r>
            <w:proofErr w:type="gramEnd"/>
            <w:r w:rsidRPr="00CB2FFC">
              <w:t xml:space="preserve"> the following issues:</w:t>
            </w:r>
          </w:p>
          <w:p w14:paraId="0AB9A8A9" w14:textId="77777777" w:rsidR="00812F55" w:rsidRPr="00CB2FFC" w:rsidRDefault="00812F55" w:rsidP="00812F55">
            <w:pPr>
              <w:numPr>
                <w:ilvl w:val="0"/>
                <w:numId w:val="4"/>
              </w:numPr>
              <w:spacing w:after="0" w:line="240" w:lineRule="auto"/>
            </w:pPr>
            <w:r w:rsidRPr="00CB2FFC">
              <w:t>The information requested is only partially provided</w:t>
            </w:r>
          </w:p>
          <w:p w14:paraId="0F88214E" w14:textId="77777777" w:rsidR="00812F55" w:rsidRPr="00CB2FFC" w:rsidRDefault="00812F55" w:rsidP="00812F55">
            <w:pPr>
              <w:numPr>
                <w:ilvl w:val="0"/>
                <w:numId w:val="4"/>
              </w:numPr>
              <w:spacing w:after="0" w:line="240" w:lineRule="auto"/>
            </w:pPr>
            <w:r w:rsidRPr="00CB2FFC">
              <w:t>The response appears likely to only partially meet the project outcomes</w:t>
            </w:r>
          </w:p>
          <w:p w14:paraId="747272DE" w14:textId="77777777" w:rsidR="00812F55" w:rsidRPr="00CB2FFC" w:rsidRDefault="00812F55" w:rsidP="00812F55">
            <w:pPr>
              <w:numPr>
                <w:ilvl w:val="0"/>
                <w:numId w:val="4"/>
              </w:numPr>
              <w:spacing w:after="0" w:line="240" w:lineRule="auto"/>
            </w:pPr>
            <w:r w:rsidRPr="00CB2FFC">
              <w:t>The response does not reflect accepted good practice/ has a weak evidence base</w:t>
            </w:r>
          </w:p>
          <w:p w14:paraId="65AD9E11" w14:textId="77777777" w:rsidR="00812F55" w:rsidRPr="00CB2FFC" w:rsidRDefault="00812F55" w:rsidP="00812F55">
            <w:pPr>
              <w:numPr>
                <w:ilvl w:val="0"/>
                <w:numId w:val="4"/>
              </w:numPr>
              <w:spacing w:after="0" w:line="240" w:lineRule="auto"/>
            </w:pPr>
            <w:r w:rsidRPr="00CB2FFC">
              <w:t>The response is insufficiently specific</w:t>
            </w:r>
          </w:p>
          <w:p w14:paraId="5095CFE9" w14:textId="77777777" w:rsidR="00812F55" w:rsidRPr="00CB2FFC" w:rsidRDefault="00812F55" w:rsidP="00812F55">
            <w:pPr>
              <w:numPr>
                <w:ilvl w:val="0"/>
                <w:numId w:val="4"/>
              </w:numPr>
              <w:spacing w:after="0" w:line="240" w:lineRule="auto"/>
            </w:pPr>
            <w:r w:rsidRPr="00CB2FFC">
              <w:t>The response appears not to deliver expected levels of detail, performance, expertise, outcome, supporting resources or other relevant characteristics</w:t>
            </w:r>
          </w:p>
          <w:p w14:paraId="1E560067" w14:textId="77777777" w:rsidR="00812F55" w:rsidRPr="00CB2FFC" w:rsidRDefault="00812F55" w:rsidP="00812F55">
            <w:pPr>
              <w:pStyle w:val="ListParagraph"/>
              <w:numPr>
                <w:ilvl w:val="0"/>
                <w:numId w:val="4"/>
              </w:numPr>
              <w:spacing w:after="0" w:line="240" w:lineRule="auto"/>
            </w:pPr>
            <w:r w:rsidRPr="00CB2FFC">
              <w:t>Supporting documents (where requested) are of insufficient quality, depth or relevance.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A3254" w14:textId="77777777" w:rsidR="00812F55" w:rsidRPr="00CB2FFC" w:rsidRDefault="00812F55" w:rsidP="007119DA">
            <w:pPr>
              <w:spacing w:after="0" w:line="240" w:lineRule="auto"/>
              <w:jc w:val="center"/>
            </w:pPr>
            <w:r w:rsidRPr="00CB2FFC">
              <w:t>1</w:t>
            </w:r>
          </w:p>
        </w:tc>
      </w:tr>
      <w:tr w:rsidR="00812F55" w:rsidRPr="00CB2FFC" w14:paraId="6E851C9C"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6AE13926" w14:textId="77777777" w:rsidR="00812F55" w:rsidRPr="00CB2FFC" w:rsidRDefault="00812F55" w:rsidP="007119DA">
            <w:pPr>
              <w:spacing w:after="0" w:line="240" w:lineRule="auto"/>
            </w:pPr>
            <w:r w:rsidRPr="00CB2FFC">
              <w:t xml:space="preserve">A response with some </w:t>
            </w:r>
            <w:r w:rsidRPr="00CB2FFC">
              <w:rPr>
                <w:b/>
              </w:rPr>
              <w:t>clear strengths</w:t>
            </w:r>
            <w:r w:rsidRPr="00CB2FFC">
              <w:t xml:space="preserve"> but demonstrating </w:t>
            </w:r>
            <w:r w:rsidRPr="00CB2FFC">
              <w:rPr>
                <w:b/>
              </w:rPr>
              <w:t>some</w:t>
            </w:r>
            <w:r w:rsidRPr="00CB2FFC">
              <w:t xml:space="preserve"> of the issues above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A5BEB" w14:textId="77777777" w:rsidR="00812F55" w:rsidRPr="00CB2FFC" w:rsidRDefault="00812F55" w:rsidP="007119DA">
            <w:pPr>
              <w:spacing w:after="0" w:line="240" w:lineRule="auto"/>
              <w:jc w:val="center"/>
            </w:pPr>
            <w:r w:rsidRPr="00CB2FFC">
              <w:t>2</w:t>
            </w:r>
          </w:p>
        </w:tc>
      </w:tr>
      <w:tr w:rsidR="00812F55" w:rsidRPr="00CB2FFC" w14:paraId="7629C2A9"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03A78F80" w14:textId="77777777" w:rsidR="00812F55" w:rsidRPr="00CB2FFC" w:rsidRDefault="00812F55" w:rsidP="007119DA">
            <w:pPr>
              <w:spacing w:after="0" w:line="240" w:lineRule="auto"/>
            </w:pPr>
            <w:r w:rsidRPr="00CB2FFC">
              <w:t xml:space="preserve">An acceptable response, with </w:t>
            </w:r>
            <w:r w:rsidRPr="00CB2FFC">
              <w:rPr>
                <w:b/>
              </w:rPr>
              <w:t>some degree of weakness</w:t>
            </w:r>
            <w:r w:rsidRPr="00CB2FFC">
              <w:t xml:space="preserve"> but where the weakness does not cause fundamental concerns and is </w:t>
            </w:r>
            <w:r w:rsidRPr="00CB2FFC">
              <w:rPr>
                <w:b/>
              </w:rPr>
              <w:t>outweighed by the strengths.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8DAAB" w14:textId="77777777" w:rsidR="00812F55" w:rsidRPr="00CB2FFC" w:rsidRDefault="00812F55" w:rsidP="007119DA">
            <w:pPr>
              <w:spacing w:after="0" w:line="240" w:lineRule="auto"/>
              <w:jc w:val="center"/>
            </w:pPr>
            <w:r w:rsidRPr="00CB2FFC">
              <w:t>3</w:t>
            </w:r>
          </w:p>
        </w:tc>
      </w:tr>
      <w:tr w:rsidR="00812F55" w:rsidRPr="00CB2FFC" w14:paraId="757B939C"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3B1DC6DB" w14:textId="77777777" w:rsidR="00812F55" w:rsidRPr="00CB2FFC" w:rsidRDefault="00812F55" w:rsidP="007119DA">
            <w:pPr>
              <w:spacing w:after="0" w:line="240" w:lineRule="auto"/>
            </w:pPr>
            <w:r w:rsidRPr="00CB2FFC">
              <w:t>A good response where the strengths clearly outweigh any minor weakness(</w:t>
            </w:r>
            <w:proofErr w:type="spellStart"/>
            <w:r w:rsidRPr="00CB2FFC">
              <w:t>es</w:t>
            </w:r>
            <w:proofErr w:type="spellEnd"/>
            <w:r w:rsidRPr="00CB2FFC">
              <w:t>), and </w:t>
            </w:r>
            <w:proofErr w:type="gramStart"/>
            <w:r w:rsidRPr="00CB2FFC">
              <w:t xml:space="preserve">the </w:t>
            </w:r>
            <w:r w:rsidRPr="00CB2FFC">
              <w:rPr>
                <w:b/>
              </w:rPr>
              <w:t>majority</w:t>
            </w:r>
            <w:r w:rsidRPr="00CB2FFC">
              <w:t xml:space="preserve"> of</w:t>
            </w:r>
            <w:proofErr w:type="gramEnd"/>
            <w:r w:rsidRPr="00CB2FFC">
              <w:t xml:space="preserve"> aspects below apply: </w:t>
            </w:r>
          </w:p>
          <w:p w14:paraId="006283F9" w14:textId="77777777" w:rsidR="00812F55" w:rsidRPr="00CB2FFC" w:rsidRDefault="00812F55" w:rsidP="00812F55">
            <w:pPr>
              <w:numPr>
                <w:ilvl w:val="0"/>
                <w:numId w:val="4"/>
              </w:numPr>
              <w:spacing w:after="0" w:line="240" w:lineRule="auto"/>
            </w:pPr>
            <w:r w:rsidRPr="00CB2FFC">
              <w:t>All information requested has been provided in full</w:t>
            </w:r>
          </w:p>
          <w:p w14:paraId="5E6D94B6" w14:textId="77777777" w:rsidR="00812F55" w:rsidRPr="00CB2FFC" w:rsidRDefault="00812F55" w:rsidP="00812F55">
            <w:pPr>
              <w:numPr>
                <w:ilvl w:val="0"/>
                <w:numId w:val="4"/>
              </w:numPr>
              <w:spacing w:after="0" w:line="240" w:lineRule="auto"/>
            </w:pPr>
            <w:r w:rsidRPr="00CB2FFC">
              <w:t>The response clearly explains how outcomes will be met</w:t>
            </w:r>
          </w:p>
          <w:p w14:paraId="2CEEFF3C" w14:textId="77777777" w:rsidR="00812F55" w:rsidRPr="00CB2FFC" w:rsidRDefault="00812F55" w:rsidP="00812F55">
            <w:pPr>
              <w:numPr>
                <w:ilvl w:val="0"/>
                <w:numId w:val="4"/>
              </w:numPr>
              <w:spacing w:after="0" w:line="240" w:lineRule="auto"/>
            </w:pPr>
            <w:r w:rsidRPr="00CB2FFC">
              <w:t>The response reflects accepted good practice/has a strong evidence base</w:t>
            </w:r>
          </w:p>
          <w:p w14:paraId="67C25EFC" w14:textId="77777777" w:rsidR="00812F55" w:rsidRPr="00CB2FFC" w:rsidRDefault="00812F55" w:rsidP="00812F55">
            <w:pPr>
              <w:numPr>
                <w:ilvl w:val="0"/>
                <w:numId w:val="4"/>
              </w:numPr>
              <w:spacing w:after="0" w:line="240" w:lineRule="auto"/>
            </w:pPr>
            <w:r w:rsidRPr="00CB2FFC">
              <w:t>The response is well tailored to specific stakeholders and circumstances</w:t>
            </w:r>
          </w:p>
          <w:p w14:paraId="26C2E09C" w14:textId="77777777" w:rsidR="00812F55" w:rsidRPr="00CB2FFC" w:rsidRDefault="00812F55" w:rsidP="00812F55">
            <w:pPr>
              <w:numPr>
                <w:ilvl w:val="0"/>
                <w:numId w:val="4"/>
              </w:numPr>
              <w:spacing w:after="0" w:line="240" w:lineRule="auto"/>
            </w:pPr>
            <w:r w:rsidRPr="00CB2FFC">
              <w:t>The response offers good levels of detail, performance, expertise, outcome, supporting resources or other relevant characteristics</w:t>
            </w:r>
          </w:p>
          <w:p w14:paraId="1D2F8C34" w14:textId="77777777" w:rsidR="00812F55" w:rsidRPr="00CB2FFC" w:rsidRDefault="00812F55" w:rsidP="00812F55">
            <w:pPr>
              <w:numPr>
                <w:ilvl w:val="0"/>
                <w:numId w:val="4"/>
              </w:numPr>
              <w:spacing w:after="0" w:line="240" w:lineRule="auto"/>
            </w:pPr>
            <w:r w:rsidRPr="00CB2FFC">
              <w:t>Supporting documents (where requested) are of good quality, relevant and of sufficient depth.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25DF7" w14:textId="77777777" w:rsidR="00812F55" w:rsidRPr="00CB2FFC" w:rsidRDefault="00812F55" w:rsidP="007119DA">
            <w:pPr>
              <w:spacing w:after="0" w:line="240" w:lineRule="auto"/>
              <w:jc w:val="center"/>
            </w:pPr>
            <w:r w:rsidRPr="00CB2FFC">
              <w:t>4</w:t>
            </w:r>
          </w:p>
        </w:tc>
      </w:tr>
      <w:tr w:rsidR="00812F55" w:rsidRPr="00CB2FFC" w14:paraId="1BA72906"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20DAC16F" w14:textId="77777777" w:rsidR="00812F55" w:rsidRPr="00CB2FFC" w:rsidRDefault="00812F55" w:rsidP="007119DA">
            <w:pPr>
              <w:spacing w:after="0" w:line="240" w:lineRule="auto"/>
            </w:pPr>
            <w:r w:rsidRPr="00CB2FFC">
              <w:t>An excellent response with no weaknesses, that provides confidence that the project outcomes would be fully met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B793F" w14:textId="77777777" w:rsidR="00812F55" w:rsidRPr="00CB2FFC" w:rsidRDefault="00812F55" w:rsidP="007119DA">
            <w:pPr>
              <w:spacing w:after="0" w:line="240" w:lineRule="auto"/>
              <w:jc w:val="center"/>
            </w:pPr>
            <w:r w:rsidRPr="00CB2FFC">
              <w:t>5</w:t>
            </w:r>
          </w:p>
        </w:tc>
      </w:tr>
    </w:tbl>
    <w:p w14:paraId="518EA1F8" w14:textId="6B73ACE9" w:rsidR="00812F55" w:rsidRPr="00CB2FFC" w:rsidRDefault="00812F55" w:rsidP="004B511B">
      <w:pPr>
        <w:spacing w:before="120" w:after="120" w:line="276" w:lineRule="auto"/>
      </w:pPr>
    </w:p>
    <w:sectPr w:rsidR="00812F55" w:rsidRPr="00CB2FFC" w:rsidSect="009A658B">
      <w:head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49EA2" w14:textId="77777777" w:rsidR="004B511B" w:rsidRDefault="004B511B" w:rsidP="004B511B">
      <w:pPr>
        <w:spacing w:after="0" w:line="240" w:lineRule="auto"/>
      </w:pPr>
      <w:r>
        <w:separator/>
      </w:r>
    </w:p>
  </w:endnote>
  <w:endnote w:type="continuationSeparator" w:id="0">
    <w:p w14:paraId="49E3666C" w14:textId="77777777" w:rsidR="004B511B" w:rsidRDefault="004B511B" w:rsidP="004B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37CBC" w14:textId="77777777" w:rsidR="004B511B" w:rsidRDefault="004B511B" w:rsidP="004B511B">
      <w:pPr>
        <w:spacing w:after="0" w:line="240" w:lineRule="auto"/>
      </w:pPr>
      <w:r>
        <w:separator/>
      </w:r>
    </w:p>
  </w:footnote>
  <w:footnote w:type="continuationSeparator" w:id="0">
    <w:p w14:paraId="4A082A31" w14:textId="77777777" w:rsidR="004B511B" w:rsidRDefault="004B511B" w:rsidP="004B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292B" w14:textId="151B6E48" w:rsidR="004B511B" w:rsidRDefault="00AA184E">
    <w:pPr>
      <w:pStyle w:val="Header"/>
    </w:pPr>
    <w:r>
      <w:rPr>
        <w:rFonts w:ascii="Cambria" w:hAnsi="Cambria"/>
        <w:caps/>
        <w:noProof/>
        <w:sz w:val="19"/>
        <w:szCs w:val="19"/>
      </w:rPr>
      <w:drawing>
        <wp:inline distT="0" distB="0" distL="0" distR="0" wp14:anchorId="58627D5F" wp14:editId="55709A36">
          <wp:extent cx="36004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r w:rsidR="004B511B">
      <w:rPr>
        <w:noProof/>
      </w:rPr>
      <w:drawing>
        <wp:anchor distT="0" distB="0" distL="114300" distR="114300" simplePos="0" relativeHeight="251659264" behindDoc="1" locked="0" layoutInCell="1" allowOverlap="1" wp14:anchorId="00F96890" wp14:editId="39916233">
          <wp:simplePos x="0" y="0"/>
          <wp:positionH relativeFrom="column">
            <wp:posOffset>5989320</wp:posOffset>
          </wp:positionH>
          <wp:positionV relativeFrom="paragraph">
            <wp:posOffset>-229235</wp:posOffset>
          </wp:positionV>
          <wp:extent cx="891540" cy="1014095"/>
          <wp:effectExtent l="0" t="0" r="3810" b="0"/>
          <wp:wrapTight wrapText="bothSides">
            <wp:wrapPolygon edited="0">
              <wp:start x="0" y="0"/>
              <wp:lineTo x="0" y="21100"/>
              <wp:lineTo x="21231" y="21100"/>
              <wp:lineTo x="21231" y="0"/>
              <wp:lineTo x="0" y="0"/>
            </wp:wrapPolygon>
          </wp:wrapTight>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 Logo. Red, with a white background.jpg"/>
                  <pic:cNvPicPr/>
                </pic:nvPicPr>
                <pic:blipFill rotWithShape="1">
                  <a:blip r:embed="rId2">
                    <a:extLst>
                      <a:ext uri="{28A0092B-C50C-407E-A947-70E740481C1C}">
                        <a14:useLocalDpi xmlns:a14="http://schemas.microsoft.com/office/drawing/2010/main" val="0"/>
                      </a:ext>
                    </a:extLst>
                  </a:blip>
                  <a:srcRect l="21981" t="14253" r="23068" b="23240"/>
                  <a:stretch/>
                </pic:blipFill>
                <pic:spPr bwMode="auto">
                  <a:xfrm>
                    <a:off x="0" y="0"/>
                    <a:ext cx="891540" cy="101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2C108C9"/>
    <w:multiLevelType w:val="hybridMultilevel"/>
    <w:tmpl w:val="8B62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75009D"/>
    <w:multiLevelType w:val="hybridMultilevel"/>
    <w:tmpl w:val="583EC0DE"/>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2EBA5023"/>
    <w:multiLevelType w:val="multilevel"/>
    <w:tmpl w:val="1B807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D316BC"/>
    <w:multiLevelType w:val="hybridMultilevel"/>
    <w:tmpl w:val="A88203BE"/>
    <w:lvl w:ilvl="0" w:tplc="A808C6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E0376C"/>
    <w:multiLevelType w:val="hybridMultilevel"/>
    <w:tmpl w:val="D92C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9572E"/>
    <w:multiLevelType w:val="hybridMultilevel"/>
    <w:tmpl w:val="7C262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0E70F5"/>
    <w:multiLevelType w:val="hybridMultilevel"/>
    <w:tmpl w:val="E7403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D02695"/>
    <w:multiLevelType w:val="hybridMultilevel"/>
    <w:tmpl w:val="C3DA32B8"/>
    <w:lvl w:ilvl="0" w:tplc="20B0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0623B4"/>
    <w:multiLevelType w:val="hybridMultilevel"/>
    <w:tmpl w:val="E1449692"/>
    <w:lvl w:ilvl="0" w:tplc="8E84D00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6"/>
  </w:num>
  <w:num w:numId="5">
    <w:abstractNumId w:val="8"/>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10"/>
  </w:num>
  <w:num w:numId="10">
    <w:abstractNumId w:val="5"/>
  </w:num>
  <w:num w:numId="11">
    <w:abstractNumId w:val="13"/>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68"/>
    <w:rsid w:val="0007493A"/>
    <w:rsid w:val="000906E4"/>
    <w:rsid w:val="001451CF"/>
    <w:rsid w:val="00172327"/>
    <w:rsid w:val="0025027A"/>
    <w:rsid w:val="002B598A"/>
    <w:rsid w:val="002E4261"/>
    <w:rsid w:val="0039639A"/>
    <w:rsid w:val="003A0097"/>
    <w:rsid w:val="003E11D0"/>
    <w:rsid w:val="004302F2"/>
    <w:rsid w:val="00442D6B"/>
    <w:rsid w:val="00453798"/>
    <w:rsid w:val="00463340"/>
    <w:rsid w:val="00465663"/>
    <w:rsid w:val="004B511B"/>
    <w:rsid w:val="00515603"/>
    <w:rsid w:val="005E201B"/>
    <w:rsid w:val="00641DF6"/>
    <w:rsid w:val="007119DA"/>
    <w:rsid w:val="00720C0E"/>
    <w:rsid w:val="007256AD"/>
    <w:rsid w:val="00733518"/>
    <w:rsid w:val="00764A9B"/>
    <w:rsid w:val="0076638C"/>
    <w:rsid w:val="00777B85"/>
    <w:rsid w:val="007B55E1"/>
    <w:rsid w:val="00800576"/>
    <w:rsid w:val="00812F55"/>
    <w:rsid w:val="00815B1D"/>
    <w:rsid w:val="00832130"/>
    <w:rsid w:val="0090248E"/>
    <w:rsid w:val="00915A87"/>
    <w:rsid w:val="00970020"/>
    <w:rsid w:val="009A658B"/>
    <w:rsid w:val="009B4FA7"/>
    <w:rsid w:val="009D0996"/>
    <w:rsid w:val="00A60252"/>
    <w:rsid w:val="00A60DC4"/>
    <w:rsid w:val="00A65A61"/>
    <w:rsid w:val="00A73CD8"/>
    <w:rsid w:val="00A876C7"/>
    <w:rsid w:val="00A92A7F"/>
    <w:rsid w:val="00AA184E"/>
    <w:rsid w:val="00AE72DD"/>
    <w:rsid w:val="00B80ADE"/>
    <w:rsid w:val="00C05236"/>
    <w:rsid w:val="00C46525"/>
    <w:rsid w:val="00C55831"/>
    <w:rsid w:val="00CB2FFC"/>
    <w:rsid w:val="00D5041F"/>
    <w:rsid w:val="00E41D6A"/>
    <w:rsid w:val="00E553F4"/>
    <w:rsid w:val="00E75633"/>
    <w:rsid w:val="00EA3EE0"/>
    <w:rsid w:val="00EB1732"/>
    <w:rsid w:val="00EC4146"/>
    <w:rsid w:val="00F052E1"/>
    <w:rsid w:val="00F16668"/>
    <w:rsid w:val="00F555F5"/>
    <w:rsid w:val="00F55FA9"/>
    <w:rsid w:val="00F60890"/>
    <w:rsid w:val="00F960F3"/>
    <w:rsid w:val="00FA52CC"/>
    <w:rsid w:val="00FB6876"/>
    <w:rsid w:val="00FE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B7EF"/>
  <w15:chartTrackingRefBased/>
  <w15:docId w15:val="{A6B5A1F5-938B-4B53-8B39-56BF41FF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52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DC4"/>
    <w:rPr>
      <w:color w:val="0000FF"/>
      <w:u w:val="single"/>
    </w:rPr>
  </w:style>
  <w:style w:type="character" w:styleId="UnresolvedMention">
    <w:name w:val="Unresolved Mention"/>
    <w:basedOn w:val="DefaultParagraphFont"/>
    <w:uiPriority w:val="99"/>
    <w:semiHidden/>
    <w:unhideWhenUsed/>
    <w:rsid w:val="00A65A61"/>
    <w:rPr>
      <w:color w:val="808080"/>
      <w:shd w:val="clear" w:color="auto" w:fill="E6E6E6"/>
    </w:rPr>
  </w:style>
  <w:style w:type="paragraph" w:styleId="ListParagraph">
    <w:name w:val="List Paragraph"/>
    <w:basedOn w:val="Normal"/>
    <w:link w:val="ListParagraphChar"/>
    <w:uiPriority w:val="34"/>
    <w:qFormat/>
    <w:rsid w:val="00A876C7"/>
    <w:pPr>
      <w:ind w:left="720"/>
      <w:contextualSpacing/>
    </w:pPr>
  </w:style>
  <w:style w:type="character" w:customStyle="1" w:styleId="ListParagraphChar">
    <w:name w:val="List Paragraph Char"/>
    <w:link w:val="ListParagraph"/>
    <w:uiPriority w:val="34"/>
    <w:locked/>
    <w:rsid w:val="00A876C7"/>
  </w:style>
  <w:style w:type="paragraph" w:styleId="BalloonText">
    <w:name w:val="Balloon Text"/>
    <w:basedOn w:val="Normal"/>
    <w:link w:val="BalloonTextChar"/>
    <w:uiPriority w:val="99"/>
    <w:semiHidden/>
    <w:unhideWhenUsed/>
    <w:rsid w:val="00A87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6C7"/>
    <w:rPr>
      <w:rFonts w:ascii="Segoe UI" w:hAnsi="Segoe UI" w:cs="Segoe UI"/>
      <w:sz w:val="18"/>
      <w:szCs w:val="18"/>
    </w:rPr>
  </w:style>
  <w:style w:type="paragraph" w:customStyle="1" w:styleId="Default">
    <w:name w:val="Default"/>
    <w:rsid w:val="00E41D6A"/>
    <w:pPr>
      <w:autoSpaceDE w:val="0"/>
      <w:autoSpaceDN w:val="0"/>
      <w:adjustRightInd w:val="0"/>
      <w:spacing w:after="0" w:line="240" w:lineRule="auto"/>
    </w:pPr>
    <w:rPr>
      <w:rFonts w:ascii="HelveticaNeueLT Pro 45 Lt" w:hAnsi="HelveticaNeueLT Pro 45 Lt" w:cs="HelveticaNeueLT Pro 45 Lt"/>
      <w:color w:val="000000"/>
      <w:sz w:val="24"/>
      <w:szCs w:val="24"/>
    </w:rPr>
  </w:style>
  <w:style w:type="character" w:customStyle="1" w:styleId="A6">
    <w:name w:val="A6"/>
    <w:uiPriority w:val="99"/>
    <w:rsid w:val="00E41D6A"/>
    <w:rPr>
      <w:rFonts w:cs="HelveticaNeueLT Pro 45 Lt"/>
      <w:color w:val="000000"/>
      <w:sz w:val="22"/>
      <w:szCs w:val="22"/>
    </w:rPr>
  </w:style>
  <w:style w:type="character" w:styleId="Emphasis">
    <w:name w:val="Emphasis"/>
    <w:basedOn w:val="DefaultParagraphFont"/>
    <w:uiPriority w:val="20"/>
    <w:qFormat/>
    <w:rsid w:val="00733518"/>
    <w:rPr>
      <w:i/>
      <w:iCs/>
    </w:rPr>
  </w:style>
  <w:style w:type="paragraph" w:styleId="Header">
    <w:name w:val="header"/>
    <w:basedOn w:val="Normal"/>
    <w:link w:val="HeaderChar"/>
    <w:uiPriority w:val="99"/>
    <w:unhideWhenUsed/>
    <w:rsid w:val="004B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11B"/>
  </w:style>
  <w:style w:type="paragraph" w:styleId="Footer">
    <w:name w:val="footer"/>
    <w:basedOn w:val="Normal"/>
    <w:link w:val="FooterChar"/>
    <w:uiPriority w:val="99"/>
    <w:unhideWhenUsed/>
    <w:rsid w:val="004B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11B"/>
  </w:style>
  <w:style w:type="character" w:styleId="CommentReference">
    <w:name w:val="annotation reference"/>
    <w:basedOn w:val="DefaultParagraphFont"/>
    <w:uiPriority w:val="99"/>
    <w:semiHidden/>
    <w:unhideWhenUsed/>
    <w:rsid w:val="009D0996"/>
    <w:rPr>
      <w:sz w:val="16"/>
      <w:szCs w:val="16"/>
    </w:rPr>
  </w:style>
  <w:style w:type="paragraph" w:styleId="CommentText">
    <w:name w:val="annotation text"/>
    <w:basedOn w:val="Normal"/>
    <w:link w:val="CommentTextChar"/>
    <w:uiPriority w:val="99"/>
    <w:semiHidden/>
    <w:unhideWhenUsed/>
    <w:rsid w:val="009D0996"/>
    <w:pPr>
      <w:spacing w:line="240" w:lineRule="auto"/>
    </w:pPr>
    <w:rPr>
      <w:sz w:val="20"/>
      <w:szCs w:val="20"/>
    </w:rPr>
  </w:style>
  <w:style w:type="character" w:customStyle="1" w:styleId="CommentTextChar">
    <w:name w:val="Comment Text Char"/>
    <w:basedOn w:val="DefaultParagraphFont"/>
    <w:link w:val="CommentText"/>
    <w:uiPriority w:val="99"/>
    <w:semiHidden/>
    <w:rsid w:val="009D0996"/>
    <w:rPr>
      <w:sz w:val="20"/>
      <w:szCs w:val="20"/>
    </w:rPr>
  </w:style>
  <w:style w:type="paragraph" w:styleId="CommentSubject">
    <w:name w:val="annotation subject"/>
    <w:basedOn w:val="CommentText"/>
    <w:next w:val="CommentText"/>
    <w:link w:val="CommentSubjectChar"/>
    <w:uiPriority w:val="99"/>
    <w:semiHidden/>
    <w:unhideWhenUsed/>
    <w:rsid w:val="009D0996"/>
    <w:rPr>
      <w:b/>
      <w:bCs/>
    </w:rPr>
  </w:style>
  <w:style w:type="character" w:customStyle="1" w:styleId="CommentSubjectChar">
    <w:name w:val="Comment Subject Char"/>
    <w:basedOn w:val="CommentTextChar"/>
    <w:link w:val="CommentSubject"/>
    <w:uiPriority w:val="99"/>
    <w:semiHidden/>
    <w:rsid w:val="009D0996"/>
    <w:rPr>
      <w:b/>
      <w:bCs/>
      <w:sz w:val="20"/>
      <w:szCs w:val="20"/>
    </w:rPr>
  </w:style>
  <w:style w:type="paragraph" w:customStyle="1" w:styleId="Style3">
    <w:name w:val="Style3"/>
    <w:basedOn w:val="Heading2"/>
    <w:link w:val="Style3Char"/>
    <w:qFormat/>
    <w:rsid w:val="00F052E1"/>
    <w:pPr>
      <w:keepLines w:val="0"/>
      <w:numPr>
        <w:ilvl w:val="1"/>
        <w:numId w:val="15"/>
      </w:numPr>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709" w:hanging="709"/>
    </w:pPr>
    <w:rPr>
      <w:rFonts w:eastAsia="Times New Roman" w:cs="Arial"/>
      <w:spacing w:val="15"/>
    </w:rPr>
  </w:style>
  <w:style w:type="character" w:customStyle="1" w:styleId="Style3Char">
    <w:name w:val="Style3 Char"/>
    <w:basedOn w:val="Heading2Char"/>
    <w:link w:val="Style3"/>
    <w:rsid w:val="00F052E1"/>
    <w:rPr>
      <w:rFonts w:asciiTheme="majorHAnsi" w:eastAsia="Times New Roman" w:hAnsiTheme="majorHAnsi" w:cs="Arial"/>
      <w:color w:val="2F5496" w:themeColor="accent1" w:themeShade="BF"/>
      <w:spacing w:val="15"/>
      <w:sz w:val="26"/>
      <w:szCs w:val="26"/>
      <w:shd w:val="clear" w:color="auto" w:fill="DBE5F1"/>
    </w:rPr>
  </w:style>
  <w:style w:type="character" w:customStyle="1" w:styleId="Heading2Char">
    <w:name w:val="Heading 2 Char"/>
    <w:basedOn w:val="DefaultParagraphFont"/>
    <w:link w:val="Heading2"/>
    <w:uiPriority w:val="9"/>
    <w:semiHidden/>
    <w:rsid w:val="00F052E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B55E1"/>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45264">
      <w:bodyDiv w:val="1"/>
      <w:marLeft w:val="0"/>
      <w:marRight w:val="0"/>
      <w:marTop w:val="0"/>
      <w:marBottom w:val="0"/>
      <w:divBdr>
        <w:top w:val="none" w:sz="0" w:space="0" w:color="auto"/>
        <w:left w:val="none" w:sz="0" w:space="0" w:color="auto"/>
        <w:bottom w:val="none" w:sz="0" w:space="0" w:color="auto"/>
        <w:right w:val="none" w:sz="0" w:space="0" w:color="auto"/>
      </w:divBdr>
    </w:div>
    <w:div w:id="16706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line.bircham@newanglia.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communicationtrust.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urcingteam@norfolk.gov.uk" TargetMode="External"/><Relationship Id="rId4" Type="http://schemas.openxmlformats.org/officeDocument/2006/relationships/webSettings" Target="webSettings.xml"/><Relationship Id="rId9" Type="http://schemas.openxmlformats.org/officeDocument/2006/relationships/hyperlink" Target="mailto:sourcingteam@norfolk.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Bircham</dc:creator>
  <cp:keywords/>
  <dc:description/>
  <cp:lastModifiedBy>Southgate, Annie</cp:lastModifiedBy>
  <cp:revision>5</cp:revision>
  <cp:lastPrinted>2018-04-24T09:23:00Z</cp:lastPrinted>
  <dcterms:created xsi:type="dcterms:W3CDTF">2018-04-24T10:57:00Z</dcterms:created>
  <dcterms:modified xsi:type="dcterms:W3CDTF">2018-04-24T13:40:00Z</dcterms:modified>
</cp:coreProperties>
</file>