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26D2" w14:textId="35188643" w:rsidR="005E2170" w:rsidRDefault="00B64E77">
      <w:pPr>
        <w:pStyle w:val="Heading1"/>
      </w:pPr>
      <w:r>
        <w:rPr>
          <w:u w:val="single"/>
        </w:rPr>
        <w:t>Design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Build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Multi-Use</w:t>
      </w:r>
      <w:r>
        <w:rPr>
          <w:spacing w:val="-6"/>
          <w:u w:val="single"/>
        </w:rPr>
        <w:t xml:space="preserve"> </w:t>
      </w:r>
      <w:r>
        <w:rPr>
          <w:u w:val="single"/>
        </w:rPr>
        <w:t>Wheeled</w:t>
      </w:r>
      <w:r>
        <w:rPr>
          <w:spacing w:val="-7"/>
          <w:u w:val="single"/>
        </w:rPr>
        <w:t xml:space="preserve"> </w:t>
      </w:r>
      <w:r>
        <w:rPr>
          <w:u w:val="single"/>
        </w:rPr>
        <w:t>Skate</w:t>
      </w:r>
      <w:r>
        <w:rPr>
          <w:spacing w:val="-5"/>
          <w:u w:val="single"/>
        </w:rPr>
        <w:t xml:space="preserve"> </w:t>
      </w:r>
      <w:r>
        <w:rPr>
          <w:u w:val="single"/>
        </w:rPr>
        <w:t>Park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facility</w:t>
      </w:r>
    </w:p>
    <w:p w14:paraId="62F809A6" w14:textId="77777777" w:rsidR="005E2170" w:rsidRDefault="00B64E77">
      <w:pPr>
        <w:spacing w:before="102"/>
        <w:ind w:left="23"/>
        <w:rPr>
          <w:b/>
        </w:rPr>
      </w:pPr>
      <w:r>
        <w:rPr>
          <w:b/>
          <w:u w:val="single"/>
        </w:rPr>
        <w:t>:</w:t>
      </w:r>
      <w:r>
        <w:rPr>
          <w:b/>
          <w:spacing w:val="-10"/>
          <w:u w:val="single"/>
        </w:rPr>
        <w:t xml:space="preserve"> </w:t>
      </w:r>
      <w:proofErr w:type="spellStart"/>
      <w:r>
        <w:rPr>
          <w:b/>
          <w:u w:val="single"/>
        </w:rPr>
        <w:t>Preferrer</w:t>
      </w:r>
      <w:proofErr w:type="spellEnd"/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Contractor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Contract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Approach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expectations</w:t>
      </w:r>
    </w:p>
    <w:p w14:paraId="60970A75" w14:textId="77777777" w:rsidR="005E2170" w:rsidRDefault="005E2170">
      <w:pPr>
        <w:pStyle w:val="BodyText"/>
        <w:spacing w:before="219"/>
        <w:ind w:left="0"/>
        <w:rPr>
          <w:b/>
        </w:rPr>
      </w:pPr>
    </w:p>
    <w:p w14:paraId="1D790C96" w14:textId="77777777" w:rsidR="005E2170" w:rsidRDefault="00B64E77">
      <w:pPr>
        <w:pStyle w:val="BodyText"/>
        <w:spacing w:before="0" w:line="259" w:lineRule="auto"/>
      </w:pPr>
      <w:r>
        <w:t>It is intended that following tender assessment, the successful bid will be appointed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 securing planning permission and a full funding package.</w:t>
      </w:r>
    </w:p>
    <w:p w14:paraId="47E4A76A" w14:textId="08E39734" w:rsidR="005E2170" w:rsidRDefault="00B64E77">
      <w:pPr>
        <w:pStyle w:val="BodyText"/>
        <w:spacing w:before="159" w:line="259" w:lineRule="auto"/>
        <w:ind w:right="191"/>
      </w:pP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 funding package are secured, after which reimbursement for the Contractor’s input into the project could be sought. In advance of this, any costs to the Council</w:t>
      </w:r>
      <w:r>
        <w:t xml:space="preserve"> will be limited to any surveys and assessments necessary to support the planning application.</w:t>
      </w:r>
    </w:p>
    <w:p w14:paraId="29F76DF1" w14:textId="77777777" w:rsidR="005E2170" w:rsidRDefault="00B64E77">
      <w:pPr>
        <w:pStyle w:val="Heading1"/>
        <w:spacing w:before="159" w:line="259" w:lineRule="auto"/>
        <w:ind w:right="83"/>
      </w:pPr>
      <w:r>
        <w:t>For clarity, this approach does carry the risk that if a full funding package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secured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 reimbursed for any activity undertaken on the project development stages. No</w:t>
      </w:r>
      <w:r>
        <w:rPr>
          <w:spacing w:val="-2"/>
        </w:rPr>
        <w:t xml:space="preserve"> </w:t>
      </w:r>
      <w:r>
        <w:t xml:space="preserve">site </w:t>
      </w:r>
      <w:proofErr w:type="gramStart"/>
      <w:r>
        <w:t>works</w:t>
      </w:r>
      <w:proofErr w:type="gramEnd"/>
      <w:r>
        <w:t xml:space="preserve"> will commence until a fully funding package is </w:t>
      </w:r>
      <w:r>
        <w:rPr>
          <w:spacing w:val="-2"/>
        </w:rPr>
        <w:t>secured.</w:t>
      </w:r>
    </w:p>
    <w:p w14:paraId="144187A0" w14:textId="77777777" w:rsidR="005E2170" w:rsidRDefault="00B64E77">
      <w:pPr>
        <w:pStyle w:val="BodyText"/>
        <w:spacing w:line="259" w:lineRule="auto"/>
        <w:ind w:right="83"/>
      </w:pP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securing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consents</w:t>
      </w:r>
      <w:r>
        <w:rPr>
          <w:spacing w:val="-2"/>
        </w:rPr>
        <w:t xml:space="preserve"> </w:t>
      </w: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 a Works Contract (Design and Build) ‘Priced Contract with Activity Schedule’ under NEC4 (Option A).</w:t>
      </w:r>
    </w:p>
    <w:p w14:paraId="30FCCD22" w14:textId="4F4E1F91" w:rsidR="005E2170" w:rsidRDefault="00B64E77">
      <w:pPr>
        <w:pStyle w:val="BodyText"/>
        <w:spacing w:before="158" w:line="259" w:lineRule="auto"/>
      </w:pPr>
      <w:r>
        <w:t>The</w:t>
      </w:r>
      <w:r>
        <w:rPr>
          <w:spacing w:val="-4"/>
        </w:rPr>
        <w:t xml:space="preserve"> </w:t>
      </w:r>
      <w:r>
        <w:t>indicative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£200,000</w:t>
      </w:r>
      <w:r>
        <w:rPr>
          <w:spacing w:val="-5"/>
        </w:rPr>
        <w:t xml:space="preserve"> </w:t>
      </w:r>
      <w:r>
        <w:t>(net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VAT) and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 exceeded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Council.</w:t>
      </w:r>
      <w:r>
        <w:rPr>
          <w:spacing w:val="-3"/>
        </w:rPr>
        <w:t xml:space="preserve"> </w:t>
      </w:r>
    </w:p>
    <w:p w14:paraId="21F0FE3E" w14:textId="4C606D99" w:rsidR="005E2170" w:rsidRDefault="00B64E77">
      <w:pPr>
        <w:pStyle w:val="BodyText"/>
        <w:spacing w:before="154" w:line="259" w:lineRule="auto"/>
      </w:pPr>
      <w:r>
        <w:t xml:space="preserve">The appointed Contractor will be required to assist the Town Council </w:t>
      </w:r>
      <w:r>
        <w:t>with</w:t>
      </w:r>
      <w:r>
        <w:rPr>
          <w:spacing w:val="-1"/>
        </w:rPr>
        <w:t xml:space="preserve"> </w:t>
      </w:r>
      <w:r>
        <w:t>sourcing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securing the remaining funding towards the project. Any drawings or surveys necessary to support a planning application will be covered by the Town Council</w:t>
      </w:r>
      <w:r>
        <w:t>, however activity undertaken 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cost,</w:t>
      </w:r>
      <w:r>
        <w:rPr>
          <w:spacing w:val="-5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 funding package is secured, and the practical works commence.</w:t>
      </w:r>
    </w:p>
    <w:p w14:paraId="4D49F9D4" w14:textId="2A595CC0" w:rsidR="005E2170" w:rsidRDefault="00B64E77">
      <w:pPr>
        <w:pStyle w:val="BodyText"/>
        <w:spacing w:before="158" w:line="259" w:lineRule="auto"/>
      </w:pPr>
      <w:r>
        <w:t xml:space="preserve">It is </w:t>
      </w:r>
      <w:proofErr w:type="spellStart"/>
      <w:r>
        <w:t>recognised</w:t>
      </w:r>
      <w:proofErr w:type="spellEnd"/>
      <w:r>
        <w:t xml:space="preserve"> that this approach skews the risk towards the appointed Contractor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 xml:space="preserve">the right Contractor will be willing to work with the Town Council </w:t>
      </w:r>
      <w:r>
        <w:t>on such an approach and that their commitment will be rewarded.</w:t>
      </w:r>
    </w:p>
    <w:p w14:paraId="2A0229CF" w14:textId="77777777" w:rsidR="005E2170" w:rsidRDefault="005E2170">
      <w:pPr>
        <w:pStyle w:val="BodyText"/>
        <w:spacing w:line="259" w:lineRule="auto"/>
        <w:sectPr w:rsidR="005E2170">
          <w:type w:val="continuous"/>
          <w:pgSz w:w="11910" w:h="16840"/>
          <w:pgMar w:top="1420" w:right="1417" w:bottom="280" w:left="1417" w:header="720" w:footer="720" w:gutter="0"/>
          <w:cols w:space="720"/>
        </w:sectPr>
      </w:pPr>
    </w:p>
    <w:p w14:paraId="300AC457" w14:textId="77777777" w:rsidR="005E2170" w:rsidRDefault="00B64E77">
      <w:pPr>
        <w:pStyle w:val="Heading1"/>
      </w:pPr>
      <w:r>
        <w:rPr>
          <w:u w:val="single"/>
        </w:rPr>
        <w:lastRenderedPageBreak/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Contractor</w:t>
      </w:r>
    </w:p>
    <w:p w14:paraId="281B04CA" w14:textId="4EBED193" w:rsidR="005E2170" w:rsidRDefault="00B64E77">
      <w:pPr>
        <w:pStyle w:val="BodyText"/>
        <w:spacing w:before="180" w:line="259" w:lineRule="auto"/>
      </w:pPr>
      <w:r>
        <w:t>The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exciting,</w:t>
      </w:r>
      <w:r>
        <w:rPr>
          <w:spacing w:val="-5"/>
        </w:rPr>
        <w:t xml:space="preserve"> </w:t>
      </w:r>
      <w:r>
        <w:t>welcoming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varied</w:t>
      </w:r>
      <w:r>
        <w:rPr>
          <w:spacing w:val="-1"/>
        </w:rPr>
        <w:t xml:space="preserve"> </w:t>
      </w:r>
      <w:r>
        <w:t>Multi-Use Wheeled Skate</w:t>
      </w:r>
      <w:r>
        <w:t xml:space="preserve"> Park facility designed with and expanding on the existing consultation and contributions from local users.</w:t>
      </w:r>
    </w:p>
    <w:p w14:paraId="2F93824A" w14:textId="1D76A12C" w:rsidR="005E2170" w:rsidRDefault="00B64E77">
      <w:pPr>
        <w:pStyle w:val="BodyText"/>
        <w:spacing w:before="158" w:line="259" w:lineRule="auto"/>
        <w:ind w:right="87"/>
      </w:pPr>
      <w:r>
        <w:t>The Contractor must be prepared to meet, engage and consult with current users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under- represented or facing barriers to use to find ways of designing a welcoming facility. This may include public or skaters design workshops or visiting local schools to explore ideas. The Town Council</w:t>
      </w:r>
      <w:r>
        <w:t xml:space="preserve"> will seek to facilitate such engagement.</w:t>
      </w:r>
    </w:p>
    <w:p w14:paraId="48FA209B" w14:textId="77777777" w:rsidR="005E2170" w:rsidRDefault="00B64E77">
      <w:pPr>
        <w:pStyle w:val="BodyText"/>
        <w:spacing w:line="259" w:lineRule="auto"/>
      </w:pPr>
      <w:r>
        <w:t>The successful Contractor will demonstrate experience of delivery of similar project approaches (i.e. design, a proven track record of securing funding, through</w:t>
      </w:r>
      <w:r>
        <w:rPr>
          <w:spacing w:val="-1"/>
        </w:rPr>
        <w:t xml:space="preserve"> </w:t>
      </w:r>
      <w:r>
        <w:t>to build),</w:t>
      </w:r>
      <w:r>
        <w:rPr>
          <w:spacing w:val="-1"/>
        </w:rPr>
        <w:t xml:space="preserve"> </w:t>
      </w:r>
      <w:r>
        <w:t>stability</w:t>
      </w:r>
      <w:r>
        <w:rPr>
          <w:spacing w:val="-1"/>
        </w:rPr>
        <w:t xml:space="preserve"> </w:t>
      </w:r>
      <w:r>
        <w:t>and innovation, technical</w:t>
      </w:r>
      <w:r>
        <w:rPr>
          <w:spacing w:val="-3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and the ability to deliver</w:t>
      </w:r>
      <w:r>
        <w:rPr>
          <w:spacing w:val="-3"/>
        </w:rPr>
        <w:t xml:space="preserve"> </w:t>
      </w:r>
      <w:r>
        <w:t>requisite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competitively,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ability and willingness to:</w:t>
      </w:r>
    </w:p>
    <w:p w14:paraId="3EC1BE57" w14:textId="336BAE92" w:rsidR="005E2170" w:rsidRDefault="00B64E77">
      <w:pPr>
        <w:pStyle w:val="ListParagraph"/>
        <w:numPr>
          <w:ilvl w:val="0"/>
          <w:numId w:val="1"/>
        </w:numPr>
        <w:tabs>
          <w:tab w:val="left" w:pos="743"/>
        </w:tabs>
        <w:spacing w:before="160" w:line="256" w:lineRule="auto"/>
        <w:ind w:right="530"/>
      </w:pPr>
      <w:r>
        <w:t>Be enthusiastic and outcome focused, using their experience and expertise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Council</w:t>
      </w:r>
      <w:r>
        <w:rPr>
          <w:spacing w:val="-7"/>
        </w:rPr>
        <w:t xml:space="preserve">, </w:t>
      </w:r>
      <w:r>
        <w:t>whilst</w:t>
      </w:r>
      <w:r>
        <w:rPr>
          <w:spacing w:val="-4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 xml:space="preserve">the project </w:t>
      </w:r>
      <w:proofErr w:type="gramStart"/>
      <w:r>
        <w:t>forwards</w:t>
      </w:r>
      <w:proofErr w:type="gramEnd"/>
      <w:r>
        <w:t xml:space="preserve"> to a successful conclusion.</w:t>
      </w:r>
    </w:p>
    <w:p w14:paraId="29AFD5E4" w14:textId="6177CA96" w:rsidR="005E2170" w:rsidRDefault="00B64E77">
      <w:pPr>
        <w:pStyle w:val="ListParagraph"/>
        <w:numPr>
          <w:ilvl w:val="0"/>
          <w:numId w:val="1"/>
        </w:numPr>
        <w:tabs>
          <w:tab w:val="left" w:pos="743"/>
        </w:tabs>
        <w:spacing w:before="4" w:line="259" w:lineRule="auto"/>
        <w:ind w:right="411"/>
      </w:pPr>
      <w:r>
        <w:t>Instill</w:t>
      </w:r>
      <w:r>
        <w:rPr>
          <w:spacing w:val="-8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application process, taking account of site specifics, constraints and opportunities.</w:t>
      </w:r>
    </w:p>
    <w:p w14:paraId="59AD4DD7" w14:textId="77777777" w:rsidR="005E2170" w:rsidRDefault="00B64E77">
      <w:pPr>
        <w:pStyle w:val="ListParagraph"/>
        <w:numPr>
          <w:ilvl w:val="0"/>
          <w:numId w:val="1"/>
        </w:numPr>
        <w:tabs>
          <w:tab w:val="left" w:pos="743"/>
        </w:tabs>
        <w:spacing w:line="256" w:lineRule="auto"/>
        <w:ind w:right="258"/>
      </w:pPr>
      <w:r>
        <w:t>Show sensitivity and ability to consider other stakeholders' views whilst being</w:t>
      </w:r>
      <w:r>
        <w:rPr>
          <w:spacing w:val="-5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convey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skatepark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deliver.</w:t>
      </w:r>
    </w:p>
    <w:p w14:paraId="68900BEB" w14:textId="4BA3CB63" w:rsidR="005E2170" w:rsidRDefault="00B64E77">
      <w:pPr>
        <w:pStyle w:val="ListParagraph"/>
        <w:numPr>
          <w:ilvl w:val="0"/>
          <w:numId w:val="1"/>
        </w:numPr>
        <w:tabs>
          <w:tab w:val="left" w:pos="743"/>
        </w:tabs>
        <w:spacing w:before="2" w:line="259" w:lineRule="auto"/>
        <w:ind w:right="452"/>
      </w:pPr>
      <w:r>
        <w:t>Be</w:t>
      </w:r>
      <w:r>
        <w:rPr>
          <w:spacing w:val="-4"/>
        </w:rPr>
        <w:t xml:space="preserve"> </w:t>
      </w:r>
      <w:r>
        <w:t>proactive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assisting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securing funds from external funding sources, leading/supporting as most </w:t>
      </w:r>
      <w:r>
        <w:rPr>
          <w:spacing w:val="-2"/>
        </w:rPr>
        <w:t>appropriate.</w:t>
      </w:r>
    </w:p>
    <w:p w14:paraId="792615E7" w14:textId="77777777" w:rsidR="005E2170" w:rsidRDefault="00B64E77">
      <w:pPr>
        <w:pStyle w:val="ListParagraph"/>
        <w:numPr>
          <w:ilvl w:val="0"/>
          <w:numId w:val="1"/>
        </w:numPr>
        <w:tabs>
          <w:tab w:val="left" w:pos="743"/>
        </w:tabs>
        <w:spacing w:line="259" w:lineRule="auto"/>
      </w:pPr>
      <w:r>
        <w:t>Be</w:t>
      </w:r>
      <w:r>
        <w:rPr>
          <w:spacing w:val="-4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initial stages (fundraising, planning permission) until a full funding package is </w:t>
      </w:r>
      <w:r>
        <w:rPr>
          <w:spacing w:val="-2"/>
        </w:rPr>
        <w:t>secured.</w:t>
      </w:r>
    </w:p>
    <w:p w14:paraId="45232F76" w14:textId="22E4D207" w:rsidR="005E2170" w:rsidRDefault="00B64E77">
      <w:pPr>
        <w:pStyle w:val="Heading1"/>
        <w:spacing w:before="240"/>
      </w:pPr>
      <w:r>
        <w:rPr>
          <w:u w:val="single"/>
        </w:rPr>
        <w:t>Relationship</w:t>
      </w:r>
      <w:r>
        <w:rPr>
          <w:spacing w:val="-11"/>
          <w:u w:val="single"/>
        </w:rPr>
        <w:t xml:space="preserve"> </w:t>
      </w:r>
      <w:r>
        <w:rPr>
          <w:u w:val="single"/>
        </w:rPr>
        <w:t>between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Contractor and</w:t>
      </w:r>
      <w:r>
        <w:rPr>
          <w:spacing w:val="-7"/>
          <w:u w:val="single"/>
        </w:rPr>
        <w:t xml:space="preserve"> </w:t>
      </w:r>
      <w:r>
        <w:rPr>
          <w:u w:val="single"/>
        </w:rPr>
        <w:t>Town</w:t>
      </w:r>
      <w:r>
        <w:rPr>
          <w:spacing w:val="-9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8"/>
          <w:u w:val="single"/>
        </w:rPr>
        <w:t xml:space="preserve"> </w:t>
      </w:r>
    </w:p>
    <w:p w14:paraId="71E0951C" w14:textId="77777777" w:rsidR="005E2170" w:rsidRDefault="00B64E77">
      <w:pPr>
        <w:pStyle w:val="BodyText"/>
        <w:spacing w:before="182"/>
      </w:pPr>
      <w:r>
        <w:rPr>
          <w:u w:val="single"/>
        </w:rPr>
        <w:t>Design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consultation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stage</w:t>
      </w:r>
    </w:p>
    <w:p w14:paraId="4FC54BCE" w14:textId="213DA41D" w:rsidR="005E2170" w:rsidRDefault="00B64E77">
      <w:pPr>
        <w:pStyle w:val="BodyText"/>
        <w:spacing w:before="179" w:line="259" w:lineRule="auto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refinement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design, the</w:t>
      </w:r>
      <w:r>
        <w:rPr>
          <w:spacing w:val="-2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primarily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Town Council and Friends of Stimpson’s Piece</w:t>
      </w:r>
      <w:r>
        <w:t xml:space="preserve">. The Town Council, as managing </w:t>
      </w:r>
      <w:proofErr w:type="gramStart"/>
      <w:r>
        <w:t>Trustee</w:t>
      </w:r>
      <w:proofErr w:type="gramEnd"/>
      <w:r>
        <w:t xml:space="preserve"> of Stimpson’s Piece Charity</w:t>
      </w:r>
      <w:r>
        <w:t xml:space="preserve"> will be available to provide any necessary steer as site owners, including contributing input and signing off the design which the Contractor</w:t>
      </w:r>
      <w:r>
        <w:t xml:space="preserve"> and the wheeled sports community </w:t>
      </w:r>
      <w:r>
        <w:rPr>
          <w:spacing w:val="-2"/>
        </w:rPr>
        <w:t>propose.</w:t>
      </w:r>
    </w:p>
    <w:p w14:paraId="5EFA08C2" w14:textId="77777777" w:rsidR="005E2170" w:rsidRDefault="00B64E77">
      <w:pPr>
        <w:pStyle w:val="BodyText"/>
      </w:pPr>
      <w:r>
        <w:rPr>
          <w:u w:val="single"/>
        </w:rPr>
        <w:t>Planning</w:t>
      </w:r>
      <w:r>
        <w:rPr>
          <w:spacing w:val="-9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stage</w:t>
      </w:r>
    </w:p>
    <w:p w14:paraId="392EDC09" w14:textId="0DAA89BB" w:rsidR="005E2170" w:rsidRDefault="00B64E77">
      <w:pPr>
        <w:pStyle w:val="BodyText"/>
        <w:spacing w:before="179" w:line="259" w:lineRule="auto"/>
      </w:pPr>
      <w:r>
        <w:t>Any</w:t>
      </w:r>
      <w:r>
        <w:rPr>
          <w:spacing w:val="-5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surveys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 be covered by funding pledged by Reepham Town Council</w:t>
      </w:r>
      <w:r>
        <w:t>. It is anticipated that the planning application will be in the name of the Town Council as managing Trustee for Stimpson’s Piece</w:t>
      </w:r>
      <w:r>
        <w:t>.</w:t>
      </w:r>
    </w:p>
    <w:p w14:paraId="55BC0BC7" w14:textId="77777777" w:rsidR="005E2170" w:rsidRDefault="005E2170">
      <w:pPr>
        <w:pStyle w:val="BodyText"/>
        <w:spacing w:line="259" w:lineRule="auto"/>
        <w:sectPr w:rsidR="005E2170">
          <w:pgSz w:w="11910" w:h="16840"/>
          <w:pgMar w:top="1340" w:right="1417" w:bottom="280" w:left="1417" w:header="720" w:footer="720" w:gutter="0"/>
          <w:cols w:space="720"/>
        </w:sectPr>
      </w:pPr>
    </w:p>
    <w:p w14:paraId="2A1CA836" w14:textId="77777777" w:rsidR="005E2170" w:rsidRDefault="00B64E77">
      <w:pPr>
        <w:pStyle w:val="BodyText"/>
        <w:spacing w:before="83"/>
      </w:pPr>
      <w:r>
        <w:rPr>
          <w:spacing w:val="-2"/>
          <w:u w:val="single"/>
        </w:rPr>
        <w:lastRenderedPageBreak/>
        <w:t>Fundraising</w:t>
      </w:r>
    </w:p>
    <w:p w14:paraId="286DEE12" w14:textId="3AD8EDEC" w:rsidR="005E2170" w:rsidRDefault="00B64E77">
      <w:pPr>
        <w:pStyle w:val="BodyText"/>
        <w:spacing w:before="180" w:line="259" w:lineRule="auto"/>
        <w:ind w:right="83"/>
      </w:pPr>
      <w:r>
        <w:t>Fundraising activity will primarily be led by the Contractor.</w:t>
      </w:r>
      <w:r>
        <w:t xml:space="preserve"> It will be acceptable (if not expected) for the Town Council </w:t>
      </w:r>
      <w:r>
        <w:t>to liaise with certain prospective funders, and to be the body undertaking fundraising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Trusts,</w:t>
      </w:r>
      <w:r>
        <w:rPr>
          <w:spacing w:val="-4"/>
        </w:rPr>
        <w:t xml:space="preserve"> </w:t>
      </w:r>
      <w:r>
        <w:t>Foundations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Crowdfunder.</w:t>
      </w:r>
    </w:p>
    <w:p w14:paraId="32D4EB5C" w14:textId="77777777" w:rsidR="005E2170" w:rsidRDefault="00B64E77">
      <w:pPr>
        <w:pStyle w:val="BodyText"/>
        <w:spacing w:before="162"/>
      </w:pPr>
      <w:r>
        <w:rPr>
          <w:u w:val="single"/>
        </w:rPr>
        <w:t>Build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Contract</w:t>
      </w:r>
    </w:p>
    <w:p w14:paraId="2D55E411" w14:textId="5344EEA9" w:rsidR="005E2170" w:rsidRDefault="00B64E77">
      <w:pPr>
        <w:pStyle w:val="BodyText"/>
        <w:spacing w:before="179" w:line="259" w:lineRule="auto"/>
      </w:pPr>
      <w:r>
        <w:t>The formal Contract for the build will be between the Contractor and Town Council.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documentation and practicalities relating to the </w:t>
      </w:r>
      <w:proofErr w:type="gramStart"/>
      <w:r>
        <w:t>build</w:t>
      </w:r>
      <w:proofErr w:type="gramEnd"/>
      <w:r>
        <w:t>. If there are design clarifications needed during the build, the Town Council will liaise with the Contractor</w:t>
      </w:r>
      <w:r>
        <w:t xml:space="preserve"> as required.</w:t>
      </w:r>
    </w:p>
    <w:sectPr w:rsidR="005E2170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30E59"/>
    <w:multiLevelType w:val="hybridMultilevel"/>
    <w:tmpl w:val="32A43F38"/>
    <w:lvl w:ilvl="0" w:tplc="9B98A560">
      <w:numFmt w:val="bullet"/>
      <w:lvlText w:val="●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32B78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78A6E9D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7BE68D2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92F0ADC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89C25BA2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AC2A3484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2C5881E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406E0B34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9843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70"/>
    <w:rsid w:val="005E2170"/>
    <w:rsid w:val="00B64E77"/>
    <w:rsid w:val="00C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12B2"/>
  <w15:docId w15:val="{CD92F279-B65A-4EB3-9620-4EEA8771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3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23"/>
    </w:pPr>
  </w:style>
  <w:style w:type="paragraph" w:styleId="ListParagraph">
    <w:name w:val="List Paragraph"/>
    <w:basedOn w:val="Normal"/>
    <w:uiPriority w:val="1"/>
    <w:qFormat/>
    <w:pPr>
      <w:ind w:left="743" w:right="2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Sekula</dc:creator>
  <cp:lastModifiedBy>Kirsty Cotgrove</cp:lastModifiedBy>
  <cp:revision>2</cp:revision>
  <dcterms:created xsi:type="dcterms:W3CDTF">2025-04-04T10:59:00Z</dcterms:created>
  <dcterms:modified xsi:type="dcterms:W3CDTF">2025-04-04T10:59:00Z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2019</vt:lpwstr>
  </property>
</Properties>
</file>