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Pr="00861E44" w:rsidRDefault="005F738A" w:rsidP="00893A3F">
      <w:pPr>
        <w:pStyle w:val="Norma"/>
        <w:rPr>
          <w:rFonts w:cs="Arial"/>
          <w:sz w:val="32"/>
          <w:szCs w:val="32"/>
        </w:rPr>
      </w:pPr>
      <w:bookmarkStart w:id="0" w:name="_GoBack"/>
      <w:bookmarkEnd w:id="0"/>
    </w:p>
    <w:p w14:paraId="5EA87523" w14:textId="77777777" w:rsidR="00893A3F" w:rsidRPr="00861E44" w:rsidRDefault="00893A3F" w:rsidP="008F2B68">
      <w:pPr>
        <w:pStyle w:val="Norma"/>
        <w:rPr>
          <w:rFonts w:cs="Arial"/>
          <w:b/>
          <w:sz w:val="32"/>
          <w:szCs w:val="32"/>
        </w:rPr>
      </w:pPr>
    </w:p>
    <w:p w14:paraId="0DE101DC" w14:textId="0EAC4BF5" w:rsidR="00662EE1" w:rsidRPr="00EE4B03" w:rsidRDefault="00CA7099" w:rsidP="00662EE1">
      <w:pPr>
        <w:pStyle w:val="Norma1"/>
        <w:rPr>
          <w:rFonts w:cs="Arial"/>
          <w:b/>
          <w:sz w:val="36"/>
          <w:szCs w:val="36"/>
        </w:rPr>
      </w:pPr>
      <w:r w:rsidRPr="00EE4B03">
        <w:rPr>
          <w:rFonts w:cs="Arial"/>
          <w:b/>
          <w:sz w:val="36"/>
          <w:szCs w:val="36"/>
        </w:rPr>
        <w:t>Specification</w:t>
      </w:r>
      <w:r w:rsidR="00FE0B21" w:rsidRPr="00EE4B03">
        <w:rPr>
          <w:rFonts w:cs="Arial"/>
          <w:b/>
          <w:sz w:val="36"/>
          <w:szCs w:val="36"/>
        </w:rPr>
        <w:t xml:space="preserve"> for </w:t>
      </w:r>
      <w:r w:rsidR="00662EE1" w:rsidRPr="00EE4B03">
        <w:rPr>
          <w:rFonts w:cs="Arial"/>
          <w:b/>
          <w:sz w:val="36"/>
          <w:szCs w:val="36"/>
        </w:rPr>
        <w:t>the provision of analysis on abating direct emissions from ‘hard to decarbonise’ homes, with a view to informing the UK’s long-term targets</w:t>
      </w:r>
    </w:p>
    <w:p w14:paraId="5EA87524" w14:textId="0D72F300" w:rsidR="00FE0B21" w:rsidRPr="00EE4B03" w:rsidRDefault="00FE0B21" w:rsidP="00662EE1">
      <w:pPr>
        <w:pStyle w:val="Norma1"/>
        <w:rPr>
          <w:rFonts w:cs="Arial"/>
          <w:b/>
          <w:sz w:val="36"/>
          <w:szCs w:val="36"/>
        </w:rPr>
      </w:pPr>
    </w:p>
    <w:p w14:paraId="5EA87525" w14:textId="77777777" w:rsidR="00CB7AD6" w:rsidRPr="00EE4B03" w:rsidRDefault="00CB7AD6" w:rsidP="00FE0B21">
      <w:pPr>
        <w:pStyle w:val="Norma"/>
        <w:rPr>
          <w:rFonts w:cs="Arial"/>
          <w:b/>
          <w:sz w:val="36"/>
          <w:szCs w:val="36"/>
        </w:rPr>
      </w:pPr>
    </w:p>
    <w:p w14:paraId="4AFA6017" w14:textId="77777777" w:rsidR="00DD521A" w:rsidRPr="00EE4B03" w:rsidRDefault="00DD521A" w:rsidP="008F2B68">
      <w:pPr>
        <w:pStyle w:val="Norma"/>
        <w:rPr>
          <w:rFonts w:cs="Arial"/>
          <w:sz w:val="36"/>
          <w:szCs w:val="36"/>
        </w:rPr>
      </w:pPr>
    </w:p>
    <w:p w14:paraId="02451D23" w14:textId="77777777" w:rsidR="00DD521A" w:rsidRPr="00EE4B03" w:rsidRDefault="00DD521A" w:rsidP="008F2B68">
      <w:pPr>
        <w:pStyle w:val="Norma"/>
        <w:rPr>
          <w:rFonts w:cs="Arial"/>
          <w:sz w:val="36"/>
          <w:szCs w:val="36"/>
        </w:rPr>
      </w:pPr>
    </w:p>
    <w:p w14:paraId="5EA87526" w14:textId="4944FF1C" w:rsidR="00E53204" w:rsidRPr="00EE4B03" w:rsidRDefault="00C53C6B" w:rsidP="008F2B68">
      <w:pPr>
        <w:pStyle w:val="Norma"/>
        <w:rPr>
          <w:rFonts w:cs="Arial"/>
          <w:color w:val="FF0000"/>
          <w:sz w:val="36"/>
          <w:szCs w:val="36"/>
        </w:rPr>
      </w:pPr>
      <w:r w:rsidRPr="00EE4B03">
        <w:rPr>
          <w:rFonts w:cs="Arial"/>
          <w:sz w:val="36"/>
          <w:szCs w:val="36"/>
        </w:rPr>
        <w:t>T</w:t>
      </w:r>
      <w:r w:rsidR="00E53204" w:rsidRPr="00EE4B03">
        <w:rPr>
          <w:rFonts w:cs="Arial"/>
          <w:sz w:val="36"/>
          <w:szCs w:val="36"/>
        </w:rPr>
        <w:t>ender Reference Number</w:t>
      </w:r>
      <w:r w:rsidR="006E31A8" w:rsidRPr="00EE4B03">
        <w:rPr>
          <w:rFonts w:cs="Arial"/>
          <w:sz w:val="36"/>
          <w:szCs w:val="36"/>
        </w:rPr>
        <w:t xml:space="preserve">: </w:t>
      </w:r>
      <w:r w:rsidR="004C001D">
        <w:rPr>
          <w:rFonts w:cs="Arial"/>
          <w:color w:val="FF0000"/>
          <w:sz w:val="36"/>
          <w:szCs w:val="36"/>
        </w:rPr>
        <w:t>RH/1118</w:t>
      </w:r>
    </w:p>
    <w:p w14:paraId="5EA87527" w14:textId="77777777" w:rsidR="00444762" w:rsidRPr="00EE4B03" w:rsidRDefault="00444762" w:rsidP="008F2B68">
      <w:pPr>
        <w:pStyle w:val="Norma"/>
        <w:rPr>
          <w:rFonts w:cs="Arial"/>
          <w:szCs w:val="28"/>
        </w:rPr>
      </w:pPr>
    </w:p>
    <w:p w14:paraId="5EA87528" w14:textId="77777777" w:rsidR="00D95762" w:rsidRPr="00861E44" w:rsidRDefault="00D95762" w:rsidP="008F2B68">
      <w:pPr>
        <w:pStyle w:val="Norma"/>
        <w:rPr>
          <w:rFonts w:cs="Arial"/>
          <w:b/>
          <w:color w:val="FF0000"/>
          <w:sz w:val="26"/>
          <w:szCs w:val="26"/>
        </w:rPr>
      </w:pPr>
    </w:p>
    <w:p w14:paraId="5EA87529" w14:textId="77777777" w:rsidR="00D95762" w:rsidRPr="00861E44" w:rsidRDefault="00D95762" w:rsidP="008F2B68">
      <w:pPr>
        <w:pStyle w:val="Norma"/>
        <w:rPr>
          <w:rFonts w:cs="Arial"/>
          <w:b/>
          <w:color w:val="FF0000"/>
          <w:sz w:val="26"/>
          <w:szCs w:val="26"/>
        </w:rPr>
      </w:pPr>
    </w:p>
    <w:p w14:paraId="5EA8752A" w14:textId="77777777" w:rsidR="00327C8C" w:rsidRPr="00861E44" w:rsidRDefault="00327C8C" w:rsidP="00220F36">
      <w:pPr>
        <w:pStyle w:val="Norma"/>
        <w:rPr>
          <w:rFonts w:cs="Arial"/>
          <w:b/>
          <w:sz w:val="28"/>
          <w:szCs w:val="28"/>
        </w:rPr>
      </w:pPr>
    </w:p>
    <w:p w14:paraId="5EA8752B" w14:textId="77777777" w:rsidR="00121E96" w:rsidRPr="00EE4B03" w:rsidRDefault="00121E96" w:rsidP="00CA7099">
      <w:pPr>
        <w:pStyle w:val="Norma"/>
        <w:rPr>
          <w:rFonts w:cs="Arial"/>
          <w:sz w:val="24"/>
          <w:szCs w:val="24"/>
        </w:rPr>
      </w:pPr>
    </w:p>
    <w:p w14:paraId="5EA87533" w14:textId="77777777" w:rsidR="00781BF5" w:rsidRPr="00861E44" w:rsidRDefault="00781BF5" w:rsidP="006C479E">
      <w:pPr>
        <w:pStyle w:val="Norma"/>
        <w:ind w:left="720"/>
        <w:rPr>
          <w:rFonts w:cs="Arial"/>
        </w:rPr>
      </w:pPr>
      <w:bookmarkStart w:id="1" w:name="SectionOne"/>
    </w:p>
    <w:p w14:paraId="5EA87534" w14:textId="77777777" w:rsidR="003E5C19" w:rsidRPr="00955B41" w:rsidRDefault="00091732" w:rsidP="00CA7099">
      <w:pPr>
        <w:pStyle w:val="Norma"/>
        <w:ind w:left="1080"/>
        <w:rPr>
          <w:rFonts w:cs="Arial"/>
          <w:b/>
          <w:sz w:val="28"/>
          <w:szCs w:val="28"/>
        </w:rPr>
      </w:pPr>
      <w:bookmarkStart w:id="2" w:name="_Evaluation_of_Responses"/>
      <w:bookmarkEnd w:id="2"/>
      <w:r w:rsidRPr="00955B41">
        <w:rPr>
          <w:rFonts w:cs="Arial"/>
          <w:b/>
          <w:sz w:val="28"/>
          <w:szCs w:val="28"/>
        </w:rPr>
        <w:br w:type="page"/>
      </w:r>
      <w:bookmarkEnd w:id="1"/>
    </w:p>
    <w:p w14:paraId="5EA87535" w14:textId="77777777" w:rsidR="001D5D04" w:rsidRPr="00861E44" w:rsidRDefault="001D5D04" w:rsidP="007B3C23">
      <w:pPr>
        <w:pStyle w:val="Norma"/>
        <w:jc w:val="both"/>
        <w:rPr>
          <w:rFonts w:cs="Arial"/>
          <w:b/>
          <w:sz w:val="28"/>
          <w:szCs w:val="28"/>
        </w:rPr>
      </w:pPr>
    </w:p>
    <w:p w14:paraId="5EA87536" w14:textId="77777777" w:rsidR="003E5C19" w:rsidRPr="00861E44" w:rsidRDefault="00C06839" w:rsidP="007B3C23">
      <w:pPr>
        <w:pStyle w:val="Norma"/>
        <w:jc w:val="both"/>
        <w:rPr>
          <w:rFonts w:cs="Arial"/>
          <w:b/>
          <w:sz w:val="28"/>
          <w:szCs w:val="28"/>
        </w:rPr>
      </w:pPr>
      <w:r w:rsidRPr="00955B41">
        <w:rPr>
          <w:rFonts w:cs="Arial"/>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4915C2" w:rsidRDefault="004915C2" w:rsidP="003E5C19">
                            <w:pPr>
                              <w:pStyle w:val="Norma"/>
                              <w:jc w:val="center"/>
                              <w:rPr>
                                <w:b/>
                                <w:sz w:val="28"/>
                                <w:szCs w:val="28"/>
                              </w:rPr>
                            </w:pPr>
                          </w:p>
                          <w:p w14:paraId="5EA87636" w14:textId="77777777" w:rsidR="004915C2" w:rsidRDefault="004915C2" w:rsidP="003E5C19">
                            <w:pPr>
                              <w:pStyle w:val="Norma"/>
                              <w:jc w:val="center"/>
                              <w:rPr>
                                <w:b/>
                                <w:sz w:val="28"/>
                                <w:szCs w:val="28"/>
                              </w:rPr>
                            </w:pPr>
                          </w:p>
                          <w:p w14:paraId="5EA87637" w14:textId="77777777" w:rsidR="004915C2" w:rsidRPr="003E5C19" w:rsidRDefault="004915C2" w:rsidP="003E5C19">
                            <w:pPr>
                              <w:pStyle w:val="Norma"/>
                              <w:jc w:val="center"/>
                              <w:rPr>
                                <w:rFonts w:cs="Arial"/>
                                <w:b/>
                                <w:sz w:val="36"/>
                                <w:szCs w:val="36"/>
                              </w:rPr>
                            </w:pPr>
                            <w:r w:rsidRPr="003E5C19">
                              <w:rPr>
                                <w:b/>
                                <w:sz w:val="36"/>
                                <w:szCs w:val="36"/>
                              </w:rPr>
                              <w:t>Specification of Requirements</w:t>
                            </w:r>
                          </w:p>
                          <w:p w14:paraId="5EA87638" w14:textId="77777777" w:rsidR="004915C2" w:rsidRDefault="004915C2">
                            <w:pPr>
                              <w:pStyle w:val="Norma"/>
                            </w:pPr>
                          </w:p>
                          <w:p w14:paraId="5EA87639" w14:textId="77777777" w:rsidR="004915C2" w:rsidRDefault="004915C2">
                            <w:pPr>
                              <w:pStyle w:val="Norma"/>
                            </w:pPr>
                          </w:p>
                          <w:p w14:paraId="5EA8763A" w14:textId="5E75F8FA" w:rsidR="004915C2" w:rsidRDefault="004915C2" w:rsidP="00405192">
                            <w:pPr>
                              <w:pStyle w:val="Norma"/>
                              <w:rPr>
                                <w:rFonts w:cs="Arial"/>
                              </w:rPr>
                            </w:pPr>
                            <w:r w:rsidRPr="0000739E">
                              <w:rPr>
                                <w:rFonts w:cs="Arial"/>
                              </w:rPr>
                              <w:t>Invitation to Tender for</w:t>
                            </w:r>
                            <w:r w:rsidRPr="006D645F">
                              <w:rPr>
                                <w:rFonts w:cs="Arial"/>
                              </w:rPr>
                              <w:t xml:space="preserve"> </w:t>
                            </w:r>
                            <w:r w:rsidRPr="00294822">
                              <w:rPr>
                                <w:rFonts w:cs="Arial"/>
                              </w:rPr>
                              <w:t>the provision of analysis on abating direct emissions from ‘hard to decarbonise’ homes, with a view to informing the UK’s long-term targets</w:t>
                            </w:r>
                          </w:p>
                          <w:p w14:paraId="6EDD7CF6" w14:textId="77777777" w:rsidR="004915C2" w:rsidRPr="00DD521A" w:rsidRDefault="004915C2" w:rsidP="00405192">
                            <w:pPr>
                              <w:pStyle w:val="Norma"/>
                              <w:rPr>
                                <w:rFonts w:cs="Arial"/>
                                <w:color w:val="FF0000"/>
                              </w:rPr>
                            </w:pPr>
                          </w:p>
                          <w:p w14:paraId="5EA8763B" w14:textId="7A6C2E6B" w:rsidR="004915C2" w:rsidRPr="0000739E" w:rsidRDefault="004915C2" w:rsidP="00405192">
                            <w:pPr>
                              <w:pStyle w:val="Norma"/>
                              <w:rPr>
                                <w:rFonts w:cs="Arial"/>
                              </w:rPr>
                            </w:pPr>
                            <w:r>
                              <w:rPr>
                                <w:rFonts w:cs="Arial"/>
                              </w:rPr>
                              <w:t xml:space="preserve">Tender Reference Number: </w:t>
                            </w:r>
                            <w:r w:rsidR="004C001D">
                              <w:rPr>
                                <w:rFonts w:cs="Arial"/>
                                <w:color w:val="FF0000"/>
                              </w:rPr>
                              <w:t>RH/1118</w:t>
                            </w:r>
                          </w:p>
                          <w:p w14:paraId="5EA8763C" w14:textId="1C5971DD" w:rsidR="004915C2" w:rsidRDefault="004915C2" w:rsidP="00405192">
                            <w:pPr>
                              <w:pStyle w:val="Norma"/>
                              <w:rPr>
                                <w:rFonts w:cs="Arial"/>
                              </w:rPr>
                            </w:pPr>
                            <w:r w:rsidRPr="0000739E">
                              <w:rPr>
                                <w:rFonts w:cs="Arial"/>
                              </w:rPr>
                              <w:t>Deadline for Tender Responses:</w:t>
                            </w:r>
                            <w:r w:rsidRPr="006D645F">
                              <w:rPr>
                                <w:rFonts w:cs="Arial"/>
                                <w:sz w:val="24"/>
                                <w:szCs w:val="24"/>
                              </w:rPr>
                              <w:t xml:space="preserve"> </w:t>
                            </w:r>
                            <w:r w:rsidR="00932674" w:rsidRPr="00E655AE">
                              <w:rPr>
                                <w:rFonts w:cs="Arial"/>
                              </w:rPr>
                              <w:t>11th December, 5pm</w:t>
                            </w:r>
                          </w:p>
                          <w:p w14:paraId="5EA8763D" w14:textId="77777777" w:rsidR="004915C2" w:rsidRDefault="004915C2" w:rsidP="00790CE1">
                            <w:pPr>
                              <w:pStyle w:val="Norma"/>
                              <w:rPr>
                                <w:rFonts w:cs="Arial"/>
                              </w:rPr>
                            </w:pPr>
                          </w:p>
                          <w:p w14:paraId="5EA8763E" w14:textId="77777777" w:rsidR="004915C2" w:rsidRDefault="004915C2" w:rsidP="00790CE1">
                            <w:pPr>
                              <w:pStyle w:val="Norma"/>
                              <w:rPr>
                                <w:rFonts w:cs="Arial"/>
                              </w:rPr>
                            </w:pPr>
                          </w:p>
                          <w:p w14:paraId="5EA8763F" w14:textId="77777777" w:rsidR="004915C2" w:rsidRPr="0000739E" w:rsidRDefault="004915C2" w:rsidP="00790CE1">
                            <w:pPr>
                              <w:pStyle w:val="Norma"/>
                              <w:rPr>
                                <w:rFonts w:cs="Arial"/>
                              </w:rPr>
                            </w:pPr>
                          </w:p>
                          <w:p w14:paraId="5EA87640" w14:textId="77777777" w:rsidR="004915C2" w:rsidRDefault="004915C2">
                            <w:pPr>
                              <w:pStyle w:val="Norma"/>
                            </w:pPr>
                          </w:p>
                          <w:p w14:paraId="5EA87641" w14:textId="77777777" w:rsidR="004915C2" w:rsidRDefault="004915C2">
                            <w:pPr>
                              <w:pStyle w:val="Norma"/>
                            </w:pPr>
                          </w:p>
                          <w:p w14:paraId="5EA87642" w14:textId="77777777" w:rsidR="004915C2" w:rsidRDefault="004915C2">
                            <w:pPr>
                              <w:pStyle w:val="Norma"/>
                            </w:pPr>
                          </w:p>
                          <w:p w14:paraId="5EA87643" w14:textId="77777777" w:rsidR="004915C2" w:rsidRDefault="004915C2">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4915C2" w:rsidRDefault="004915C2" w:rsidP="003E5C19">
                      <w:pPr>
                        <w:pStyle w:val="Norma"/>
                        <w:jc w:val="center"/>
                        <w:rPr>
                          <w:b/>
                          <w:sz w:val="28"/>
                          <w:szCs w:val="28"/>
                        </w:rPr>
                      </w:pPr>
                      <w:bookmarkStart w:id="3" w:name="_GoBack"/>
                    </w:p>
                    <w:p w14:paraId="5EA87636" w14:textId="77777777" w:rsidR="004915C2" w:rsidRDefault="004915C2" w:rsidP="003E5C19">
                      <w:pPr>
                        <w:pStyle w:val="Norma"/>
                        <w:jc w:val="center"/>
                        <w:rPr>
                          <w:b/>
                          <w:sz w:val="28"/>
                          <w:szCs w:val="28"/>
                        </w:rPr>
                      </w:pPr>
                    </w:p>
                    <w:p w14:paraId="5EA87637" w14:textId="77777777" w:rsidR="004915C2" w:rsidRPr="003E5C19" w:rsidRDefault="004915C2" w:rsidP="003E5C19">
                      <w:pPr>
                        <w:pStyle w:val="Norma"/>
                        <w:jc w:val="center"/>
                        <w:rPr>
                          <w:rFonts w:cs="Arial"/>
                          <w:b/>
                          <w:sz w:val="36"/>
                          <w:szCs w:val="36"/>
                        </w:rPr>
                      </w:pPr>
                      <w:r w:rsidRPr="003E5C19">
                        <w:rPr>
                          <w:b/>
                          <w:sz w:val="36"/>
                          <w:szCs w:val="36"/>
                        </w:rPr>
                        <w:t>Specification of Requirements</w:t>
                      </w:r>
                    </w:p>
                    <w:p w14:paraId="5EA87638" w14:textId="77777777" w:rsidR="004915C2" w:rsidRDefault="004915C2">
                      <w:pPr>
                        <w:pStyle w:val="Norma"/>
                      </w:pPr>
                    </w:p>
                    <w:p w14:paraId="5EA87639" w14:textId="77777777" w:rsidR="004915C2" w:rsidRDefault="004915C2">
                      <w:pPr>
                        <w:pStyle w:val="Norma"/>
                      </w:pPr>
                    </w:p>
                    <w:p w14:paraId="5EA8763A" w14:textId="5E75F8FA" w:rsidR="004915C2" w:rsidRDefault="004915C2" w:rsidP="00405192">
                      <w:pPr>
                        <w:pStyle w:val="Norma"/>
                        <w:rPr>
                          <w:rFonts w:cs="Arial"/>
                        </w:rPr>
                      </w:pPr>
                      <w:r w:rsidRPr="0000739E">
                        <w:rPr>
                          <w:rFonts w:cs="Arial"/>
                        </w:rPr>
                        <w:t>Invitation to Tender for</w:t>
                      </w:r>
                      <w:r w:rsidRPr="006D645F">
                        <w:rPr>
                          <w:rFonts w:cs="Arial"/>
                        </w:rPr>
                        <w:t xml:space="preserve"> </w:t>
                      </w:r>
                      <w:r w:rsidRPr="00294822">
                        <w:rPr>
                          <w:rFonts w:cs="Arial"/>
                        </w:rPr>
                        <w:t>the provision of analysis on abating direct emissions from ‘hard to decarbonise’ homes, with a view to informing the UK’s long-term targets</w:t>
                      </w:r>
                      <w:r w:rsidRPr="007141A4">
                        <w:rPr>
                          <w:rStyle w:val="CommentReference"/>
                          <w:rFonts w:cs="Times New Roman"/>
                        </w:rPr>
                        <w:t/>
                      </w:r>
                    </w:p>
                    <w:p w14:paraId="6EDD7CF6" w14:textId="77777777" w:rsidR="004915C2" w:rsidRPr="00DD521A" w:rsidRDefault="004915C2" w:rsidP="00405192">
                      <w:pPr>
                        <w:pStyle w:val="Norma"/>
                        <w:rPr>
                          <w:rFonts w:cs="Arial"/>
                          <w:color w:val="FF0000"/>
                        </w:rPr>
                      </w:pPr>
                    </w:p>
                    <w:p w14:paraId="5EA8763B" w14:textId="7A6C2E6B" w:rsidR="004915C2" w:rsidRPr="0000739E" w:rsidRDefault="004915C2" w:rsidP="00405192">
                      <w:pPr>
                        <w:pStyle w:val="Norma"/>
                        <w:rPr>
                          <w:rFonts w:cs="Arial"/>
                        </w:rPr>
                      </w:pPr>
                      <w:r>
                        <w:rPr>
                          <w:rFonts w:cs="Arial"/>
                        </w:rPr>
                        <w:t xml:space="preserve">Tender Reference Number: </w:t>
                      </w:r>
                      <w:r w:rsidR="004C001D">
                        <w:rPr>
                          <w:rFonts w:cs="Arial"/>
                          <w:color w:val="FF0000"/>
                        </w:rPr>
                        <w:t>RH/1118</w:t>
                      </w:r>
                    </w:p>
                    <w:p w14:paraId="5EA8763C" w14:textId="1C5971DD" w:rsidR="004915C2" w:rsidRDefault="004915C2" w:rsidP="00405192">
                      <w:pPr>
                        <w:pStyle w:val="Norma"/>
                        <w:rPr>
                          <w:rFonts w:cs="Arial"/>
                        </w:rPr>
                      </w:pPr>
                      <w:r w:rsidRPr="0000739E">
                        <w:rPr>
                          <w:rFonts w:cs="Arial"/>
                        </w:rPr>
                        <w:t>Deadline for Tender Responses:</w:t>
                      </w:r>
                      <w:r w:rsidRPr="006D645F">
                        <w:rPr>
                          <w:rFonts w:cs="Arial"/>
                          <w:sz w:val="24"/>
                          <w:szCs w:val="24"/>
                        </w:rPr>
                        <w:t xml:space="preserve"> </w:t>
                      </w:r>
                      <w:r w:rsidR="00932674" w:rsidRPr="00E655AE">
                        <w:rPr>
                          <w:rFonts w:cs="Arial"/>
                        </w:rPr>
                        <w:t>11th December, 5pm</w:t>
                      </w:r>
                    </w:p>
                    <w:p w14:paraId="5EA8763D" w14:textId="77777777" w:rsidR="004915C2" w:rsidRDefault="004915C2" w:rsidP="00790CE1">
                      <w:pPr>
                        <w:pStyle w:val="Norma"/>
                        <w:rPr>
                          <w:rFonts w:cs="Arial"/>
                        </w:rPr>
                      </w:pPr>
                    </w:p>
                    <w:p w14:paraId="5EA8763E" w14:textId="77777777" w:rsidR="004915C2" w:rsidRDefault="004915C2" w:rsidP="00790CE1">
                      <w:pPr>
                        <w:pStyle w:val="Norma"/>
                        <w:rPr>
                          <w:rFonts w:cs="Arial"/>
                        </w:rPr>
                      </w:pPr>
                    </w:p>
                    <w:p w14:paraId="5EA8763F" w14:textId="77777777" w:rsidR="004915C2" w:rsidRPr="0000739E" w:rsidRDefault="004915C2" w:rsidP="00790CE1">
                      <w:pPr>
                        <w:pStyle w:val="Norma"/>
                        <w:rPr>
                          <w:rFonts w:cs="Arial"/>
                        </w:rPr>
                      </w:pPr>
                    </w:p>
                    <w:p w14:paraId="5EA87640" w14:textId="77777777" w:rsidR="004915C2" w:rsidRDefault="004915C2">
                      <w:pPr>
                        <w:pStyle w:val="Norma"/>
                      </w:pPr>
                    </w:p>
                    <w:p w14:paraId="5EA87641" w14:textId="77777777" w:rsidR="004915C2" w:rsidRDefault="004915C2">
                      <w:pPr>
                        <w:pStyle w:val="Norma"/>
                      </w:pPr>
                    </w:p>
                    <w:p w14:paraId="5EA87642" w14:textId="77777777" w:rsidR="004915C2" w:rsidRDefault="004915C2">
                      <w:pPr>
                        <w:pStyle w:val="Norma"/>
                      </w:pPr>
                    </w:p>
                    <w:bookmarkEnd w:id="3"/>
                    <w:p w14:paraId="5EA87643" w14:textId="77777777" w:rsidR="004915C2" w:rsidRDefault="004915C2">
                      <w:pPr>
                        <w:pStyle w:val="Norma"/>
                      </w:pPr>
                    </w:p>
                  </w:txbxContent>
                </v:textbox>
              </v:shape>
            </w:pict>
          </mc:Fallback>
        </mc:AlternateContent>
      </w:r>
    </w:p>
    <w:p w14:paraId="5EA87537" w14:textId="77777777" w:rsidR="003E5C19" w:rsidRPr="00861E44" w:rsidRDefault="003E5C19" w:rsidP="007B3C23">
      <w:pPr>
        <w:pStyle w:val="Norma"/>
        <w:jc w:val="both"/>
        <w:rPr>
          <w:rFonts w:cs="Arial"/>
          <w:b/>
          <w:sz w:val="28"/>
          <w:szCs w:val="28"/>
        </w:rPr>
      </w:pPr>
    </w:p>
    <w:p w14:paraId="5EA87538" w14:textId="77777777" w:rsidR="003E5C19" w:rsidRPr="00861E44" w:rsidRDefault="003E5C19" w:rsidP="007B3C23">
      <w:pPr>
        <w:pStyle w:val="Norma"/>
        <w:jc w:val="both"/>
        <w:rPr>
          <w:rFonts w:cs="Arial"/>
          <w:b/>
          <w:sz w:val="28"/>
          <w:szCs w:val="28"/>
        </w:rPr>
      </w:pPr>
    </w:p>
    <w:p w14:paraId="5EA87539" w14:textId="77777777" w:rsidR="009954ED" w:rsidRPr="00EE4B03" w:rsidRDefault="009954ED" w:rsidP="007B3C23">
      <w:pPr>
        <w:pStyle w:val="Norma"/>
        <w:jc w:val="both"/>
        <w:rPr>
          <w:rFonts w:cs="Arial"/>
          <w:sz w:val="24"/>
          <w:szCs w:val="24"/>
        </w:rPr>
      </w:pPr>
    </w:p>
    <w:p w14:paraId="5EA8753A" w14:textId="77777777" w:rsidR="003E5C19" w:rsidRPr="00955B41" w:rsidRDefault="003E5C19" w:rsidP="00B0368C">
      <w:pPr>
        <w:pStyle w:val="Numbered"/>
        <w:widowControl/>
        <w:jc w:val="both"/>
        <w:rPr>
          <w:rFonts w:cs="Arial"/>
          <w:b/>
          <w:sz w:val="28"/>
          <w:szCs w:val="28"/>
        </w:rPr>
      </w:pPr>
    </w:p>
    <w:p w14:paraId="5EA8753B" w14:textId="77777777" w:rsidR="003E5C19" w:rsidRPr="00861E44" w:rsidRDefault="003E5C19" w:rsidP="003E5C19">
      <w:pPr>
        <w:pStyle w:val="Numbered"/>
        <w:widowControl/>
        <w:rPr>
          <w:rFonts w:cs="Arial"/>
          <w:b/>
          <w:sz w:val="28"/>
          <w:szCs w:val="28"/>
        </w:rPr>
      </w:pPr>
    </w:p>
    <w:p w14:paraId="5EA8753C" w14:textId="77777777" w:rsidR="00790CE1" w:rsidRPr="00861E44" w:rsidRDefault="00790CE1" w:rsidP="003E5C19">
      <w:pPr>
        <w:pStyle w:val="Numbered"/>
        <w:widowControl/>
        <w:rPr>
          <w:rFonts w:cs="Arial"/>
          <w:b/>
          <w:sz w:val="28"/>
          <w:szCs w:val="28"/>
        </w:rPr>
      </w:pPr>
    </w:p>
    <w:p w14:paraId="5EA8753D" w14:textId="77777777" w:rsidR="00790CE1" w:rsidRPr="00861E44" w:rsidRDefault="00790CE1" w:rsidP="003E5C19">
      <w:pPr>
        <w:pStyle w:val="Numbered"/>
        <w:widowControl/>
        <w:rPr>
          <w:rFonts w:cs="Arial"/>
          <w:b/>
          <w:sz w:val="28"/>
          <w:szCs w:val="28"/>
        </w:rPr>
      </w:pPr>
    </w:p>
    <w:p w14:paraId="5EA8753E" w14:textId="77777777" w:rsidR="002D32D5" w:rsidRPr="00861E44" w:rsidRDefault="002D32D5" w:rsidP="003E5C19">
      <w:pPr>
        <w:pStyle w:val="Numbered"/>
        <w:widowControl/>
        <w:rPr>
          <w:rFonts w:cs="Arial"/>
          <w:b/>
          <w:sz w:val="28"/>
          <w:szCs w:val="28"/>
        </w:rPr>
      </w:pPr>
      <w:r w:rsidRPr="00861E44">
        <w:rPr>
          <w:rFonts w:cs="Arial"/>
          <w:b/>
          <w:sz w:val="28"/>
          <w:szCs w:val="28"/>
        </w:rPr>
        <w:t>Contents</w:t>
      </w:r>
    </w:p>
    <w:p w14:paraId="2F5D2F8A" w14:textId="77777777" w:rsidR="00E67630" w:rsidRDefault="005F1C0A">
      <w:pPr>
        <w:pStyle w:val="TOC1"/>
        <w:rPr>
          <w:rFonts w:asciiTheme="minorHAnsi" w:eastAsiaTheme="minorEastAsia" w:hAnsiTheme="minorHAnsi" w:cstheme="minorBidi"/>
          <w:noProof/>
        </w:rPr>
      </w:pPr>
      <w:r w:rsidRPr="00861E44">
        <w:rPr>
          <w:rFonts w:cs="Arial"/>
          <w:color w:val="000000"/>
          <w:sz w:val="24"/>
          <w:szCs w:val="24"/>
        </w:rPr>
        <w:fldChar w:fldCharType="begin"/>
      </w:r>
      <w:r w:rsidRPr="00861E44">
        <w:rPr>
          <w:rFonts w:cs="Arial"/>
          <w:color w:val="000000"/>
          <w:sz w:val="24"/>
          <w:szCs w:val="24"/>
        </w:rPr>
        <w:instrText xml:space="preserve"> TOC \o "1-1" </w:instrText>
      </w:r>
      <w:r w:rsidRPr="00861E44">
        <w:rPr>
          <w:rFonts w:cs="Arial"/>
          <w:color w:val="000000"/>
          <w:sz w:val="24"/>
          <w:szCs w:val="24"/>
        </w:rPr>
        <w:fldChar w:fldCharType="separate"/>
      </w:r>
      <w:r w:rsidR="00E67630" w:rsidRPr="00095359">
        <w:rPr>
          <w:rFonts w:cs="Arial"/>
          <w:noProof/>
        </w:rPr>
        <w:t>1.</w:t>
      </w:r>
      <w:r w:rsidR="00E67630">
        <w:rPr>
          <w:rFonts w:asciiTheme="minorHAnsi" w:eastAsiaTheme="minorEastAsia" w:hAnsiTheme="minorHAnsi" w:cstheme="minorBidi"/>
          <w:noProof/>
        </w:rPr>
        <w:tab/>
      </w:r>
      <w:r w:rsidR="00E67630" w:rsidRPr="00095359">
        <w:rPr>
          <w:rFonts w:cs="Arial"/>
          <w:noProof/>
        </w:rPr>
        <w:t>Preamble</w:t>
      </w:r>
      <w:r w:rsidR="00E67630">
        <w:rPr>
          <w:noProof/>
        </w:rPr>
        <w:tab/>
      </w:r>
      <w:r w:rsidR="00E67630">
        <w:rPr>
          <w:noProof/>
        </w:rPr>
        <w:fldChar w:fldCharType="begin"/>
      </w:r>
      <w:r w:rsidR="00E67630">
        <w:rPr>
          <w:noProof/>
        </w:rPr>
        <w:instrText xml:space="preserve"> PAGEREF _Toc530496750 \h </w:instrText>
      </w:r>
      <w:r w:rsidR="00E67630">
        <w:rPr>
          <w:noProof/>
        </w:rPr>
      </w:r>
      <w:r w:rsidR="00E67630">
        <w:rPr>
          <w:noProof/>
        </w:rPr>
        <w:fldChar w:fldCharType="separate"/>
      </w:r>
      <w:r w:rsidR="00E67630">
        <w:rPr>
          <w:noProof/>
        </w:rPr>
        <w:t>3</w:t>
      </w:r>
      <w:r w:rsidR="00E67630">
        <w:rPr>
          <w:noProof/>
        </w:rPr>
        <w:fldChar w:fldCharType="end"/>
      </w:r>
    </w:p>
    <w:p w14:paraId="24F588C4" w14:textId="77777777" w:rsidR="00E67630" w:rsidRDefault="00E67630">
      <w:pPr>
        <w:pStyle w:val="TOC1"/>
        <w:rPr>
          <w:rFonts w:asciiTheme="minorHAnsi" w:eastAsiaTheme="minorEastAsia" w:hAnsiTheme="minorHAnsi" w:cstheme="minorBidi"/>
          <w:noProof/>
        </w:rPr>
      </w:pPr>
      <w:r w:rsidRPr="00095359">
        <w:rPr>
          <w:rFonts w:cs="Arial"/>
          <w:noProof/>
        </w:rPr>
        <w:t>2.</w:t>
      </w:r>
      <w:r>
        <w:rPr>
          <w:rFonts w:asciiTheme="minorHAnsi" w:eastAsiaTheme="minorEastAsia" w:hAnsiTheme="minorHAnsi" w:cstheme="minorBidi"/>
          <w:noProof/>
        </w:rPr>
        <w:tab/>
      </w:r>
      <w:r w:rsidRPr="00095359">
        <w:rPr>
          <w:rFonts w:cs="Arial"/>
          <w:noProof/>
        </w:rPr>
        <w:t>Background</w:t>
      </w:r>
      <w:r>
        <w:rPr>
          <w:noProof/>
        </w:rPr>
        <w:tab/>
      </w:r>
      <w:r>
        <w:rPr>
          <w:noProof/>
        </w:rPr>
        <w:fldChar w:fldCharType="begin"/>
      </w:r>
      <w:r>
        <w:rPr>
          <w:noProof/>
        </w:rPr>
        <w:instrText xml:space="preserve"> PAGEREF _Toc530496751 \h </w:instrText>
      </w:r>
      <w:r>
        <w:rPr>
          <w:noProof/>
        </w:rPr>
      </w:r>
      <w:r>
        <w:rPr>
          <w:noProof/>
        </w:rPr>
        <w:fldChar w:fldCharType="separate"/>
      </w:r>
      <w:r>
        <w:rPr>
          <w:noProof/>
        </w:rPr>
        <w:t>3</w:t>
      </w:r>
      <w:r>
        <w:rPr>
          <w:noProof/>
        </w:rPr>
        <w:fldChar w:fldCharType="end"/>
      </w:r>
    </w:p>
    <w:p w14:paraId="7A8C938D" w14:textId="77777777" w:rsidR="00E67630" w:rsidRDefault="00E67630">
      <w:pPr>
        <w:pStyle w:val="TOC1"/>
        <w:rPr>
          <w:rFonts w:asciiTheme="minorHAnsi" w:eastAsiaTheme="minorEastAsia" w:hAnsiTheme="minorHAnsi" w:cstheme="minorBidi"/>
          <w:noProof/>
        </w:rPr>
      </w:pPr>
      <w:r w:rsidRPr="00095359">
        <w:rPr>
          <w:rFonts w:cs="Arial"/>
          <w:noProof/>
        </w:rPr>
        <w:t>3.</w:t>
      </w:r>
      <w:r>
        <w:rPr>
          <w:rFonts w:asciiTheme="minorHAnsi" w:eastAsiaTheme="minorEastAsia" w:hAnsiTheme="minorHAnsi" w:cstheme="minorBidi"/>
          <w:noProof/>
        </w:rPr>
        <w:tab/>
      </w:r>
      <w:r w:rsidRPr="00095359">
        <w:rPr>
          <w:rFonts w:cs="Arial"/>
          <w:noProof/>
        </w:rPr>
        <w:t>Aims and Objectives</w:t>
      </w:r>
      <w:r>
        <w:rPr>
          <w:noProof/>
        </w:rPr>
        <w:tab/>
      </w:r>
      <w:r>
        <w:rPr>
          <w:noProof/>
        </w:rPr>
        <w:fldChar w:fldCharType="begin"/>
      </w:r>
      <w:r>
        <w:rPr>
          <w:noProof/>
        </w:rPr>
        <w:instrText xml:space="preserve"> PAGEREF _Toc530496752 \h </w:instrText>
      </w:r>
      <w:r>
        <w:rPr>
          <w:noProof/>
        </w:rPr>
      </w:r>
      <w:r>
        <w:rPr>
          <w:noProof/>
        </w:rPr>
        <w:fldChar w:fldCharType="separate"/>
      </w:r>
      <w:r>
        <w:rPr>
          <w:noProof/>
        </w:rPr>
        <w:t>12</w:t>
      </w:r>
      <w:r>
        <w:rPr>
          <w:noProof/>
        </w:rPr>
        <w:fldChar w:fldCharType="end"/>
      </w:r>
    </w:p>
    <w:p w14:paraId="7E058BF1" w14:textId="77777777" w:rsidR="00E67630" w:rsidRDefault="00E67630">
      <w:pPr>
        <w:pStyle w:val="TOC1"/>
        <w:rPr>
          <w:rFonts w:asciiTheme="minorHAnsi" w:eastAsiaTheme="minorEastAsia" w:hAnsiTheme="minorHAnsi" w:cstheme="minorBidi"/>
          <w:noProof/>
        </w:rPr>
      </w:pPr>
      <w:r w:rsidRPr="00095359">
        <w:rPr>
          <w:rFonts w:cs="Arial"/>
          <w:noProof/>
        </w:rPr>
        <w:t>4</w:t>
      </w:r>
      <w:r>
        <w:rPr>
          <w:rFonts w:asciiTheme="minorHAnsi" w:eastAsiaTheme="minorEastAsia" w:hAnsiTheme="minorHAnsi" w:cstheme="minorBidi"/>
          <w:noProof/>
        </w:rPr>
        <w:tab/>
      </w:r>
      <w:r w:rsidRPr="00095359">
        <w:rPr>
          <w:rFonts w:cs="Arial"/>
          <w:noProof/>
        </w:rPr>
        <w:t>Methodology</w:t>
      </w:r>
      <w:r>
        <w:rPr>
          <w:noProof/>
        </w:rPr>
        <w:tab/>
      </w:r>
      <w:r>
        <w:rPr>
          <w:noProof/>
        </w:rPr>
        <w:fldChar w:fldCharType="begin"/>
      </w:r>
      <w:r>
        <w:rPr>
          <w:noProof/>
        </w:rPr>
        <w:instrText xml:space="preserve"> PAGEREF _Toc530496753 \h </w:instrText>
      </w:r>
      <w:r>
        <w:rPr>
          <w:noProof/>
        </w:rPr>
      </w:r>
      <w:r>
        <w:rPr>
          <w:noProof/>
        </w:rPr>
        <w:fldChar w:fldCharType="separate"/>
      </w:r>
      <w:r>
        <w:rPr>
          <w:noProof/>
        </w:rPr>
        <w:t>16</w:t>
      </w:r>
      <w:r>
        <w:rPr>
          <w:noProof/>
        </w:rPr>
        <w:fldChar w:fldCharType="end"/>
      </w:r>
    </w:p>
    <w:p w14:paraId="35D6A958" w14:textId="77777777" w:rsidR="00E67630" w:rsidRDefault="00E67630">
      <w:pPr>
        <w:pStyle w:val="TOC1"/>
        <w:rPr>
          <w:rFonts w:asciiTheme="minorHAnsi" w:eastAsiaTheme="minorEastAsia" w:hAnsiTheme="minorHAnsi" w:cstheme="minorBidi"/>
          <w:noProof/>
        </w:rPr>
      </w:pPr>
      <w:r w:rsidRPr="00095359">
        <w:rPr>
          <w:rFonts w:cs="Arial"/>
          <w:noProof/>
        </w:rPr>
        <w:t>5</w:t>
      </w:r>
      <w:r>
        <w:rPr>
          <w:rFonts w:asciiTheme="minorHAnsi" w:eastAsiaTheme="minorEastAsia" w:hAnsiTheme="minorHAnsi" w:cstheme="minorBidi"/>
          <w:noProof/>
        </w:rPr>
        <w:tab/>
      </w:r>
      <w:r w:rsidRPr="00095359">
        <w:rPr>
          <w:rFonts w:cs="Arial"/>
          <w:noProof/>
        </w:rPr>
        <w:t>Outputs Required</w:t>
      </w:r>
      <w:r>
        <w:rPr>
          <w:noProof/>
        </w:rPr>
        <w:tab/>
      </w:r>
      <w:r>
        <w:rPr>
          <w:noProof/>
        </w:rPr>
        <w:fldChar w:fldCharType="begin"/>
      </w:r>
      <w:r>
        <w:rPr>
          <w:noProof/>
        </w:rPr>
        <w:instrText xml:space="preserve"> PAGEREF _Toc530496754 \h </w:instrText>
      </w:r>
      <w:r>
        <w:rPr>
          <w:noProof/>
        </w:rPr>
      </w:r>
      <w:r>
        <w:rPr>
          <w:noProof/>
        </w:rPr>
        <w:fldChar w:fldCharType="separate"/>
      </w:r>
      <w:r>
        <w:rPr>
          <w:noProof/>
        </w:rPr>
        <w:t>20</w:t>
      </w:r>
      <w:r>
        <w:rPr>
          <w:noProof/>
        </w:rPr>
        <w:fldChar w:fldCharType="end"/>
      </w:r>
    </w:p>
    <w:p w14:paraId="072B5423" w14:textId="77777777" w:rsidR="00E67630" w:rsidRDefault="00E67630">
      <w:pPr>
        <w:pStyle w:val="TOC1"/>
        <w:rPr>
          <w:rFonts w:asciiTheme="minorHAnsi" w:eastAsiaTheme="minorEastAsia" w:hAnsiTheme="minorHAnsi" w:cstheme="minorBidi"/>
          <w:noProof/>
        </w:rPr>
      </w:pPr>
      <w:r w:rsidRPr="00095359">
        <w:rPr>
          <w:rFonts w:cs="Arial"/>
          <w:noProof/>
        </w:rPr>
        <w:t>6</w:t>
      </w:r>
      <w:r>
        <w:rPr>
          <w:rFonts w:asciiTheme="minorHAnsi" w:eastAsiaTheme="minorEastAsia" w:hAnsiTheme="minorHAnsi" w:cstheme="minorBidi"/>
          <w:noProof/>
        </w:rPr>
        <w:tab/>
      </w:r>
      <w:r w:rsidRPr="00095359">
        <w:rPr>
          <w:rFonts w:cs="Arial"/>
          <w:noProof/>
        </w:rPr>
        <w:t>Ownership and Publication</w:t>
      </w:r>
      <w:r>
        <w:rPr>
          <w:noProof/>
        </w:rPr>
        <w:tab/>
      </w:r>
      <w:r>
        <w:rPr>
          <w:noProof/>
        </w:rPr>
        <w:fldChar w:fldCharType="begin"/>
      </w:r>
      <w:r>
        <w:rPr>
          <w:noProof/>
        </w:rPr>
        <w:instrText xml:space="preserve"> PAGEREF _Toc530496755 \h </w:instrText>
      </w:r>
      <w:r>
        <w:rPr>
          <w:noProof/>
        </w:rPr>
      </w:r>
      <w:r>
        <w:rPr>
          <w:noProof/>
        </w:rPr>
        <w:fldChar w:fldCharType="separate"/>
      </w:r>
      <w:r>
        <w:rPr>
          <w:noProof/>
        </w:rPr>
        <w:t>21</w:t>
      </w:r>
      <w:r>
        <w:rPr>
          <w:noProof/>
        </w:rPr>
        <w:fldChar w:fldCharType="end"/>
      </w:r>
    </w:p>
    <w:p w14:paraId="24477AEA" w14:textId="77777777" w:rsidR="00E67630" w:rsidRDefault="00E67630">
      <w:pPr>
        <w:pStyle w:val="TOC1"/>
        <w:rPr>
          <w:rFonts w:asciiTheme="minorHAnsi" w:eastAsiaTheme="minorEastAsia" w:hAnsiTheme="minorHAnsi" w:cstheme="minorBidi"/>
          <w:noProof/>
        </w:rPr>
      </w:pPr>
      <w:r w:rsidRPr="00095359">
        <w:rPr>
          <w:rFonts w:cs="Arial"/>
          <w:noProof/>
        </w:rPr>
        <w:t>7</w:t>
      </w:r>
      <w:r>
        <w:rPr>
          <w:rFonts w:asciiTheme="minorHAnsi" w:eastAsiaTheme="minorEastAsia" w:hAnsiTheme="minorHAnsi" w:cstheme="minorBidi"/>
          <w:noProof/>
        </w:rPr>
        <w:tab/>
      </w:r>
      <w:r w:rsidRPr="00095359">
        <w:rPr>
          <w:rFonts w:cs="Arial"/>
          <w:noProof/>
        </w:rPr>
        <w:t>Quality Assurance</w:t>
      </w:r>
      <w:r>
        <w:rPr>
          <w:noProof/>
        </w:rPr>
        <w:tab/>
      </w:r>
      <w:r>
        <w:rPr>
          <w:noProof/>
        </w:rPr>
        <w:fldChar w:fldCharType="begin"/>
      </w:r>
      <w:r>
        <w:rPr>
          <w:noProof/>
        </w:rPr>
        <w:instrText xml:space="preserve"> PAGEREF _Toc530496756 \h </w:instrText>
      </w:r>
      <w:r>
        <w:rPr>
          <w:noProof/>
        </w:rPr>
      </w:r>
      <w:r>
        <w:rPr>
          <w:noProof/>
        </w:rPr>
        <w:fldChar w:fldCharType="separate"/>
      </w:r>
      <w:r>
        <w:rPr>
          <w:noProof/>
        </w:rPr>
        <w:t>21</w:t>
      </w:r>
      <w:r>
        <w:rPr>
          <w:noProof/>
        </w:rPr>
        <w:fldChar w:fldCharType="end"/>
      </w:r>
    </w:p>
    <w:p w14:paraId="65431F53" w14:textId="77777777" w:rsidR="00E67630" w:rsidRDefault="00E67630">
      <w:pPr>
        <w:pStyle w:val="TOC1"/>
        <w:rPr>
          <w:rFonts w:asciiTheme="minorHAnsi" w:eastAsiaTheme="minorEastAsia" w:hAnsiTheme="minorHAnsi" w:cstheme="minorBidi"/>
          <w:noProof/>
        </w:rPr>
      </w:pPr>
      <w:r w:rsidRPr="00095359">
        <w:rPr>
          <w:rFonts w:cs="Arial"/>
          <w:noProof/>
        </w:rPr>
        <w:t>8</w:t>
      </w:r>
      <w:r>
        <w:rPr>
          <w:rFonts w:asciiTheme="minorHAnsi" w:eastAsiaTheme="minorEastAsia" w:hAnsiTheme="minorHAnsi" w:cstheme="minorBidi"/>
          <w:noProof/>
        </w:rPr>
        <w:tab/>
      </w:r>
      <w:r w:rsidRPr="00095359">
        <w:rPr>
          <w:rFonts w:cs="Arial"/>
          <w:noProof/>
        </w:rPr>
        <w:t>Timetable</w:t>
      </w:r>
      <w:r>
        <w:rPr>
          <w:noProof/>
        </w:rPr>
        <w:tab/>
      </w:r>
      <w:r>
        <w:rPr>
          <w:noProof/>
        </w:rPr>
        <w:fldChar w:fldCharType="begin"/>
      </w:r>
      <w:r>
        <w:rPr>
          <w:noProof/>
        </w:rPr>
        <w:instrText xml:space="preserve"> PAGEREF _Toc530496757 \h </w:instrText>
      </w:r>
      <w:r>
        <w:rPr>
          <w:noProof/>
        </w:rPr>
      </w:r>
      <w:r>
        <w:rPr>
          <w:noProof/>
        </w:rPr>
        <w:fldChar w:fldCharType="separate"/>
      </w:r>
      <w:r>
        <w:rPr>
          <w:noProof/>
        </w:rPr>
        <w:t>21</w:t>
      </w:r>
      <w:r>
        <w:rPr>
          <w:noProof/>
        </w:rPr>
        <w:fldChar w:fldCharType="end"/>
      </w:r>
    </w:p>
    <w:p w14:paraId="5B159575" w14:textId="77777777" w:rsidR="00E67630" w:rsidRDefault="00E67630">
      <w:pPr>
        <w:pStyle w:val="TOC1"/>
        <w:rPr>
          <w:rFonts w:asciiTheme="minorHAnsi" w:eastAsiaTheme="minorEastAsia" w:hAnsiTheme="minorHAnsi" w:cstheme="minorBidi"/>
          <w:noProof/>
        </w:rPr>
      </w:pPr>
      <w:r w:rsidRPr="00095359">
        <w:rPr>
          <w:rFonts w:cs="Arial"/>
          <w:noProof/>
        </w:rPr>
        <w:t>9</w:t>
      </w:r>
      <w:r>
        <w:rPr>
          <w:rFonts w:asciiTheme="minorHAnsi" w:eastAsiaTheme="minorEastAsia" w:hAnsiTheme="minorHAnsi" w:cstheme="minorBidi"/>
          <w:noProof/>
        </w:rPr>
        <w:tab/>
      </w:r>
      <w:r w:rsidRPr="00095359">
        <w:rPr>
          <w:rFonts w:cs="Arial"/>
          <w:noProof/>
        </w:rPr>
        <w:t>Challenges</w:t>
      </w:r>
      <w:r>
        <w:rPr>
          <w:noProof/>
        </w:rPr>
        <w:tab/>
      </w:r>
      <w:r>
        <w:rPr>
          <w:noProof/>
        </w:rPr>
        <w:fldChar w:fldCharType="begin"/>
      </w:r>
      <w:r>
        <w:rPr>
          <w:noProof/>
        </w:rPr>
        <w:instrText xml:space="preserve"> PAGEREF _Toc530496758 \h </w:instrText>
      </w:r>
      <w:r>
        <w:rPr>
          <w:noProof/>
        </w:rPr>
      </w:r>
      <w:r>
        <w:rPr>
          <w:noProof/>
        </w:rPr>
        <w:fldChar w:fldCharType="separate"/>
      </w:r>
      <w:r>
        <w:rPr>
          <w:noProof/>
        </w:rPr>
        <w:t>22</w:t>
      </w:r>
      <w:r>
        <w:rPr>
          <w:noProof/>
        </w:rPr>
        <w:fldChar w:fldCharType="end"/>
      </w:r>
    </w:p>
    <w:p w14:paraId="66138F54" w14:textId="77777777" w:rsidR="00E67630" w:rsidRDefault="00E67630">
      <w:pPr>
        <w:pStyle w:val="TOC1"/>
        <w:rPr>
          <w:rFonts w:asciiTheme="minorHAnsi" w:eastAsiaTheme="minorEastAsia" w:hAnsiTheme="minorHAnsi" w:cstheme="minorBidi"/>
          <w:noProof/>
        </w:rPr>
      </w:pPr>
      <w:r w:rsidRPr="00095359">
        <w:rPr>
          <w:rFonts w:cs="Arial"/>
          <w:noProof/>
        </w:rPr>
        <w:lastRenderedPageBreak/>
        <w:t>10</w:t>
      </w:r>
      <w:r>
        <w:rPr>
          <w:rFonts w:asciiTheme="minorHAnsi" w:eastAsiaTheme="minorEastAsia" w:hAnsiTheme="minorHAnsi" w:cstheme="minorBidi"/>
          <w:noProof/>
        </w:rPr>
        <w:tab/>
      </w:r>
      <w:r w:rsidRPr="00095359">
        <w:rPr>
          <w:rFonts w:cs="Arial"/>
          <w:noProof/>
        </w:rPr>
        <w:t>Ethics</w:t>
      </w:r>
      <w:r>
        <w:rPr>
          <w:noProof/>
        </w:rPr>
        <w:tab/>
      </w:r>
      <w:r>
        <w:rPr>
          <w:noProof/>
        </w:rPr>
        <w:fldChar w:fldCharType="begin"/>
      </w:r>
      <w:r>
        <w:rPr>
          <w:noProof/>
        </w:rPr>
        <w:instrText xml:space="preserve"> PAGEREF _Toc530496759 \h </w:instrText>
      </w:r>
      <w:r>
        <w:rPr>
          <w:noProof/>
        </w:rPr>
      </w:r>
      <w:r>
        <w:rPr>
          <w:noProof/>
        </w:rPr>
        <w:fldChar w:fldCharType="separate"/>
      </w:r>
      <w:r>
        <w:rPr>
          <w:noProof/>
        </w:rPr>
        <w:t>22</w:t>
      </w:r>
      <w:r>
        <w:rPr>
          <w:noProof/>
        </w:rPr>
        <w:fldChar w:fldCharType="end"/>
      </w:r>
    </w:p>
    <w:p w14:paraId="176E83F4" w14:textId="77777777" w:rsidR="00E67630" w:rsidRDefault="00E67630">
      <w:pPr>
        <w:pStyle w:val="TOC1"/>
        <w:rPr>
          <w:rFonts w:asciiTheme="minorHAnsi" w:eastAsiaTheme="minorEastAsia" w:hAnsiTheme="minorHAnsi" w:cstheme="minorBidi"/>
          <w:noProof/>
        </w:rPr>
      </w:pPr>
      <w:r w:rsidRPr="00095359">
        <w:rPr>
          <w:rFonts w:cs="Arial"/>
          <w:noProof/>
        </w:rPr>
        <w:t>11</w:t>
      </w:r>
      <w:r>
        <w:rPr>
          <w:rFonts w:asciiTheme="minorHAnsi" w:eastAsiaTheme="minorEastAsia" w:hAnsiTheme="minorHAnsi" w:cstheme="minorBidi"/>
          <w:noProof/>
        </w:rPr>
        <w:tab/>
      </w:r>
      <w:r w:rsidRPr="00095359">
        <w:rPr>
          <w:rFonts w:cs="Arial"/>
          <w:noProof/>
        </w:rPr>
        <w:t>Working Arrangements</w:t>
      </w:r>
      <w:r>
        <w:rPr>
          <w:noProof/>
        </w:rPr>
        <w:tab/>
      </w:r>
      <w:r>
        <w:rPr>
          <w:noProof/>
        </w:rPr>
        <w:fldChar w:fldCharType="begin"/>
      </w:r>
      <w:r>
        <w:rPr>
          <w:noProof/>
        </w:rPr>
        <w:instrText xml:space="preserve"> PAGEREF _Toc530496760 \h </w:instrText>
      </w:r>
      <w:r>
        <w:rPr>
          <w:noProof/>
        </w:rPr>
      </w:r>
      <w:r>
        <w:rPr>
          <w:noProof/>
        </w:rPr>
        <w:fldChar w:fldCharType="separate"/>
      </w:r>
      <w:r>
        <w:rPr>
          <w:noProof/>
        </w:rPr>
        <w:t>23</w:t>
      </w:r>
      <w:r>
        <w:rPr>
          <w:noProof/>
        </w:rPr>
        <w:fldChar w:fldCharType="end"/>
      </w:r>
    </w:p>
    <w:p w14:paraId="05C8D37A" w14:textId="77777777" w:rsidR="00E67630" w:rsidRDefault="00E67630">
      <w:pPr>
        <w:pStyle w:val="TOC1"/>
        <w:rPr>
          <w:rFonts w:asciiTheme="minorHAnsi" w:eastAsiaTheme="minorEastAsia" w:hAnsiTheme="minorHAnsi" w:cstheme="minorBidi"/>
          <w:noProof/>
        </w:rPr>
      </w:pPr>
      <w:r w:rsidRPr="00095359">
        <w:rPr>
          <w:rFonts w:cs="Arial"/>
          <w:noProof/>
        </w:rPr>
        <w:t>12</w:t>
      </w:r>
      <w:r>
        <w:rPr>
          <w:rFonts w:asciiTheme="minorHAnsi" w:eastAsiaTheme="minorEastAsia" w:hAnsiTheme="minorHAnsi" w:cstheme="minorBidi"/>
          <w:noProof/>
        </w:rPr>
        <w:tab/>
      </w:r>
      <w:r w:rsidRPr="00095359">
        <w:rPr>
          <w:rFonts w:cs="Arial"/>
          <w:noProof/>
        </w:rPr>
        <w:t>Skills and experience</w:t>
      </w:r>
      <w:r>
        <w:rPr>
          <w:noProof/>
        </w:rPr>
        <w:tab/>
      </w:r>
      <w:r>
        <w:rPr>
          <w:noProof/>
        </w:rPr>
        <w:fldChar w:fldCharType="begin"/>
      </w:r>
      <w:r>
        <w:rPr>
          <w:noProof/>
        </w:rPr>
        <w:instrText xml:space="preserve"> PAGEREF _Toc530496761 \h </w:instrText>
      </w:r>
      <w:r>
        <w:rPr>
          <w:noProof/>
        </w:rPr>
      </w:r>
      <w:r>
        <w:rPr>
          <w:noProof/>
        </w:rPr>
        <w:fldChar w:fldCharType="separate"/>
      </w:r>
      <w:r>
        <w:rPr>
          <w:noProof/>
        </w:rPr>
        <w:t>23</w:t>
      </w:r>
      <w:r>
        <w:rPr>
          <w:noProof/>
        </w:rPr>
        <w:fldChar w:fldCharType="end"/>
      </w:r>
    </w:p>
    <w:p w14:paraId="0465ACC4" w14:textId="77777777" w:rsidR="00E67630" w:rsidRDefault="00E67630">
      <w:pPr>
        <w:pStyle w:val="TOC1"/>
        <w:rPr>
          <w:rFonts w:asciiTheme="minorHAnsi" w:eastAsiaTheme="minorEastAsia" w:hAnsiTheme="minorHAnsi" w:cstheme="minorBidi"/>
          <w:noProof/>
        </w:rPr>
      </w:pPr>
      <w:r w:rsidRPr="00095359">
        <w:rPr>
          <w:rFonts w:cs="Arial"/>
          <w:noProof/>
        </w:rPr>
        <w:t>13</w:t>
      </w:r>
      <w:r>
        <w:rPr>
          <w:rFonts w:asciiTheme="minorHAnsi" w:eastAsiaTheme="minorEastAsia" w:hAnsiTheme="minorHAnsi" w:cstheme="minorBidi"/>
          <w:noProof/>
        </w:rPr>
        <w:tab/>
      </w:r>
      <w:r w:rsidRPr="00095359">
        <w:rPr>
          <w:rFonts w:cs="Arial"/>
          <w:noProof/>
        </w:rPr>
        <w:t>Consortium Bids</w:t>
      </w:r>
      <w:r>
        <w:rPr>
          <w:noProof/>
        </w:rPr>
        <w:tab/>
      </w:r>
      <w:r>
        <w:rPr>
          <w:noProof/>
        </w:rPr>
        <w:fldChar w:fldCharType="begin"/>
      </w:r>
      <w:r>
        <w:rPr>
          <w:noProof/>
        </w:rPr>
        <w:instrText xml:space="preserve"> PAGEREF _Toc530496762 \h </w:instrText>
      </w:r>
      <w:r>
        <w:rPr>
          <w:noProof/>
        </w:rPr>
      </w:r>
      <w:r>
        <w:rPr>
          <w:noProof/>
        </w:rPr>
        <w:fldChar w:fldCharType="separate"/>
      </w:r>
      <w:r>
        <w:rPr>
          <w:noProof/>
        </w:rPr>
        <w:t>23</w:t>
      </w:r>
      <w:r>
        <w:rPr>
          <w:noProof/>
        </w:rPr>
        <w:fldChar w:fldCharType="end"/>
      </w:r>
    </w:p>
    <w:p w14:paraId="4BA18C95" w14:textId="77777777" w:rsidR="00E67630" w:rsidRDefault="00E67630">
      <w:pPr>
        <w:pStyle w:val="TOC1"/>
        <w:rPr>
          <w:rFonts w:asciiTheme="minorHAnsi" w:eastAsiaTheme="minorEastAsia" w:hAnsiTheme="minorHAnsi" w:cstheme="minorBidi"/>
          <w:noProof/>
        </w:rPr>
      </w:pPr>
      <w:r w:rsidRPr="00095359">
        <w:rPr>
          <w:rFonts w:cs="Arial"/>
          <w:noProof/>
        </w:rPr>
        <w:t>14</w:t>
      </w:r>
      <w:r>
        <w:rPr>
          <w:rFonts w:asciiTheme="minorHAnsi" w:eastAsiaTheme="minorEastAsia" w:hAnsiTheme="minorHAnsi" w:cstheme="minorBidi"/>
          <w:noProof/>
        </w:rPr>
        <w:tab/>
      </w:r>
      <w:r w:rsidRPr="00095359">
        <w:rPr>
          <w:rFonts w:cs="Arial"/>
          <w:noProof/>
        </w:rPr>
        <w:t>Budget</w:t>
      </w:r>
      <w:r>
        <w:rPr>
          <w:noProof/>
        </w:rPr>
        <w:tab/>
      </w:r>
      <w:r>
        <w:rPr>
          <w:noProof/>
        </w:rPr>
        <w:fldChar w:fldCharType="begin"/>
      </w:r>
      <w:r>
        <w:rPr>
          <w:noProof/>
        </w:rPr>
        <w:instrText xml:space="preserve"> PAGEREF _Toc530496763 \h </w:instrText>
      </w:r>
      <w:r>
        <w:rPr>
          <w:noProof/>
        </w:rPr>
      </w:r>
      <w:r>
        <w:rPr>
          <w:noProof/>
        </w:rPr>
        <w:fldChar w:fldCharType="separate"/>
      </w:r>
      <w:r>
        <w:rPr>
          <w:noProof/>
        </w:rPr>
        <w:t>23</w:t>
      </w:r>
      <w:r>
        <w:rPr>
          <w:noProof/>
        </w:rPr>
        <w:fldChar w:fldCharType="end"/>
      </w:r>
    </w:p>
    <w:p w14:paraId="0F9AFE82" w14:textId="77777777" w:rsidR="00E67630" w:rsidRDefault="00E67630">
      <w:pPr>
        <w:pStyle w:val="TOC1"/>
        <w:rPr>
          <w:rFonts w:asciiTheme="minorHAnsi" w:eastAsiaTheme="minorEastAsia" w:hAnsiTheme="minorHAnsi" w:cstheme="minorBidi"/>
          <w:noProof/>
        </w:rPr>
      </w:pPr>
      <w:r w:rsidRPr="00095359">
        <w:rPr>
          <w:rFonts w:cs="Arial"/>
          <w:noProof/>
        </w:rPr>
        <w:t>15</w:t>
      </w:r>
      <w:r>
        <w:rPr>
          <w:rFonts w:asciiTheme="minorHAnsi" w:eastAsiaTheme="minorEastAsia" w:hAnsiTheme="minorHAnsi" w:cstheme="minorBidi"/>
          <w:noProof/>
        </w:rPr>
        <w:tab/>
      </w:r>
      <w:r w:rsidRPr="00095359">
        <w:rPr>
          <w:rFonts w:cs="Arial"/>
          <w:noProof/>
        </w:rPr>
        <w:t>Evaluation of Tenders</w:t>
      </w:r>
      <w:r>
        <w:rPr>
          <w:noProof/>
        </w:rPr>
        <w:tab/>
      </w:r>
      <w:r>
        <w:rPr>
          <w:noProof/>
        </w:rPr>
        <w:fldChar w:fldCharType="begin"/>
      </w:r>
      <w:r>
        <w:rPr>
          <w:noProof/>
        </w:rPr>
        <w:instrText xml:space="preserve"> PAGEREF _Toc530496764 \h </w:instrText>
      </w:r>
      <w:r>
        <w:rPr>
          <w:noProof/>
        </w:rPr>
      </w:r>
      <w:r>
        <w:rPr>
          <w:noProof/>
        </w:rPr>
        <w:fldChar w:fldCharType="separate"/>
      </w:r>
      <w:r>
        <w:rPr>
          <w:noProof/>
        </w:rPr>
        <w:t>24</w:t>
      </w:r>
      <w:r>
        <w:rPr>
          <w:noProof/>
        </w:rPr>
        <w:fldChar w:fldCharType="end"/>
      </w:r>
    </w:p>
    <w:p w14:paraId="5EA87550" w14:textId="6DA60205" w:rsidR="00630A46" w:rsidRPr="00EE4B03" w:rsidRDefault="005F1C0A" w:rsidP="00014519">
      <w:pPr>
        <w:pStyle w:val="Numbered"/>
        <w:widowControl/>
        <w:rPr>
          <w:rFonts w:cs="Arial"/>
          <w:color w:val="000000"/>
          <w:sz w:val="24"/>
          <w:szCs w:val="24"/>
        </w:rPr>
      </w:pPr>
      <w:r w:rsidRPr="00861E44">
        <w:rPr>
          <w:rFonts w:cs="Arial"/>
          <w:color w:val="000000"/>
          <w:sz w:val="24"/>
          <w:szCs w:val="24"/>
        </w:rPr>
        <w:fldChar w:fldCharType="end"/>
      </w:r>
      <w:r w:rsidR="00014519" w:rsidRPr="00EE4B03">
        <w:rPr>
          <w:rFonts w:cs="Arial"/>
          <w:color w:val="000000"/>
          <w:sz w:val="24"/>
          <w:szCs w:val="24"/>
        </w:rPr>
        <w:tab/>
      </w:r>
      <w:r w:rsidR="00014519" w:rsidRPr="00EE4B03">
        <w:rPr>
          <w:rFonts w:cs="Arial"/>
          <w:color w:val="000000"/>
          <w:sz w:val="24"/>
          <w:szCs w:val="24"/>
        </w:rPr>
        <w:tab/>
      </w:r>
    </w:p>
    <w:p w14:paraId="5EA87551" w14:textId="77777777" w:rsidR="00980288" w:rsidRPr="00EE4B03" w:rsidRDefault="00980288" w:rsidP="00842A67">
      <w:pPr>
        <w:pStyle w:val="Numbered"/>
        <w:widowControl/>
        <w:rPr>
          <w:rFonts w:cs="Arial"/>
          <w:bCs/>
          <w:sz w:val="24"/>
          <w:szCs w:val="24"/>
        </w:rPr>
      </w:pPr>
      <w:r w:rsidRPr="00EE4B03">
        <w:rPr>
          <w:rFonts w:cs="Arial"/>
          <w:bCs/>
          <w:sz w:val="24"/>
          <w:szCs w:val="24"/>
        </w:rPr>
        <w:tab/>
      </w:r>
    </w:p>
    <w:p w14:paraId="5EA87552" w14:textId="77777777" w:rsidR="00F80A85" w:rsidRPr="00EE4B03" w:rsidRDefault="00B546EF" w:rsidP="00842A67">
      <w:pPr>
        <w:pStyle w:val="Numbered"/>
        <w:widowControl/>
        <w:rPr>
          <w:rFonts w:cs="Arial"/>
          <w:bCs/>
          <w:color w:val="222222"/>
          <w:sz w:val="24"/>
          <w:szCs w:val="24"/>
        </w:rPr>
      </w:pPr>
      <w:r w:rsidRPr="00EE4B03">
        <w:rPr>
          <w:rFonts w:cs="Arial"/>
          <w:bCs/>
          <w:color w:val="222222"/>
          <w:sz w:val="24"/>
          <w:szCs w:val="24"/>
        </w:rPr>
        <w:tab/>
      </w:r>
    </w:p>
    <w:p w14:paraId="5EA87553" w14:textId="77777777" w:rsidR="00842A67" w:rsidRPr="00EE4B03" w:rsidRDefault="00842A67" w:rsidP="00842A67">
      <w:pPr>
        <w:pStyle w:val="Numbered"/>
        <w:widowControl/>
        <w:rPr>
          <w:rFonts w:cs="Arial"/>
          <w:bCs/>
          <w:color w:val="222222"/>
          <w:sz w:val="24"/>
          <w:szCs w:val="24"/>
        </w:rPr>
      </w:pPr>
    </w:p>
    <w:p w14:paraId="5EA87554" w14:textId="77777777" w:rsidR="00016416" w:rsidRPr="00EE4B03" w:rsidRDefault="00096B2D" w:rsidP="00842A67">
      <w:pPr>
        <w:pStyle w:val="Numbered"/>
        <w:widowControl/>
        <w:rPr>
          <w:rFonts w:cs="Arial"/>
          <w:b/>
          <w:bCs/>
          <w:color w:val="222222"/>
        </w:rPr>
      </w:pPr>
      <w:r w:rsidRPr="00EE4B03">
        <w:rPr>
          <w:rFonts w:cs="Arial"/>
          <w:b/>
          <w:bCs/>
          <w:color w:val="222222"/>
        </w:rPr>
        <w:tab/>
      </w:r>
      <w:r w:rsidRPr="00EE4B03">
        <w:rPr>
          <w:rFonts w:cs="Arial"/>
          <w:b/>
          <w:bCs/>
          <w:color w:val="222222"/>
        </w:rPr>
        <w:tab/>
      </w:r>
      <w:r w:rsidRPr="00EE4B03">
        <w:rPr>
          <w:rFonts w:cs="Arial"/>
          <w:b/>
          <w:bCs/>
          <w:color w:val="222222"/>
        </w:rPr>
        <w:tab/>
      </w:r>
    </w:p>
    <w:p w14:paraId="5EA87555" w14:textId="77777777" w:rsidR="00123880" w:rsidRPr="00EE4B03" w:rsidRDefault="00FF13A1" w:rsidP="00BB6317">
      <w:pPr>
        <w:pStyle w:val="Norma"/>
        <w:shd w:val="clear" w:color="auto" w:fill="FFFFFF"/>
        <w:spacing w:line="312" w:lineRule="atLeast"/>
        <w:rPr>
          <w:rFonts w:cs="Arial"/>
          <w:b/>
          <w:bCs/>
        </w:rPr>
      </w:pPr>
      <w:r w:rsidRPr="00EE4B03">
        <w:rPr>
          <w:rFonts w:cs="Arial"/>
          <w:b/>
          <w:bCs/>
        </w:rPr>
        <w:tab/>
      </w:r>
    </w:p>
    <w:p w14:paraId="5EA87556" w14:textId="77919702" w:rsidR="00FE1227" w:rsidRPr="00EE4B03" w:rsidRDefault="00EB43D8" w:rsidP="00662EE1">
      <w:pPr>
        <w:pStyle w:val="Heading1"/>
        <w:numPr>
          <w:ilvl w:val="0"/>
          <w:numId w:val="1"/>
        </w:numPr>
        <w:rPr>
          <w:rFonts w:ascii="Arial" w:hAnsi="Arial" w:cs="Arial"/>
          <w:sz w:val="24"/>
          <w:szCs w:val="24"/>
        </w:rPr>
      </w:pPr>
      <w:r w:rsidRPr="00861E44">
        <w:rPr>
          <w:rFonts w:ascii="Arial" w:hAnsi="Arial" w:cs="Arial"/>
        </w:rPr>
        <w:br w:type="page"/>
      </w:r>
      <w:bookmarkStart w:id="3" w:name="_Toc530496750"/>
      <w:bookmarkStart w:id="4" w:name="SectionTwo"/>
      <w:r w:rsidR="00DD521A" w:rsidRPr="00EE4B03">
        <w:rPr>
          <w:rFonts w:ascii="Arial" w:hAnsi="Arial" w:cs="Arial"/>
          <w:sz w:val="24"/>
          <w:szCs w:val="24"/>
        </w:rPr>
        <w:lastRenderedPageBreak/>
        <w:t>Preamble</w:t>
      </w:r>
      <w:bookmarkEnd w:id="3"/>
    </w:p>
    <w:p w14:paraId="2B4F7458" w14:textId="77777777" w:rsidR="00DD521A" w:rsidRPr="00955B41" w:rsidRDefault="00DD521A" w:rsidP="00DD521A">
      <w:pPr>
        <w:pStyle w:val="Norma"/>
        <w:rPr>
          <w:rFonts w:cs="Arial"/>
        </w:rPr>
      </w:pPr>
    </w:p>
    <w:p w14:paraId="777E9B1B" w14:textId="77777777" w:rsidR="00DD521A" w:rsidRPr="00861E44" w:rsidRDefault="00DD521A" w:rsidP="00DD521A">
      <w:pPr>
        <w:pStyle w:val="Norma"/>
        <w:rPr>
          <w:rFonts w:cs="Arial"/>
        </w:rPr>
      </w:pPr>
    </w:p>
    <w:p w14:paraId="5EA87557" w14:textId="390E586B" w:rsidR="00622E6B" w:rsidRPr="00861E44" w:rsidRDefault="00662EE1" w:rsidP="00662EE1">
      <w:pPr>
        <w:pStyle w:val="BodyText"/>
        <w:spacing w:line="276" w:lineRule="auto"/>
        <w:jc w:val="left"/>
        <w:rPr>
          <w:rFonts w:ascii="Arial" w:hAnsi="Arial" w:cs="Arial"/>
        </w:rPr>
      </w:pPr>
      <w:r w:rsidRPr="00EE4B03">
        <w:rPr>
          <w:rFonts w:ascii="Arial" w:hAnsi="Arial" w:cs="Arial"/>
          <w:bCs/>
          <w:sz w:val="22"/>
          <w:szCs w:val="22"/>
        </w:rPr>
        <w:t xml:space="preserve">The Committee on Climate Change (CCC) was set up as part of the Climate Change Act. The CCC is an independent body tasked with providing advice to Government on climate change issues, and particularly the setting of carbon budgets, and the monitoring of progress towards meeting those budgets. The CCC’s past reports are available here: </w:t>
      </w:r>
      <w:hyperlink r:id="rId11" w:history="1">
        <w:r w:rsidRPr="00EE4B03">
          <w:rPr>
            <w:rStyle w:val="Hyperlink"/>
            <w:rFonts w:ascii="Arial" w:hAnsi="Arial" w:cs="Arial"/>
            <w:bCs/>
            <w:sz w:val="22"/>
            <w:szCs w:val="22"/>
          </w:rPr>
          <w:t>http://www.theccc.org.uk/reports/</w:t>
        </w:r>
      </w:hyperlink>
      <w:r w:rsidRPr="00EE4B03">
        <w:rPr>
          <w:rFonts w:ascii="Arial" w:hAnsi="Arial" w:cs="Arial"/>
          <w:bCs/>
          <w:sz w:val="22"/>
          <w:szCs w:val="22"/>
        </w:rPr>
        <w:t>.</w:t>
      </w:r>
    </w:p>
    <w:p w14:paraId="5EA87558" w14:textId="77777777" w:rsidR="001F4630" w:rsidRPr="00EE4B03" w:rsidRDefault="001F4630" w:rsidP="00662EE1">
      <w:pPr>
        <w:pStyle w:val="Heading1"/>
        <w:numPr>
          <w:ilvl w:val="0"/>
          <w:numId w:val="1"/>
        </w:numPr>
        <w:rPr>
          <w:rFonts w:ascii="Arial" w:hAnsi="Arial" w:cs="Arial"/>
          <w:sz w:val="24"/>
          <w:szCs w:val="24"/>
        </w:rPr>
      </w:pPr>
      <w:bookmarkStart w:id="5" w:name="_Ref357535668"/>
      <w:bookmarkStart w:id="6" w:name="_Toc381969507"/>
      <w:bookmarkStart w:id="7" w:name="_Toc405888456"/>
      <w:bookmarkStart w:id="8" w:name="_Toc530496751"/>
      <w:r w:rsidRPr="00EE4B03">
        <w:rPr>
          <w:rFonts w:ascii="Arial" w:hAnsi="Arial" w:cs="Arial"/>
          <w:sz w:val="24"/>
          <w:szCs w:val="24"/>
        </w:rPr>
        <w:t>Background</w:t>
      </w:r>
      <w:bookmarkEnd w:id="5"/>
      <w:bookmarkEnd w:id="6"/>
      <w:bookmarkEnd w:id="7"/>
      <w:bookmarkEnd w:id="8"/>
    </w:p>
    <w:p w14:paraId="1A3B8E93" w14:textId="77777777" w:rsidR="00DD521A" w:rsidRPr="00955B41" w:rsidRDefault="00DD521A" w:rsidP="00DD521A">
      <w:pPr>
        <w:pStyle w:val="Norma"/>
        <w:rPr>
          <w:rFonts w:cs="Arial"/>
        </w:rPr>
      </w:pPr>
    </w:p>
    <w:p w14:paraId="28431148"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In 2015, at the 21</w:t>
      </w:r>
      <w:r w:rsidRPr="00EE4B03">
        <w:rPr>
          <w:rFonts w:ascii="Arial" w:hAnsi="Arial" w:cs="Arial"/>
          <w:sz w:val="22"/>
          <w:szCs w:val="22"/>
          <w:vertAlign w:val="superscript"/>
        </w:rPr>
        <w:t>st</w:t>
      </w:r>
      <w:r w:rsidRPr="00EE4B03">
        <w:rPr>
          <w:rFonts w:ascii="Arial" w:hAnsi="Arial" w:cs="Arial"/>
          <w:sz w:val="22"/>
          <w:szCs w:val="22"/>
        </w:rPr>
        <w:t xml:space="preserve"> yearly session of the Conference of Parties, parties to the United Nations Framework Convention on Climate Change (UNFCCC) reached a landmark agreement to strengthen the global response to the threat of climate change. Parties committed to keeping global temperature rise this century well below 2 degrees Celsius above pre-industrial levels, and to pursue efforts to limit the temperature increase even further to 1.5 degrees Celsius. </w:t>
      </w:r>
    </w:p>
    <w:p w14:paraId="2FFAB20D"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3F8D6DB8"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lastRenderedPageBreak/>
        <w:t>In October of this year, the Intergovernmental Panel on Climate Change (IPCC) released a report on the impacts of global warming of 1.5 degrees above pre-industrial levels, alongside a series of related global emissions pathways.</w:t>
      </w:r>
      <w:r w:rsidRPr="00EE4B03">
        <w:rPr>
          <w:rStyle w:val="FootnoteReference"/>
          <w:rFonts w:ascii="Arial" w:hAnsi="Arial" w:cs="Arial"/>
          <w:sz w:val="22"/>
          <w:szCs w:val="22"/>
        </w:rPr>
        <w:footnoteReference w:id="1"/>
      </w:r>
      <w:r w:rsidRPr="00EE4B03">
        <w:rPr>
          <w:rFonts w:ascii="Arial" w:hAnsi="Arial" w:cs="Arial"/>
          <w:sz w:val="22"/>
          <w:szCs w:val="22"/>
        </w:rPr>
        <w:t xml:space="preserve"> </w:t>
      </w:r>
    </w:p>
    <w:p w14:paraId="2FB7133F"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1D6A24D7"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This was followed by a formal request from UK and devolved Governments for the CCC to update its advice on UK climate action following the Paris Agreement.</w:t>
      </w:r>
      <w:r w:rsidRPr="00EE4B03">
        <w:rPr>
          <w:rStyle w:val="FootnoteReference"/>
          <w:rFonts w:ascii="Arial" w:hAnsi="Arial" w:cs="Arial"/>
          <w:sz w:val="22"/>
          <w:szCs w:val="22"/>
        </w:rPr>
        <w:footnoteReference w:id="2"/>
      </w:r>
      <w:r w:rsidRPr="00EE4B03">
        <w:rPr>
          <w:rFonts w:ascii="Arial" w:hAnsi="Arial" w:cs="Arial"/>
          <w:sz w:val="22"/>
          <w:szCs w:val="22"/>
        </w:rPr>
        <w:t xml:space="preserve">  The Government has sought advice on the date by which the UK should achieve a net zero greenhouse gas or carbon target, and advice on how reductions in line with recommendations might be delivered in key sectors of the economy and at what cost. </w:t>
      </w:r>
    </w:p>
    <w:p w14:paraId="0C14147D"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7962C4B7" w14:textId="7662E44C"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The CCC is now in the process of updating its analysis on how ambitious long-term targets can be met. In the area of buildings decarbonisation, the focus of our update will be on those homes </w:t>
      </w:r>
      <w:r w:rsidRPr="00EE4B03">
        <w:rPr>
          <w:rFonts w:ascii="Arial" w:hAnsi="Arial" w:cs="Arial"/>
          <w:sz w:val="22"/>
          <w:szCs w:val="22"/>
        </w:rPr>
        <w:lastRenderedPageBreak/>
        <w:t xml:space="preserve">considered ‘hard to decarbonise’. We are seeking further analysis on the distribution and characteristics of these homes, on treatment packages and on trajectories for </w:t>
      </w:r>
      <w:r w:rsidR="00043916" w:rsidRPr="00EE4B03">
        <w:rPr>
          <w:rFonts w:ascii="Arial" w:hAnsi="Arial" w:cs="Arial"/>
          <w:sz w:val="22"/>
          <w:szCs w:val="22"/>
        </w:rPr>
        <w:t>decarbonis</w:t>
      </w:r>
      <w:r w:rsidR="00043916">
        <w:rPr>
          <w:rFonts w:ascii="Arial" w:hAnsi="Arial" w:cs="Arial"/>
          <w:sz w:val="22"/>
          <w:szCs w:val="22"/>
        </w:rPr>
        <w:t>ation</w:t>
      </w:r>
      <w:r w:rsidR="00043916" w:rsidRPr="00EE4B03">
        <w:rPr>
          <w:rFonts w:ascii="Arial" w:hAnsi="Arial" w:cs="Arial"/>
          <w:sz w:val="22"/>
          <w:szCs w:val="22"/>
        </w:rPr>
        <w:t xml:space="preserve"> </w:t>
      </w:r>
      <w:r w:rsidRPr="00EE4B03">
        <w:rPr>
          <w:rFonts w:ascii="Arial" w:hAnsi="Arial" w:cs="Arial"/>
          <w:sz w:val="22"/>
          <w:szCs w:val="22"/>
        </w:rPr>
        <w:t xml:space="preserve">based on the latest available evidence. </w:t>
      </w:r>
    </w:p>
    <w:p w14:paraId="5D21A15B" w14:textId="77777777" w:rsidR="00662EE1" w:rsidRPr="00861E44" w:rsidRDefault="00662EE1" w:rsidP="00662EE1">
      <w:pPr>
        <w:pStyle w:val="Heading4"/>
        <w:rPr>
          <w:rFonts w:ascii="Arial" w:hAnsi="Arial" w:cs="Arial"/>
        </w:rPr>
      </w:pPr>
      <w:r w:rsidRPr="00861E44">
        <w:rPr>
          <w:rFonts w:ascii="Arial" w:hAnsi="Arial" w:cs="Arial"/>
        </w:rPr>
        <w:t>Work to date on meeting long-term targets</w:t>
      </w:r>
    </w:p>
    <w:p w14:paraId="6E380A14"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76E7A24A" w14:textId="4ADD393C"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Currently, the Climate Change Act 2008 sets out a legally binding target for the net UK carbon account for 2050 to be at least 80% lower than the 1990 baseline.</w:t>
      </w:r>
      <w:r w:rsidRPr="00EE4B03">
        <w:rPr>
          <w:rStyle w:val="FootnoteReference"/>
          <w:rFonts w:ascii="Arial" w:hAnsi="Arial" w:cs="Arial"/>
          <w:sz w:val="22"/>
          <w:szCs w:val="22"/>
        </w:rPr>
        <w:footnoteReference w:id="3"/>
      </w:r>
      <w:r w:rsidRPr="00EE4B03">
        <w:rPr>
          <w:rFonts w:ascii="Arial" w:hAnsi="Arial" w:cs="Arial"/>
          <w:sz w:val="22"/>
          <w:szCs w:val="22"/>
        </w:rPr>
        <w:t xml:space="preserve"> A range of </w:t>
      </w:r>
      <w:r w:rsidR="00043916">
        <w:rPr>
          <w:rFonts w:ascii="Arial" w:hAnsi="Arial" w:cs="Arial"/>
          <w:sz w:val="22"/>
          <w:szCs w:val="22"/>
        </w:rPr>
        <w:t xml:space="preserve">previous </w:t>
      </w:r>
      <w:r w:rsidRPr="00EE4B03">
        <w:rPr>
          <w:rFonts w:ascii="Arial" w:hAnsi="Arial" w:cs="Arial"/>
          <w:sz w:val="22"/>
          <w:szCs w:val="22"/>
        </w:rPr>
        <w:t xml:space="preserve">work has </w:t>
      </w:r>
      <w:r w:rsidR="00043916">
        <w:rPr>
          <w:rFonts w:ascii="Arial" w:hAnsi="Arial" w:cs="Arial"/>
          <w:sz w:val="22"/>
          <w:szCs w:val="22"/>
        </w:rPr>
        <w:t>considered</w:t>
      </w:r>
      <w:r w:rsidRPr="00EE4B03">
        <w:rPr>
          <w:rFonts w:ascii="Arial" w:hAnsi="Arial" w:cs="Arial"/>
          <w:sz w:val="22"/>
          <w:szCs w:val="22"/>
        </w:rPr>
        <w:t xml:space="preserve"> the contribution that must be made from buildings to achieve this. </w:t>
      </w:r>
    </w:p>
    <w:p w14:paraId="2F49E8FF"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417C38B5" w14:textId="53298AD9" w:rsidR="00662EE1"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Our 2012 report, ‘</w:t>
      </w:r>
      <w:r w:rsidRPr="00EE4B03">
        <w:rPr>
          <w:rFonts w:ascii="Arial" w:hAnsi="Arial" w:cs="Arial"/>
          <w:b/>
          <w:sz w:val="22"/>
          <w:szCs w:val="22"/>
        </w:rPr>
        <w:t>The 2050 target – achieving an 80% reduction including emissions from international aviation and shipping</w:t>
      </w:r>
      <w:r w:rsidRPr="00EE4B03">
        <w:rPr>
          <w:rFonts w:ascii="Arial" w:hAnsi="Arial" w:cs="Arial"/>
          <w:sz w:val="22"/>
          <w:szCs w:val="22"/>
        </w:rPr>
        <w:t>’, identified that meeting the current 2050 target will re</w:t>
      </w:r>
      <w:r w:rsidRPr="00EE4B03">
        <w:rPr>
          <w:rFonts w:ascii="Arial" w:hAnsi="Arial" w:cs="Arial"/>
          <w:sz w:val="22"/>
          <w:szCs w:val="22"/>
        </w:rPr>
        <w:lastRenderedPageBreak/>
        <w:t>quire a near complete decarbonisation of heat, due to the limited cost-effective options for reducing emissions from industry, agriculture and international aviation (Figure</w:t>
      </w:r>
      <w:r w:rsidR="00DE233D">
        <w:rPr>
          <w:rFonts w:ascii="Arial" w:hAnsi="Arial" w:cs="Arial"/>
          <w:sz w:val="22"/>
          <w:szCs w:val="22"/>
        </w:rPr>
        <w:t xml:space="preserve"> 1</w:t>
      </w:r>
      <w:r w:rsidR="00DE233D">
        <w:rPr>
          <w:rStyle w:val="FootnoteReference"/>
          <w:rFonts w:ascii="Arial" w:hAnsi="Arial" w:cs="Arial"/>
          <w:sz w:val="22"/>
          <w:szCs w:val="22"/>
        </w:rPr>
        <w:footnoteReference w:id="4"/>
      </w:r>
      <w:r w:rsidRPr="00EE4B03">
        <w:rPr>
          <w:rFonts w:ascii="Arial" w:hAnsi="Arial" w:cs="Arial"/>
          <w:sz w:val="22"/>
          <w:szCs w:val="22"/>
        </w:rPr>
        <w:t xml:space="preserve">). </w:t>
      </w:r>
    </w:p>
    <w:p w14:paraId="32678871" w14:textId="77777777" w:rsidR="008D6129" w:rsidRPr="00EE4B03" w:rsidRDefault="008D6129" w:rsidP="00662EE1">
      <w:pPr>
        <w:pStyle w:val="NormalWeb"/>
        <w:spacing w:before="0" w:beforeAutospacing="0" w:after="0" w:afterAutospacing="0" w:line="276" w:lineRule="auto"/>
        <w:rPr>
          <w:rFonts w:ascii="Arial" w:hAnsi="Arial" w:cs="Arial"/>
          <w:sz w:val="22"/>
          <w:szCs w:val="22"/>
        </w:rPr>
      </w:pPr>
    </w:p>
    <w:tbl>
      <w:tblPr>
        <w:tblW w:w="9639" w:type="dxa"/>
        <w:tblInd w:w="108" w:type="dxa"/>
        <w:tblBorders>
          <w:top w:val="single" w:sz="4" w:space="0" w:color="C98A3C"/>
          <w:left w:val="single" w:sz="4" w:space="0" w:color="C98A3C"/>
          <w:bottom w:val="single" w:sz="4" w:space="0" w:color="C98A3C"/>
          <w:right w:val="single" w:sz="4" w:space="0" w:color="C98A3C"/>
        </w:tblBorders>
        <w:tblCellMar>
          <w:top w:w="113" w:type="dxa"/>
          <w:bottom w:w="113" w:type="dxa"/>
        </w:tblCellMar>
        <w:tblLook w:val="04A0" w:firstRow="1" w:lastRow="0" w:firstColumn="1" w:lastColumn="0" w:noHBand="0" w:noVBand="1"/>
      </w:tblPr>
      <w:tblGrid>
        <w:gridCol w:w="9639"/>
      </w:tblGrid>
      <w:tr w:rsidR="00662EE1" w:rsidRPr="00EE4B03" w14:paraId="4E2EB505" w14:textId="77777777" w:rsidTr="005F1C0A">
        <w:trPr>
          <w:tblHeader/>
        </w:trPr>
        <w:tc>
          <w:tcPr>
            <w:tcW w:w="9639" w:type="dxa"/>
            <w:shd w:val="clear" w:color="auto" w:fill="C98A3C"/>
          </w:tcPr>
          <w:p w14:paraId="559848D3" w14:textId="77777777" w:rsidR="00662EE1" w:rsidRPr="00861E44" w:rsidRDefault="00662EE1" w:rsidP="005F1C0A">
            <w:pPr>
              <w:pStyle w:val="FigureHeading"/>
              <w:rPr>
                <w:rFonts w:ascii="Arial" w:hAnsi="Arial" w:cs="Arial"/>
              </w:rPr>
            </w:pPr>
            <w:r w:rsidRPr="00861E44">
              <w:rPr>
                <w:rStyle w:val="BoxFigureTableheadingbold"/>
                <w:rFonts w:ascii="Arial" w:hAnsi="Arial" w:cs="Arial"/>
              </w:rPr>
              <w:t>Figure 1.</w:t>
            </w:r>
            <w:r w:rsidRPr="00861E44">
              <w:rPr>
                <w:rFonts w:ascii="Arial" w:hAnsi="Arial" w:cs="Arial"/>
                <w:b/>
              </w:rPr>
              <w:t xml:space="preserve"> </w:t>
            </w:r>
            <w:r w:rsidRPr="00861E44">
              <w:rPr>
                <w:rFonts w:ascii="Arial" w:hAnsi="Arial" w:cs="Arial"/>
              </w:rPr>
              <w:t>Hard-to-reduce sectors and the 2050 target</w:t>
            </w:r>
          </w:p>
        </w:tc>
      </w:tr>
      <w:tr w:rsidR="00662EE1" w:rsidRPr="00EE4B03" w14:paraId="604CEBD8" w14:textId="77777777" w:rsidTr="005F1C0A">
        <w:tc>
          <w:tcPr>
            <w:tcW w:w="9639" w:type="dxa"/>
            <w:shd w:val="clear" w:color="auto" w:fill="auto"/>
          </w:tcPr>
          <w:p w14:paraId="70E37002" w14:textId="77777777" w:rsidR="00662EE1" w:rsidRPr="00861E44" w:rsidRDefault="00662EE1" w:rsidP="005F1C0A">
            <w:pPr>
              <w:pStyle w:val="BoxBody"/>
              <w:rPr>
                <w:rFonts w:ascii="Arial" w:hAnsi="Arial" w:cs="Arial"/>
              </w:rPr>
            </w:pPr>
            <w:r w:rsidRPr="00861E44">
              <w:rPr>
                <w:rFonts w:ascii="Arial" w:hAnsi="Arial" w:cs="Arial"/>
                <w:noProof/>
                <w:lang w:eastAsia="en-GB"/>
              </w:rPr>
              <w:drawing>
                <wp:anchor distT="0" distB="0" distL="114300" distR="114300" simplePos="0" relativeHeight="251659264" behindDoc="0" locked="0" layoutInCell="1" allowOverlap="1" wp14:anchorId="4A394CCD" wp14:editId="13443E20">
                  <wp:simplePos x="0" y="0"/>
                  <wp:positionH relativeFrom="column">
                    <wp:posOffset>2169</wp:posOffset>
                  </wp:positionH>
                  <wp:positionV relativeFrom="paragraph">
                    <wp:posOffset>91</wp:posOffset>
                  </wp:positionV>
                  <wp:extent cx="5522400" cy="308880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522400" cy="3088800"/>
                          </a:xfrm>
                          <a:prstGeom prst="rect">
                            <a:avLst/>
                          </a:prstGeom>
                        </pic:spPr>
                      </pic:pic>
                    </a:graphicData>
                  </a:graphic>
                  <wp14:sizeRelH relativeFrom="margin">
                    <wp14:pctWidth>0</wp14:pctWidth>
                  </wp14:sizeRelH>
                  <wp14:sizeRelV relativeFrom="margin">
                    <wp14:pctHeight>0</wp14:pctHeight>
                  </wp14:sizeRelV>
                </wp:anchor>
              </w:drawing>
            </w:r>
          </w:p>
        </w:tc>
      </w:tr>
      <w:tr w:rsidR="00662EE1" w:rsidRPr="00EE4B03" w14:paraId="7BC117E8" w14:textId="77777777" w:rsidTr="005F1C0A">
        <w:trPr>
          <w:trHeight w:val="612"/>
        </w:trPr>
        <w:tc>
          <w:tcPr>
            <w:tcW w:w="9639" w:type="dxa"/>
            <w:shd w:val="clear" w:color="auto" w:fill="F1E0CB"/>
          </w:tcPr>
          <w:p w14:paraId="0200A5B3" w14:textId="77777777" w:rsidR="00662EE1" w:rsidRPr="00861E44" w:rsidRDefault="00662EE1" w:rsidP="005F1C0A">
            <w:pPr>
              <w:pStyle w:val="BoxFootnote"/>
              <w:rPr>
                <w:rFonts w:ascii="Arial" w:hAnsi="Arial" w:cs="Arial"/>
              </w:rPr>
            </w:pPr>
            <w:r w:rsidRPr="00861E44">
              <w:rPr>
                <w:rStyle w:val="Boxfootnotebold"/>
                <w:rFonts w:ascii="Arial" w:hAnsi="Arial" w:cs="Arial"/>
              </w:rPr>
              <w:lastRenderedPageBreak/>
              <w:t>Source:</w:t>
            </w:r>
            <w:r w:rsidRPr="00861E44">
              <w:rPr>
                <w:rFonts w:ascii="Arial" w:hAnsi="Arial" w:cs="Arial"/>
              </w:rPr>
              <w:t xml:space="preserve"> CCC fifth carbon budget analysis.</w:t>
            </w:r>
          </w:p>
          <w:p w14:paraId="6DE16A8A" w14:textId="26EC2BEE" w:rsidR="00662EE1" w:rsidRPr="00861E44" w:rsidRDefault="00662EE1" w:rsidP="00B83AAD">
            <w:pPr>
              <w:pStyle w:val="BoxFootnote"/>
              <w:rPr>
                <w:rFonts w:ascii="Arial" w:hAnsi="Arial" w:cs="Arial"/>
              </w:rPr>
            </w:pPr>
            <w:r w:rsidRPr="00861E44">
              <w:rPr>
                <w:rStyle w:val="Boxfootnotebold"/>
                <w:rFonts w:ascii="Arial" w:hAnsi="Arial" w:cs="Arial"/>
              </w:rPr>
              <w:t>Notes:</w:t>
            </w:r>
            <w:r w:rsidRPr="00861E44">
              <w:rPr>
                <w:rFonts w:ascii="Arial" w:hAnsi="Arial" w:cs="Arial"/>
              </w:rPr>
              <w:t xml:space="preserve"> 2015 provisional number</w:t>
            </w:r>
            <w:r w:rsidR="00932674">
              <w:rPr>
                <w:rFonts w:ascii="Arial" w:hAnsi="Arial" w:cs="Arial"/>
              </w:rPr>
              <w:t>s</w:t>
            </w:r>
            <w:r w:rsidRPr="00861E44">
              <w:rPr>
                <w:rFonts w:ascii="Arial" w:hAnsi="Arial" w:cs="Arial"/>
              </w:rPr>
              <w:t xml:space="preserve"> presented here for waste &amp;</w:t>
            </w:r>
            <w:r w:rsidR="00DE233D">
              <w:rPr>
                <w:rFonts w:ascii="Arial" w:hAnsi="Arial" w:cs="Arial"/>
              </w:rPr>
              <w:t xml:space="preserve"> </w:t>
            </w:r>
            <w:r w:rsidRPr="00861E44">
              <w:rPr>
                <w:rFonts w:ascii="Arial" w:hAnsi="Arial" w:cs="Arial"/>
              </w:rPr>
              <w:t>F-gases and international aviation and shipping are 2014 actual figures. The right hand column shows ou</w:t>
            </w:r>
            <w:r w:rsidR="008B5BDA">
              <w:rPr>
                <w:rFonts w:ascii="Arial" w:hAnsi="Arial" w:cs="Arial"/>
              </w:rPr>
              <w:t>r</w:t>
            </w:r>
            <w:r w:rsidRPr="00861E44">
              <w:rPr>
                <w:rFonts w:ascii="Arial" w:hAnsi="Arial" w:cs="Arial"/>
              </w:rPr>
              <w:t xml:space="preserve"> assessment of residual emissions in 2050 from International Aviation and Shipping, Agriculture and Industry after cost-effective abatement opportunities have been taken up (our Central </w:t>
            </w:r>
            <w:r w:rsidR="008B5BDA">
              <w:rPr>
                <w:rFonts w:ascii="Arial" w:hAnsi="Arial" w:cs="Arial"/>
              </w:rPr>
              <w:t>S</w:t>
            </w:r>
            <w:r w:rsidRPr="00861E44">
              <w:rPr>
                <w:rFonts w:ascii="Arial" w:hAnsi="Arial" w:cs="Arial"/>
              </w:rPr>
              <w:t>cenario).</w:t>
            </w:r>
          </w:p>
        </w:tc>
      </w:tr>
    </w:tbl>
    <w:p w14:paraId="39BF2614"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75249E69" w14:textId="77777777" w:rsidR="00662EE1" w:rsidRPr="00EE4B03" w:rsidRDefault="00662EE1" w:rsidP="00662EE1">
      <w:pPr>
        <w:pStyle w:val="NormalWeb"/>
        <w:spacing w:before="0" w:beforeAutospacing="0" w:after="0" w:afterAutospacing="0" w:line="276" w:lineRule="auto"/>
        <w:rPr>
          <w:rStyle w:val="SubtleEmphasis"/>
          <w:rFonts w:ascii="Arial" w:hAnsi="Arial" w:cs="Arial"/>
          <w:sz w:val="22"/>
          <w:szCs w:val="22"/>
        </w:rPr>
      </w:pPr>
    </w:p>
    <w:p w14:paraId="18DE177C" w14:textId="4D5E0687" w:rsidR="00662EE1" w:rsidRPr="00EE4B03" w:rsidRDefault="00662EE1" w:rsidP="00662EE1">
      <w:pPr>
        <w:pStyle w:val="NormalWeb"/>
        <w:spacing w:before="0" w:beforeAutospacing="0" w:after="0" w:afterAutospacing="0" w:line="276" w:lineRule="auto"/>
        <w:rPr>
          <w:rFonts w:ascii="Arial" w:hAnsi="Arial" w:cs="Arial"/>
          <w:sz w:val="22"/>
          <w:szCs w:val="22"/>
        </w:rPr>
      </w:pPr>
      <w:r w:rsidRPr="00861E44">
        <w:rPr>
          <w:rFonts w:ascii="Arial" w:hAnsi="Arial" w:cs="Arial"/>
          <w:sz w:val="22"/>
          <w:szCs w:val="22"/>
        </w:rPr>
        <w:t xml:space="preserve">Following this, analysis was undertaken both for the </w:t>
      </w:r>
      <w:r w:rsidRPr="00EE4B03">
        <w:rPr>
          <w:rFonts w:ascii="Arial" w:hAnsi="Arial" w:cs="Arial"/>
          <w:b/>
          <w:sz w:val="22"/>
          <w:szCs w:val="22"/>
        </w:rPr>
        <w:t>fourth carbon budget review</w:t>
      </w:r>
      <w:r w:rsidRPr="00E655AE">
        <w:rPr>
          <w:rFonts w:ascii="Arial" w:hAnsi="Arial" w:cs="Arial"/>
          <w:sz w:val="22"/>
          <w:szCs w:val="22"/>
        </w:rPr>
        <w:t xml:space="preserve">, and for </w:t>
      </w:r>
      <w:r w:rsidR="00043916" w:rsidRPr="00E655AE">
        <w:rPr>
          <w:rFonts w:ascii="Arial" w:hAnsi="Arial" w:cs="Arial"/>
          <w:sz w:val="22"/>
          <w:szCs w:val="22"/>
        </w:rPr>
        <w:t xml:space="preserve">our </w:t>
      </w:r>
      <w:r w:rsidRPr="00EE4B03">
        <w:rPr>
          <w:rFonts w:ascii="Arial" w:hAnsi="Arial" w:cs="Arial"/>
          <w:b/>
          <w:sz w:val="22"/>
          <w:szCs w:val="22"/>
        </w:rPr>
        <w:t>fifth carbon budget</w:t>
      </w:r>
      <w:r w:rsidR="00043916" w:rsidRPr="00E655AE">
        <w:rPr>
          <w:rFonts w:ascii="Arial" w:hAnsi="Arial" w:cs="Arial"/>
          <w:sz w:val="22"/>
          <w:szCs w:val="22"/>
        </w:rPr>
        <w:t xml:space="preserve"> report</w:t>
      </w:r>
      <w:r w:rsidRPr="00EE4B03">
        <w:rPr>
          <w:rFonts w:ascii="Arial" w:hAnsi="Arial" w:cs="Arial"/>
          <w:sz w:val="22"/>
          <w:szCs w:val="22"/>
        </w:rPr>
        <w:t>, in order to refine scenarios for meeting</w:t>
      </w:r>
      <w:r w:rsidR="00043916">
        <w:rPr>
          <w:rFonts w:ascii="Arial" w:hAnsi="Arial" w:cs="Arial"/>
          <w:sz w:val="22"/>
          <w:szCs w:val="22"/>
        </w:rPr>
        <w:t xml:space="preserve"> the</w:t>
      </w:r>
      <w:r w:rsidRPr="00EE4B03">
        <w:rPr>
          <w:rFonts w:ascii="Arial" w:hAnsi="Arial" w:cs="Arial"/>
          <w:sz w:val="22"/>
          <w:szCs w:val="22"/>
        </w:rPr>
        <w:t xml:space="preserve"> current 2050 targets. </w:t>
      </w:r>
    </w:p>
    <w:p w14:paraId="1B37B4E9"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16E8AFF7" w14:textId="77777777" w:rsidR="005A6EF4" w:rsidRPr="00EE4B03" w:rsidRDefault="005A6EF4" w:rsidP="005A6EF4">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Our carbon budget advice is underpinned by scenarios for how carbon abatement can be achieved in each sector. Our scenarios are based on bottom up modelling of what is required on the cost-effective path to the current 2050 target (an 80% reduction on 1990 levels). They consider the relative cost-effectiveness of different approaches to meeting the 2050 target, in the context of expectations for emissions in the absence of further effort (the ‘baseline’). Specifically the scenarios include measures that are available at lower cost than the Government’s published carbon values. </w:t>
      </w:r>
    </w:p>
    <w:p w14:paraId="77B34F4C" w14:textId="77777777" w:rsidR="005A6EF4" w:rsidRPr="00EE4B03" w:rsidRDefault="005A6EF4" w:rsidP="005A6EF4">
      <w:pPr>
        <w:pStyle w:val="NormalWeb"/>
        <w:spacing w:before="0" w:beforeAutospacing="0" w:after="0" w:afterAutospacing="0" w:line="276" w:lineRule="auto"/>
        <w:rPr>
          <w:rFonts w:ascii="Arial" w:hAnsi="Arial" w:cs="Arial"/>
          <w:sz w:val="22"/>
          <w:szCs w:val="22"/>
        </w:rPr>
      </w:pPr>
    </w:p>
    <w:p w14:paraId="34F61C22" w14:textId="77777777" w:rsidR="005A6EF4" w:rsidRPr="00EE4B03" w:rsidRDefault="005A6EF4" w:rsidP="005A6EF4">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In developing scenarios we also consider:</w:t>
      </w:r>
    </w:p>
    <w:p w14:paraId="60A21233" w14:textId="77777777" w:rsidR="005A6EF4" w:rsidRPr="00EE4B03" w:rsidRDefault="005A6EF4" w:rsidP="005A6EF4">
      <w:pPr>
        <w:pStyle w:val="NormalWeb"/>
        <w:numPr>
          <w:ilvl w:val="0"/>
          <w:numId w:val="4"/>
        </w:numPr>
        <w:spacing w:before="0" w:beforeAutospacing="0" w:after="0" w:afterAutospacing="0" w:line="276" w:lineRule="auto"/>
        <w:rPr>
          <w:rFonts w:ascii="Arial" w:hAnsi="Arial" w:cs="Arial"/>
          <w:sz w:val="22"/>
          <w:szCs w:val="22"/>
        </w:rPr>
      </w:pPr>
      <w:r w:rsidRPr="00EE4B03">
        <w:rPr>
          <w:rFonts w:ascii="Arial" w:hAnsi="Arial" w:cs="Arial"/>
          <w:sz w:val="22"/>
          <w:szCs w:val="22"/>
        </w:rPr>
        <w:lastRenderedPageBreak/>
        <w:t>The wider criteria set out in the Act, including impacts on affordability and competitiveness</w:t>
      </w:r>
    </w:p>
    <w:p w14:paraId="44A1242A" w14:textId="77777777" w:rsidR="005A6EF4" w:rsidRPr="00EE4B03" w:rsidRDefault="005A6EF4" w:rsidP="005A6EF4">
      <w:pPr>
        <w:pStyle w:val="NormalWeb"/>
        <w:numPr>
          <w:ilvl w:val="0"/>
          <w:numId w:val="4"/>
        </w:numPr>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The need to ensure that measures required to meet the 2050 target are available to be deployed when needed, through demonstration and deployment of key technologies, development of markets, and deployment of supporting infrastructure </w:t>
      </w:r>
    </w:p>
    <w:p w14:paraId="74F53FD6" w14:textId="77777777" w:rsidR="005A6EF4" w:rsidRPr="00EE4B03" w:rsidRDefault="005A6EF4" w:rsidP="005A6EF4">
      <w:pPr>
        <w:pStyle w:val="NormalWeb"/>
        <w:numPr>
          <w:ilvl w:val="0"/>
          <w:numId w:val="4"/>
        </w:numPr>
        <w:spacing w:before="0" w:beforeAutospacing="0" w:after="0" w:afterAutospacing="0" w:line="276" w:lineRule="auto"/>
        <w:rPr>
          <w:rFonts w:ascii="Arial" w:hAnsi="Arial" w:cs="Arial"/>
          <w:sz w:val="22"/>
          <w:szCs w:val="22"/>
        </w:rPr>
      </w:pPr>
      <w:r w:rsidRPr="00EE4B03">
        <w:rPr>
          <w:rFonts w:ascii="Arial" w:hAnsi="Arial" w:cs="Arial"/>
          <w:sz w:val="22"/>
          <w:szCs w:val="22"/>
        </w:rPr>
        <w:t>The feasibility of deploying particular solutions</w:t>
      </w:r>
    </w:p>
    <w:p w14:paraId="7F9EFA1C" w14:textId="77777777" w:rsidR="005A6EF4" w:rsidRPr="00EE4B03" w:rsidRDefault="005A6EF4" w:rsidP="005A6EF4">
      <w:pPr>
        <w:pStyle w:val="NormalWeb"/>
        <w:numPr>
          <w:ilvl w:val="0"/>
          <w:numId w:val="4"/>
        </w:numPr>
        <w:spacing w:before="0" w:beforeAutospacing="0" w:after="0" w:afterAutospacing="0" w:line="276" w:lineRule="auto"/>
        <w:rPr>
          <w:rFonts w:ascii="Arial" w:hAnsi="Arial" w:cs="Arial"/>
          <w:sz w:val="22"/>
          <w:szCs w:val="22"/>
        </w:rPr>
      </w:pPr>
      <w:r w:rsidRPr="00EE4B03">
        <w:rPr>
          <w:rFonts w:ascii="Arial" w:hAnsi="Arial" w:cs="Arial"/>
          <w:sz w:val="22"/>
          <w:szCs w:val="22"/>
        </w:rPr>
        <w:t>Actions to which the Government is already committed</w:t>
      </w:r>
    </w:p>
    <w:p w14:paraId="10EE10AA" w14:textId="77777777" w:rsidR="005A6EF4" w:rsidRPr="00EE4B03" w:rsidRDefault="005A6EF4" w:rsidP="005A6EF4">
      <w:pPr>
        <w:pStyle w:val="NormalWeb"/>
        <w:spacing w:before="0" w:beforeAutospacing="0" w:after="0" w:afterAutospacing="0" w:line="276" w:lineRule="auto"/>
        <w:rPr>
          <w:rFonts w:ascii="Arial" w:hAnsi="Arial" w:cs="Arial"/>
          <w:sz w:val="22"/>
          <w:szCs w:val="22"/>
        </w:rPr>
      </w:pPr>
    </w:p>
    <w:p w14:paraId="1802136A" w14:textId="33944BF7" w:rsidR="005A6EF4" w:rsidRDefault="005A6EF4" w:rsidP="005A6EF4">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We develop four types of scenario, a ‘central’ scenario (representing our best assessment of the technologies and behaviours required to meet the 2050 target cost-effectively), a ‘max’ scenario (representing high deployment of carbon abatement measure towards the maximum limits that are likely to be feasible), a ‘barriers’ scenario (representing unfavourable conditions for key measures), and ‘alternative</w:t>
      </w:r>
      <w:r w:rsidR="00932674">
        <w:rPr>
          <w:rFonts w:ascii="Arial" w:hAnsi="Arial" w:cs="Arial"/>
          <w:sz w:val="22"/>
          <w:szCs w:val="22"/>
        </w:rPr>
        <w:t>’</w:t>
      </w:r>
      <w:r w:rsidRPr="00EE4B03">
        <w:rPr>
          <w:rFonts w:ascii="Arial" w:hAnsi="Arial" w:cs="Arial"/>
          <w:sz w:val="22"/>
          <w:szCs w:val="22"/>
        </w:rPr>
        <w:t xml:space="preserve"> scenarios (representing deployment of different measures to those available in the other scenarios). </w:t>
      </w:r>
    </w:p>
    <w:p w14:paraId="44881C9F" w14:textId="77777777" w:rsidR="005A6EF4" w:rsidRPr="00EE4B03" w:rsidRDefault="005A6EF4" w:rsidP="005A6EF4">
      <w:pPr>
        <w:pStyle w:val="NormalWeb"/>
        <w:spacing w:before="0" w:beforeAutospacing="0" w:after="0" w:afterAutospacing="0" w:line="276" w:lineRule="auto"/>
        <w:rPr>
          <w:rFonts w:ascii="Arial" w:hAnsi="Arial" w:cs="Arial"/>
          <w:sz w:val="22"/>
          <w:szCs w:val="22"/>
        </w:rPr>
      </w:pPr>
    </w:p>
    <w:p w14:paraId="4323FF59" w14:textId="61FB7B2F" w:rsidR="00662EE1"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The </w:t>
      </w:r>
      <w:r w:rsidR="005A6EF4">
        <w:rPr>
          <w:rFonts w:ascii="Arial" w:hAnsi="Arial" w:cs="Arial"/>
          <w:sz w:val="22"/>
          <w:szCs w:val="22"/>
        </w:rPr>
        <w:t xml:space="preserve">buildings </w:t>
      </w:r>
      <w:r w:rsidR="008B5BDA">
        <w:rPr>
          <w:rFonts w:ascii="Arial" w:hAnsi="Arial" w:cs="Arial"/>
          <w:sz w:val="22"/>
          <w:szCs w:val="22"/>
        </w:rPr>
        <w:t>s</w:t>
      </w:r>
      <w:r w:rsidRPr="00EE4B03">
        <w:rPr>
          <w:rFonts w:ascii="Arial" w:hAnsi="Arial" w:cs="Arial"/>
          <w:sz w:val="22"/>
          <w:szCs w:val="22"/>
        </w:rPr>
        <w:t xml:space="preserve">cenarios for the fifth carbon budget were developed by first modelling cost-effective energy efficiency </w:t>
      </w:r>
      <w:r w:rsidRPr="00EE4B03">
        <w:rPr>
          <w:rFonts w:ascii="Arial" w:hAnsi="Arial" w:cs="Arial"/>
          <w:sz w:val="22"/>
          <w:szCs w:val="22"/>
        </w:rPr>
        <w:lastRenderedPageBreak/>
        <w:t>measures.</w:t>
      </w:r>
      <w:r w:rsidRPr="00EE4B03">
        <w:rPr>
          <w:rStyle w:val="FootnoteReference"/>
          <w:rFonts w:ascii="Arial" w:hAnsi="Arial" w:cs="Arial"/>
          <w:sz w:val="22"/>
          <w:szCs w:val="22"/>
        </w:rPr>
        <w:footnoteReference w:id="5"/>
      </w:r>
      <w:r w:rsidRPr="00EE4B03">
        <w:rPr>
          <w:rFonts w:ascii="Arial" w:hAnsi="Arial" w:cs="Arial"/>
          <w:sz w:val="22"/>
          <w:szCs w:val="22"/>
        </w:rPr>
        <w:t xml:space="preserve">  For low-carbon heat, modelling was undertaken to develop scenarios for deployment of district heating.</w:t>
      </w:r>
      <w:r w:rsidRPr="00EE4B03">
        <w:rPr>
          <w:rStyle w:val="FootnoteReference"/>
          <w:rFonts w:ascii="Arial" w:hAnsi="Arial" w:cs="Arial"/>
          <w:sz w:val="22"/>
          <w:szCs w:val="22"/>
        </w:rPr>
        <w:footnoteReference w:id="6"/>
      </w:r>
      <w:r w:rsidRPr="00EE4B03">
        <w:rPr>
          <w:rFonts w:ascii="Arial" w:hAnsi="Arial" w:cs="Arial"/>
          <w:sz w:val="22"/>
          <w:szCs w:val="22"/>
        </w:rPr>
        <w:t xml:space="preserve"> We then assumed a cost</w:t>
      </w:r>
      <w:r w:rsidR="000C516B">
        <w:rPr>
          <w:rFonts w:ascii="Arial" w:hAnsi="Arial" w:cs="Arial"/>
          <w:sz w:val="22"/>
          <w:szCs w:val="22"/>
        </w:rPr>
        <w:t>-</w:t>
      </w:r>
      <w:r w:rsidRPr="00EE4B03">
        <w:rPr>
          <w:rFonts w:ascii="Arial" w:hAnsi="Arial" w:cs="Arial"/>
          <w:sz w:val="22"/>
          <w:szCs w:val="22"/>
        </w:rPr>
        <w:t>effective profile of uptake for energy efficiency and district heating</w:t>
      </w:r>
      <w:r w:rsidR="00043916">
        <w:rPr>
          <w:rFonts w:ascii="Arial" w:hAnsi="Arial" w:cs="Arial"/>
          <w:sz w:val="22"/>
          <w:szCs w:val="22"/>
        </w:rPr>
        <w:t>.</w:t>
      </w:r>
      <w:r w:rsidRPr="00EE4B03">
        <w:rPr>
          <w:rFonts w:ascii="Arial" w:hAnsi="Arial" w:cs="Arial"/>
          <w:sz w:val="22"/>
          <w:szCs w:val="22"/>
        </w:rPr>
        <w:t xml:space="preserve"> </w:t>
      </w:r>
      <w:r w:rsidR="00043916">
        <w:rPr>
          <w:rFonts w:ascii="Arial" w:hAnsi="Arial" w:cs="Arial"/>
          <w:sz w:val="22"/>
          <w:szCs w:val="22"/>
        </w:rPr>
        <w:t>We</w:t>
      </w:r>
      <w:r w:rsidR="00043916" w:rsidRPr="00EE4B03">
        <w:rPr>
          <w:rFonts w:ascii="Arial" w:hAnsi="Arial" w:cs="Arial"/>
          <w:sz w:val="22"/>
          <w:szCs w:val="22"/>
        </w:rPr>
        <w:t xml:space="preserve"> </w:t>
      </w:r>
      <w:r w:rsidRPr="00EE4B03">
        <w:rPr>
          <w:rFonts w:ascii="Arial" w:hAnsi="Arial" w:cs="Arial"/>
          <w:sz w:val="22"/>
          <w:szCs w:val="22"/>
        </w:rPr>
        <w:t xml:space="preserve">used the National Household Model (NHM) to look at remaining cost-effective uptake of </w:t>
      </w:r>
      <w:r w:rsidR="00043916">
        <w:rPr>
          <w:rFonts w:ascii="Arial" w:hAnsi="Arial" w:cs="Arial"/>
          <w:sz w:val="22"/>
          <w:szCs w:val="22"/>
        </w:rPr>
        <w:t>other</w:t>
      </w:r>
      <w:r w:rsidRPr="00EE4B03">
        <w:rPr>
          <w:rFonts w:ascii="Arial" w:hAnsi="Arial" w:cs="Arial"/>
          <w:sz w:val="22"/>
          <w:szCs w:val="22"/>
        </w:rPr>
        <w:t xml:space="preserve"> technologies, namely heat pumps and biomass boilers (reflecting constraints driven by our assessment of biomass </w:t>
      </w:r>
      <w:r w:rsidR="008B5BDA" w:rsidRPr="00EE4B03">
        <w:rPr>
          <w:rFonts w:ascii="Arial" w:hAnsi="Arial" w:cs="Arial"/>
          <w:sz w:val="22"/>
          <w:szCs w:val="22"/>
        </w:rPr>
        <w:t>best</w:t>
      </w:r>
      <w:r w:rsidR="008B5BDA">
        <w:rPr>
          <w:rFonts w:ascii="Arial" w:hAnsi="Arial" w:cs="Arial"/>
          <w:sz w:val="22"/>
          <w:szCs w:val="22"/>
        </w:rPr>
        <w:t>-</w:t>
      </w:r>
      <w:r w:rsidRPr="00EE4B03">
        <w:rPr>
          <w:rFonts w:ascii="Arial" w:hAnsi="Arial" w:cs="Arial"/>
          <w:sz w:val="22"/>
          <w:szCs w:val="22"/>
        </w:rPr>
        <w:t>use).</w:t>
      </w:r>
      <w:r w:rsidRPr="00EE4B03">
        <w:rPr>
          <w:rStyle w:val="FootnoteReference"/>
          <w:rFonts w:ascii="Arial" w:hAnsi="Arial" w:cs="Arial"/>
          <w:sz w:val="22"/>
          <w:szCs w:val="22"/>
        </w:rPr>
        <w:footnoteReference w:id="7"/>
      </w:r>
      <w:r w:rsidRPr="00EE4B03">
        <w:rPr>
          <w:rFonts w:ascii="Arial" w:hAnsi="Arial" w:cs="Arial"/>
          <w:sz w:val="22"/>
          <w:szCs w:val="22"/>
        </w:rPr>
        <w:t xml:space="preserve"> </w:t>
      </w:r>
      <w:r w:rsidRPr="00EE4B03">
        <w:rPr>
          <w:rFonts w:ascii="Arial" w:hAnsi="Arial" w:cs="Arial"/>
          <w:sz w:val="22"/>
          <w:szCs w:val="22"/>
        </w:rPr>
        <w:lastRenderedPageBreak/>
        <w:t xml:space="preserve">The NHM was not used to model hybrid heat pumps or resistive heating. </w:t>
      </w:r>
    </w:p>
    <w:p w14:paraId="37006690" w14:textId="77777777" w:rsidR="00043916" w:rsidRPr="00EE4B03" w:rsidRDefault="00043916" w:rsidP="00662EE1">
      <w:pPr>
        <w:pStyle w:val="NormalWeb"/>
        <w:spacing w:before="0" w:beforeAutospacing="0" w:after="0" w:afterAutospacing="0" w:line="276" w:lineRule="auto"/>
        <w:rPr>
          <w:rFonts w:ascii="Arial" w:hAnsi="Arial" w:cs="Arial"/>
          <w:sz w:val="22"/>
          <w:szCs w:val="22"/>
        </w:rPr>
      </w:pPr>
    </w:p>
    <w:p w14:paraId="5707D5B8" w14:textId="7EA31D5F"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For the purposes </w:t>
      </w:r>
      <w:r w:rsidR="008853A4">
        <w:rPr>
          <w:rFonts w:ascii="Arial" w:hAnsi="Arial" w:cs="Arial"/>
          <w:sz w:val="22"/>
          <w:szCs w:val="22"/>
        </w:rPr>
        <w:t xml:space="preserve">of </w:t>
      </w:r>
      <w:r w:rsidRPr="00EE4B03">
        <w:rPr>
          <w:rFonts w:ascii="Arial" w:hAnsi="Arial" w:cs="Arial"/>
          <w:sz w:val="22"/>
          <w:szCs w:val="22"/>
        </w:rPr>
        <w:t xml:space="preserve">modelling our Max </w:t>
      </w:r>
      <w:r w:rsidR="00077914">
        <w:rPr>
          <w:rFonts w:ascii="Arial" w:hAnsi="Arial" w:cs="Arial"/>
          <w:sz w:val="22"/>
          <w:szCs w:val="22"/>
        </w:rPr>
        <w:t>S</w:t>
      </w:r>
      <w:r w:rsidRPr="00EE4B03">
        <w:rPr>
          <w:rFonts w:ascii="Arial" w:hAnsi="Arial" w:cs="Arial"/>
          <w:sz w:val="22"/>
          <w:szCs w:val="22"/>
        </w:rPr>
        <w:t xml:space="preserve">cenario in the NHM, DECC’s high carbon value assumptions were used to </w:t>
      </w:r>
      <w:r w:rsidR="00043916">
        <w:rPr>
          <w:rFonts w:ascii="Arial" w:hAnsi="Arial" w:cs="Arial"/>
          <w:sz w:val="22"/>
          <w:szCs w:val="22"/>
        </w:rPr>
        <w:t>inform</w:t>
      </w:r>
      <w:r w:rsidR="00043916" w:rsidRPr="00EE4B03">
        <w:rPr>
          <w:rFonts w:ascii="Arial" w:hAnsi="Arial" w:cs="Arial"/>
          <w:sz w:val="22"/>
          <w:szCs w:val="22"/>
        </w:rPr>
        <w:t xml:space="preserve"> </w:t>
      </w:r>
      <w:r w:rsidRPr="00EE4B03">
        <w:rPr>
          <w:rFonts w:ascii="Arial" w:hAnsi="Arial" w:cs="Arial"/>
          <w:sz w:val="22"/>
          <w:szCs w:val="22"/>
        </w:rPr>
        <w:t xml:space="preserve">cost-effective rollout of measures. Additionally, we made a simplifying assumption that remaining </w:t>
      </w:r>
      <w:r w:rsidR="0087279D">
        <w:rPr>
          <w:rFonts w:ascii="Arial" w:hAnsi="Arial" w:cs="Arial"/>
          <w:sz w:val="22"/>
          <w:szCs w:val="22"/>
        </w:rPr>
        <w:t>‘</w:t>
      </w:r>
      <w:r w:rsidRPr="00EE4B03">
        <w:rPr>
          <w:rFonts w:ascii="Arial" w:hAnsi="Arial" w:cs="Arial"/>
          <w:sz w:val="22"/>
          <w:szCs w:val="22"/>
        </w:rPr>
        <w:t>on-gas</w:t>
      </w:r>
      <w:r w:rsidR="0087279D">
        <w:rPr>
          <w:rFonts w:ascii="Arial" w:hAnsi="Arial" w:cs="Arial"/>
          <w:sz w:val="22"/>
          <w:szCs w:val="22"/>
        </w:rPr>
        <w:t>’</w:t>
      </w:r>
      <w:r w:rsidRPr="00EE4B03">
        <w:rPr>
          <w:rFonts w:ascii="Arial" w:hAnsi="Arial" w:cs="Arial"/>
          <w:sz w:val="22"/>
          <w:szCs w:val="22"/>
        </w:rPr>
        <w:t xml:space="preserve"> properties would be fitted with hybrid heat pumps (in the case of larger properties) or storage heaters (for smaller flats). Our Max </w:t>
      </w:r>
      <w:r w:rsidR="0087279D">
        <w:rPr>
          <w:rFonts w:ascii="Arial" w:hAnsi="Arial" w:cs="Arial"/>
          <w:sz w:val="22"/>
          <w:szCs w:val="22"/>
        </w:rPr>
        <w:t>S</w:t>
      </w:r>
      <w:r w:rsidRPr="00EE4B03">
        <w:rPr>
          <w:rFonts w:ascii="Arial" w:hAnsi="Arial" w:cs="Arial"/>
          <w:sz w:val="22"/>
          <w:szCs w:val="22"/>
        </w:rPr>
        <w:t xml:space="preserve">cenario for buildings </w:t>
      </w:r>
      <w:r w:rsidR="00043916">
        <w:rPr>
          <w:rFonts w:ascii="Arial" w:hAnsi="Arial" w:cs="Arial"/>
          <w:sz w:val="22"/>
          <w:szCs w:val="22"/>
        </w:rPr>
        <w:t>left</w:t>
      </w:r>
      <w:r w:rsidRPr="00EE4B03">
        <w:rPr>
          <w:rFonts w:ascii="Arial" w:hAnsi="Arial" w:cs="Arial"/>
          <w:sz w:val="22"/>
          <w:szCs w:val="22"/>
        </w:rPr>
        <w:t xml:space="preserve"> 4MtCO</w:t>
      </w:r>
      <w:r w:rsidRPr="00E655AE">
        <w:rPr>
          <w:rFonts w:ascii="Arial" w:hAnsi="Arial" w:cs="Arial"/>
          <w:sz w:val="22"/>
          <w:szCs w:val="22"/>
          <w:vertAlign w:val="subscript"/>
        </w:rPr>
        <w:t>2</w:t>
      </w:r>
      <w:r w:rsidRPr="00EE4B03">
        <w:rPr>
          <w:rFonts w:ascii="Arial" w:hAnsi="Arial" w:cs="Arial"/>
          <w:sz w:val="22"/>
          <w:szCs w:val="22"/>
        </w:rPr>
        <w:t>e of residual emissions</w:t>
      </w:r>
      <w:r w:rsidR="00043916">
        <w:rPr>
          <w:rFonts w:ascii="Arial" w:hAnsi="Arial" w:cs="Arial"/>
          <w:sz w:val="22"/>
          <w:szCs w:val="22"/>
        </w:rPr>
        <w:t xml:space="preserve"> in 2050</w:t>
      </w:r>
      <w:r w:rsidRPr="00EE4B03">
        <w:rPr>
          <w:rFonts w:ascii="Arial" w:hAnsi="Arial" w:cs="Arial"/>
          <w:sz w:val="22"/>
          <w:szCs w:val="22"/>
        </w:rPr>
        <w:t>, 16MtCO</w:t>
      </w:r>
      <w:r w:rsidRPr="00E655AE">
        <w:rPr>
          <w:rFonts w:ascii="Arial" w:hAnsi="Arial" w:cs="Arial"/>
          <w:sz w:val="22"/>
          <w:szCs w:val="22"/>
          <w:vertAlign w:val="subscript"/>
        </w:rPr>
        <w:t>2</w:t>
      </w:r>
      <w:r w:rsidRPr="00EE4B03">
        <w:rPr>
          <w:rFonts w:ascii="Arial" w:hAnsi="Arial" w:cs="Arial"/>
          <w:sz w:val="22"/>
          <w:szCs w:val="22"/>
        </w:rPr>
        <w:t xml:space="preserve">e lower than the emissions associated with the CCC’s </w:t>
      </w:r>
      <w:r w:rsidR="0087279D">
        <w:rPr>
          <w:rFonts w:ascii="Arial" w:hAnsi="Arial" w:cs="Arial"/>
          <w:sz w:val="22"/>
          <w:szCs w:val="22"/>
        </w:rPr>
        <w:t>C</w:t>
      </w:r>
      <w:r w:rsidRPr="00EE4B03">
        <w:rPr>
          <w:rFonts w:ascii="Arial" w:hAnsi="Arial" w:cs="Arial"/>
          <w:sz w:val="22"/>
          <w:szCs w:val="22"/>
        </w:rPr>
        <w:t xml:space="preserve">entral </w:t>
      </w:r>
      <w:r w:rsidR="0087279D">
        <w:rPr>
          <w:rFonts w:ascii="Arial" w:hAnsi="Arial" w:cs="Arial"/>
          <w:sz w:val="22"/>
          <w:szCs w:val="22"/>
        </w:rPr>
        <w:t>S</w:t>
      </w:r>
      <w:r w:rsidRPr="00EE4B03">
        <w:rPr>
          <w:rFonts w:ascii="Arial" w:hAnsi="Arial" w:cs="Arial"/>
          <w:sz w:val="22"/>
          <w:szCs w:val="22"/>
        </w:rPr>
        <w:t xml:space="preserve">cenario (Table 1).  </w:t>
      </w:r>
    </w:p>
    <w:p w14:paraId="629ECC42"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tbl>
      <w:tblPr>
        <w:tblpPr w:leftFromText="180" w:rightFromText="180" w:vertAnchor="text" w:horzAnchor="margin" w:tblpY="121"/>
        <w:tblW w:w="5000" w:type="pct"/>
        <w:tblBorders>
          <w:top w:val="single" w:sz="4" w:space="0" w:color="C98A3C"/>
          <w:left w:val="single" w:sz="4" w:space="0" w:color="C98A3C"/>
          <w:bottom w:val="single" w:sz="4" w:space="0" w:color="C98A3C"/>
          <w:right w:val="single" w:sz="4" w:space="0" w:color="C98A3C"/>
          <w:insideH w:val="single" w:sz="4" w:space="0" w:color="C98A3C"/>
          <w:insideV w:val="single" w:sz="4" w:space="0" w:color="C98A3C"/>
        </w:tblBorders>
        <w:tblCellMar>
          <w:top w:w="113" w:type="dxa"/>
          <w:bottom w:w="113" w:type="dxa"/>
        </w:tblCellMar>
        <w:tblLook w:val="04A0" w:firstRow="1" w:lastRow="0" w:firstColumn="1" w:lastColumn="0" w:noHBand="0" w:noVBand="1"/>
      </w:tblPr>
      <w:tblGrid>
        <w:gridCol w:w="2710"/>
        <w:gridCol w:w="3154"/>
        <w:gridCol w:w="3152"/>
      </w:tblGrid>
      <w:tr w:rsidR="008D666A" w:rsidRPr="00EE4B03" w14:paraId="508B042B" w14:textId="77777777" w:rsidTr="00E655AE">
        <w:trPr>
          <w:cantSplit/>
          <w:tblHeader/>
        </w:trPr>
        <w:tc>
          <w:tcPr>
            <w:tcW w:w="5000" w:type="pct"/>
            <w:gridSpan w:val="3"/>
            <w:shd w:val="clear" w:color="auto" w:fill="C98A3C"/>
          </w:tcPr>
          <w:p w14:paraId="33B5625B" w14:textId="030A3597" w:rsidR="008D666A" w:rsidRPr="00861E44" w:rsidRDefault="008D666A" w:rsidP="005F1C0A">
            <w:pPr>
              <w:pStyle w:val="TableHeading"/>
              <w:rPr>
                <w:rStyle w:val="BoxFigureTableheadingbold"/>
                <w:rFonts w:ascii="Arial" w:hAnsi="Arial" w:cs="Arial"/>
                <w:sz w:val="20"/>
              </w:rPr>
            </w:pPr>
            <w:r w:rsidRPr="00861E44">
              <w:rPr>
                <w:rStyle w:val="BoxFigureTableheadingbold"/>
                <w:rFonts w:ascii="Arial" w:hAnsi="Arial" w:cs="Arial"/>
                <w:sz w:val="20"/>
              </w:rPr>
              <w:t>Table 1.</w:t>
            </w:r>
            <w:r w:rsidRPr="00861E44">
              <w:rPr>
                <w:rFonts w:ascii="Arial" w:hAnsi="Arial" w:cs="Arial"/>
                <w:sz w:val="20"/>
              </w:rPr>
              <w:t xml:space="preserve"> Summary of CCC Barriers, Central and Max </w:t>
            </w:r>
            <w:r>
              <w:rPr>
                <w:rFonts w:ascii="Arial" w:hAnsi="Arial" w:cs="Arial"/>
                <w:sz w:val="20"/>
              </w:rPr>
              <w:t>S</w:t>
            </w:r>
            <w:r w:rsidRPr="00861E44">
              <w:rPr>
                <w:rFonts w:ascii="Arial" w:hAnsi="Arial" w:cs="Arial"/>
                <w:sz w:val="20"/>
              </w:rPr>
              <w:t>cenarios and resulting annual emissions of greenhouse gases in 2050</w:t>
            </w:r>
            <w:r>
              <w:rPr>
                <w:rFonts w:ascii="Arial" w:hAnsi="Arial" w:cs="Arial"/>
                <w:sz w:val="20"/>
              </w:rPr>
              <w:t xml:space="preserve"> for</w:t>
            </w:r>
            <w:r w:rsidRPr="00861E44">
              <w:rPr>
                <w:rFonts w:ascii="Arial" w:hAnsi="Arial" w:cs="Arial"/>
                <w:b/>
                <w:sz w:val="20"/>
              </w:rPr>
              <w:t xml:space="preserve"> </w:t>
            </w:r>
            <w:r w:rsidRPr="00D90DC8">
              <w:rPr>
                <w:rFonts w:ascii="Arial" w:hAnsi="Arial" w:cs="Arial"/>
                <w:sz w:val="20"/>
              </w:rPr>
              <w:t>heat in buildings</w:t>
            </w:r>
          </w:p>
        </w:tc>
      </w:tr>
      <w:tr w:rsidR="008D666A" w:rsidRPr="00EE4B03" w14:paraId="0F5A9B89" w14:textId="77777777" w:rsidTr="00E655AE">
        <w:trPr>
          <w:cantSplit/>
          <w:tblHeader/>
        </w:trPr>
        <w:tc>
          <w:tcPr>
            <w:tcW w:w="1503" w:type="pct"/>
            <w:shd w:val="clear" w:color="auto" w:fill="F1E0CB"/>
          </w:tcPr>
          <w:p w14:paraId="278128E8" w14:textId="77777777" w:rsidR="008D666A" w:rsidRPr="00861E44" w:rsidRDefault="008D666A" w:rsidP="005F1C0A">
            <w:pPr>
              <w:pStyle w:val="BoxBodyCentre"/>
              <w:rPr>
                <w:rStyle w:val="Boxbold"/>
                <w:rFonts w:ascii="Arial" w:hAnsi="Arial" w:cs="Arial"/>
                <w:sz w:val="20"/>
              </w:rPr>
            </w:pPr>
            <w:r w:rsidRPr="00861E44">
              <w:rPr>
                <w:rStyle w:val="Boxbold"/>
                <w:rFonts w:ascii="Arial" w:hAnsi="Arial" w:cs="Arial"/>
                <w:sz w:val="20"/>
              </w:rPr>
              <w:t>Max</w:t>
            </w:r>
          </w:p>
        </w:tc>
        <w:tc>
          <w:tcPr>
            <w:tcW w:w="1749" w:type="pct"/>
            <w:shd w:val="clear" w:color="auto" w:fill="F1E0CB"/>
          </w:tcPr>
          <w:p w14:paraId="210B19B0" w14:textId="77777777" w:rsidR="008D666A" w:rsidRPr="00861E44" w:rsidRDefault="008D666A" w:rsidP="005F1C0A">
            <w:pPr>
              <w:pStyle w:val="BoxBodyCentre"/>
              <w:rPr>
                <w:rStyle w:val="Boxbold"/>
                <w:rFonts w:ascii="Arial" w:hAnsi="Arial" w:cs="Arial"/>
                <w:sz w:val="20"/>
              </w:rPr>
            </w:pPr>
            <w:r w:rsidRPr="00861E44">
              <w:rPr>
                <w:rStyle w:val="Boxbold"/>
                <w:rFonts w:ascii="Arial" w:hAnsi="Arial" w:cs="Arial"/>
                <w:sz w:val="20"/>
              </w:rPr>
              <w:t>Central</w:t>
            </w:r>
          </w:p>
        </w:tc>
        <w:tc>
          <w:tcPr>
            <w:tcW w:w="1748" w:type="pct"/>
            <w:shd w:val="clear" w:color="auto" w:fill="F1E0CB"/>
          </w:tcPr>
          <w:p w14:paraId="41E528CA" w14:textId="77777777" w:rsidR="008D666A" w:rsidRPr="00861E44" w:rsidRDefault="008D666A" w:rsidP="005F1C0A">
            <w:pPr>
              <w:pStyle w:val="BoxBodyCentre"/>
              <w:rPr>
                <w:rStyle w:val="Boxbold"/>
                <w:rFonts w:ascii="Arial" w:hAnsi="Arial" w:cs="Arial"/>
                <w:sz w:val="20"/>
              </w:rPr>
            </w:pPr>
            <w:r w:rsidRPr="00861E44">
              <w:rPr>
                <w:rStyle w:val="Boxbold"/>
                <w:rFonts w:ascii="Arial" w:hAnsi="Arial" w:cs="Arial"/>
                <w:sz w:val="20"/>
              </w:rPr>
              <w:t>Barriers</w:t>
            </w:r>
          </w:p>
        </w:tc>
      </w:tr>
      <w:tr w:rsidR="008D666A" w:rsidRPr="00EE4B03" w14:paraId="7BDB60EA" w14:textId="77777777" w:rsidTr="00E655AE">
        <w:trPr>
          <w:cantSplit/>
        </w:trPr>
        <w:tc>
          <w:tcPr>
            <w:tcW w:w="1503" w:type="pct"/>
            <w:shd w:val="clear" w:color="auto" w:fill="auto"/>
          </w:tcPr>
          <w:p w14:paraId="7F1566AE" w14:textId="52AACB08" w:rsidR="008D666A" w:rsidRPr="00861E44" w:rsidRDefault="008D666A" w:rsidP="005F1C0A">
            <w:pPr>
              <w:pStyle w:val="BoxBodyCentre"/>
              <w:rPr>
                <w:rFonts w:ascii="Arial" w:hAnsi="Arial" w:cs="Arial"/>
                <w:b/>
                <w:sz w:val="20"/>
              </w:rPr>
            </w:pPr>
            <w:r w:rsidRPr="00861E44">
              <w:rPr>
                <w:rFonts w:ascii="Arial" w:hAnsi="Arial" w:cs="Arial"/>
                <w:sz w:val="20"/>
              </w:rPr>
              <w:t xml:space="preserve">Domestic: </w:t>
            </w:r>
            <w:r>
              <w:rPr>
                <w:rFonts w:ascii="Arial" w:hAnsi="Arial" w:cs="Arial"/>
                <w:sz w:val="20"/>
              </w:rPr>
              <w:t>d</w:t>
            </w:r>
            <w:r w:rsidRPr="00861E44">
              <w:rPr>
                <w:rFonts w:ascii="Arial" w:hAnsi="Arial" w:cs="Arial"/>
                <w:sz w:val="20"/>
              </w:rPr>
              <w:t>emand met by heat pumps o</w:t>
            </w:r>
            <w:r>
              <w:rPr>
                <w:rFonts w:ascii="Arial" w:hAnsi="Arial" w:cs="Arial"/>
                <w:sz w:val="20"/>
              </w:rPr>
              <w:t>r</w:t>
            </w:r>
            <w:r w:rsidRPr="00861E44">
              <w:rPr>
                <w:rFonts w:ascii="Arial" w:hAnsi="Arial" w:cs="Arial"/>
                <w:sz w:val="20"/>
              </w:rPr>
              <w:t xml:space="preserve"> H</w:t>
            </w:r>
            <w:r w:rsidRPr="00861E44">
              <w:rPr>
                <w:rFonts w:ascii="Arial" w:hAnsi="Arial" w:cs="Arial"/>
                <w:sz w:val="20"/>
                <w:vertAlign w:val="subscript"/>
              </w:rPr>
              <w:t>2</w:t>
            </w:r>
            <w:r w:rsidRPr="00861E44">
              <w:rPr>
                <w:rFonts w:ascii="Arial" w:hAnsi="Arial" w:cs="Arial"/>
                <w:sz w:val="20"/>
              </w:rPr>
              <w:t xml:space="preserve"> (70%), heat networks (10%), electric heating (5%) and gas (10%). Non-domestic: demand met by heat pumps (50%), heat networks (45%) and gas (5%)</w:t>
            </w:r>
            <w:r>
              <w:rPr>
                <w:rFonts w:ascii="Arial" w:hAnsi="Arial" w:cs="Arial"/>
                <w:sz w:val="20"/>
              </w:rPr>
              <w:t>.</w:t>
            </w:r>
            <w:r w:rsidRPr="00861E44">
              <w:rPr>
                <w:rFonts w:ascii="Arial" w:hAnsi="Arial" w:cs="Arial"/>
                <w:b/>
                <w:sz w:val="20"/>
              </w:rPr>
              <w:t xml:space="preserve"> </w:t>
            </w:r>
          </w:p>
          <w:p w14:paraId="73112814" w14:textId="77777777" w:rsidR="008D666A" w:rsidRPr="00861E44" w:rsidRDefault="008D666A" w:rsidP="005F1C0A">
            <w:pPr>
              <w:pStyle w:val="BoxBodyCentre"/>
              <w:rPr>
                <w:rFonts w:ascii="Arial" w:hAnsi="Arial" w:cs="Arial"/>
                <w:b/>
                <w:sz w:val="20"/>
              </w:rPr>
            </w:pPr>
            <w:r w:rsidRPr="00861E44">
              <w:rPr>
                <w:rFonts w:ascii="Arial" w:hAnsi="Arial" w:cs="Arial"/>
                <w:b/>
                <w:sz w:val="20"/>
              </w:rPr>
              <w:lastRenderedPageBreak/>
              <w:t>4 MtCO</w:t>
            </w:r>
            <w:r w:rsidRPr="00861E44">
              <w:rPr>
                <w:rFonts w:ascii="Arial" w:hAnsi="Arial" w:cs="Arial"/>
                <w:b/>
                <w:sz w:val="20"/>
                <w:vertAlign w:val="subscript"/>
              </w:rPr>
              <w:t>2</w:t>
            </w:r>
            <w:r w:rsidRPr="00861E44">
              <w:rPr>
                <w:rFonts w:ascii="Arial" w:hAnsi="Arial" w:cs="Arial"/>
                <w:b/>
                <w:sz w:val="20"/>
              </w:rPr>
              <w:t>e</w:t>
            </w:r>
          </w:p>
        </w:tc>
        <w:tc>
          <w:tcPr>
            <w:tcW w:w="1749" w:type="pct"/>
            <w:shd w:val="clear" w:color="auto" w:fill="auto"/>
          </w:tcPr>
          <w:p w14:paraId="743B85AB" w14:textId="7D3BE61E" w:rsidR="008D666A" w:rsidRPr="00861E44" w:rsidRDefault="008D666A" w:rsidP="005F1C0A">
            <w:pPr>
              <w:pStyle w:val="BoxBodyCentre"/>
              <w:rPr>
                <w:rFonts w:ascii="Arial" w:hAnsi="Arial" w:cs="Arial"/>
                <w:sz w:val="20"/>
              </w:rPr>
            </w:pPr>
            <w:r w:rsidRPr="00861E44">
              <w:rPr>
                <w:rFonts w:ascii="Arial" w:hAnsi="Arial" w:cs="Arial"/>
                <w:sz w:val="20"/>
              </w:rPr>
              <w:lastRenderedPageBreak/>
              <w:t xml:space="preserve">Domestic: </w:t>
            </w:r>
            <w:r>
              <w:rPr>
                <w:rFonts w:ascii="Arial" w:hAnsi="Arial" w:cs="Arial"/>
                <w:sz w:val="20"/>
              </w:rPr>
              <w:t>d</w:t>
            </w:r>
            <w:r w:rsidRPr="00861E44">
              <w:rPr>
                <w:rFonts w:ascii="Arial" w:hAnsi="Arial" w:cs="Arial"/>
                <w:sz w:val="20"/>
              </w:rPr>
              <w:t>emand met by heat pumps o</w:t>
            </w:r>
            <w:r>
              <w:rPr>
                <w:rFonts w:ascii="Arial" w:hAnsi="Arial" w:cs="Arial"/>
                <w:sz w:val="20"/>
              </w:rPr>
              <w:t>r</w:t>
            </w:r>
            <w:r w:rsidRPr="00861E44">
              <w:rPr>
                <w:rFonts w:ascii="Arial" w:hAnsi="Arial" w:cs="Arial"/>
                <w:sz w:val="20"/>
              </w:rPr>
              <w:t xml:space="preserve"> H</w:t>
            </w:r>
            <w:r w:rsidRPr="00861E44">
              <w:rPr>
                <w:rFonts w:ascii="Arial" w:hAnsi="Arial" w:cs="Arial"/>
                <w:sz w:val="20"/>
                <w:vertAlign w:val="subscript"/>
              </w:rPr>
              <w:t>2</w:t>
            </w:r>
            <w:r w:rsidRPr="00861E44">
              <w:rPr>
                <w:rFonts w:ascii="Arial" w:hAnsi="Arial" w:cs="Arial"/>
                <w:sz w:val="20"/>
              </w:rPr>
              <w:t xml:space="preserve"> (60%), heat networks (10%), electric heating (5%) and gas (25%). Non-domestic: demand met by heat pumps (35%), heat networks (25%) and gas (40%)</w:t>
            </w:r>
          </w:p>
          <w:p w14:paraId="2A83DB72" w14:textId="77777777" w:rsidR="008D666A" w:rsidRPr="00861E44" w:rsidRDefault="008D666A" w:rsidP="005F1C0A">
            <w:pPr>
              <w:pStyle w:val="BoxBodyCentre"/>
              <w:rPr>
                <w:rFonts w:ascii="Arial" w:hAnsi="Arial" w:cs="Arial"/>
                <w:sz w:val="20"/>
              </w:rPr>
            </w:pPr>
          </w:p>
          <w:p w14:paraId="1F8674AA" w14:textId="77777777" w:rsidR="008D666A" w:rsidRPr="00861E44" w:rsidRDefault="008D666A" w:rsidP="005F1C0A">
            <w:pPr>
              <w:pStyle w:val="BoxBodyCentre"/>
              <w:rPr>
                <w:rFonts w:ascii="Arial" w:hAnsi="Arial" w:cs="Arial"/>
                <w:b/>
                <w:sz w:val="20"/>
              </w:rPr>
            </w:pPr>
            <w:r w:rsidRPr="00861E44">
              <w:rPr>
                <w:rFonts w:ascii="Arial" w:hAnsi="Arial" w:cs="Arial"/>
                <w:b/>
                <w:sz w:val="20"/>
              </w:rPr>
              <w:t>19MtCO</w:t>
            </w:r>
            <w:r w:rsidRPr="00861E44">
              <w:rPr>
                <w:rFonts w:ascii="Arial" w:hAnsi="Arial" w:cs="Arial"/>
                <w:b/>
                <w:sz w:val="20"/>
                <w:vertAlign w:val="subscript"/>
              </w:rPr>
              <w:t>2</w:t>
            </w:r>
            <w:r w:rsidRPr="00861E44">
              <w:rPr>
                <w:rFonts w:ascii="Arial" w:hAnsi="Arial" w:cs="Arial"/>
                <w:b/>
                <w:sz w:val="20"/>
              </w:rPr>
              <w:t>e</w:t>
            </w:r>
          </w:p>
        </w:tc>
        <w:tc>
          <w:tcPr>
            <w:tcW w:w="1748" w:type="pct"/>
          </w:tcPr>
          <w:p w14:paraId="043665D8" w14:textId="7DF80288" w:rsidR="008D666A" w:rsidRPr="00861E44" w:rsidRDefault="008D666A" w:rsidP="005F1C0A">
            <w:pPr>
              <w:pStyle w:val="BoxBodyCentre"/>
              <w:rPr>
                <w:rFonts w:ascii="Arial" w:hAnsi="Arial" w:cs="Arial"/>
                <w:sz w:val="20"/>
              </w:rPr>
            </w:pPr>
            <w:r w:rsidRPr="00861E44">
              <w:rPr>
                <w:rFonts w:ascii="Arial" w:hAnsi="Arial" w:cs="Arial"/>
                <w:sz w:val="20"/>
              </w:rPr>
              <w:t xml:space="preserve">Domestic: </w:t>
            </w:r>
            <w:r>
              <w:rPr>
                <w:rFonts w:ascii="Arial" w:hAnsi="Arial" w:cs="Arial"/>
                <w:sz w:val="20"/>
              </w:rPr>
              <w:t>d</w:t>
            </w:r>
            <w:r w:rsidRPr="00861E44">
              <w:rPr>
                <w:rFonts w:ascii="Arial" w:hAnsi="Arial" w:cs="Arial"/>
                <w:sz w:val="20"/>
              </w:rPr>
              <w:t>emand met by heat pumps o</w:t>
            </w:r>
            <w:r>
              <w:rPr>
                <w:rFonts w:ascii="Arial" w:hAnsi="Arial" w:cs="Arial"/>
                <w:sz w:val="20"/>
              </w:rPr>
              <w:t>r</w:t>
            </w:r>
            <w:r w:rsidRPr="00861E44">
              <w:rPr>
                <w:rFonts w:ascii="Arial" w:hAnsi="Arial" w:cs="Arial"/>
                <w:sz w:val="20"/>
              </w:rPr>
              <w:t xml:space="preserve"> H</w:t>
            </w:r>
            <w:r w:rsidRPr="00861E44">
              <w:rPr>
                <w:rFonts w:ascii="Arial" w:hAnsi="Arial" w:cs="Arial"/>
                <w:sz w:val="20"/>
                <w:vertAlign w:val="subscript"/>
              </w:rPr>
              <w:t>2</w:t>
            </w:r>
            <w:r w:rsidRPr="00861E44">
              <w:rPr>
                <w:rFonts w:ascii="Arial" w:hAnsi="Arial" w:cs="Arial"/>
                <w:sz w:val="20"/>
              </w:rPr>
              <w:t xml:space="preserve"> (20%), heat networks (5%), electric heating (5%) and gas (75%). Non-domestic: demand met by heat pumps (35%, heat networks (55%) and gas (5%).</w:t>
            </w:r>
          </w:p>
          <w:p w14:paraId="35EDB8E8" w14:textId="77777777" w:rsidR="008D666A" w:rsidRPr="00861E44" w:rsidRDefault="008D666A" w:rsidP="005F1C0A">
            <w:pPr>
              <w:pStyle w:val="BoxBodyCentre"/>
              <w:rPr>
                <w:rFonts w:ascii="Arial" w:hAnsi="Arial" w:cs="Arial"/>
                <w:b/>
                <w:sz w:val="20"/>
              </w:rPr>
            </w:pPr>
            <w:r w:rsidRPr="00861E44">
              <w:rPr>
                <w:rFonts w:ascii="Arial" w:hAnsi="Arial" w:cs="Arial"/>
                <w:b/>
                <w:sz w:val="20"/>
              </w:rPr>
              <w:t>67 MtCO</w:t>
            </w:r>
            <w:r w:rsidRPr="00861E44">
              <w:rPr>
                <w:rFonts w:ascii="Arial" w:hAnsi="Arial" w:cs="Arial"/>
                <w:b/>
                <w:sz w:val="20"/>
                <w:vertAlign w:val="subscript"/>
              </w:rPr>
              <w:t>2</w:t>
            </w:r>
            <w:r w:rsidRPr="00861E44">
              <w:rPr>
                <w:rFonts w:ascii="Arial" w:hAnsi="Arial" w:cs="Arial"/>
                <w:b/>
                <w:sz w:val="20"/>
              </w:rPr>
              <w:t>e</w:t>
            </w:r>
          </w:p>
        </w:tc>
      </w:tr>
    </w:tbl>
    <w:p w14:paraId="60DE8B9F" w14:textId="2DD0CA45"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799300B5" w14:textId="578C12F3"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In 2016 the CCC published a report on ‘</w:t>
      </w:r>
      <w:r w:rsidR="00043916" w:rsidRPr="00E655AE">
        <w:rPr>
          <w:rFonts w:ascii="Arial" w:hAnsi="Arial" w:cs="Arial"/>
          <w:b/>
          <w:sz w:val="22"/>
          <w:szCs w:val="22"/>
        </w:rPr>
        <w:t>UK climate action following</w:t>
      </w:r>
      <w:r w:rsidR="00043916">
        <w:rPr>
          <w:rFonts w:ascii="Arial" w:hAnsi="Arial" w:cs="Arial"/>
          <w:sz w:val="22"/>
          <w:szCs w:val="22"/>
        </w:rPr>
        <w:t xml:space="preserve"> </w:t>
      </w:r>
      <w:r w:rsidRPr="00EE4B03">
        <w:rPr>
          <w:rFonts w:ascii="Arial" w:hAnsi="Arial" w:cs="Arial"/>
          <w:b/>
          <w:sz w:val="22"/>
          <w:szCs w:val="22"/>
        </w:rPr>
        <w:t xml:space="preserve">the Paris </w:t>
      </w:r>
      <w:r w:rsidR="00043916">
        <w:rPr>
          <w:rFonts w:ascii="Arial" w:hAnsi="Arial" w:cs="Arial"/>
          <w:b/>
          <w:sz w:val="22"/>
          <w:szCs w:val="22"/>
        </w:rPr>
        <w:t>Agreement</w:t>
      </w:r>
      <w:r w:rsidRPr="00EE4B03">
        <w:rPr>
          <w:rFonts w:ascii="Arial" w:hAnsi="Arial" w:cs="Arial"/>
          <w:b/>
          <w:sz w:val="22"/>
          <w:szCs w:val="22"/>
        </w:rPr>
        <w:t>’</w:t>
      </w:r>
      <w:r w:rsidR="00043916">
        <w:rPr>
          <w:rFonts w:ascii="Arial" w:hAnsi="Arial" w:cs="Arial"/>
          <w:b/>
          <w:sz w:val="22"/>
          <w:szCs w:val="22"/>
        </w:rPr>
        <w:t>.</w:t>
      </w:r>
      <w:r w:rsidRPr="00EE4B03">
        <w:rPr>
          <w:rFonts w:ascii="Arial" w:hAnsi="Arial" w:cs="Arial"/>
          <w:sz w:val="22"/>
          <w:szCs w:val="22"/>
        </w:rPr>
        <w:t xml:space="preserve"> </w:t>
      </w:r>
      <w:r w:rsidR="00043916">
        <w:rPr>
          <w:rFonts w:ascii="Arial" w:hAnsi="Arial" w:cs="Arial"/>
          <w:sz w:val="22"/>
          <w:szCs w:val="22"/>
        </w:rPr>
        <w:t xml:space="preserve">This included an </w:t>
      </w:r>
      <w:r w:rsidRPr="00EE4B03">
        <w:rPr>
          <w:rFonts w:ascii="Arial" w:hAnsi="Arial" w:cs="Arial"/>
          <w:sz w:val="22"/>
          <w:szCs w:val="22"/>
        </w:rPr>
        <w:t xml:space="preserve">assessment of how far existing CCC Max </w:t>
      </w:r>
      <w:r w:rsidR="000C516B">
        <w:rPr>
          <w:rFonts w:ascii="Arial" w:hAnsi="Arial" w:cs="Arial"/>
          <w:sz w:val="22"/>
          <w:szCs w:val="22"/>
        </w:rPr>
        <w:t>S</w:t>
      </w:r>
      <w:r w:rsidRPr="00EE4B03">
        <w:rPr>
          <w:rFonts w:ascii="Arial" w:hAnsi="Arial" w:cs="Arial"/>
          <w:sz w:val="22"/>
          <w:szCs w:val="22"/>
        </w:rPr>
        <w:t xml:space="preserve">cenarios go in reducing emissions (Figure 2). </w:t>
      </w:r>
    </w:p>
    <w:p w14:paraId="178F2906"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tbl>
      <w:tblPr>
        <w:tblW w:w="8889" w:type="dxa"/>
        <w:tblInd w:w="108" w:type="dxa"/>
        <w:tblBorders>
          <w:top w:val="single" w:sz="4" w:space="0" w:color="C98A3C"/>
          <w:left w:val="single" w:sz="4" w:space="0" w:color="C98A3C"/>
          <w:bottom w:val="single" w:sz="4" w:space="0" w:color="C98A3C"/>
          <w:right w:val="single" w:sz="4" w:space="0" w:color="C98A3C"/>
        </w:tblBorders>
        <w:tblCellMar>
          <w:top w:w="113" w:type="dxa"/>
          <w:bottom w:w="113" w:type="dxa"/>
        </w:tblCellMar>
        <w:tblLook w:val="04A0" w:firstRow="1" w:lastRow="0" w:firstColumn="1" w:lastColumn="0" w:noHBand="0" w:noVBand="1"/>
      </w:tblPr>
      <w:tblGrid>
        <w:gridCol w:w="8889"/>
      </w:tblGrid>
      <w:tr w:rsidR="00662EE1" w:rsidRPr="00EE4B03" w14:paraId="3FDF9202" w14:textId="77777777" w:rsidTr="005F1C0A">
        <w:trPr>
          <w:trHeight w:val="84"/>
          <w:tblHeader/>
        </w:trPr>
        <w:tc>
          <w:tcPr>
            <w:tcW w:w="8889" w:type="dxa"/>
            <w:shd w:val="clear" w:color="auto" w:fill="C98A3C"/>
          </w:tcPr>
          <w:p w14:paraId="6A259C06" w14:textId="77777777" w:rsidR="00662EE1" w:rsidRPr="00861E44" w:rsidRDefault="00662EE1" w:rsidP="005F1C0A">
            <w:pPr>
              <w:pStyle w:val="FigureHeading"/>
              <w:rPr>
                <w:rFonts w:ascii="Arial" w:hAnsi="Arial" w:cs="Arial"/>
              </w:rPr>
            </w:pPr>
            <w:r w:rsidRPr="00861E44">
              <w:rPr>
                <w:rStyle w:val="BoxFigureTableheadingbold"/>
                <w:rFonts w:ascii="Arial" w:hAnsi="Arial" w:cs="Arial"/>
              </w:rPr>
              <w:t>Figure 2.</w:t>
            </w:r>
            <w:r w:rsidRPr="00861E44">
              <w:rPr>
                <w:rFonts w:ascii="Arial" w:hAnsi="Arial" w:cs="Arial"/>
                <w:b/>
              </w:rPr>
              <w:t xml:space="preserve"> </w:t>
            </w:r>
            <w:r w:rsidRPr="00861E44">
              <w:rPr>
                <w:rFonts w:ascii="Arial" w:hAnsi="Arial" w:cs="Arial"/>
              </w:rPr>
              <w:t>Residual UK greenhouse gas emissions in 2050 under Max deployment across all sectors</w:t>
            </w:r>
          </w:p>
        </w:tc>
      </w:tr>
      <w:tr w:rsidR="00662EE1" w:rsidRPr="00EE4B03" w14:paraId="052EC45F" w14:textId="77777777" w:rsidTr="005F1C0A">
        <w:trPr>
          <w:trHeight w:val="1388"/>
        </w:trPr>
        <w:tc>
          <w:tcPr>
            <w:tcW w:w="8889" w:type="dxa"/>
            <w:shd w:val="clear" w:color="auto" w:fill="auto"/>
          </w:tcPr>
          <w:p w14:paraId="7EF12BEB" w14:textId="77777777" w:rsidR="00662EE1" w:rsidRPr="00861E44" w:rsidRDefault="00662EE1" w:rsidP="005F1C0A">
            <w:pPr>
              <w:pStyle w:val="BoxBody"/>
              <w:rPr>
                <w:rFonts w:ascii="Arial" w:hAnsi="Arial" w:cs="Arial"/>
              </w:rPr>
            </w:pPr>
            <w:r w:rsidRPr="00861E44">
              <w:rPr>
                <w:rFonts w:ascii="Arial" w:hAnsi="Arial" w:cs="Arial"/>
                <w:noProof/>
                <w:lang w:eastAsia="en-GB"/>
              </w:rPr>
              <w:drawing>
                <wp:anchor distT="0" distB="0" distL="114300" distR="114300" simplePos="0" relativeHeight="251660288" behindDoc="0" locked="0" layoutInCell="1" allowOverlap="1" wp14:anchorId="3C100972" wp14:editId="4E47409E">
                  <wp:simplePos x="0" y="0"/>
                  <wp:positionH relativeFrom="column">
                    <wp:posOffset>370040</wp:posOffset>
                  </wp:positionH>
                  <wp:positionV relativeFrom="paragraph">
                    <wp:posOffset>190</wp:posOffset>
                  </wp:positionV>
                  <wp:extent cx="4532400" cy="2649600"/>
                  <wp:effectExtent l="0" t="0" r="190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532400" cy="2649600"/>
                          </a:xfrm>
                          <a:prstGeom prst="rect">
                            <a:avLst/>
                          </a:prstGeom>
                        </pic:spPr>
                      </pic:pic>
                    </a:graphicData>
                  </a:graphic>
                  <wp14:sizeRelH relativeFrom="margin">
                    <wp14:pctWidth>0</wp14:pctWidth>
                  </wp14:sizeRelH>
                  <wp14:sizeRelV relativeFrom="margin">
                    <wp14:pctHeight>0</wp14:pctHeight>
                  </wp14:sizeRelV>
                </wp:anchor>
              </w:drawing>
            </w:r>
          </w:p>
        </w:tc>
      </w:tr>
      <w:tr w:rsidR="00662EE1" w:rsidRPr="00EE4B03" w14:paraId="45DC09DC" w14:textId="77777777" w:rsidTr="005F1C0A">
        <w:trPr>
          <w:trHeight w:val="197"/>
        </w:trPr>
        <w:tc>
          <w:tcPr>
            <w:tcW w:w="8889" w:type="dxa"/>
            <w:shd w:val="clear" w:color="auto" w:fill="F1E0CB"/>
          </w:tcPr>
          <w:p w14:paraId="6E30167F" w14:textId="77777777" w:rsidR="00662EE1" w:rsidRPr="00861E44" w:rsidRDefault="00662EE1" w:rsidP="005F1C0A">
            <w:pPr>
              <w:pStyle w:val="BoxFootnote"/>
              <w:rPr>
                <w:rFonts w:ascii="Arial" w:hAnsi="Arial" w:cs="Arial"/>
              </w:rPr>
            </w:pPr>
            <w:r w:rsidRPr="00861E44">
              <w:rPr>
                <w:rStyle w:val="Boxfootnotebold"/>
                <w:rFonts w:ascii="Arial" w:hAnsi="Arial" w:cs="Arial"/>
              </w:rPr>
              <w:t>Source:</w:t>
            </w:r>
            <w:r w:rsidRPr="00861E44">
              <w:rPr>
                <w:rFonts w:ascii="Arial" w:hAnsi="Arial" w:cs="Arial"/>
              </w:rPr>
              <w:t xml:space="preserve"> CCC calculations.</w:t>
            </w:r>
          </w:p>
        </w:tc>
      </w:tr>
    </w:tbl>
    <w:p w14:paraId="2573235A"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4D1FF2C9" w14:textId="5D37E28F"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Most recently, a package of analysis by Imperial College London was launched earlier this year examining </w:t>
      </w:r>
      <w:r w:rsidRPr="00EE4B03">
        <w:rPr>
          <w:rFonts w:ascii="Arial" w:hAnsi="Arial" w:cs="Arial"/>
          <w:b/>
          <w:sz w:val="22"/>
          <w:szCs w:val="22"/>
        </w:rPr>
        <w:t>alternative UK heat decarbonisation pathways</w:t>
      </w:r>
      <w:r w:rsidRPr="00EE4B03">
        <w:rPr>
          <w:rFonts w:ascii="Arial" w:hAnsi="Arial" w:cs="Arial"/>
          <w:sz w:val="22"/>
          <w:szCs w:val="22"/>
        </w:rPr>
        <w:t>.</w:t>
      </w:r>
      <w:r w:rsidRPr="00EE4B03">
        <w:rPr>
          <w:rStyle w:val="FootnoteReference"/>
          <w:rFonts w:ascii="Arial" w:hAnsi="Arial" w:cs="Arial"/>
          <w:sz w:val="22"/>
          <w:szCs w:val="22"/>
        </w:rPr>
        <w:footnoteReference w:id="8"/>
      </w:r>
      <w:r w:rsidRPr="00EE4B03">
        <w:rPr>
          <w:rFonts w:ascii="Arial" w:hAnsi="Arial" w:cs="Arial"/>
          <w:sz w:val="22"/>
          <w:szCs w:val="22"/>
        </w:rPr>
        <w:t xml:space="preserve"> This work has examined the costs of different heat decarbonisation pathways for buildings on the gas grid. Amongst other things, the analysis suggests that deep decarbonisation is possible for these buildings, but that reaching zero emissions from heat by 2050 may be expensive. </w:t>
      </w:r>
    </w:p>
    <w:p w14:paraId="5DB1E09C" w14:textId="77777777" w:rsidR="00662EE1" w:rsidRPr="00861E44" w:rsidRDefault="00662EE1" w:rsidP="00662EE1">
      <w:pPr>
        <w:pStyle w:val="Heading4"/>
        <w:rPr>
          <w:rFonts w:ascii="Arial" w:hAnsi="Arial" w:cs="Arial"/>
        </w:rPr>
      </w:pPr>
      <w:r w:rsidRPr="00861E44">
        <w:rPr>
          <w:rFonts w:ascii="Arial" w:hAnsi="Arial" w:cs="Arial"/>
        </w:rPr>
        <w:t>The need for further analysis on ‘hard to decarbonise’ homes</w:t>
      </w:r>
    </w:p>
    <w:p w14:paraId="7E6D2227" w14:textId="77777777" w:rsidR="00043916" w:rsidRPr="00EE4B03" w:rsidRDefault="00043916" w:rsidP="00043916">
      <w:pPr>
        <w:pStyle w:val="NormalWeb"/>
        <w:spacing w:before="0" w:beforeAutospacing="0" w:after="0" w:afterAutospacing="0" w:line="276" w:lineRule="auto"/>
        <w:rPr>
          <w:rFonts w:ascii="Arial" w:hAnsi="Arial" w:cs="Arial"/>
          <w:sz w:val="22"/>
          <w:szCs w:val="22"/>
        </w:rPr>
      </w:pPr>
    </w:p>
    <w:p w14:paraId="5CDFAEE3" w14:textId="188C5EA4"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There is now a need to update existing advice, both to </w:t>
      </w:r>
      <w:r w:rsidR="00043916">
        <w:rPr>
          <w:rFonts w:ascii="Arial" w:hAnsi="Arial" w:cs="Arial"/>
          <w:sz w:val="22"/>
          <w:szCs w:val="22"/>
        </w:rPr>
        <w:t xml:space="preserve">ensure that it </w:t>
      </w:r>
      <w:r w:rsidRPr="00EE4B03">
        <w:rPr>
          <w:rFonts w:ascii="Arial" w:hAnsi="Arial" w:cs="Arial"/>
          <w:sz w:val="22"/>
          <w:szCs w:val="22"/>
        </w:rPr>
        <w:t>reflect</w:t>
      </w:r>
      <w:r w:rsidR="00043916">
        <w:rPr>
          <w:rFonts w:ascii="Arial" w:hAnsi="Arial" w:cs="Arial"/>
          <w:sz w:val="22"/>
          <w:szCs w:val="22"/>
        </w:rPr>
        <w:t>s</w:t>
      </w:r>
      <w:r w:rsidRPr="00EE4B03">
        <w:rPr>
          <w:rFonts w:ascii="Arial" w:hAnsi="Arial" w:cs="Arial"/>
          <w:sz w:val="22"/>
          <w:szCs w:val="22"/>
        </w:rPr>
        <w:t xml:space="preserve"> the latest evidence, and to illustrate in more detail a range of pathways to reducing carbon emissions from ‘hard to decarbonise’ homes. This includes those homes not decarbonised in our </w:t>
      </w:r>
      <w:r w:rsidR="000C516B">
        <w:rPr>
          <w:rFonts w:ascii="Arial" w:hAnsi="Arial" w:cs="Arial"/>
          <w:sz w:val="22"/>
          <w:szCs w:val="22"/>
        </w:rPr>
        <w:t>C</w:t>
      </w:r>
      <w:r w:rsidRPr="00EE4B03">
        <w:rPr>
          <w:rFonts w:ascii="Arial" w:hAnsi="Arial" w:cs="Arial"/>
          <w:sz w:val="22"/>
          <w:szCs w:val="22"/>
        </w:rPr>
        <w:t xml:space="preserve">entral </w:t>
      </w:r>
      <w:r w:rsidR="000C516B">
        <w:rPr>
          <w:rFonts w:ascii="Arial" w:hAnsi="Arial" w:cs="Arial"/>
          <w:sz w:val="22"/>
          <w:szCs w:val="22"/>
        </w:rPr>
        <w:t>S</w:t>
      </w:r>
      <w:r w:rsidRPr="00EE4B03">
        <w:rPr>
          <w:rFonts w:ascii="Arial" w:hAnsi="Arial" w:cs="Arial"/>
          <w:sz w:val="22"/>
          <w:szCs w:val="22"/>
        </w:rPr>
        <w:t xml:space="preserve">cenario - typically homes that are particularly expensive/difficult to retrofit with energy efficiency </w:t>
      </w:r>
      <w:r w:rsidRPr="00EE4B03">
        <w:rPr>
          <w:rFonts w:ascii="Arial" w:hAnsi="Arial" w:cs="Arial"/>
          <w:sz w:val="22"/>
          <w:szCs w:val="22"/>
        </w:rPr>
        <w:lastRenderedPageBreak/>
        <w:t>measures, and therefore also with low-carbon heat (this group will also be a product of our suitability assumptions, modelling approach etc</w:t>
      </w:r>
      <w:r w:rsidR="00B83AAD">
        <w:rPr>
          <w:rFonts w:ascii="Arial" w:hAnsi="Arial" w:cs="Arial"/>
          <w:sz w:val="22"/>
          <w:szCs w:val="22"/>
        </w:rPr>
        <w:t>.</w:t>
      </w:r>
      <w:r w:rsidRPr="00EE4B03">
        <w:rPr>
          <w:rFonts w:ascii="Arial" w:hAnsi="Arial" w:cs="Arial"/>
          <w:sz w:val="22"/>
          <w:szCs w:val="22"/>
        </w:rPr>
        <w:t xml:space="preserve">). It will also include some homes in our </w:t>
      </w:r>
      <w:r w:rsidR="000C516B">
        <w:rPr>
          <w:rFonts w:ascii="Arial" w:hAnsi="Arial" w:cs="Arial"/>
          <w:sz w:val="22"/>
          <w:szCs w:val="22"/>
        </w:rPr>
        <w:t>C</w:t>
      </w:r>
      <w:r w:rsidRPr="00EE4B03">
        <w:rPr>
          <w:rFonts w:ascii="Arial" w:hAnsi="Arial" w:cs="Arial"/>
          <w:sz w:val="22"/>
          <w:szCs w:val="22"/>
        </w:rPr>
        <w:t xml:space="preserve">entral </w:t>
      </w:r>
      <w:r w:rsidR="000C516B">
        <w:rPr>
          <w:rFonts w:ascii="Arial" w:hAnsi="Arial" w:cs="Arial"/>
          <w:sz w:val="22"/>
          <w:szCs w:val="22"/>
        </w:rPr>
        <w:t>S</w:t>
      </w:r>
      <w:r w:rsidRPr="00EE4B03">
        <w:rPr>
          <w:rFonts w:ascii="Arial" w:hAnsi="Arial" w:cs="Arial"/>
          <w:sz w:val="22"/>
          <w:szCs w:val="22"/>
        </w:rPr>
        <w:t xml:space="preserve">cenario that have ‘hard to decarbonise’ features, </w:t>
      </w:r>
      <w:r w:rsidR="00165909">
        <w:rPr>
          <w:rFonts w:ascii="Arial" w:hAnsi="Arial" w:cs="Arial"/>
          <w:sz w:val="22"/>
          <w:szCs w:val="22"/>
        </w:rPr>
        <w:t>including those with</w:t>
      </w:r>
      <w:r w:rsidRPr="00EE4B03">
        <w:rPr>
          <w:rFonts w:ascii="Arial" w:hAnsi="Arial" w:cs="Arial"/>
          <w:sz w:val="22"/>
          <w:szCs w:val="22"/>
        </w:rPr>
        <w:t xml:space="preserve"> solid walls and non-standard cavity walls. </w:t>
      </w:r>
      <w:r w:rsidR="00724D97">
        <w:rPr>
          <w:rFonts w:ascii="Arial" w:hAnsi="Arial" w:cs="Arial"/>
          <w:sz w:val="22"/>
          <w:szCs w:val="22"/>
        </w:rPr>
        <w:t>It could additionally include homes where the occupiers may prove resistive to making even cost-effective changes like improved efficiency and installing heat pumps</w:t>
      </w:r>
      <w:r w:rsidR="00E24528">
        <w:rPr>
          <w:rFonts w:ascii="Arial" w:hAnsi="Arial" w:cs="Arial"/>
          <w:sz w:val="22"/>
          <w:szCs w:val="22"/>
        </w:rPr>
        <w:t xml:space="preserve"> or joining a heat network</w:t>
      </w:r>
      <w:r w:rsidR="00724D97">
        <w:rPr>
          <w:rFonts w:ascii="Arial" w:hAnsi="Arial" w:cs="Arial"/>
          <w:sz w:val="22"/>
          <w:szCs w:val="22"/>
        </w:rPr>
        <w:t>.</w:t>
      </w:r>
    </w:p>
    <w:p w14:paraId="0C4523D1"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537BCB3D" w14:textId="77777777" w:rsidR="00662EE1" w:rsidRPr="00EE4B03" w:rsidRDefault="00662EE1" w:rsidP="00662EE1">
      <w:pPr>
        <w:pStyle w:val="NormalWeb"/>
        <w:spacing w:before="0" w:beforeAutospacing="0" w:after="0" w:afterAutospacing="0" w:line="276" w:lineRule="auto"/>
        <w:rPr>
          <w:rFonts w:ascii="Arial" w:hAnsi="Arial" w:cs="Arial"/>
          <w:i/>
          <w:sz w:val="22"/>
          <w:szCs w:val="22"/>
        </w:rPr>
      </w:pPr>
      <w:r w:rsidRPr="00EE4B03">
        <w:rPr>
          <w:rFonts w:ascii="Arial" w:hAnsi="Arial" w:cs="Arial"/>
          <w:i/>
          <w:sz w:val="22"/>
          <w:szCs w:val="22"/>
        </w:rPr>
        <w:t>Defining ‘hard to decarbonise’ homes</w:t>
      </w:r>
    </w:p>
    <w:p w14:paraId="4F30B37C" w14:textId="77777777" w:rsidR="00662EE1" w:rsidRPr="00861E44" w:rsidRDefault="00662EE1" w:rsidP="00662EE1">
      <w:pPr>
        <w:rPr>
          <w:rFonts w:ascii="Arial" w:hAnsi="Arial" w:cs="Arial"/>
        </w:rPr>
      </w:pPr>
    </w:p>
    <w:p w14:paraId="1A626B19" w14:textId="0B51F1A8"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Traditionally the CCC has undertaken distinct analysis on ‘hard to treat’ homes, namely those considered difficult to insulate (and subsequently less suitable for cost-effective low-carbon heating options). We are now classifying the group of homes of interest as ‘hard to decarbonise’, given the value of placing an equal focus on the suitability of cost-effective insulation and</w:t>
      </w:r>
      <w:r w:rsidRPr="00EE4B03">
        <w:rPr>
          <w:rFonts w:ascii="Arial" w:hAnsi="Arial" w:cs="Arial"/>
          <w:i/>
          <w:sz w:val="22"/>
          <w:szCs w:val="22"/>
        </w:rPr>
        <w:t xml:space="preserve"> </w:t>
      </w:r>
      <w:r w:rsidRPr="00EE4B03">
        <w:rPr>
          <w:rFonts w:ascii="Arial" w:hAnsi="Arial" w:cs="Arial"/>
          <w:sz w:val="22"/>
          <w:szCs w:val="22"/>
        </w:rPr>
        <w:t xml:space="preserve">low-carbon heat options. Our principle interest is in those homes for </w:t>
      </w:r>
      <w:r w:rsidR="00043916" w:rsidRPr="00EE4B03">
        <w:rPr>
          <w:rFonts w:ascii="Arial" w:hAnsi="Arial" w:cs="Arial"/>
          <w:sz w:val="22"/>
          <w:szCs w:val="22"/>
        </w:rPr>
        <w:t>wh</w:t>
      </w:r>
      <w:r w:rsidR="00043916">
        <w:rPr>
          <w:rFonts w:ascii="Arial" w:hAnsi="Arial" w:cs="Arial"/>
          <w:sz w:val="22"/>
          <w:szCs w:val="22"/>
        </w:rPr>
        <w:t>ich</w:t>
      </w:r>
      <w:r w:rsidR="00043916" w:rsidRPr="00EE4B03">
        <w:rPr>
          <w:rFonts w:ascii="Arial" w:hAnsi="Arial" w:cs="Arial"/>
          <w:sz w:val="22"/>
          <w:szCs w:val="22"/>
        </w:rPr>
        <w:t xml:space="preserve"> </w:t>
      </w:r>
      <w:r w:rsidRPr="00EE4B03">
        <w:rPr>
          <w:rFonts w:ascii="Arial" w:hAnsi="Arial" w:cs="Arial"/>
          <w:sz w:val="22"/>
          <w:szCs w:val="22"/>
        </w:rPr>
        <w:t>the costs of decarbonising will be higher,</w:t>
      </w:r>
      <w:r w:rsidR="00E24528">
        <w:rPr>
          <w:rFonts w:ascii="Arial" w:hAnsi="Arial" w:cs="Arial"/>
          <w:sz w:val="22"/>
          <w:szCs w:val="22"/>
        </w:rPr>
        <w:t xml:space="preserve"> barriers will be harder to overcome,</w:t>
      </w:r>
      <w:r w:rsidRPr="00EE4B03">
        <w:rPr>
          <w:rFonts w:ascii="Arial" w:hAnsi="Arial" w:cs="Arial"/>
          <w:sz w:val="22"/>
          <w:szCs w:val="22"/>
        </w:rPr>
        <w:t xml:space="preserve"> or for </w:t>
      </w:r>
      <w:r w:rsidR="00043916" w:rsidRPr="00EE4B03">
        <w:rPr>
          <w:rFonts w:ascii="Arial" w:hAnsi="Arial" w:cs="Arial"/>
          <w:sz w:val="22"/>
          <w:szCs w:val="22"/>
        </w:rPr>
        <w:t>wh</w:t>
      </w:r>
      <w:r w:rsidR="00043916">
        <w:rPr>
          <w:rFonts w:ascii="Arial" w:hAnsi="Arial" w:cs="Arial"/>
          <w:sz w:val="22"/>
          <w:szCs w:val="22"/>
        </w:rPr>
        <w:t>ich</w:t>
      </w:r>
      <w:r w:rsidR="00043916" w:rsidRPr="00EE4B03">
        <w:rPr>
          <w:rFonts w:ascii="Arial" w:hAnsi="Arial" w:cs="Arial"/>
          <w:sz w:val="22"/>
          <w:szCs w:val="22"/>
        </w:rPr>
        <w:t xml:space="preserve"> </w:t>
      </w:r>
      <w:r w:rsidRPr="00EE4B03">
        <w:rPr>
          <w:rFonts w:ascii="Arial" w:hAnsi="Arial" w:cs="Arial"/>
          <w:sz w:val="22"/>
          <w:szCs w:val="22"/>
        </w:rPr>
        <w:t xml:space="preserve">the decarbonisation solutions are likely to be more complex. </w:t>
      </w:r>
    </w:p>
    <w:p w14:paraId="4CB369C2"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19ED22DA" w14:textId="238C719C"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lastRenderedPageBreak/>
        <w:t>The 201</w:t>
      </w:r>
      <w:r w:rsidR="00541DA1">
        <w:rPr>
          <w:rFonts w:ascii="Arial" w:hAnsi="Arial" w:cs="Arial"/>
          <w:sz w:val="22"/>
          <w:szCs w:val="22"/>
        </w:rPr>
        <w:t>3</w:t>
      </w:r>
      <w:r w:rsidRPr="00EE4B03">
        <w:rPr>
          <w:rFonts w:ascii="Arial" w:hAnsi="Arial" w:cs="Arial"/>
          <w:sz w:val="22"/>
          <w:szCs w:val="22"/>
        </w:rPr>
        <w:t xml:space="preserve"> Element Energy and Energy Saving Trust report, ‘Review of potential for carbon savings from residential energy efficiency’, sets out the classifications on which our fourth and fifth carbon budget analysis were based:</w:t>
      </w:r>
    </w:p>
    <w:p w14:paraId="395EC3D6"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038BBCE4" w14:textId="77777777" w:rsidR="00662EE1" w:rsidRPr="00EE4B03" w:rsidRDefault="00662EE1" w:rsidP="00662EE1">
      <w:pPr>
        <w:pStyle w:val="NormalWeb"/>
        <w:numPr>
          <w:ilvl w:val="0"/>
          <w:numId w:val="5"/>
        </w:numPr>
        <w:spacing w:before="0" w:beforeAutospacing="0" w:after="0" w:afterAutospacing="0" w:line="276" w:lineRule="auto"/>
        <w:rPr>
          <w:rFonts w:ascii="Arial" w:hAnsi="Arial" w:cs="Arial"/>
          <w:sz w:val="22"/>
          <w:szCs w:val="22"/>
        </w:rPr>
      </w:pPr>
      <w:r w:rsidRPr="00EE4B03">
        <w:rPr>
          <w:rFonts w:ascii="Arial" w:hAnsi="Arial" w:cs="Arial"/>
          <w:sz w:val="22"/>
          <w:szCs w:val="22"/>
        </w:rPr>
        <w:t>All homes with uninsulated solid walls are typically considered ‘hard to treat’ due to the costs and other challenges associated with insulating them</w:t>
      </w:r>
    </w:p>
    <w:p w14:paraId="22DA29A2" w14:textId="77777777" w:rsidR="00662EE1" w:rsidRPr="00EE4B03" w:rsidRDefault="00662EE1" w:rsidP="00662EE1">
      <w:pPr>
        <w:pStyle w:val="NormalWeb"/>
        <w:numPr>
          <w:ilvl w:val="0"/>
          <w:numId w:val="5"/>
        </w:numPr>
        <w:spacing w:before="0" w:beforeAutospacing="0" w:after="0" w:afterAutospacing="0" w:line="276" w:lineRule="auto"/>
        <w:rPr>
          <w:rFonts w:ascii="Arial" w:hAnsi="Arial" w:cs="Arial"/>
          <w:sz w:val="22"/>
          <w:szCs w:val="22"/>
        </w:rPr>
      </w:pPr>
      <w:r w:rsidRPr="00EE4B03">
        <w:rPr>
          <w:rFonts w:ascii="Arial" w:hAnsi="Arial" w:cs="Arial"/>
          <w:sz w:val="22"/>
          <w:szCs w:val="22"/>
        </w:rPr>
        <w:t>A range of non-standard cavity walls were classified as ‘hard to treat’ based on the definitions described in the Inbuilt 2012 report on hard to treat cavity walls (also used as the source of the DECC estimates of ‘hard to treat’ cavity wall numbers)</w:t>
      </w:r>
    </w:p>
    <w:p w14:paraId="267BE52C" w14:textId="77777777" w:rsidR="00662EE1" w:rsidRPr="00EE4B03" w:rsidRDefault="00662EE1" w:rsidP="00662EE1">
      <w:pPr>
        <w:pStyle w:val="NormalWeb"/>
        <w:numPr>
          <w:ilvl w:val="0"/>
          <w:numId w:val="5"/>
        </w:numPr>
        <w:spacing w:before="0" w:beforeAutospacing="0" w:after="0" w:afterAutospacing="0" w:line="276" w:lineRule="auto"/>
        <w:rPr>
          <w:rFonts w:ascii="Arial" w:hAnsi="Arial" w:cs="Arial"/>
          <w:sz w:val="22"/>
          <w:szCs w:val="22"/>
        </w:rPr>
      </w:pPr>
      <w:r w:rsidRPr="00EE4B03">
        <w:rPr>
          <w:rFonts w:ascii="Arial" w:hAnsi="Arial" w:cs="Arial"/>
          <w:sz w:val="22"/>
          <w:szCs w:val="22"/>
        </w:rPr>
        <w:t>‘Hard to treat’ lofts were also identified based on the DECC definition, ‘properties that contain lofts which are hard to insulate. For example properties with a flat roof or very shallow pitch (to make the loft space inaccessible)’.</w:t>
      </w:r>
      <w:r w:rsidRPr="00EE4B03">
        <w:rPr>
          <w:rStyle w:val="FootnoteReference"/>
          <w:rFonts w:ascii="Arial" w:hAnsi="Arial" w:cs="Arial"/>
          <w:sz w:val="22"/>
          <w:szCs w:val="22"/>
        </w:rPr>
        <w:footnoteReference w:id="9"/>
      </w:r>
    </w:p>
    <w:p w14:paraId="7A13A119"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24AB18DC" w14:textId="77777777" w:rsidR="00E24528"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The definitions were based around the technical challenges associated with insulating properties with certain physical features.</w:t>
      </w:r>
    </w:p>
    <w:p w14:paraId="47ACCB80" w14:textId="77777777" w:rsidR="00E24528" w:rsidRDefault="00E24528" w:rsidP="00662EE1">
      <w:pPr>
        <w:pStyle w:val="NormalWeb"/>
        <w:spacing w:before="0" w:beforeAutospacing="0" w:after="0" w:afterAutospacing="0" w:line="276" w:lineRule="auto"/>
        <w:rPr>
          <w:rFonts w:ascii="Arial" w:hAnsi="Arial" w:cs="Arial"/>
          <w:sz w:val="22"/>
          <w:szCs w:val="22"/>
        </w:rPr>
      </w:pPr>
    </w:p>
    <w:p w14:paraId="5E182D4C" w14:textId="481B2943" w:rsidR="00662EE1"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However, in reality a wider range of factors </w:t>
      </w:r>
      <w:r w:rsidR="00C70CC9">
        <w:rPr>
          <w:rFonts w:ascii="Arial" w:hAnsi="Arial" w:cs="Arial"/>
          <w:sz w:val="22"/>
          <w:szCs w:val="22"/>
        </w:rPr>
        <w:t>is</w:t>
      </w:r>
      <w:r w:rsidR="00C70CC9" w:rsidRPr="00EE4B03">
        <w:rPr>
          <w:rFonts w:ascii="Arial" w:hAnsi="Arial" w:cs="Arial"/>
          <w:sz w:val="22"/>
          <w:szCs w:val="22"/>
        </w:rPr>
        <w:t xml:space="preserve"> </w:t>
      </w:r>
      <w:r w:rsidRPr="00EE4B03">
        <w:rPr>
          <w:rFonts w:ascii="Arial" w:hAnsi="Arial" w:cs="Arial"/>
          <w:sz w:val="22"/>
          <w:szCs w:val="22"/>
        </w:rPr>
        <w:t xml:space="preserve">expected to influence how difficult and costly it is to decarbonise a home. These include factors such as the heritage or conservation value of a home, smaller homes where ‘space-take’ associated with internal solid wall insulation is likely to be a significant concern, and also other aesthetic or practical considerations which drive non-standard or higher-cost decarbonisation approaches (e.g. sash and bay windows). </w:t>
      </w:r>
    </w:p>
    <w:p w14:paraId="67608E5D" w14:textId="77777777" w:rsidR="00E24528" w:rsidRDefault="00E24528" w:rsidP="00662EE1">
      <w:pPr>
        <w:pStyle w:val="NormalWeb"/>
        <w:spacing w:before="0" w:beforeAutospacing="0" w:after="0" w:afterAutospacing="0" w:line="276" w:lineRule="auto"/>
        <w:rPr>
          <w:rFonts w:ascii="Arial" w:hAnsi="Arial" w:cs="Arial"/>
          <w:sz w:val="22"/>
          <w:szCs w:val="22"/>
        </w:rPr>
      </w:pPr>
    </w:p>
    <w:p w14:paraId="7E427BCB" w14:textId="741602C9" w:rsidR="00E24528" w:rsidRPr="00EE4B03" w:rsidRDefault="00E24528" w:rsidP="00662EE1">
      <w:pPr>
        <w:pStyle w:val="NormalWeb"/>
        <w:spacing w:before="0" w:beforeAutospacing="0" w:after="0" w:afterAutospacing="0" w:line="276" w:lineRule="auto"/>
        <w:rPr>
          <w:rFonts w:ascii="Arial" w:hAnsi="Arial" w:cs="Arial"/>
          <w:sz w:val="22"/>
          <w:szCs w:val="22"/>
        </w:rPr>
      </w:pPr>
      <w:r>
        <w:rPr>
          <w:rFonts w:ascii="Arial" w:hAnsi="Arial" w:cs="Arial"/>
          <w:sz w:val="22"/>
          <w:szCs w:val="22"/>
        </w:rPr>
        <w:t xml:space="preserve">On the other hand, there may also be cases </w:t>
      </w:r>
      <w:r w:rsidR="00D50AC6">
        <w:rPr>
          <w:rFonts w:ascii="Arial" w:hAnsi="Arial" w:cs="Arial"/>
          <w:sz w:val="22"/>
          <w:szCs w:val="22"/>
        </w:rPr>
        <w:t xml:space="preserve">where </w:t>
      </w:r>
      <w:r>
        <w:rPr>
          <w:rFonts w:ascii="Arial" w:hAnsi="Arial" w:cs="Arial"/>
          <w:sz w:val="22"/>
          <w:szCs w:val="22"/>
        </w:rPr>
        <w:t xml:space="preserve">homes </w:t>
      </w:r>
      <w:r w:rsidR="00D50AC6">
        <w:rPr>
          <w:rFonts w:ascii="Arial" w:hAnsi="Arial" w:cs="Arial"/>
          <w:sz w:val="22"/>
          <w:szCs w:val="22"/>
        </w:rPr>
        <w:t xml:space="preserve">traditionally considered ‘hard to treat’, </w:t>
      </w:r>
      <w:r>
        <w:rPr>
          <w:rFonts w:ascii="Arial" w:hAnsi="Arial" w:cs="Arial"/>
          <w:sz w:val="22"/>
          <w:szCs w:val="22"/>
        </w:rPr>
        <w:t>are not hard to decarbonise – i.e. where low-carbon heat solutions (e.g. heat pumps, heat networks or a switch to hydrogen fuel) can still be deployed at comparable cost and hassle to other properties</w:t>
      </w:r>
      <w:r w:rsidR="00C70CC9">
        <w:rPr>
          <w:rFonts w:ascii="Arial" w:hAnsi="Arial" w:cs="Arial"/>
          <w:sz w:val="22"/>
          <w:szCs w:val="22"/>
        </w:rPr>
        <w:t>,</w:t>
      </w:r>
      <w:r>
        <w:rPr>
          <w:rFonts w:ascii="Arial" w:hAnsi="Arial" w:cs="Arial"/>
          <w:sz w:val="22"/>
          <w:szCs w:val="22"/>
        </w:rPr>
        <w:t xml:space="preserve"> despite insulation challenges.</w:t>
      </w:r>
    </w:p>
    <w:p w14:paraId="608EA821" w14:textId="77777777" w:rsidR="00662EE1" w:rsidRPr="00EE4B03" w:rsidRDefault="00662EE1" w:rsidP="00662EE1">
      <w:pPr>
        <w:pStyle w:val="NormalWeb"/>
        <w:spacing w:before="0" w:beforeAutospacing="0" w:after="0" w:afterAutospacing="0" w:line="276" w:lineRule="auto"/>
        <w:rPr>
          <w:rFonts w:ascii="Arial" w:hAnsi="Arial" w:cs="Arial"/>
          <w:szCs w:val="22"/>
        </w:rPr>
      </w:pPr>
    </w:p>
    <w:p w14:paraId="5BD4ECED" w14:textId="77777777" w:rsidR="00662EE1" w:rsidRPr="00EE4B03" w:rsidRDefault="00662EE1" w:rsidP="00662EE1">
      <w:pPr>
        <w:pStyle w:val="NormalWeb"/>
        <w:spacing w:before="0" w:beforeAutospacing="0" w:after="0" w:afterAutospacing="0" w:line="276" w:lineRule="auto"/>
        <w:rPr>
          <w:rFonts w:ascii="Arial" w:hAnsi="Arial" w:cs="Arial"/>
          <w:i/>
          <w:sz w:val="22"/>
          <w:szCs w:val="22"/>
        </w:rPr>
      </w:pPr>
      <w:r w:rsidRPr="00EE4B03">
        <w:rPr>
          <w:rFonts w:ascii="Arial" w:hAnsi="Arial" w:cs="Arial"/>
          <w:i/>
          <w:sz w:val="22"/>
          <w:szCs w:val="22"/>
        </w:rPr>
        <w:t>Updating the evidence base</w:t>
      </w:r>
    </w:p>
    <w:p w14:paraId="1292325E"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0DA2F3B4" w14:textId="6137E133"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The evidence base has evolved since the analysis undertaken for the fifth carbon budget</w:t>
      </w:r>
      <w:r w:rsidR="00B92587">
        <w:rPr>
          <w:rFonts w:ascii="Arial" w:hAnsi="Arial" w:cs="Arial"/>
          <w:sz w:val="22"/>
          <w:szCs w:val="22"/>
        </w:rPr>
        <w:t>.</w:t>
      </w:r>
      <w:r w:rsidRPr="00EE4B03">
        <w:rPr>
          <w:rFonts w:ascii="Arial" w:hAnsi="Arial" w:cs="Arial"/>
          <w:sz w:val="22"/>
          <w:szCs w:val="22"/>
        </w:rPr>
        <w:t xml:space="preserve"> </w:t>
      </w:r>
      <w:r w:rsidR="00B92587">
        <w:rPr>
          <w:rFonts w:ascii="Arial" w:hAnsi="Arial" w:cs="Arial"/>
          <w:sz w:val="22"/>
          <w:szCs w:val="22"/>
        </w:rPr>
        <w:t>T</w:t>
      </w:r>
      <w:r w:rsidRPr="00EE4B03">
        <w:rPr>
          <w:rFonts w:ascii="Arial" w:hAnsi="Arial" w:cs="Arial"/>
          <w:sz w:val="22"/>
          <w:szCs w:val="22"/>
        </w:rPr>
        <w:t>here is a need for updated analysis to make use of this new evidence</w:t>
      </w:r>
      <w:r w:rsidR="001004BF">
        <w:rPr>
          <w:rFonts w:ascii="Arial" w:hAnsi="Arial" w:cs="Arial"/>
          <w:sz w:val="22"/>
          <w:szCs w:val="22"/>
        </w:rPr>
        <w:t>,</w:t>
      </w:r>
      <w:r w:rsidR="001004BF" w:rsidRPr="00E655AE">
        <w:rPr>
          <w:rFonts w:ascii="Arial" w:hAnsi="Arial" w:cs="Arial"/>
          <w:sz w:val="22"/>
          <w:szCs w:val="22"/>
        </w:rPr>
        <w:t xml:space="preserve"> and to </w:t>
      </w:r>
      <w:r w:rsidR="007C43C0">
        <w:rPr>
          <w:rFonts w:ascii="Arial" w:hAnsi="Arial" w:cs="Arial"/>
          <w:sz w:val="22"/>
          <w:szCs w:val="22"/>
        </w:rPr>
        <w:t xml:space="preserve">build on it by </w:t>
      </w:r>
      <w:r w:rsidR="001004BF" w:rsidRPr="00E655AE">
        <w:rPr>
          <w:rFonts w:ascii="Arial" w:hAnsi="Arial" w:cs="Arial"/>
          <w:sz w:val="22"/>
          <w:szCs w:val="22"/>
        </w:rPr>
        <w:t>bringing information together to generate new insights</w:t>
      </w:r>
      <w:r w:rsidRPr="00EE4B03">
        <w:rPr>
          <w:rFonts w:ascii="Arial" w:hAnsi="Arial" w:cs="Arial"/>
          <w:sz w:val="22"/>
          <w:szCs w:val="22"/>
        </w:rPr>
        <w:t>.</w:t>
      </w:r>
    </w:p>
    <w:p w14:paraId="3F6BF2AB"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35949C88" w14:textId="77777777" w:rsidR="00043916"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There is a range of evidence available on the </w:t>
      </w:r>
      <w:r w:rsidRPr="00EE4B03">
        <w:rPr>
          <w:rFonts w:ascii="Arial" w:hAnsi="Arial" w:cs="Arial"/>
          <w:b/>
          <w:sz w:val="22"/>
          <w:szCs w:val="22"/>
        </w:rPr>
        <w:t>demographics</w:t>
      </w:r>
      <w:r w:rsidRPr="00EE4B03">
        <w:rPr>
          <w:rFonts w:ascii="Arial" w:hAnsi="Arial" w:cs="Arial"/>
          <w:sz w:val="22"/>
          <w:szCs w:val="22"/>
        </w:rPr>
        <w:t xml:space="preserve"> of hard to treat homes, including technical potential, dwelling type, tenure, and household composition.</w:t>
      </w:r>
      <w:r w:rsidRPr="00EE4B03">
        <w:rPr>
          <w:rStyle w:val="FootnoteReference"/>
          <w:rFonts w:ascii="Arial" w:hAnsi="Arial" w:cs="Arial"/>
          <w:sz w:val="22"/>
          <w:szCs w:val="22"/>
        </w:rPr>
        <w:footnoteReference w:id="10"/>
      </w:r>
      <w:r w:rsidRPr="00EE4B03">
        <w:rPr>
          <w:rFonts w:ascii="Arial" w:hAnsi="Arial" w:cs="Arial"/>
          <w:sz w:val="22"/>
          <w:szCs w:val="22"/>
        </w:rPr>
        <w:t xml:space="preserve"> However, there are gaps in understanding the demographics of ‘hard to decarbonise’ </w:t>
      </w:r>
      <w:r w:rsidRPr="00EE4B03">
        <w:rPr>
          <w:rFonts w:ascii="Arial" w:hAnsi="Arial" w:cs="Arial"/>
          <w:sz w:val="22"/>
          <w:szCs w:val="22"/>
        </w:rPr>
        <w:lastRenderedPageBreak/>
        <w:t>homes (where more broadly defined), and in understanding other key characteristics which will influence decarbonisation measures. These include</w:t>
      </w:r>
      <w:r w:rsidR="00043916">
        <w:rPr>
          <w:rFonts w:ascii="Arial" w:hAnsi="Arial" w:cs="Arial"/>
          <w:sz w:val="22"/>
          <w:szCs w:val="22"/>
        </w:rPr>
        <w:t>:</w:t>
      </w:r>
    </w:p>
    <w:p w14:paraId="545BD8E9" w14:textId="77777777" w:rsidR="00165909" w:rsidRDefault="00165909" w:rsidP="00662EE1">
      <w:pPr>
        <w:pStyle w:val="NormalWeb"/>
        <w:spacing w:before="0" w:beforeAutospacing="0" w:after="0" w:afterAutospacing="0" w:line="276" w:lineRule="auto"/>
        <w:rPr>
          <w:rFonts w:ascii="Arial" w:hAnsi="Arial" w:cs="Arial"/>
          <w:sz w:val="22"/>
          <w:szCs w:val="22"/>
        </w:rPr>
      </w:pPr>
    </w:p>
    <w:p w14:paraId="37899845" w14:textId="77777777" w:rsidR="007C43C0" w:rsidRDefault="007C43C0" w:rsidP="007C43C0">
      <w:pPr>
        <w:pStyle w:val="NormalWeb"/>
        <w:numPr>
          <w:ilvl w:val="0"/>
          <w:numId w:val="22"/>
        </w:numPr>
        <w:spacing w:before="0" w:beforeAutospacing="0" w:after="0" w:afterAutospacing="0" w:line="276" w:lineRule="auto"/>
        <w:rPr>
          <w:rFonts w:ascii="Arial" w:hAnsi="Arial" w:cs="Arial"/>
          <w:sz w:val="22"/>
          <w:szCs w:val="22"/>
        </w:rPr>
      </w:pPr>
      <w:r>
        <w:rPr>
          <w:rFonts w:ascii="Arial" w:hAnsi="Arial" w:cs="Arial"/>
          <w:sz w:val="22"/>
          <w:szCs w:val="22"/>
        </w:rPr>
        <w:t>T</w:t>
      </w:r>
      <w:r w:rsidRPr="00EE4B03">
        <w:rPr>
          <w:rFonts w:ascii="Arial" w:hAnsi="Arial" w:cs="Arial"/>
          <w:sz w:val="22"/>
          <w:szCs w:val="22"/>
        </w:rPr>
        <w:t xml:space="preserve">he incidence of ‘hard to decarbonise’ homes across </w:t>
      </w:r>
      <w:r>
        <w:rPr>
          <w:rFonts w:ascii="Arial" w:hAnsi="Arial" w:cs="Arial"/>
          <w:sz w:val="22"/>
          <w:szCs w:val="22"/>
        </w:rPr>
        <w:t>England, Scotland, Wales and Northern Ireland</w:t>
      </w:r>
      <w:r w:rsidRPr="00EE4B03">
        <w:rPr>
          <w:rFonts w:ascii="Arial" w:hAnsi="Arial" w:cs="Arial"/>
          <w:sz w:val="22"/>
          <w:szCs w:val="22"/>
        </w:rPr>
        <w:t xml:space="preserve">, given the associated implications for devolved policy making.  </w:t>
      </w:r>
    </w:p>
    <w:p w14:paraId="3C0D81B1" w14:textId="7A869D9E" w:rsidR="00043916" w:rsidRDefault="00165909" w:rsidP="00E655AE">
      <w:pPr>
        <w:pStyle w:val="NormalWeb"/>
        <w:numPr>
          <w:ilvl w:val="0"/>
          <w:numId w:val="22"/>
        </w:numPr>
        <w:spacing w:before="0" w:beforeAutospacing="0" w:after="0" w:afterAutospacing="0" w:line="276" w:lineRule="auto"/>
        <w:rPr>
          <w:rFonts w:ascii="Arial" w:hAnsi="Arial" w:cs="Arial"/>
          <w:sz w:val="22"/>
          <w:szCs w:val="22"/>
        </w:rPr>
      </w:pPr>
      <w:r>
        <w:rPr>
          <w:rFonts w:ascii="Arial" w:hAnsi="Arial" w:cs="Arial"/>
          <w:sz w:val="22"/>
          <w:szCs w:val="22"/>
        </w:rPr>
        <w:t>T</w:t>
      </w:r>
      <w:r w:rsidR="00662EE1" w:rsidRPr="00EE4B03">
        <w:rPr>
          <w:rFonts w:ascii="Arial" w:hAnsi="Arial" w:cs="Arial"/>
          <w:sz w:val="22"/>
          <w:szCs w:val="22"/>
        </w:rPr>
        <w:t xml:space="preserve">he geographic location of these homes, and the associated suitability of different low-carbon heating options. Some homes will be in areas that are likely to be suitable for district heating solutions, some may be on the gas grid, and those off the gas grid will have varying potential for gas connection depending on proximity. There could also be interactions between grid congestion and suitability for electric heating systems. </w:t>
      </w:r>
    </w:p>
    <w:p w14:paraId="2B495F64" w14:textId="29295AB1" w:rsidR="00662EE1" w:rsidRDefault="00165909" w:rsidP="00E655AE">
      <w:pPr>
        <w:pStyle w:val="NormalWeb"/>
        <w:numPr>
          <w:ilvl w:val="0"/>
          <w:numId w:val="22"/>
        </w:numPr>
        <w:spacing w:before="0" w:beforeAutospacing="0" w:after="0" w:afterAutospacing="0" w:line="276" w:lineRule="auto"/>
        <w:rPr>
          <w:rFonts w:ascii="Arial" w:hAnsi="Arial" w:cs="Arial"/>
          <w:sz w:val="22"/>
          <w:szCs w:val="22"/>
        </w:rPr>
      </w:pPr>
      <w:r>
        <w:rPr>
          <w:rFonts w:ascii="Arial" w:hAnsi="Arial" w:cs="Arial"/>
          <w:sz w:val="22"/>
          <w:szCs w:val="22"/>
        </w:rPr>
        <w:t>T</w:t>
      </w:r>
      <w:r w:rsidR="00662EE1" w:rsidRPr="00EE4B03">
        <w:rPr>
          <w:rFonts w:ascii="Arial" w:hAnsi="Arial" w:cs="Arial"/>
          <w:sz w:val="22"/>
          <w:szCs w:val="22"/>
        </w:rPr>
        <w:t xml:space="preserve">he coincidence of factors driving segments of homes to be ‘hard to decarbonise’. For instance, some homes may require more than one insulation measure to deliver material carbon savings, or may require more complex decarbonisation approaches due to the coincidence of technical challenges and other features such as heritage (e.g. whether the home is in a conservation area). </w:t>
      </w:r>
    </w:p>
    <w:p w14:paraId="56480797" w14:textId="1C99DA57" w:rsidR="008F3079" w:rsidRPr="00EE4B03" w:rsidRDefault="008F3079" w:rsidP="00E655AE">
      <w:pPr>
        <w:pStyle w:val="NormalWeb"/>
        <w:numPr>
          <w:ilvl w:val="0"/>
          <w:numId w:val="22"/>
        </w:numPr>
        <w:spacing w:before="0" w:beforeAutospacing="0" w:after="0" w:afterAutospacing="0" w:line="276" w:lineRule="auto"/>
        <w:rPr>
          <w:rFonts w:ascii="Arial" w:hAnsi="Arial" w:cs="Arial"/>
          <w:sz w:val="22"/>
          <w:szCs w:val="22"/>
        </w:rPr>
      </w:pPr>
      <w:r>
        <w:rPr>
          <w:rFonts w:ascii="Arial" w:hAnsi="Arial" w:cs="Arial"/>
          <w:sz w:val="22"/>
          <w:szCs w:val="22"/>
        </w:rPr>
        <w:lastRenderedPageBreak/>
        <w:t xml:space="preserve">The extent to which </w:t>
      </w:r>
      <w:r w:rsidR="000F3694">
        <w:rPr>
          <w:rFonts w:ascii="Arial" w:hAnsi="Arial" w:cs="Arial"/>
          <w:sz w:val="22"/>
          <w:szCs w:val="22"/>
        </w:rPr>
        <w:t>‘</w:t>
      </w:r>
      <w:r>
        <w:rPr>
          <w:rFonts w:ascii="Arial" w:hAnsi="Arial" w:cs="Arial"/>
          <w:sz w:val="22"/>
          <w:szCs w:val="22"/>
        </w:rPr>
        <w:t>hard to decarbonise</w:t>
      </w:r>
      <w:r w:rsidR="000F3694">
        <w:rPr>
          <w:rFonts w:ascii="Arial" w:hAnsi="Arial" w:cs="Arial"/>
          <w:sz w:val="22"/>
          <w:szCs w:val="22"/>
        </w:rPr>
        <w:t>’</w:t>
      </w:r>
      <w:r>
        <w:rPr>
          <w:rFonts w:ascii="Arial" w:hAnsi="Arial" w:cs="Arial"/>
          <w:sz w:val="22"/>
          <w:szCs w:val="22"/>
        </w:rPr>
        <w:t xml:space="preserve"> home</w:t>
      </w:r>
      <w:r w:rsidR="000F3694">
        <w:rPr>
          <w:rFonts w:ascii="Arial" w:hAnsi="Arial" w:cs="Arial"/>
          <w:sz w:val="22"/>
          <w:szCs w:val="22"/>
        </w:rPr>
        <w:t>s</w:t>
      </w:r>
      <w:r>
        <w:rPr>
          <w:rFonts w:ascii="Arial" w:hAnsi="Arial" w:cs="Arial"/>
          <w:sz w:val="22"/>
          <w:szCs w:val="22"/>
        </w:rPr>
        <w:t xml:space="preserve"> occur in areas with a high incidence of fuel poverty.</w:t>
      </w:r>
    </w:p>
    <w:p w14:paraId="38DD4DEE"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1D036BB2" w14:textId="3288FA2A"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A number of gaps in the evidence base on </w:t>
      </w:r>
      <w:r w:rsidRPr="00EE4B03">
        <w:rPr>
          <w:rFonts w:ascii="Arial" w:hAnsi="Arial" w:cs="Arial"/>
          <w:b/>
          <w:sz w:val="22"/>
          <w:szCs w:val="22"/>
        </w:rPr>
        <w:t>measure costs</w:t>
      </w:r>
      <w:r w:rsidRPr="00EE4B03">
        <w:rPr>
          <w:rFonts w:ascii="Arial" w:hAnsi="Arial" w:cs="Arial"/>
          <w:sz w:val="22"/>
          <w:szCs w:val="22"/>
        </w:rPr>
        <w:t xml:space="preserve"> were identified during the</w:t>
      </w:r>
      <w:r w:rsidR="00C47878">
        <w:rPr>
          <w:rFonts w:ascii="Arial" w:hAnsi="Arial" w:cs="Arial"/>
          <w:sz w:val="22"/>
          <w:szCs w:val="22"/>
        </w:rPr>
        <w:t xml:space="preserve"> analysis for the</w:t>
      </w:r>
      <w:r w:rsidRPr="00EE4B03">
        <w:rPr>
          <w:rFonts w:ascii="Arial" w:hAnsi="Arial" w:cs="Arial"/>
          <w:sz w:val="22"/>
          <w:szCs w:val="22"/>
        </w:rPr>
        <w:t xml:space="preserve"> fifth carbon budget</w:t>
      </w:r>
      <w:r w:rsidR="00043916">
        <w:rPr>
          <w:rFonts w:ascii="Arial" w:hAnsi="Arial" w:cs="Arial"/>
          <w:sz w:val="22"/>
          <w:szCs w:val="22"/>
        </w:rPr>
        <w:t xml:space="preserve"> assessment</w:t>
      </w:r>
      <w:r w:rsidRPr="00EE4B03">
        <w:rPr>
          <w:rFonts w:ascii="Arial" w:hAnsi="Arial" w:cs="Arial"/>
          <w:sz w:val="22"/>
          <w:szCs w:val="22"/>
        </w:rPr>
        <w:t>, including the absence of cost data for internal solid wall insulation, and uncertainty over the ranges associated with the costs for external solid wall insulation and cavity wall insulation given large variances across property types.</w:t>
      </w:r>
      <w:r w:rsidRPr="00EE4B03">
        <w:rPr>
          <w:rStyle w:val="FootnoteReference"/>
          <w:rFonts w:ascii="Arial" w:hAnsi="Arial" w:cs="Arial"/>
          <w:sz w:val="22"/>
          <w:szCs w:val="22"/>
        </w:rPr>
        <w:footnoteReference w:id="11"/>
      </w:r>
      <w:r w:rsidRPr="00EE4B03">
        <w:rPr>
          <w:rFonts w:ascii="Arial" w:hAnsi="Arial" w:cs="Arial"/>
          <w:sz w:val="22"/>
          <w:szCs w:val="22"/>
        </w:rPr>
        <w:t xml:space="preserve"> New evidence has since been gathered as part of</w:t>
      </w:r>
      <w:r w:rsidR="005F62B2">
        <w:rPr>
          <w:rFonts w:ascii="Arial" w:hAnsi="Arial" w:cs="Arial"/>
          <w:sz w:val="22"/>
          <w:szCs w:val="22"/>
        </w:rPr>
        <w:t xml:space="preserve"> the</w:t>
      </w:r>
      <w:r w:rsidRPr="00EE4B03">
        <w:rPr>
          <w:rFonts w:ascii="Arial" w:hAnsi="Arial" w:cs="Arial"/>
          <w:sz w:val="22"/>
          <w:szCs w:val="22"/>
        </w:rPr>
        <w:t xml:space="preserve"> </w:t>
      </w:r>
      <w:r w:rsidR="005F62B2">
        <w:rPr>
          <w:rFonts w:ascii="Arial" w:hAnsi="Arial" w:cs="Arial"/>
          <w:sz w:val="22"/>
          <w:szCs w:val="22"/>
        </w:rPr>
        <w:t>B</w:t>
      </w:r>
      <w:r w:rsidR="005F62B2" w:rsidRPr="00EE4B03">
        <w:rPr>
          <w:rFonts w:ascii="Arial" w:hAnsi="Arial" w:cs="Arial"/>
          <w:sz w:val="22"/>
          <w:szCs w:val="22"/>
        </w:rPr>
        <w:t xml:space="preserve">uildings </w:t>
      </w:r>
      <w:r w:rsidR="005F62B2">
        <w:rPr>
          <w:rFonts w:ascii="Arial" w:hAnsi="Arial" w:cs="Arial"/>
          <w:sz w:val="22"/>
          <w:szCs w:val="22"/>
        </w:rPr>
        <w:t>E</w:t>
      </w:r>
      <w:r w:rsidR="005F62B2" w:rsidRPr="00EE4B03">
        <w:rPr>
          <w:rFonts w:ascii="Arial" w:hAnsi="Arial" w:cs="Arial"/>
          <w:sz w:val="22"/>
          <w:szCs w:val="22"/>
        </w:rPr>
        <w:t xml:space="preserve">nergy </w:t>
      </w:r>
      <w:r w:rsidR="005F62B2">
        <w:rPr>
          <w:rFonts w:ascii="Arial" w:hAnsi="Arial" w:cs="Arial"/>
          <w:sz w:val="22"/>
          <w:szCs w:val="22"/>
        </w:rPr>
        <w:t>E</w:t>
      </w:r>
      <w:r w:rsidR="005F62B2" w:rsidRPr="00EE4B03">
        <w:rPr>
          <w:rFonts w:ascii="Arial" w:hAnsi="Arial" w:cs="Arial"/>
          <w:sz w:val="22"/>
          <w:szCs w:val="22"/>
        </w:rPr>
        <w:t xml:space="preserve">fficiency </w:t>
      </w:r>
      <w:r w:rsidR="005F62B2">
        <w:rPr>
          <w:rFonts w:ascii="Arial" w:hAnsi="Arial" w:cs="Arial"/>
          <w:sz w:val="22"/>
          <w:szCs w:val="22"/>
        </w:rPr>
        <w:t>T</w:t>
      </w:r>
      <w:r w:rsidR="005F62B2" w:rsidRPr="00EE4B03">
        <w:rPr>
          <w:rFonts w:ascii="Arial" w:hAnsi="Arial" w:cs="Arial"/>
          <w:sz w:val="22"/>
          <w:szCs w:val="22"/>
        </w:rPr>
        <w:t xml:space="preserve">echnical </w:t>
      </w:r>
      <w:r w:rsidR="005F62B2">
        <w:rPr>
          <w:rFonts w:ascii="Arial" w:hAnsi="Arial" w:cs="Arial"/>
          <w:sz w:val="22"/>
          <w:szCs w:val="22"/>
        </w:rPr>
        <w:t>R</w:t>
      </w:r>
      <w:r w:rsidR="005F62B2" w:rsidRPr="00EE4B03">
        <w:rPr>
          <w:rFonts w:ascii="Arial" w:hAnsi="Arial" w:cs="Arial"/>
          <w:sz w:val="22"/>
          <w:szCs w:val="22"/>
        </w:rPr>
        <w:t xml:space="preserve">esearch </w:t>
      </w:r>
      <w:r w:rsidR="005F62B2">
        <w:rPr>
          <w:rFonts w:ascii="Arial" w:hAnsi="Arial" w:cs="Arial"/>
          <w:sz w:val="22"/>
          <w:szCs w:val="22"/>
        </w:rPr>
        <w:t>P</w:t>
      </w:r>
      <w:r w:rsidR="005F62B2" w:rsidRPr="00EE4B03">
        <w:rPr>
          <w:rFonts w:ascii="Arial" w:hAnsi="Arial" w:cs="Arial"/>
          <w:sz w:val="22"/>
          <w:szCs w:val="22"/>
        </w:rPr>
        <w:t>rogramme</w:t>
      </w:r>
      <w:r w:rsidR="005F62B2">
        <w:rPr>
          <w:rFonts w:ascii="Arial" w:hAnsi="Arial" w:cs="Arial"/>
          <w:sz w:val="22"/>
          <w:szCs w:val="22"/>
        </w:rPr>
        <w:t xml:space="preserve"> undertaken by the Department for Business, Energy and Industrial Strategy (BEIS)</w:t>
      </w:r>
      <w:r w:rsidRPr="00EE4B03">
        <w:rPr>
          <w:rFonts w:ascii="Arial" w:hAnsi="Arial" w:cs="Arial"/>
          <w:sz w:val="22"/>
          <w:szCs w:val="22"/>
        </w:rPr>
        <w:t>.</w:t>
      </w:r>
      <w:r w:rsidRPr="00EE4B03">
        <w:rPr>
          <w:rStyle w:val="FootnoteReference"/>
          <w:rFonts w:ascii="Arial" w:hAnsi="Arial" w:cs="Arial"/>
          <w:sz w:val="22"/>
          <w:szCs w:val="22"/>
        </w:rPr>
        <w:footnoteReference w:id="12"/>
      </w:r>
      <w:r w:rsidRPr="00EE4B03">
        <w:rPr>
          <w:rFonts w:ascii="Arial" w:hAnsi="Arial" w:cs="Arial"/>
          <w:sz w:val="22"/>
          <w:szCs w:val="22"/>
        </w:rPr>
        <w:t xml:space="preserve"> There will be a need for the latest evidence to be reviewed, consolidated and integrated into the analysis. As part of this</w:t>
      </w:r>
      <w:r w:rsidR="007C43C0">
        <w:rPr>
          <w:rFonts w:ascii="Arial" w:hAnsi="Arial" w:cs="Arial"/>
          <w:sz w:val="22"/>
          <w:szCs w:val="22"/>
        </w:rPr>
        <w:t>,</w:t>
      </w:r>
      <w:r w:rsidRPr="00EE4B03">
        <w:rPr>
          <w:rFonts w:ascii="Arial" w:hAnsi="Arial" w:cs="Arial"/>
          <w:sz w:val="22"/>
          <w:szCs w:val="22"/>
        </w:rPr>
        <w:t xml:space="preserve"> there is</w:t>
      </w:r>
      <w:r w:rsidR="005F62B2">
        <w:rPr>
          <w:rFonts w:ascii="Arial" w:hAnsi="Arial" w:cs="Arial"/>
          <w:sz w:val="22"/>
          <w:szCs w:val="22"/>
        </w:rPr>
        <w:t xml:space="preserve"> also</w:t>
      </w:r>
      <w:r w:rsidRPr="00EE4B03">
        <w:rPr>
          <w:rFonts w:ascii="Arial" w:hAnsi="Arial" w:cs="Arial"/>
          <w:sz w:val="22"/>
          <w:szCs w:val="22"/>
        </w:rPr>
        <w:t xml:space="preserve"> value in considering how costs vary as a function of retrofit approach (for instance whether as part of a local </w:t>
      </w:r>
      <w:r w:rsidRPr="00EE4B03">
        <w:rPr>
          <w:rFonts w:ascii="Arial" w:hAnsi="Arial" w:cs="Arial"/>
          <w:sz w:val="22"/>
          <w:szCs w:val="22"/>
        </w:rPr>
        <w:lastRenderedPageBreak/>
        <w:t xml:space="preserve">scheme, or whether done on a whole house retrofit basis), and location.  </w:t>
      </w:r>
    </w:p>
    <w:p w14:paraId="2747430A"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080F36D5" w14:textId="48388E59" w:rsidR="00043916" w:rsidRDefault="00043916" w:rsidP="00662EE1">
      <w:pPr>
        <w:pStyle w:val="NormalWeb"/>
        <w:spacing w:before="0" w:beforeAutospacing="0" w:after="0" w:afterAutospacing="0" w:line="276" w:lineRule="auto"/>
        <w:rPr>
          <w:rFonts w:ascii="Arial" w:hAnsi="Arial" w:cs="Arial"/>
          <w:sz w:val="22"/>
          <w:szCs w:val="22"/>
        </w:rPr>
      </w:pPr>
      <w:r>
        <w:rPr>
          <w:rFonts w:ascii="Arial" w:hAnsi="Arial" w:cs="Arial"/>
          <w:sz w:val="22"/>
          <w:szCs w:val="22"/>
        </w:rPr>
        <w:t>A</w:t>
      </w:r>
      <w:r w:rsidR="00662EE1" w:rsidRPr="00EE4B03">
        <w:rPr>
          <w:rFonts w:ascii="Arial" w:hAnsi="Arial" w:cs="Arial"/>
          <w:sz w:val="22"/>
          <w:szCs w:val="22"/>
        </w:rPr>
        <w:t xml:space="preserve">nalysis relies on an accurate understanding of the </w:t>
      </w:r>
      <w:r w:rsidR="00662EE1" w:rsidRPr="00EE4B03">
        <w:rPr>
          <w:rFonts w:ascii="Arial" w:hAnsi="Arial" w:cs="Arial"/>
          <w:b/>
          <w:sz w:val="22"/>
          <w:szCs w:val="22"/>
        </w:rPr>
        <w:t>energy and carbon savings that can be delivered by measures</w:t>
      </w:r>
      <w:r w:rsidR="00662EE1" w:rsidRPr="00EE4B03">
        <w:rPr>
          <w:rFonts w:ascii="Arial" w:hAnsi="Arial" w:cs="Arial"/>
          <w:sz w:val="22"/>
          <w:szCs w:val="22"/>
        </w:rPr>
        <w:t>. There is evidence that there is often a gap between the actual in-situ performance and the theoretical performance we can expect from decarbonisation measures</w:t>
      </w:r>
      <w:r>
        <w:rPr>
          <w:rFonts w:ascii="Arial" w:hAnsi="Arial" w:cs="Arial"/>
          <w:sz w:val="22"/>
          <w:szCs w:val="22"/>
        </w:rPr>
        <w:t>.</w:t>
      </w:r>
      <w:r w:rsidR="00662EE1" w:rsidRPr="00EE4B03">
        <w:rPr>
          <w:rFonts w:ascii="Arial" w:hAnsi="Arial" w:cs="Arial"/>
          <w:sz w:val="22"/>
          <w:szCs w:val="22"/>
        </w:rPr>
        <w:t xml:space="preserve"> </w:t>
      </w:r>
      <w:r>
        <w:rPr>
          <w:rFonts w:ascii="Arial" w:hAnsi="Arial" w:cs="Arial"/>
          <w:sz w:val="22"/>
          <w:szCs w:val="22"/>
        </w:rPr>
        <w:t>This may</w:t>
      </w:r>
      <w:r w:rsidR="00662EE1" w:rsidRPr="00EE4B03">
        <w:rPr>
          <w:rFonts w:ascii="Arial" w:hAnsi="Arial" w:cs="Arial"/>
          <w:sz w:val="22"/>
          <w:szCs w:val="22"/>
        </w:rPr>
        <w:t xml:space="preserve"> be attributed to factors such as consumer behaviour (e.g. comfort taking), quality of installation and assumptions around the specification prior to the installation of measures. The difference is often represented as an ‘in-use’ factor. </w:t>
      </w:r>
    </w:p>
    <w:p w14:paraId="735E66F3" w14:textId="77777777" w:rsidR="00043916" w:rsidRDefault="00043916" w:rsidP="00662EE1">
      <w:pPr>
        <w:pStyle w:val="NormalWeb"/>
        <w:spacing w:before="0" w:beforeAutospacing="0" w:after="0" w:afterAutospacing="0" w:line="276" w:lineRule="auto"/>
        <w:rPr>
          <w:rFonts w:ascii="Arial" w:hAnsi="Arial" w:cs="Arial"/>
          <w:sz w:val="22"/>
          <w:szCs w:val="22"/>
        </w:rPr>
      </w:pPr>
    </w:p>
    <w:p w14:paraId="73E39306" w14:textId="3C78E8BA"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Our work for the fifth carbon budget identified evidence gaps around the heat loss associated with solid walled homes, impacting the energy savings associated with insulation. A project launched by DECC and BRE in 2013 sought to improve evidence on heat losses from solid wall properties and the performance of measures to insulate them.</w:t>
      </w:r>
      <w:r w:rsidRPr="00EE4B03">
        <w:rPr>
          <w:rStyle w:val="FootnoteReference"/>
          <w:rFonts w:ascii="Arial" w:hAnsi="Arial" w:cs="Arial"/>
          <w:sz w:val="22"/>
          <w:szCs w:val="22"/>
        </w:rPr>
        <w:footnoteReference w:id="13"/>
      </w:r>
      <w:r w:rsidRPr="00EE4B03">
        <w:rPr>
          <w:rFonts w:ascii="Arial" w:hAnsi="Arial" w:cs="Arial"/>
          <w:sz w:val="22"/>
          <w:szCs w:val="22"/>
        </w:rPr>
        <w:t xml:space="preserve">  BEIS are in the process of updating wider evidence on in-use factors across measures </w:t>
      </w:r>
      <w:r w:rsidRPr="00EE4B03">
        <w:rPr>
          <w:rFonts w:ascii="Arial" w:hAnsi="Arial" w:cs="Arial"/>
          <w:sz w:val="22"/>
          <w:szCs w:val="22"/>
        </w:rPr>
        <w:lastRenderedPageBreak/>
        <w:t>which may become available over the course of this work. It is also important to note that whilst individual measures will have ‘in-use’ factors associated with them, these are likely to vary according to the other thermal properties of the home.</w:t>
      </w:r>
      <w:r w:rsidRPr="00EE4B03">
        <w:rPr>
          <w:rStyle w:val="FootnoteReference"/>
          <w:rFonts w:ascii="Arial" w:hAnsi="Arial" w:cs="Arial"/>
          <w:sz w:val="22"/>
          <w:szCs w:val="22"/>
        </w:rPr>
        <w:footnoteReference w:id="14"/>
      </w:r>
      <w:r w:rsidRPr="00EE4B03">
        <w:rPr>
          <w:rFonts w:ascii="Arial" w:hAnsi="Arial" w:cs="Arial"/>
          <w:sz w:val="22"/>
          <w:szCs w:val="22"/>
        </w:rPr>
        <w:t xml:space="preserve"> We are interested in advancing our understanding in this area, and in advice which can reflect the value of ‘whole house’ approaches. </w:t>
      </w:r>
    </w:p>
    <w:p w14:paraId="7C8C3673"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2A11E1EC"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Finally, there are gaps in our understanding of how </w:t>
      </w:r>
      <w:r w:rsidRPr="00EE4B03">
        <w:rPr>
          <w:rFonts w:ascii="Arial" w:hAnsi="Arial" w:cs="Arial"/>
          <w:b/>
          <w:sz w:val="22"/>
          <w:szCs w:val="22"/>
        </w:rPr>
        <w:t>packages of energy efficiency and low-carbon heating measures</w:t>
      </w:r>
      <w:r w:rsidRPr="00EE4B03">
        <w:rPr>
          <w:rFonts w:ascii="Arial" w:hAnsi="Arial" w:cs="Arial"/>
          <w:sz w:val="22"/>
          <w:szCs w:val="22"/>
        </w:rPr>
        <w:t xml:space="preserve"> can be applied to different segments of the ‘hard to decarbonise’ building stock. Whilst there is an evidence base on individual measures, there is more limited evidence on those packages of measures which could most cost-effectively decarbonise these homes, including limited understanding of the best balance between insulation measures and low-carbon heat.</w:t>
      </w:r>
      <w:r w:rsidRPr="00EE4B03">
        <w:rPr>
          <w:rStyle w:val="FootnoteReference"/>
          <w:rFonts w:ascii="Arial" w:hAnsi="Arial" w:cs="Arial"/>
          <w:sz w:val="22"/>
          <w:szCs w:val="22"/>
        </w:rPr>
        <w:footnoteReference w:id="15"/>
      </w:r>
    </w:p>
    <w:p w14:paraId="0B14F63A"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3E36BA3B" w14:textId="77777777" w:rsidR="00662EE1" w:rsidRPr="00EE4B03" w:rsidRDefault="00662EE1" w:rsidP="00662EE1">
      <w:pPr>
        <w:pStyle w:val="NormalWeb"/>
        <w:spacing w:before="0" w:beforeAutospacing="0" w:after="0" w:afterAutospacing="0" w:line="276" w:lineRule="auto"/>
        <w:rPr>
          <w:rFonts w:ascii="Arial" w:hAnsi="Arial" w:cs="Arial"/>
          <w:i/>
          <w:sz w:val="22"/>
          <w:szCs w:val="22"/>
        </w:rPr>
      </w:pPr>
      <w:r w:rsidRPr="00EE4B03">
        <w:rPr>
          <w:rFonts w:ascii="Arial" w:hAnsi="Arial" w:cs="Arial"/>
          <w:i/>
          <w:sz w:val="22"/>
          <w:szCs w:val="22"/>
        </w:rPr>
        <w:t>Updating the scenarios</w:t>
      </w:r>
    </w:p>
    <w:p w14:paraId="549334E3"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0299629D" w14:textId="3DDFCAD2" w:rsidR="00B83AAD" w:rsidRDefault="00B83AAD" w:rsidP="00B83AAD">
      <w:pPr>
        <w:pStyle w:val="NormalWeb"/>
        <w:spacing w:before="0" w:beforeAutospacing="0" w:after="0" w:afterAutospacing="0" w:line="276" w:lineRule="auto"/>
        <w:rPr>
          <w:rFonts w:ascii="Arial" w:hAnsi="Arial" w:cs="Arial"/>
          <w:b/>
          <w:sz w:val="22"/>
          <w:szCs w:val="22"/>
        </w:rPr>
      </w:pPr>
      <w:r w:rsidRPr="00EE4B03">
        <w:rPr>
          <w:rFonts w:ascii="Arial" w:hAnsi="Arial" w:cs="Arial"/>
          <w:b/>
          <w:sz w:val="22"/>
          <w:szCs w:val="22"/>
        </w:rPr>
        <w:t xml:space="preserve">The focus of this work will be on determining the most cost-effective </w:t>
      </w:r>
      <w:r w:rsidR="00463CEC">
        <w:rPr>
          <w:rFonts w:ascii="Arial" w:hAnsi="Arial" w:cs="Arial"/>
          <w:b/>
          <w:sz w:val="22"/>
          <w:szCs w:val="22"/>
        </w:rPr>
        <w:t xml:space="preserve">and appropriate </w:t>
      </w:r>
      <w:r w:rsidRPr="00EE4B03">
        <w:rPr>
          <w:rFonts w:ascii="Arial" w:hAnsi="Arial" w:cs="Arial"/>
          <w:b/>
          <w:sz w:val="22"/>
          <w:szCs w:val="22"/>
        </w:rPr>
        <w:t xml:space="preserve">packages of </w:t>
      </w:r>
      <w:r w:rsidR="00AC0CC1">
        <w:rPr>
          <w:rFonts w:ascii="Arial" w:hAnsi="Arial" w:cs="Arial"/>
          <w:b/>
          <w:sz w:val="22"/>
          <w:szCs w:val="22"/>
        </w:rPr>
        <w:t xml:space="preserve">decarbonisation </w:t>
      </w:r>
      <w:r w:rsidRPr="00EE4B03">
        <w:rPr>
          <w:rFonts w:ascii="Arial" w:hAnsi="Arial" w:cs="Arial"/>
          <w:b/>
          <w:sz w:val="22"/>
          <w:szCs w:val="22"/>
        </w:rPr>
        <w:t>measures for each segment of the ‘hard to decarb</w:t>
      </w:r>
      <w:r w:rsidR="00AC0CC1">
        <w:rPr>
          <w:rFonts w:ascii="Arial" w:hAnsi="Arial" w:cs="Arial"/>
          <w:b/>
          <w:sz w:val="22"/>
          <w:szCs w:val="22"/>
        </w:rPr>
        <w:t>onise’ stock, and subsequently</w:t>
      </w:r>
      <w:r w:rsidR="00463CEC">
        <w:rPr>
          <w:rFonts w:ascii="Arial" w:hAnsi="Arial" w:cs="Arial"/>
          <w:b/>
          <w:sz w:val="22"/>
          <w:szCs w:val="22"/>
        </w:rPr>
        <w:t xml:space="preserve"> </w:t>
      </w:r>
      <w:r w:rsidR="00AC0CC1">
        <w:rPr>
          <w:rFonts w:ascii="Arial" w:hAnsi="Arial" w:cs="Arial"/>
          <w:b/>
          <w:sz w:val="22"/>
          <w:szCs w:val="22"/>
        </w:rPr>
        <w:t>developing</w:t>
      </w:r>
      <w:r w:rsidR="00463CEC">
        <w:rPr>
          <w:rFonts w:ascii="Arial" w:hAnsi="Arial" w:cs="Arial"/>
          <w:b/>
          <w:sz w:val="22"/>
          <w:szCs w:val="22"/>
        </w:rPr>
        <w:t xml:space="preserve"> </w:t>
      </w:r>
      <w:r w:rsidRPr="00EE4B03">
        <w:rPr>
          <w:rFonts w:ascii="Arial" w:hAnsi="Arial" w:cs="Arial"/>
          <w:b/>
          <w:sz w:val="22"/>
          <w:szCs w:val="22"/>
        </w:rPr>
        <w:t xml:space="preserve">a profile of measure deployment which can be used to update </w:t>
      </w:r>
      <w:r w:rsidR="007C43C0">
        <w:rPr>
          <w:rFonts w:ascii="Arial" w:hAnsi="Arial" w:cs="Arial"/>
          <w:b/>
          <w:sz w:val="22"/>
          <w:szCs w:val="22"/>
        </w:rPr>
        <w:t>our</w:t>
      </w:r>
      <w:r w:rsidRPr="00EE4B03">
        <w:rPr>
          <w:rFonts w:ascii="Arial" w:hAnsi="Arial" w:cs="Arial"/>
          <w:b/>
          <w:sz w:val="22"/>
          <w:szCs w:val="22"/>
        </w:rPr>
        <w:t xml:space="preserve"> Max </w:t>
      </w:r>
      <w:r>
        <w:rPr>
          <w:rFonts w:ascii="Arial" w:hAnsi="Arial" w:cs="Arial"/>
          <w:b/>
          <w:sz w:val="22"/>
          <w:szCs w:val="22"/>
        </w:rPr>
        <w:t>S</w:t>
      </w:r>
      <w:r w:rsidRPr="00EE4B03">
        <w:rPr>
          <w:rFonts w:ascii="Arial" w:hAnsi="Arial" w:cs="Arial"/>
          <w:b/>
          <w:sz w:val="22"/>
          <w:szCs w:val="22"/>
        </w:rPr>
        <w:t xml:space="preserve">cenario to 2050. A discrete number of additional scenarios will also be needed. </w:t>
      </w:r>
    </w:p>
    <w:p w14:paraId="1ED4F5C3"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6AE4F7A7" w14:textId="19240E29"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To 2050, our Max </w:t>
      </w:r>
      <w:r w:rsidR="000C516B">
        <w:rPr>
          <w:rFonts w:ascii="Arial" w:hAnsi="Arial" w:cs="Arial"/>
          <w:sz w:val="22"/>
          <w:szCs w:val="22"/>
        </w:rPr>
        <w:t>S</w:t>
      </w:r>
      <w:r w:rsidRPr="00EE4B03">
        <w:rPr>
          <w:rFonts w:ascii="Arial" w:hAnsi="Arial" w:cs="Arial"/>
          <w:sz w:val="22"/>
          <w:szCs w:val="22"/>
        </w:rPr>
        <w:t>cenario for domestic buildings</w:t>
      </w:r>
      <w:r w:rsidR="00C47878">
        <w:rPr>
          <w:rFonts w:ascii="Arial" w:hAnsi="Arial" w:cs="Arial"/>
          <w:sz w:val="22"/>
          <w:szCs w:val="22"/>
        </w:rPr>
        <w:t>, developed as part of our analysis for the fifth carbon budget,</w:t>
      </w:r>
      <w:r w:rsidRPr="00EE4B03">
        <w:rPr>
          <w:rFonts w:ascii="Arial" w:hAnsi="Arial" w:cs="Arial"/>
          <w:sz w:val="22"/>
          <w:szCs w:val="22"/>
        </w:rPr>
        <w:t xml:space="preserve"> currently includes: 70% of domestic demand met by heat pumps or H</w:t>
      </w:r>
      <w:r w:rsidRPr="00EE4B03">
        <w:rPr>
          <w:rFonts w:ascii="Arial" w:hAnsi="Arial" w:cs="Arial"/>
          <w:sz w:val="22"/>
          <w:szCs w:val="22"/>
          <w:vertAlign w:val="subscript"/>
        </w:rPr>
        <w:t xml:space="preserve">2, </w:t>
      </w:r>
      <w:r w:rsidRPr="00EE4B03">
        <w:rPr>
          <w:rFonts w:ascii="Arial" w:hAnsi="Arial" w:cs="Arial"/>
          <w:sz w:val="22"/>
          <w:szCs w:val="22"/>
        </w:rPr>
        <w:t>10% met by heat networks, 5% by electric heating and 10% by gas. Low-carbon heat provision is in the wider context of energy efficiency measures including insulating 6.5 million solid walls (</w:t>
      </w:r>
      <w:r w:rsidR="00AC0CC1">
        <w:rPr>
          <w:rFonts w:ascii="Arial" w:hAnsi="Arial" w:cs="Arial"/>
          <w:sz w:val="22"/>
          <w:szCs w:val="22"/>
        </w:rPr>
        <w:t>of which</w:t>
      </w:r>
      <w:r w:rsidRPr="00EE4B03">
        <w:rPr>
          <w:rFonts w:ascii="Arial" w:hAnsi="Arial" w:cs="Arial"/>
          <w:sz w:val="22"/>
          <w:szCs w:val="22"/>
        </w:rPr>
        <w:t xml:space="preserve"> </w:t>
      </w:r>
      <w:r w:rsidR="005F62B2">
        <w:rPr>
          <w:rFonts w:ascii="Arial" w:hAnsi="Arial" w:cs="Arial"/>
          <w:sz w:val="22"/>
          <w:szCs w:val="22"/>
        </w:rPr>
        <w:t>4</w:t>
      </w:r>
      <w:r w:rsidRPr="00EE4B03">
        <w:rPr>
          <w:rFonts w:ascii="Arial" w:hAnsi="Arial" w:cs="Arial"/>
          <w:sz w:val="22"/>
          <w:szCs w:val="22"/>
        </w:rPr>
        <w:t xml:space="preserve">.5m </w:t>
      </w:r>
      <w:r w:rsidR="00AC0CC1">
        <w:rPr>
          <w:rFonts w:ascii="Arial" w:hAnsi="Arial" w:cs="Arial"/>
          <w:sz w:val="22"/>
          <w:szCs w:val="22"/>
        </w:rPr>
        <w:t xml:space="preserve">are </w:t>
      </w:r>
      <w:r w:rsidRPr="00EE4B03">
        <w:rPr>
          <w:rFonts w:ascii="Arial" w:hAnsi="Arial" w:cs="Arial"/>
          <w:sz w:val="22"/>
          <w:szCs w:val="22"/>
        </w:rPr>
        <w:t xml:space="preserve">for wider </w:t>
      </w:r>
      <w:r w:rsidR="005F62B2">
        <w:rPr>
          <w:rFonts w:ascii="Arial" w:hAnsi="Arial" w:cs="Arial"/>
          <w:sz w:val="22"/>
          <w:szCs w:val="22"/>
        </w:rPr>
        <w:t xml:space="preserve">fuel poverty </w:t>
      </w:r>
      <w:r w:rsidRPr="00EE4B03">
        <w:rPr>
          <w:rFonts w:ascii="Arial" w:hAnsi="Arial" w:cs="Arial"/>
          <w:sz w:val="22"/>
          <w:szCs w:val="22"/>
        </w:rPr>
        <w:t>benefits), 6.7 million cavity walls (including those cavity walls which require solid wall insulation) and 9 million lofts in homes by 2050.</w:t>
      </w:r>
    </w:p>
    <w:p w14:paraId="6CFDBC40"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5D2BC362" w14:textId="6F46CA3F"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lastRenderedPageBreak/>
        <w:t xml:space="preserve">In relation to hard to treat homes (as previously defined), our Max </w:t>
      </w:r>
      <w:r w:rsidR="000C516B">
        <w:rPr>
          <w:rFonts w:ascii="Arial" w:hAnsi="Arial" w:cs="Arial"/>
          <w:sz w:val="22"/>
          <w:szCs w:val="22"/>
        </w:rPr>
        <w:t>S</w:t>
      </w:r>
      <w:r w:rsidRPr="00EE4B03">
        <w:rPr>
          <w:rFonts w:ascii="Arial" w:hAnsi="Arial" w:cs="Arial"/>
          <w:sz w:val="22"/>
          <w:szCs w:val="22"/>
        </w:rPr>
        <w:t xml:space="preserve">cenario </w:t>
      </w:r>
      <w:r w:rsidR="00C47878">
        <w:rPr>
          <w:rFonts w:ascii="Arial" w:hAnsi="Arial" w:cs="Arial"/>
          <w:sz w:val="22"/>
          <w:szCs w:val="22"/>
        </w:rPr>
        <w:t xml:space="preserve">in 2050 </w:t>
      </w:r>
      <w:r w:rsidRPr="00EE4B03">
        <w:rPr>
          <w:rFonts w:ascii="Arial" w:hAnsi="Arial" w:cs="Arial"/>
          <w:sz w:val="22"/>
          <w:szCs w:val="22"/>
        </w:rPr>
        <w:t>includes:</w:t>
      </w:r>
    </w:p>
    <w:p w14:paraId="72F3623C" w14:textId="77777777" w:rsidR="00662EE1" w:rsidRPr="00EE4B03" w:rsidRDefault="00662EE1" w:rsidP="00662EE1">
      <w:pPr>
        <w:pStyle w:val="NormalWeb"/>
        <w:numPr>
          <w:ilvl w:val="0"/>
          <w:numId w:val="4"/>
        </w:numPr>
        <w:spacing w:before="0" w:beforeAutospacing="0" w:after="0" w:afterAutospacing="0" w:line="276" w:lineRule="auto"/>
        <w:rPr>
          <w:rFonts w:ascii="Arial" w:hAnsi="Arial" w:cs="Arial"/>
          <w:sz w:val="22"/>
          <w:szCs w:val="22"/>
        </w:rPr>
      </w:pPr>
      <w:r w:rsidRPr="00EE4B03">
        <w:rPr>
          <w:rFonts w:ascii="Arial" w:hAnsi="Arial" w:cs="Arial"/>
          <w:sz w:val="22"/>
          <w:szCs w:val="22"/>
        </w:rPr>
        <w:t>The insulation of 6.5 million solid walls (around 90% of the technical potential)</w:t>
      </w:r>
    </w:p>
    <w:p w14:paraId="7E0C9D9E" w14:textId="77777777" w:rsidR="00662EE1" w:rsidRPr="00EE4B03" w:rsidRDefault="00662EE1" w:rsidP="00662EE1">
      <w:pPr>
        <w:pStyle w:val="NormalWeb"/>
        <w:numPr>
          <w:ilvl w:val="0"/>
          <w:numId w:val="4"/>
        </w:numPr>
        <w:spacing w:before="0" w:beforeAutospacing="0" w:after="0" w:afterAutospacing="0" w:line="276" w:lineRule="auto"/>
        <w:rPr>
          <w:rFonts w:ascii="Arial" w:hAnsi="Arial" w:cs="Arial"/>
          <w:sz w:val="22"/>
          <w:szCs w:val="22"/>
        </w:rPr>
      </w:pPr>
      <w:r w:rsidRPr="00EE4B03">
        <w:rPr>
          <w:rFonts w:ascii="Arial" w:hAnsi="Arial" w:cs="Arial"/>
          <w:sz w:val="22"/>
          <w:szCs w:val="22"/>
        </w:rPr>
        <w:t>The insulation of 2.5 million ‘hard to treat’ cavity walls (around 90% of the technical potential)</w:t>
      </w:r>
    </w:p>
    <w:p w14:paraId="4507A01F" w14:textId="77777777" w:rsidR="00662EE1" w:rsidRPr="00EE4B03" w:rsidRDefault="00662EE1" w:rsidP="00662EE1">
      <w:pPr>
        <w:pStyle w:val="NormalWeb"/>
        <w:numPr>
          <w:ilvl w:val="0"/>
          <w:numId w:val="4"/>
        </w:numPr>
        <w:spacing w:before="0" w:beforeAutospacing="0" w:after="0" w:afterAutospacing="0" w:line="276" w:lineRule="auto"/>
        <w:rPr>
          <w:rFonts w:ascii="Arial" w:hAnsi="Arial" w:cs="Arial"/>
          <w:sz w:val="22"/>
          <w:szCs w:val="22"/>
        </w:rPr>
      </w:pPr>
      <w:r w:rsidRPr="00EE4B03">
        <w:rPr>
          <w:rFonts w:ascii="Arial" w:hAnsi="Arial" w:cs="Arial"/>
          <w:sz w:val="22"/>
          <w:szCs w:val="22"/>
        </w:rPr>
        <w:t>2 million hybrid heat pumps and 0.7m storage heaters, leaving 10% of demand met by gas heating</w:t>
      </w:r>
    </w:p>
    <w:p w14:paraId="5096AA7D"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3F176676" w14:textId="46B55496"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The current allocation of low-carbon heating technologies in our scenarios is not disaggregated by homes which are ‘hard to treat’ vs ‘easy to treat’ for insulation. As described above, levels of deployment were instead determined through use of the National Household Model (Box 1), and based on ‘cost-effective’ deployment of low-carbon heating options given our scenarios for energy efficiency and heat network deployment.</w:t>
      </w:r>
      <w:r w:rsidRPr="00EE4B03">
        <w:rPr>
          <w:rStyle w:val="FootnoteReference"/>
          <w:rFonts w:ascii="Arial" w:hAnsi="Arial" w:cs="Arial"/>
          <w:sz w:val="22"/>
          <w:szCs w:val="22"/>
        </w:rPr>
        <w:footnoteReference w:id="16"/>
      </w:r>
      <w:r w:rsidRPr="00EE4B03">
        <w:rPr>
          <w:rFonts w:ascii="Arial" w:hAnsi="Arial" w:cs="Arial"/>
          <w:sz w:val="22"/>
          <w:szCs w:val="22"/>
        </w:rPr>
        <w:t xml:space="preserve"> For those homes in the Max </w:t>
      </w:r>
      <w:r w:rsidR="000C516B">
        <w:rPr>
          <w:rFonts w:ascii="Arial" w:hAnsi="Arial" w:cs="Arial"/>
          <w:sz w:val="22"/>
          <w:szCs w:val="22"/>
        </w:rPr>
        <w:t>S</w:t>
      </w:r>
      <w:r w:rsidRPr="00EE4B03">
        <w:rPr>
          <w:rFonts w:ascii="Arial" w:hAnsi="Arial" w:cs="Arial"/>
          <w:sz w:val="22"/>
          <w:szCs w:val="22"/>
        </w:rPr>
        <w:t xml:space="preserve">cenario not allocated a low-carbon heating system (assumed to be those homes where costs are too high), </w:t>
      </w:r>
      <w:r w:rsidR="00AC0CC1">
        <w:rPr>
          <w:rFonts w:ascii="Arial" w:hAnsi="Arial" w:cs="Arial"/>
          <w:sz w:val="22"/>
          <w:szCs w:val="22"/>
        </w:rPr>
        <w:t>additional</w:t>
      </w:r>
      <w:r w:rsidR="00AC0CC1" w:rsidRPr="00EE4B03">
        <w:rPr>
          <w:rFonts w:ascii="Arial" w:hAnsi="Arial" w:cs="Arial"/>
          <w:sz w:val="22"/>
          <w:szCs w:val="22"/>
        </w:rPr>
        <w:t xml:space="preserve"> </w:t>
      </w:r>
      <w:r w:rsidRPr="00EE4B03">
        <w:rPr>
          <w:rFonts w:ascii="Arial" w:hAnsi="Arial" w:cs="Arial"/>
          <w:sz w:val="22"/>
          <w:szCs w:val="22"/>
        </w:rPr>
        <w:t xml:space="preserve">CCC modelling was undertaken to allocate hybrid </w:t>
      </w:r>
      <w:r w:rsidRPr="00EE4B03">
        <w:rPr>
          <w:rFonts w:ascii="Arial" w:hAnsi="Arial" w:cs="Arial"/>
          <w:sz w:val="22"/>
          <w:szCs w:val="22"/>
        </w:rPr>
        <w:lastRenderedPageBreak/>
        <w:t xml:space="preserve">heat pumps to homes and storage heaters to flats. Some residual residential fossil fuel use remains in our Max </w:t>
      </w:r>
      <w:r w:rsidR="000C516B">
        <w:rPr>
          <w:rFonts w:ascii="Arial" w:hAnsi="Arial" w:cs="Arial"/>
          <w:sz w:val="22"/>
          <w:szCs w:val="22"/>
        </w:rPr>
        <w:t>S</w:t>
      </w:r>
      <w:r w:rsidRPr="00EE4B03">
        <w:rPr>
          <w:rFonts w:ascii="Arial" w:hAnsi="Arial" w:cs="Arial"/>
          <w:sz w:val="22"/>
          <w:szCs w:val="22"/>
        </w:rPr>
        <w:t>cenario, including gas use associated with hybrid heat pumps and gas peaking plant in district heating systems.</w:t>
      </w:r>
      <w:r w:rsidRPr="00EE4B03" w:rsidDel="00B000C8">
        <w:rPr>
          <w:rFonts w:ascii="Arial" w:hAnsi="Arial" w:cs="Arial"/>
          <w:sz w:val="22"/>
          <w:szCs w:val="22"/>
        </w:rPr>
        <w:t xml:space="preserve"> </w:t>
      </w:r>
    </w:p>
    <w:p w14:paraId="7FC289AA"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tbl>
      <w:tblPr>
        <w:tblW w:w="9639" w:type="dxa"/>
        <w:tblInd w:w="108" w:type="dxa"/>
        <w:tblBorders>
          <w:top w:val="single" w:sz="4" w:space="0" w:color="C98A3C"/>
          <w:left w:val="single" w:sz="4" w:space="0" w:color="C98A3C"/>
          <w:bottom w:val="single" w:sz="4" w:space="0" w:color="C98A3C"/>
          <w:right w:val="single" w:sz="4" w:space="0" w:color="C98A3C"/>
        </w:tblBorders>
        <w:tblCellMar>
          <w:top w:w="113" w:type="dxa"/>
          <w:bottom w:w="113" w:type="dxa"/>
        </w:tblCellMar>
        <w:tblLook w:val="04A0" w:firstRow="1" w:lastRow="0" w:firstColumn="1" w:lastColumn="0" w:noHBand="0" w:noVBand="1"/>
      </w:tblPr>
      <w:tblGrid>
        <w:gridCol w:w="9639"/>
      </w:tblGrid>
      <w:tr w:rsidR="00662EE1" w:rsidRPr="00EE4B03" w14:paraId="550F8903" w14:textId="77777777" w:rsidTr="005F1C0A">
        <w:trPr>
          <w:tblHeader/>
        </w:trPr>
        <w:tc>
          <w:tcPr>
            <w:tcW w:w="9639" w:type="dxa"/>
            <w:shd w:val="clear" w:color="auto" w:fill="C98A3C"/>
          </w:tcPr>
          <w:p w14:paraId="652845ED" w14:textId="77777777" w:rsidR="00662EE1" w:rsidRPr="00861E44" w:rsidRDefault="00662EE1" w:rsidP="005F1C0A">
            <w:pPr>
              <w:pStyle w:val="BoxHeading"/>
              <w:rPr>
                <w:rFonts w:ascii="Arial" w:hAnsi="Arial" w:cs="Arial"/>
              </w:rPr>
            </w:pPr>
            <w:r w:rsidRPr="00861E44">
              <w:rPr>
                <w:rStyle w:val="BoxFigureTableheadingbold"/>
                <w:rFonts w:ascii="Arial" w:hAnsi="Arial" w:cs="Arial"/>
              </w:rPr>
              <w:t>Box 1.</w:t>
            </w:r>
            <w:r w:rsidRPr="00861E44">
              <w:rPr>
                <w:rFonts w:ascii="Arial" w:hAnsi="Arial" w:cs="Arial"/>
              </w:rPr>
              <w:t xml:space="preserve"> National Household Model scenarios</w:t>
            </w:r>
          </w:p>
        </w:tc>
      </w:tr>
      <w:tr w:rsidR="00662EE1" w:rsidRPr="00EE4B03" w14:paraId="79143672" w14:textId="77777777" w:rsidTr="005F1C0A">
        <w:tc>
          <w:tcPr>
            <w:tcW w:w="9639" w:type="dxa"/>
            <w:shd w:val="clear" w:color="auto" w:fill="auto"/>
          </w:tcPr>
          <w:p w14:paraId="500811DA" w14:textId="77777777" w:rsidR="00662EE1" w:rsidRPr="00EE4B03" w:rsidRDefault="00662EE1" w:rsidP="005F1C0A">
            <w:pPr>
              <w:pStyle w:val="Default"/>
              <w:spacing w:after="120"/>
              <w:rPr>
                <w:rFonts w:ascii="Arial" w:hAnsi="Arial" w:cs="Arial"/>
                <w:sz w:val="20"/>
                <w:szCs w:val="22"/>
              </w:rPr>
            </w:pPr>
            <w:r w:rsidRPr="00EE4B03">
              <w:rPr>
                <w:rFonts w:ascii="Arial" w:hAnsi="Arial" w:cs="Arial"/>
                <w:sz w:val="20"/>
                <w:szCs w:val="22"/>
              </w:rPr>
              <w:t xml:space="preserve">The National Household Model is a micro-simulation model developed for DECC, which draws on detailed English, Scottish and Welsh housing surveys. This enables a more accurate and detailed analysis across the stock. Input assumptions can be reviewed and amended within the model code (including the Standard Assessment Procedure buildings physics assumptions, technology costs and performance, and energy costs). </w:t>
            </w:r>
          </w:p>
          <w:p w14:paraId="60A1C943" w14:textId="77777777" w:rsidR="00662EE1" w:rsidRPr="00EE4B03" w:rsidRDefault="00662EE1" w:rsidP="005F1C0A">
            <w:pPr>
              <w:pStyle w:val="Default"/>
              <w:spacing w:after="120"/>
              <w:rPr>
                <w:rFonts w:ascii="Arial" w:hAnsi="Arial" w:cs="Arial"/>
                <w:sz w:val="20"/>
                <w:szCs w:val="22"/>
              </w:rPr>
            </w:pPr>
            <w:r w:rsidRPr="00EE4B03">
              <w:rPr>
                <w:rFonts w:ascii="Arial" w:hAnsi="Arial" w:cs="Arial"/>
                <w:sz w:val="20"/>
                <w:szCs w:val="22"/>
              </w:rPr>
              <w:t xml:space="preserve">We developed detailed scenarios to 2050 for decarbonising heating in the existing housing stock, with support from the Centre for Sustainable Energy, assessing cost-effective rollout of building-scale technologies. </w:t>
            </w:r>
          </w:p>
          <w:p w14:paraId="39B2ECDA" w14:textId="77777777" w:rsidR="00662EE1" w:rsidRPr="00EE4B03" w:rsidRDefault="00662EE1" w:rsidP="005F1C0A">
            <w:pPr>
              <w:pStyle w:val="Default"/>
              <w:spacing w:after="120"/>
              <w:rPr>
                <w:rFonts w:ascii="Arial" w:hAnsi="Arial" w:cs="Arial"/>
                <w:b/>
                <w:bCs/>
                <w:sz w:val="20"/>
                <w:szCs w:val="22"/>
              </w:rPr>
            </w:pPr>
            <w:r w:rsidRPr="00EE4B03">
              <w:rPr>
                <w:rFonts w:ascii="Arial" w:hAnsi="Arial" w:cs="Arial"/>
                <w:b/>
                <w:bCs/>
                <w:sz w:val="20"/>
                <w:szCs w:val="22"/>
              </w:rPr>
              <w:t xml:space="preserve">Approach </w:t>
            </w:r>
          </w:p>
          <w:p w14:paraId="2035350C" w14:textId="4677C341" w:rsidR="00662EE1" w:rsidRPr="00EE4B03" w:rsidRDefault="00662EE1" w:rsidP="005F1C0A">
            <w:pPr>
              <w:pStyle w:val="Default"/>
              <w:spacing w:after="120"/>
              <w:rPr>
                <w:rFonts w:ascii="Arial" w:hAnsi="Arial" w:cs="Arial"/>
                <w:sz w:val="20"/>
                <w:szCs w:val="22"/>
              </w:rPr>
            </w:pPr>
            <w:r w:rsidRPr="00EE4B03">
              <w:rPr>
                <w:rFonts w:ascii="Arial" w:hAnsi="Arial" w:cs="Arial"/>
                <w:sz w:val="20"/>
                <w:szCs w:val="22"/>
              </w:rPr>
              <w:t xml:space="preserve">We assess cost-effectiveness on a social basis, using the HM Treasury Green Book social discount rate of 3.5% real, and factoring in a set of projections of carbon values to 2050, along with energy cost projections. </w:t>
            </w:r>
          </w:p>
          <w:p w14:paraId="3440DCA2" w14:textId="77777777" w:rsidR="00662EE1" w:rsidRPr="00EE4B03" w:rsidRDefault="00662EE1" w:rsidP="005F1C0A">
            <w:pPr>
              <w:pStyle w:val="Default"/>
              <w:spacing w:after="120"/>
              <w:rPr>
                <w:rFonts w:ascii="Arial" w:hAnsi="Arial" w:cs="Arial"/>
                <w:sz w:val="20"/>
                <w:szCs w:val="22"/>
              </w:rPr>
            </w:pPr>
            <w:r w:rsidRPr="00EE4B03">
              <w:rPr>
                <w:rFonts w:ascii="Arial" w:hAnsi="Arial" w:cs="Arial"/>
                <w:sz w:val="20"/>
                <w:szCs w:val="22"/>
              </w:rPr>
              <w:t xml:space="preserve">The scenarios on the National Household Model contain the following steps: </w:t>
            </w:r>
          </w:p>
          <w:p w14:paraId="375D136F" w14:textId="77777777" w:rsidR="00662EE1" w:rsidRPr="00EE4B03" w:rsidRDefault="00662EE1" w:rsidP="00662EE1">
            <w:pPr>
              <w:pStyle w:val="Default"/>
              <w:numPr>
                <w:ilvl w:val="0"/>
                <w:numId w:val="8"/>
              </w:numPr>
              <w:spacing w:after="120"/>
              <w:rPr>
                <w:rFonts w:ascii="Arial" w:hAnsi="Arial" w:cs="Arial"/>
                <w:sz w:val="20"/>
                <w:szCs w:val="22"/>
              </w:rPr>
            </w:pPr>
            <w:r w:rsidRPr="00EE4B03">
              <w:rPr>
                <w:rFonts w:ascii="Arial" w:hAnsi="Arial" w:cs="Arial"/>
                <w:sz w:val="20"/>
                <w:szCs w:val="22"/>
              </w:rPr>
              <w:t>We include a range of scenarios for the rollout of heat networks and energy efficiency measures to 2050, along with projections for heat pumps and biomass boilers uptake under the Renewable Heat Incentive to 2021;</w:t>
            </w:r>
          </w:p>
          <w:p w14:paraId="08BF6856" w14:textId="77777777" w:rsidR="00662EE1" w:rsidRPr="00EE4B03" w:rsidRDefault="00662EE1" w:rsidP="00662EE1">
            <w:pPr>
              <w:pStyle w:val="Default"/>
              <w:numPr>
                <w:ilvl w:val="0"/>
                <w:numId w:val="8"/>
              </w:numPr>
              <w:spacing w:after="120"/>
              <w:rPr>
                <w:rFonts w:ascii="Arial" w:hAnsi="Arial" w:cs="Arial"/>
                <w:sz w:val="20"/>
                <w:szCs w:val="22"/>
              </w:rPr>
            </w:pPr>
            <w:r w:rsidRPr="00EE4B03">
              <w:rPr>
                <w:rFonts w:ascii="Arial" w:hAnsi="Arial" w:cs="Arial"/>
                <w:sz w:val="20"/>
                <w:szCs w:val="22"/>
              </w:rPr>
              <w:t>In each year, existing technology fails based on a probability distribution, with the probability of failure increasing with age. New heat pumps and biomass boilers are replaced after 15-20 years.</w:t>
            </w:r>
          </w:p>
          <w:p w14:paraId="32126B02" w14:textId="77777777" w:rsidR="00662EE1" w:rsidRPr="00EE4B03" w:rsidRDefault="00662EE1" w:rsidP="00662EE1">
            <w:pPr>
              <w:pStyle w:val="Default"/>
              <w:numPr>
                <w:ilvl w:val="0"/>
                <w:numId w:val="8"/>
              </w:numPr>
              <w:spacing w:after="120"/>
              <w:rPr>
                <w:rFonts w:ascii="Arial" w:hAnsi="Arial" w:cs="Arial"/>
                <w:sz w:val="20"/>
                <w:szCs w:val="22"/>
              </w:rPr>
            </w:pPr>
            <w:r w:rsidRPr="00EE4B03">
              <w:rPr>
                <w:rFonts w:ascii="Arial" w:hAnsi="Arial" w:cs="Arial"/>
                <w:sz w:val="20"/>
                <w:szCs w:val="22"/>
              </w:rPr>
              <w:t>Consumers choose between a like-for-like replacement and low-carbon technology, based on the discounted lifetime costs including carbon. Technology is sized based on the peak heating load, with an oversizing factor for gas boilers, based on market intelligence.</w:t>
            </w:r>
          </w:p>
          <w:p w14:paraId="079FF54F" w14:textId="7B8A6F33" w:rsidR="00662EE1" w:rsidRPr="00EE4B03" w:rsidRDefault="00662EE1" w:rsidP="00662EE1">
            <w:pPr>
              <w:pStyle w:val="Default"/>
              <w:numPr>
                <w:ilvl w:val="0"/>
                <w:numId w:val="8"/>
              </w:numPr>
              <w:spacing w:after="120"/>
              <w:rPr>
                <w:rFonts w:ascii="Arial" w:hAnsi="Arial" w:cs="Arial"/>
                <w:sz w:val="20"/>
                <w:szCs w:val="22"/>
              </w:rPr>
            </w:pPr>
            <w:r w:rsidRPr="00EE4B03">
              <w:rPr>
                <w:rFonts w:ascii="Arial" w:hAnsi="Arial" w:cs="Arial"/>
                <w:sz w:val="20"/>
                <w:szCs w:val="22"/>
              </w:rPr>
              <w:t>Levels of low-carbon technology are constrained by an assumed supply-chain constraint of</w:t>
            </w:r>
            <w:r w:rsidR="00C47878">
              <w:rPr>
                <w:rFonts w:ascii="Arial" w:hAnsi="Arial" w:cs="Arial"/>
                <w:sz w:val="20"/>
                <w:szCs w:val="22"/>
              </w:rPr>
              <w:t xml:space="preserve"> </w:t>
            </w:r>
            <w:r w:rsidRPr="00EE4B03">
              <w:rPr>
                <w:rFonts w:ascii="Arial" w:hAnsi="Arial" w:cs="Arial"/>
                <w:sz w:val="20"/>
                <w:szCs w:val="22"/>
              </w:rPr>
              <w:t xml:space="preserve">30% annual growth in sales, along with a constraint on the total bioenergy available. </w:t>
            </w:r>
            <w:r w:rsidRPr="00EE4B03">
              <w:rPr>
                <w:rFonts w:ascii="Arial" w:hAnsi="Arial" w:cs="Arial"/>
                <w:sz w:val="20"/>
                <w:szCs w:val="22"/>
              </w:rPr>
              <w:lastRenderedPageBreak/>
              <w:t>Allocation is optimised so that consumers with the greatest cost savings are prioritised over the more marginal cases.</w:t>
            </w:r>
          </w:p>
          <w:p w14:paraId="1E92996A" w14:textId="77777777" w:rsidR="00662EE1" w:rsidRPr="00861E44" w:rsidRDefault="00662EE1" w:rsidP="005F1C0A">
            <w:pPr>
              <w:pStyle w:val="BoxSub-sub-bullet"/>
              <w:numPr>
                <w:ilvl w:val="0"/>
                <w:numId w:val="0"/>
              </w:numPr>
              <w:rPr>
                <w:rFonts w:ascii="Arial" w:hAnsi="Arial" w:cs="Arial"/>
              </w:rPr>
            </w:pPr>
            <w:r w:rsidRPr="00EE4B03">
              <w:rPr>
                <w:rFonts w:ascii="Arial" w:hAnsi="Arial" w:cs="Arial"/>
                <w:sz w:val="20"/>
                <w:szCs w:val="22"/>
              </w:rPr>
              <w:t>The modelling assumes decreases in capital costs between 2020 and 2030 of 20%, along with improvements in heat pump performance.</w:t>
            </w:r>
            <w:r w:rsidRPr="00861E44">
              <w:rPr>
                <w:rFonts w:ascii="Arial" w:hAnsi="Arial" w:cs="Arial"/>
                <w:sz w:val="20"/>
                <w:szCs w:val="22"/>
              </w:rPr>
              <w:t xml:space="preserve"> </w:t>
            </w:r>
          </w:p>
        </w:tc>
      </w:tr>
      <w:tr w:rsidR="00662EE1" w:rsidRPr="00EE4B03" w14:paraId="307FA215" w14:textId="77777777" w:rsidTr="005F1C0A">
        <w:tc>
          <w:tcPr>
            <w:tcW w:w="9639" w:type="dxa"/>
            <w:shd w:val="clear" w:color="auto" w:fill="F1E0CB"/>
          </w:tcPr>
          <w:p w14:paraId="1779A36F" w14:textId="77777777" w:rsidR="00662EE1" w:rsidRPr="00861E44" w:rsidRDefault="00662EE1" w:rsidP="005F1C0A">
            <w:pPr>
              <w:pStyle w:val="BoxFootnote"/>
              <w:rPr>
                <w:rFonts w:ascii="Arial" w:hAnsi="Arial" w:cs="Arial"/>
              </w:rPr>
            </w:pPr>
          </w:p>
        </w:tc>
      </w:tr>
    </w:tbl>
    <w:p w14:paraId="2B79C16B"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78FDEBC7"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404B1D31" w14:textId="08D8E886"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We are keen to now build on the simplified approach for developing the Max </w:t>
      </w:r>
      <w:r w:rsidR="003A2016">
        <w:rPr>
          <w:rFonts w:ascii="Arial" w:hAnsi="Arial" w:cs="Arial"/>
          <w:sz w:val="22"/>
          <w:szCs w:val="22"/>
        </w:rPr>
        <w:t>S</w:t>
      </w:r>
      <w:r w:rsidRPr="00EE4B03">
        <w:rPr>
          <w:rFonts w:ascii="Arial" w:hAnsi="Arial" w:cs="Arial"/>
          <w:sz w:val="22"/>
          <w:szCs w:val="22"/>
        </w:rPr>
        <w:t xml:space="preserve">cenario for the fifth carbon budget, and </w:t>
      </w:r>
      <w:r w:rsidR="003A2016">
        <w:rPr>
          <w:rFonts w:ascii="Arial" w:hAnsi="Arial" w:cs="Arial"/>
          <w:sz w:val="22"/>
          <w:szCs w:val="22"/>
        </w:rPr>
        <w:t xml:space="preserve">to </w:t>
      </w:r>
      <w:r w:rsidRPr="00EE4B03">
        <w:rPr>
          <w:rFonts w:ascii="Arial" w:hAnsi="Arial" w:cs="Arial"/>
          <w:sz w:val="22"/>
          <w:szCs w:val="22"/>
        </w:rPr>
        <w:t>refine our understanding of the steps that can be taken to address emissions from ‘hard to decarbonise’ homes.</w:t>
      </w:r>
    </w:p>
    <w:p w14:paraId="1CABA9DC" w14:textId="77777777" w:rsidR="00662EE1" w:rsidRPr="00EE4B03" w:rsidRDefault="00662EE1" w:rsidP="00662EE1">
      <w:pPr>
        <w:pStyle w:val="NormalWeb"/>
        <w:spacing w:before="0" w:beforeAutospacing="0" w:after="0" w:afterAutospacing="0" w:line="276" w:lineRule="auto"/>
        <w:rPr>
          <w:rFonts w:ascii="Arial" w:hAnsi="Arial" w:cs="Arial"/>
          <w:sz w:val="22"/>
          <w:szCs w:val="22"/>
        </w:rPr>
      </w:pPr>
    </w:p>
    <w:p w14:paraId="00A01439" w14:textId="045D0CDD" w:rsidR="00662EE1" w:rsidRPr="00EE4B03" w:rsidRDefault="00662EE1" w:rsidP="00662EE1">
      <w:pPr>
        <w:pStyle w:val="NormalWeb"/>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Following the development of scenarios for ‘hard to decarbonise’ homes, there will be a need to establish how they relate to levels of deployment of energy efficiency measures and low-carbon heating measures in the current Max (and potentially also Central) </w:t>
      </w:r>
      <w:r w:rsidR="003A2016">
        <w:rPr>
          <w:rFonts w:ascii="Arial" w:hAnsi="Arial" w:cs="Arial"/>
          <w:sz w:val="22"/>
          <w:szCs w:val="22"/>
        </w:rPr>
        <w:t>S</w:t>
      </w:r>
      <w:r w:rsidRPr="00EE4B03">
        <w:rPr>
          <w:rFonts w:ascii="Arial" w:hAnsi="Arial" w:cs="Arial"/>
          <w:sz w:val="22"/>
          <w:szCs w:val="22"/>
        </w:rPr>
        <w:t xml:space="preserve">cenario(s), such that double counting of measures can be avoided.  </w:t>
      </w:r>
    </w:p>
    <w:p w14:paraId="18348422" w14:textId="77777777" w:rsidR="00662EE1" w:rsidRPr="00861E44" w:rsidRDefault="00662EE1" w:rsidP="00662EE1">
      <w:pPr>
        <w:pStyle w:val="Heading4"/>
        <w:rPr>
          <w:rFonts w:ascii="Arial" w:hAnsi="Arial" w:cs="Arial"/>
        </w:rPr>
      </w:pPr>
      <w:r w:rsidRPr="00861E44">
        <w:rPr>
          <w:rFonts w:ascii="Arial" w:hAnsi="Arial" w:cs="Arial"/>
        </w:rPr>
        <w:t>Research undertaken to date</w:t>
      </w:r>
    </w:p>
    <w:p w14:paraId="31BDD363" w14:textId="77777777" w:rsidR="00662EE1" w:rsidRPr="00861E44" w:rsidRDefault="00662EE1" w:rsidP="00662EE1">
      <w:pPr>
        <w:rPr>
          <w:rFonts w:ascii="Arial" w:hAnsi="Arial" w:cs="Arial"/>
          <w:sz w:val="22"/>
          <w:szCs w:val="22"/>
        </w:rPr>
      </w:pPr>
    </w:p>
    <w:p w14:paraId="5A63436F" w14:textId="77777777" w:rsidR="00662EE1" w:rsidRPr="00EE4B03" w:rsidRDefault="00662EE1" w:rsidP="00662EE1">
      <w:pPr>
        <w:pStyle w:val="NormalWeb"/>
        <w:widowControl w:val="0"/>
        <w:numPr>
          <w:ilvl w:val="0"/>
          <w:numId w:val="6"/>
        </w:numPr>
        <w:spacing w:before="0" w:beforeAutospacing="0" w:after="0" w:afterAutospacing="0" w:line="276" w:lineRule="auto"/>
        <w:rPr>
          <w:rFonts w:ascii="Arial" w:hAnsi="Arial" w:cs="Arial"/>
          <w:sz w:val="22"/>
          <w:szCs w:val="22"/>
        </w:rPr>
      </w:pPr>
      <w:r w:rsidRPr="00EE4B03">
        <w:rPr>
          <w:rFonts w:ascii="Arial" w:hAnsi="Arial" w:cs="Arial"/>
          <w:sz w:val="22"/>
          <w:szCs w:val="22"/>
        </w:rPr>
        <w:t>Work published by the CCC</w:t>
      </w:r>
    </w:p>
    <w:p w14:paraId="2D1EDFF1" w14:textId="5DA5747D" w:rsidR="00662EE1" w:rsidRPr="00EE4B03" w:rsidRDefault="00F17B4A" w:rsidP="00662EE1">
      <w:pPr>
        <w:pStyle w:val="NormalWeb"/>
        <w:widowControl w:val="0"/>
        <w:numPr>
          <w:ilvl w:val="1"/>
          <w:numId w:val="6"/>
        </w:numPr>
        <w:spacing w:before="0" w:beforeAutospacing="0" w:after="0" w:afterAutospacing="0" w:line="276" w:lineRule="auto"/>
        <w:rPr>
          <w:rFonts w:ascii="Arial" w:hAnsi="Arial" w:cs="Arial"/>
          <w:color w:val="000000"/>
          <w:sz w:val="22"/>
          <w:szCs w:val="22"/>
        </w:rPr>
      </w:pPr>
      <w:r>
        <w:rPr>
          <w:rFonts w:ascii="Arial" w:hAnsi="Arial" w:cs="Arial"/>
          <w:sz w:val="22"/>
          <w:szCs w:val="22"/>
        </w:rPr>
        <w:lastRenderedPageBreak/>
        <w:t xml:space="preserve">CCC (2012), </w:t>
      </w:r>
      <w:r w:rsidR="00662EE1" w:rsidRPr="00861E44">
        <w:rPr>
          <w:rFonts w:ascii="Arial" w:hAnsi="Arial" w:cs="Arial"/>
          <w:i/>
          <w:sz w:val="22"/>
          <w:szCs w:val="22"/>
        </w:rPr>
        <w:t>The 2050 target – achieving and 80% reduction including emissions from international aviation and shipping</w:t>
      </w:r>
      <w:r w:rsidR="00662EE1" w:rsidRPr="00EE4B03">
        <w:rPr>
          <w:rFonts w:ascii="Arial" w:hAnsi="Arial" w:cs="Arial"/>
          <w:sz w:val="22"/>
          <w:szCs w:val="22"/>
        </w:rPr>
        <w:t xml:space="preserve">, </w:t>
      </w:r>
      <w:hyperlink r:id="rId14" w:history="1">
        <w:r w:rsidR="00662EE1" w:rsidRPr="00EE4B03">
          <w:rPr>
            <w:rStyle w:val="Hyperlink"/>
            <w:rFonts w:ascii="Arial" w:hAnsi="Arial" w:cs="Arial"/>
            <w:sz w:val="22"/>
            <w:szCs w:val="22"/>
          </w:rPr>
          <w:t>https://www.theccc.org.uk/wp-content/uploads/2012/04/CCC_IAS_Tech-Rep_2050Target_April2012.pdf</w:t>
        </w:r>
      </w:hyperlink>
      <w:r w:rsidR="00662EE1" w:rsidRPr="00EE4B03">
        <w:rPr>
          <w:rFonts w:ascii="Arial" w:hAnsi="Arial" w:cs="Arial"/>
          <w:color w:val="000000"/>
          <w:sz w:val="22"/>
          <w:szCs w:val="22"/>
        </w:rPr>
        <w:t xml:space="preserve"> </w:t>
      </w:r>
    </w:p>
    <w:p w14:paraId="1481DDD8" w14:textId="2F72D50D" w:rsidR="00662EE1" w:rsidRPr="00EE4B03" w:rsidRDefault="00F17B4A" w:rsidP="00662EE1">
      <w:pPr>
        <w:pStyle w:val="NormalWeb"/>
        <w:widowControl w:val="0"/>
        <w:numPr>
          <w:ilvl w:val="1"/>
          <w:numId w:val="6"/>
        </w:numPr>
        <w:spacing w:before="0" w:beforeAutospacing="0" w:after="0" w:afterAutospacing="0" w:line="276" w:lineRule="auto"/>
        <w:rPr>
          <w:rFonts w:ascii="Arial" w:hAnsi="Arial" w:cs="Arial"/>
          <w:color w:val="000000"/>
          <w:sz w:val="22"/>
          <w:szCs w:val="22"/>
        </w:rPr>
      </w:pPr>
      <w:r>
        <w:rPr>
          <w:rFonts w:ascii="Arial" w:hAnsi="Arial" w:cs="Arial"/>
          <w:sz w:val="22"/>
          <w:szCs w:val="22"/>
        </w:rPr>
        <w:t xml:space="preserve">Element Energy (2013), </w:t>
      </w:r>
      <w:r w:rsidR="00662EE1" w:rsidRPr="00861E44">
        <w:rPr>
          <w:rFonts w:ascii="Arial" w:hAnsi="Arial" w:cs="Arial"/>
          <w:i/>
          <w:sz w:val="22"/>
          <w:szCs w:val="22"/>
        </w:rPr>
        <w:t>Review of potential for carbon savings from residential energy efficiency</w:t>
      </w:r>
      <w:r w:rsidR="00662EE1" w:rsidRPr="00EE4B03">
        <w:rPr>
          <w:rFonts w:ascii="Arial" w:hAnsi="Arial" w:cs="Arial"/>
          <w:sz w:val="22"/>
          <w:szCs w:val="22"/>
        </w:rPr>
        <w:t>,</w:t>
      </w:r>
      <w:r w:rsidR="00662EE1" w:rsidRPr="00EE4B03">
        <w:rPr>
          <w:rFonts w:ascii="Arial" w:hAnsi="Arial" w:cs="Arial"/>
          <w:color w:val="000000"/>
          <w:sz w:val="22"/>
          <w:szCs w:val="22"/>
        </w:rPr>
        <w:t xml:space="preserve"> </w:t>
      </w:r>
      <w:hyperlink r:id="rId15" w:history="1">
        <w:r w:rsidR="00662EE1" w:rsidRPr="00EE4B03">
          <w:rPr>
            <w:rStyle w:val="Hyperlink"/>
            <w:rFonts w:ascii="Arial" w:hAnsi="Arial" w:cs="Arial"/>
            <w:sz w:val="22"/>
            <w:szCs w:val="22"/>
          </w:rPr>
          <w:t>https://www.theccc.org.uk/wp-content/uploads/2013/12/Review-of-potential-for-carbon-savings-from-residential-energy-efficiency-Final-report-A-160114.pdf</w:t>
        </w:r>
      </w:hyperlink>
      <w:r w:rsidR="00662EE1" w:rsidRPr="00EE4B03">
        <w:rPr>
          <w:rFonts w:ascii="Arial" w:hAnsi="Arial" w:cs="Arial"/>
          <w:color w:val="000000"/>
          <w:sz w:val="22"/>
          <w:szCs w:val="22"/>
        </w:rPr>
        <w:t xml:space="preserve"> </w:t>
      </w:r>
    </w:p>
    <w:p w14:paraId="55287146" w14:textId="63640DF1" w:rsidR="00662EE1" w:rsidRPr="00EE4B03" w:rsidRDefault="00F17B4A" w:rsidP="00662EE1">
      <w:pPr>
        <w:pStyle w:val="NormalWeb"/>
        <w:widowControl w:val="0"/>
        <w:numPr>
          <w:ilvl w:val="1"/>
          <w:numId w:val="6"/>
        </w:numPr>
        <w:spacing w:before="0" w:beforeAutospacing="0" w:after="0" w:afterAutospacing="0" w:line="276" w:lineRule="auto"/>
        <w:rPr>
          <w:rFonts w:ascii="Arial" w:hAnsi="Arial" w:cs="Arial"/>
          <w:sz w:val="22"/>
          <w:szCs w:val="22"/>
        </w:rPr>
      </w:pPr>
      <w:r>
        <w:rPr>
          <w:rFonts w:ascii="Arial" w:hAnsi="Arial" w:cs="Arial"/>
          <w:sz w:val="22"/>
          <w:szCs w:val="22"/>
        </w:rPr>
        <w:t xml:space="preserve">CCC (2015), </w:t>
      </w:r>
      <w:r w:rsidR="00662EE1" w:rsidRPr="00861E44">
        <w:rPr>
          <w:rFonts w:ascii="Arial" w:hAnsi="Arial" w:cs="Arial"/>
          <w:i/>
          <w:sz w:val="22"/>
          <w:szCs w:val="22"/>
        </w:rPr>
        <w:t>Sectoral scenarios for the Fifth Carbon Budget</w:t>
      </w:r>
      <w:r w:rsidR="00662EE1" w:rsidRPr="00EE4B03">
        <w:rPr>
          <w:rFonts w:ascii="Arial" w:hAnsi="Arial" w:cs="Arial"/>
          <w:sz w:val="22"/>
          <w:szCs w:val="22"/>
        </w:rPr>
        <w:t xml:space="preserve">, </w:t>
      </w:r>
      <w:hyperlink r:id="rId16" w:history="1">
        <w:r w:rsidR="00662EE1" w:rsidRPr="00EE4B03">
          <w:rPr>
            <w:rStyle w:val="Hyperlink"/>
            <w:rFonts w:ascii="Arial" w:hAnsi="Arial" w:cs="Arial"/>
            <w:sz w:val="22"/>
            <w:szCs w:val="22"/>
          </w:rPr>
          <w:t>https://www.theccc.org.uk/wp-content/uploads/2015/11/Sectoral-scenarios-for-the-fifth-carbon-budget-Committee-on-Climate-Change.pdf</w:t>
        </w:r>
      </w:hyperlink>
      <w:r w:rsidR="00662EE1" w:rsidRPr="00EE4B03">
        <w:rPr>
          <w:rFonts w:ascii="Arial" w:hAnsi="Arial" w:cs="Arial"/>
          <w:sz w:val="22"/>
          <w:szCs w:val="22"/>
        </w:rPr>
        <w:t xml:space="preserve"> </w:t>
      </w:r>
    </w:p>
    <w:p w14:paraId="0B8E610D" w14:textId="5B7D1513" w:rsidR="00662EE1" w:rsidRPr="00EE4B03" w:rsidRDefault="00F17B4A" w:rsidP="00662EE1">
      <w:pPr>
        <w:pStyle w:val="NormalWeb"/>
        <w:widowControl w:val="0"/>
        <w:numPr>
          <w:ilvl w:val="1"/>
          <w:numId w:val="6"/>
        </w:numPr>
        <w:spacing w:before="0" w:beforeAutospacing="0" w:after="0" w:afterAutospacing="0" w:line="276" w:lineRule="auto"/>
        <w:rPr>
          <w:rFonts w:ascii="Arial" w:hAnsi="Arial" w:cs="Arial"/>
          <w:sz w:val="22"/>
          <w:szCs w:val="22"/>
        </w:rPr>
      </w:pPr>
      <w:r>
        <w:rPr>
          <w:rFonts w:ascii="Arial" w:hAnsi="Arial" w:cs="Arial"/>
          <w:sz w:val="22"/>
          <w:szCs w:val="22"/>
        </w:rPr>
        <w:t xml:space="preserve">CCC (2016), </w:t>
      </w:r>
      <w:r w:rsidR="00662EE1" w:rsidRPr="00861E44">
        <w:rPr>
          <w:rFonts w:ascii="Arial" w:hAnsi="Arial" w:cs="Arial"/>
          <w:i/>
          <w:sz w:val="22"/>
          <w:szCs w:val="22"/>
        </w:rPr>
        <w:t>UK climate action following the Paris Agreement</w:t>
      </w:r>
      <w:r>
        <w:rPr>
          <w:rFonts w:ascii="Arial" w:hAnsi="Arial" w:cs="Arial"/>
          <w:sz w:val="22"/>
          <w:szCs w:val="22"/>
        </w:rPr>
        <w:t>,</w:t>
      </w:r>
      <w:r w:rsidR="00662EE1" w:rsidRPr="00EE4B03">
        <w:rPr>
          <w:rFonts w:ascii="Arial" w:hAnsi="Arial" w:cs="Arial"/>
          <w:sz w:val="22"/>
          <w:szCs w:val="22"/>
        </w:rPr>
        <w:t xml:space="preserve"> </w:t>
      </w:r>
      <w:hyperlink r:id="rId17" w:history="1">
        <w:r w:rsidR="00662EE1" w:rsidRPr="00EE4B03">
          <w:rPr>
            <w:rStyle w:val="Hyperlink"/>
            <w:rFonts w:ascii="Arial" w:hAnsi="Arial" w:cs="Arial"/>
            <w:sz w:val="22"/>
            <w:szCs w:val="22"/>
          </w:rPr>
          <w:t>https://www.theccc.org.uk/wp-content/uploads/2016/10/UK-climate-action-following-the-Paris-Agreement-Committee-on-Climate-Change-October-2016.pdf</w:t>
        </w:r>
      </w:hyperlink>
      <w:r w:rsidR="00662EE1" w:rsidRPr="00EE4B03">
        <w:rPr>
          <w:rFonts w:ascii="Arial" w:hAnsi="Arial" w:cs="Arial"/>
          <w:sz w:val="22"/>
          <w:szCs w:val="22"/>
        </w:rPr>
        <w:t xml:space="preserve"> </w:t>
      </w:r>
    </w:p>
    <w:p w14:paraId="702DE24C" w14:textId="689E69D8" w:rsidR="00662EE1" w:rsidRPr="00EE4B03" w:rsidRDefault="00F17B4A" w:rsidP="00662EE1">
      <w:pPr>
        <w:pStyle w:val="NormalWeb"/>
        <w:widowControl w:val="0"/>
        <w:numPr>
          <w:ilvl w:val="1"/>
          <w:numId w:val="6"/>
        </w:numPr>
        <w:spacing w:before="0" w:beforeAutospacing="0" w:after="0" w:afterAutospacing="0" w:line="276" w:lineRule="auto"/>
        <w:rPr>
          <w:rFonts w:ascii="Arial" w:hAnsi="Arial" w:cs="Arial"/>
          <w:sz w:val="22"/>
          <w:szCs w:val="22"/>
        </w:rPr>
      </w:pPr>
      <w:r>
        <w:rPr>
          <w:rFonts w:ascii="Arial" w:hAnsi="Arial" w:cs="Arial"/>
          <w:sz w:val="22"/>
          <w:szCs w:val="22"/>
        </w:rPr>
        <w:t xml:space="preserve">CCC (2016), </w:t>
      </w:r>
      <w:r w:rsidR="00662EE1" w:rsidRPr="00861E44">
        <w:rPr>
          <w:rFonts w:ascii="Arial" w:hAnsi="Arial" w:cs="Arial"/>
          <w:i/>
          <w:sz w:val="22"/>
          <w:szCs w:val="22"/>
        </w:rPr>
        <w:t>Next steps for UK heat policy</w:t>
      </w:r>
      <w:r w:rsidR="00662EE1" w:rsidRPr="00EE4B03">
        <w:rPr>
          <w:rFonts w:ascii="Arial" w:hAnsi="Arial" w:cs="Arial"/>
          <w:sz w:val="22"/>
          <w:szCs w:val="22"/>
        </w:rPr>
        <w:t>,</w:t>
      </w:r>
      <w:r>
        <w:rPr>
          <w:rFonts w:ascii="Arial" w:hAnsi="Arial" w:cs="Arial"/>
          <w:sz w:val="22"/>
          <w:szCs w:val="22"/>
        </w:rPr>
        <w:t xml:space="preserve"> </w:t>
      </w:r>
      <w:hyperlink r:id="rId18" w:history="1">
        <w:r w:rsidR="00662EE1" w:rsidRPr="00EE4B03">
          <w:rPr>
            <w:rStyle w:val="Hyperlink"/>
            <w:rFonts w:ascii="Arial" w:hAnsi="Arial" w:cs="Arial"/>
            <w:sz w:val="22"/>
            <w:szCs w:val="22"/>
          </w:rPr>
          <w:t>https://www.theccc.org.uk/wp-content/uploads/2016/10/Next-steps-for-UK-heat-policy-Committee-on-Climate-Change-October-2016.pdf</w:t>
        </w:r>
      </w:hyperlink>
      <w:r w:rsidR="00662EE1" w:rsidRPr="00EE4B03">
        <w:rPr>
          <w:rFonts w:ascii="Arial" w:hAnsi="Arial" w:cs="Arial"/>
          <w:sz w:val="22"/>
          <w:szCs w:val="22"/>
        </w:rPr>
        <w:t xml:space="preserve"> </w:t>
      </w:r>
    </w:p>
    <w:p w14:paraId="2B4F6EC1" w14:textId="204F6B8C" w:rsidR="00662EE1" w:rsidRPr="00EE4B03" w:rsidRDefault="00F17B4A" w:rsidP="00662EE1">
      <w:pPr>
        <w:pStyle w:val="NormalWeb"/>
        <w:widowControl w:val="0"/>
        <w:numPr>
          <w:ilvl w:val="1"/>
          <w:numId w:val="6"/>
        </w:numPr>
        <w:spacing w:before="0" w:beforeAutospacing="0" w:after="0" w:afterAutospacing="0" w:line="276" w:lineRule="auto"/>
        <w:rPr>
          <w:rFonts w:ascii="Arial" w:hAnsi="Arial" w:cs="Arial"/>
          <w:sz w:val="22"/>
          <w:szCs w:val="22"/>
        </w:rPr>
      </w:pPr>
      <w:r>
        <w:rPr>
          <w:rFonts w:ascii="Arial" w:hAnsi="Arial" w:cs="Arial"/>
          <w:sz w:val="22"/>
          <w:szCs w:val="22"/>
        </w:rPr>
        <w:t xml:space="preserve">CCC (2016), </w:t>
      </w:r>
      <w:r w:rsidR="00662EE1" w:rsidRPr="00861E44">
        <w:rPr>
          <w:rFonts w:ascii="Arial" w:hAnsi="Arial" w:cs="Arial"/>
          <w:i/>
          <w:sz w:val="22"/>
          <w:szCs w:val="22"/>
        </w:rPr>
        <w:t>Heat in UK buildings today</w:t>
      </w:r>
      <w:r w:rsidR="00662EE1" w:rsidRPr="00EE4B03">
        <w:rPr>
          <w:rFonts w:ascii="Arial" w:hAnsi="Arial" w:cs="Arial"/>
          <w:sz w:val="22"/>
          <w:szCs w:val="22"/>
        </w:rPr>
        <w:t xml:space="preserve">, </w:t>
      </w:r>
      <w:hyperlink r:id="rId19" w:history="1">
        <w:r w:rsidR="00662EE1" w:rsidRPr="00EE4B03">
          <w:rPr>
            <w:rStyle w:val="Hyperlink"/>
            <w:rFonts w:ascii="Arial" w:hAnsi="Arial" w:cs="Arial"/>
            <w:sz w:val="22"/>
            <w:szCs w:val="22"/>
          </w:rPr>
          <w:t>https://www.theccc.org.uk/wp-content/uploads/2017/01/Annex-2-Heat-in-UK-Buildings-Today-Committee-on-Climate-Change-October-2016.pdf</w:t>
        </w:r>
      </w:hyperlink>
      <w:r w:rsidR="00662EE1" w:rsidRPr="00EE4B03">
        <w:rPr>
          <w:rFonts w:ascii="Arial" w:hAnsi="Arial" w:cs="Arial"/>
          <w:sz w:val="22"/>
          <w:szCs w:val="22"/>
        </w:rPr>
        <w:t xml:space="preserve"> </w:t>
      </w:r>
    </w:p>
    <w:p w14:paraId="2158A062" w14:textId="21DD98CD" w:rsidR="00662EE1" w:rsidRPr="00EE4B03" w:rsidRDefault="00F17B4A" w:rsidP="00662EE1">
      <w:pPr>
        <w:pStyle w:val="NormalWeb"/>
        <w:widowControl w:val="0"/>
        <w:numPr>
          <w:ilvl w:val="1"/>
          <w:numId w:val="6"/>
        </w:numPr>
        <w:spacing w:before="0" w:beforeAutospacing="0" w:after="0" w:afterAutospacing="0" w:line="276" w:lineRule="auto"/>
        <w:rPr>
          <w:rFonts w:ascii="Arial" w:hAnsi="Arial" w:cs="Arial"/>
          <w:sz w:val="22"/>
          <w:szCs w:val="22"/>
        </w:rPr>
      </w:pPr>
      <w:r>
        <w:rPr>
          <w:rFonts w:ascii="Arial" w:hAnsi="Arial" w:cs="Arial"/>
          <w:sz w:val="22"/>
          <w:szCs w:val="22"/>
        </w:rPr>
        <w:t xml:space="preserve">Imperial College London (2018), </w:t>
      </w:r>
      <w:r w:rsidR="00662EE1" w:rsidRPr="00861E44">
        <w:rPr>
          <w:rFonts w:ascii="Arial" w:hAnsi="Arial" w:cs="Arial"/>
          <w:i/>
          <w:sz w:val="22"/>
          <w:szCs w:val="22"/>
        </w:rPr>
        <w:t>Analysis of alternative UK heat decarbonisation pathways</w:t>
      </w:r>
      <w:r>
        <w:rPr>
          <w:rFonts w:ascii="Arial" w:hAnsi="Arial" w:cs="Arial"/>
          <w:sz w:val="22"/>
          <w:szCs w:val="22"/>
        </w:rPr>
        <w:t xml:space="preserve">, </w:t>
      </w:r>
      <w:hyperlink r:id="rId20" w:history="1">
        <w:r w:rsidR="00662EE1" w:rsidRPr="00EE4B03">
          <w:rPr>
            <w:rStyle w:val="Hyperlink"/>
            <w:rFonts w:ascii="Arial" w:hAnsi="Arial" w:cs="Arial"/>
            <w:sz w:val="22"/>
            <w:szCs w:val="22"/>
          </w:rPr>
          <w:t>https://www.theccc.org.uk/publication/analysis-of-alternative-uk-heat-decarbonisation-pathways/</w:t>
        </w:r>
      </w:hyperlink>
      <w:r w:rsidR="00662EE1" w:rsidRPr="00EE4B03">
        <w:rPr>
          <w:rFonts w:ascii="Arial" w:hAnsi="Arial" w:cs="Arial"/>
          <w:sz w:val="22"/>
          <w:szCs w:val="22"/>
        </w:rPr>
        <w:t xml:space="preserve"> </w:t>
      </w:r>
    </w:p>
    <w:p w14:paraId="600D80E7" w14:textId="77777777" w:rsidR="00662EE1" w:rsidRPr="00EE4B03" w:rsidRDefault="00662EE1" w:rsidP="00662EE1">
      <w:pPr>
        <w:pStyle w:val="NormalWeb"/>
        <w:widowControl w:val="0"/>
        <w:numPr>
          <w:ilvl w:val="0"/>
          <w:numId w:val="6"/>
        </w:numPr>
        <w:spacing w:before="0" w:beforeAutospacing="0" w:after="0" w:afterAutospacing="0" w:line="276" w:lineRule="auto"/>
        <w:rPr>
          <w:rFonts w:ascii="Arial" w:hAnsi="Arial" w:cs="Arial"/>
          <w:sz w:val="22"/>
          <w:szCs w:val="22"/>
        </w:rPr>
      </w:pPr>
      <w:r w:rsidRPr="00EE4B03">
        <w:rPr>
          <w:rFonts w:ascii="Arial" w:hAnsi="Arial" w:cs="Arial"/>
          <w:sz w:val="22"/>
          <w:szCs w:val="22"/>
        </w:rPr>
        <w:t>Wider evidence relevant to ‘hard to decarbonise’ homes</w:t>
      </w:r>
    </w:p>
    <w:p w14:paraId="01170BB1" w14:textId="07604CAC" w:rsidR="00662EE1" w:rsidRPr="00EE4B03" w:rsidRDefault="00F17B4A" w:rsidP="00662EE1">
      <w:pPr>
        <w:pStyle w:val="NormalWeb"/>
        <w:widowControl w:val="0"/>
        <w:numPr>
          <w:ilvl w:val="1"/>
          <w:numId w:val="6"/>
        </w:numPr>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BRE, Defra, EST, </w:t>
      </w:r>
      <w:r>
        <w:rPr>
          <w:rFonts w:ascii="Arial" w:hAnsi="Arial" w:cs="Arial"/>
          <w:sz w:val="22"/>
          <w:szCs w:val="22"/>
        </w:rPr>
        <w:t>(</w:t>
      </w:r>
      <w:r w:rsidRPr="00EE4B03">
        <w:rPr>
          <w:rFonts w:ascii="Arial" w:hAnsi="Arial" w:cs="Arial"/>
          <w:sz w:val="22"/>
          <w:szCs w:val="22"/>
        </w:rPr>
        <w:t>2008</w:t>
      </w:r>
      <w:r>
        <w:rPr>
          <w:rFonts w:ascii="Arial" w:hAnsi="Arial" w:cs="Arial"/>
          <w:sz w:val="22"/>
          <w:szCs w:val="22"/>
        </w:rPr>
        <w:t xml:space="preserve">), </w:t>
      </w:r>
      <w:r w:rsidR="00662EE1" w:rsidRPr="00861E44">
        <w:rPr>
          <w:rFonts w:ascii="Arial" w:hAnsi="Arial" w:cs="Arial"/>
          <w:i/>
          <w:sz w:val="22"/>
          <w:szCs w:val="22"/>
        </w:rPr>
        <w:t>A study of Hard to Treat Homes using the English House Condition Survey, Part I: Dwelling and Household Characteristics of Hard to Treat Homes</w:t>
      </w:r>
      <w:r>
        <w:rPr>
          <w:rFonts w:ascii="Arial" w:hAnsi="Arial" w:cs="Arial"/>
          <w:sz w:val="22"/>
          <w:szCs w:val="22"/>
        </w:rPr>
        <w:t xml:space="preserve">, </w:t>
      </w:r>
      <w:hyperlink r:id="rId21" w:history="1">
        <w:r w:rsidR="00662EE1" w:rsidRPr="00EE4B03">
          <w:rPr>
            <w:rStyle w:val="Hyperlink"/>
            <w:rFonts w:ascii="Arial" w:hAnsi="Arial" w:cs="Arial"/>
            <w:sz w:val="22"/>
            <w:szCs w:val="22"/>
          </w:rPr>
          <w:t>https://www.bre.co.uk/filelibrary/pdf/rpts/Hard_to_Treat_Homes_Part_I.pdf</w:t>
        </w:r>
      </w:hyperlink>
      <w:r w:rsidR="00662EE1" w:rsidRPr="00EE4B03">
        <w:rPr>
          <w:rFonts w:ascii="Arial" w:hAnsi="Arial" w:cs="Arial"/>
          <w:sz w:val="22"/>
          <w:szCs w:val="22"/>
        </w:rPr>
        <w:t xml:space="preserve"> </w:t>
      </w:r>
    </w:p>
    <w:p w14:paraId="6C283CBF" w14:textId="45F3035D" w:rsidR="00662EE1" w:rsidRPr="00EE4B03" w:rsidRDefault="00D17496" w:rsidP="00662EE1">
      <w:pPr>
        <w:pStyle w:val="NormalWeb"/>
        <w:widowControl w:val="0"/>
        <w:numPr>
          <w:ilvl w:val="1"/>
          <w:numId w:val="6"/>
        </w:numPr>
        <w:spacing w:before="0" w:beforeAutospacing="0" w:after="0" w:afterAutospacing="0" w:line="276" w:lineRule="auto"/>
        <w:rPr>
          <w:rFonts w:ascii="Arial" w:hAnsi="Arial" w:cs="Arial"/>
          <w:sz w:val="22"/>
          <w:szCs w:val="22"/>
        </w:rPr>
      </w:pPr>
      <w:r w:rsidRPr="00EE4B03">
        <w:rPr>
          <w:rFonts w:ascii="Arial" w:hAnsi="Arial" w:cs="Arial"/>
          <w:sz w:val="22"/>
          <w:szCs w:val="22"/>
        </w:rPr>
        <w:t xml:space="preserve">BRE, Defra, EST, </w:t>
      </w:r>
      <w:r>
        <w:rPr>
          <w:rFonts w:ascii="Arial" w:hAnsi="Arial" w:cs="Arial"/>
          <w:sz w:val="22"/>
          <w:szCs w:val="22"/>
        </w:rPr>
        <w:t>(</w:t>
      </w:r>
      <w:r w:rsidRPr="00EE4B03">
        <w:rPr>
          <w:rFonts w:ascii="Arial" w:hAnsi="Arial" w:cs="Arial"/>
          <w:sz w:val="22"/>
          <w:szCs w:val="22"/>
        </w:rPr>
        <w:t>2008</w:t>
      </w:r>
      <w:r>
        <w:rPr>
          <w:rFonts w:ascii="Arial" w:hAnsi="Arial" w:cs="Arial"/>
          <w:sz w:val="22"/>
          <w:szCs w:val="22"/>
        </w:rPr>
        <w:t xml:space="preserve">), </w:t>
      </w:r>
      <w:r w:rsidR="00662EE1" w:rsidRPr="00861E44">
        <w:rPr>
          <w:rFonts w:ascii="Arial" w:hAnsi="Arial" w:cs="Arial"/>
          <w:i/>
          <w:sz w:val="22"/>
          <w:szCs w:val="22"/>
        </w:rPr>
        <w:t>A study of Hard to Treat Homes using the English House Condition Survey, Part II: Investigating improvement scenarios for Hard to Treat Homes</w:t>
      </w:r>
      <w:r w:rsidR="00662EE1" w:rsidRPr="00EE4B03">
        <w:rPr>
          <w:rFonts w:ascii="Arial" w:hAnsi="Arial" w:cs="Arial"/>
          <w:sz w:val="22"/>
          <w:szCs w:val="22"/>
        </w:rPr>
        <w:t xml:space="preserve">, </w:t>
      </w:r>
      <w:hyperlink r:id="rId22" w:history="1">
        <w:r w:rsidR="00662EE1" w:rsidRPr="00EE4B03">
          <w:rPr>
            <w:rStyle w:val="Hyperlink"/>
            <w:rFonts w:ascii="Arial" w:hAnsi="Arial" w:cs="Arial"/>
            <w:sz w:val="22"/>
            <w:szCs w:val="22"/>
          </w:rPr>
          <w:t>https://www.bre.co.uk/filelibrary/pdf/rpts/HTT_part_II_Final.pdf</w:t>
        </w:r>
      </w:hyperlink>
      <w:r w:rsidR="00662EE1" w:rsidRPr="00EE4B03">
        <w:rPr>
          <w:rFonts w:ascii="Arial" w:hAnsi="Arial" w:cs="Arial"/>
          <w:sz w:val="22"/>
          <w:szCs w:val="22"/>
        </w:rPr>
        <w:t xml:space="preserve"> </w:t>
      </w:r>
    </w:p>
    <w:p w14:paraId="2A538DD8" w14:textId="77777777" w:rsidR="003A2016" w:rsidRPr="00EE4B03" w:rsidRDefault="003A2016" w:rsidP="003A2016">
      <w:pPr>
        <w:pStyle w:val="NormalWeb"/>
        <w:widowControl w:val="0"/>
        <w:numPr>
          <w:ilvl w:val="1"/>
          <w:numId w:val="6"/>
        </w:numPr>
        <w:spacing w:before="0" w:beforeAutospacing="0" w:after="0" w:afterAutospacing="0" w:line="276" w:lineRule="auto"/>
        <w:rPr>
          <w:rFonts w:ascii="Arial" w:hAnsi="Arial" w:cs="Arial"/>
          <w:sz w:val="22"/>
          <w:szCs w:val="22"/>
        </w:rPr>
      </w:pPr>
      <w:proofErr w:type="spellStart"/>
      <w:r w:rsidRPr="00EE4B03">
        <w:rPr>
          <w:rFonts w:ascii="Arial" w:hAnsi="Arial" w:cs="Arial"/>
          <w:sz w:val="22"/>
          <w:szCs w:val="22"/>
        </w:rPr>
        <w:lastRenderedPageBreak/>
        <w:t>Changeworks</w:t>
      </w:r>
      <w:proofErr w:type="spellEnd"/>
      <w:r w:rsidRPr="00EE4B03">
        <w:rPr>
          <w:rFonts w:ascii="Arial" w:hAnsi="Arial" w:cs="Arial"/>
          <w:sz w:val="22"/>
          <w:szCs w:val="22"/>
        </w:rPr>
        <w:t xml:space="preserve"> </w:t>
      </w:r>
      <w:r>
        <w:rPr>
          <w:rFonts w:ascii="Arial" w:hAnsi="Arial" w:cs="Arial"/>
          <w:sz w:val="22"/>
          <w:szCs w:val="22"/>
        </w:rPr>
        <w:t>(</w:t>
      </w:r>
      <w:r w:rsidRPr="00EE4B03">
        <w:rPr>
          <w:rFonts w:ascii="Arial" w:hAnsi="Arial" w:cs="Arial"/>
          <w:sz w:val="22"/>
          <w:szCs w:val="22"/>
        </w:rPr>
        <w:t>2008</w:t>
      </w:r>
      <w:r>
        <w:rPr>
          <w:rFonts w:ascii="Arial" w:hAnsi="Arial" w:cs="Arial"/>
          <w:sz w:val="22"/>
          <w:szCs w:val="22"/>
        </w:rPr>
        <w:t xml:space="preserve">), </w:t>
      </w:r>
      <w:r w:rsidRPr="00861E44">
        <w:rPr>
          <w:rFonts w:ascii="Arial" w:hAnsi="Arial" w:cs="Arial"/>
          <w:i/>
          <w:sz w:val="22"/>
          <w:szCs w:val="22"/>
        </w:rPr>
        <w:t>Energy Heritage: A guide to improving energy efficiency in traditional and historic homes,</w:t>
      </w:r>
      <w:r w:rsidRPr="00EE4B03">
        <w:rPr>
          <w:rFonts w:ascii="Arial" w:hAnsi="Arial" w:cs="Arial"/>
          <w:sz w:val="22"/>
          <w:szCs w:val="22"/>
        </w:rPr>
        <w:t xml:space="preserve"> </w:t>
      </w:r>
      <w:hyperlink r:id="rId23" w:history="1">
        <w:r w:rsidRPr="00EE4B03">
          <w:rPr>
            <w:rStyle w:val="Hyperlink"/>
            <w:rFonts w:ascii="Arial" w:hAnsi="Arial" w:cs="Arial"/>
            <w:sz w:val="22"/>
            <w:szCs w:val="22"/>
          </w:rPr>
          <w:t>https://www.changeworks.org.uk/sites/default/files/Energy_Heritage.pdf</w:t>
        </w:r>
      </w:hyperlink>
      <w:r w:rsidRPr="00EE4B03">
        <w:rPr>
          <w:rFonts w:ascii="Arial" w:hAnsi="Arial" w:cs="Arial"/>
          <w:sz w:val="22"/>
          <w:szCs w:val="22"/>
        </w:rPr>
        <w:t xml:space="preserve"> </w:t>
      </w:r>
    </w:p>
    <w:p w14:paraId="5EAF551C" w14:textId="16D4F24F" w:rsidR="00662EE1" w:rsidRPr="00EE4B03" w:rsidRDefault="00D17496" w:rsidP="00662EE1">
      <w:pPr>
        <w:pStyle w:val="NormalWeb"/>
        <w:widowControl w:val="0"/>
        <w:numPr>
          <w:ilvl w:val="1"/>
          <w:numId w:val="6"/>
        </w:numPr>
        <w:spacing w:before="0" w:beforeAutospacing="0" w:after="0" w:afterAutospacing="0" w:line="276" w:lineRule="auto"/>
        <w:rPr>
          <w:rFonts w:ascii="Arial" w:hAnsi="Arial" w:cs="Arial"/>
          <w:sz w:val="22"/>
          <w:szCs w:val="22"/>
        </w:rPr>
      </w:pPr>
      <w:r w:rsidRPr="00EE4B03">
        <w:rPr>
          <w:rFonts w:ascii="Arial" w:hAnsi="Arial" w:cs="Arial"/>
          <w:sz w:val="22"/>
          <w:szCs w:val="22"/>
        </w:rPr>
        <w:t>ACE for the Energy Ef</w:t>
      </w:r>
      <w:r>
        <w:rPr>
          <w:rFonts w:ascii="Arial" w:hAnsi="Arial" w:cs="Arial"/>
          <w:sz w:val="22"/>
          <w:szCs w:val="22"/>
        </w:rPr>
        <w:t>ficiency Partnership for homes (</w:t>
      </w:r>
      <w:r w:rsidRPr="00EE4B03">
        <w:rPr>
          <w:rFonts w:ascii="Arial" w:hAnsi="Arial" w:cs="Arial"/>
          <w:sz w:val="22"/>
          <w:szCs w:val="22"/>
        </w:rPr>
        <w:t>2010</w:t>
      </w:r>
      <w:r>
        <w:rPr>
          <w:rFonts w:ascii="Arial" w:hAnsi="Arial" w:cs="Arial"/>
          <w:sz w:val="22"/>
          <w:szCs w:val="22"/>
        </w:rPr>
        <w:t xml:space="preserve">), </w:t>
      </w:r>
      <w:r w:rsidR="00662EE1" w:rsidRPr="00861E44">
        <w:rPr>
          <w:rFonts w:ascii="Arial" w:hAnsi="Arial" w:cs="Arial"/>
          <w:i/>
          <w:sz w:val="22"/>
          <w:szCs w:val="22"/>
        </w:rPr>
        <w:t>A review of the deliver tools used to improve hard-to-treat homes</w:t>
      </w:r>
      <w:r w:rsidR="00662EE1" w:rsidRPr="00EE4B03">
        <w:rPr>
          <w:rFonts w:ascii="Arial" w:hAnsi="Arial" w:cs="Arial"/>
          <w:sz w:val="22"/>
          <w:szCs w:val="22"/>
        </w:rPr>
        <w:t xml:space="preserve">, </w:t>
      </w:r>
      <w:hyperlink r:id="rId24" w:history="1">
        <w:r w:rsidR="00662EE1" w:rsidRPr="00EE4B03">
          <w:rPr>
            <w:rStyle w:val="Hyperlink"/>
            <w:rFonts w:ascii="Arial" w:hAnsi="Arial" w:cs="Arial"/>
            <w:sz w:val="22"/>
            <w:szCs w:val="22"/>
          </w:rPr>
          <w:t>https://www.ukace.org/wp-content/uploads/2012/11/77948-EEPH-DELIVERY-TOOLS-Revised-for-web.pdf</w:t>
        </w:r>
      </w:hyperlink>
      <w:r w:rsidR="00662EE1" w:rsidRPr="00EE4B03">
        <w:rPr>
          <w:rFonts w:ascii="Arial" w:hAnsi="Arial" w:cs="Arial"/>
          <w:sz w:val="22"/>
          <w:szCs w:val="22"/>
        </w:rPr>
        <w:t xml:space="preserve"> </w:t>
      </w:r>
    </w:p>
    <w:p w14:paraId="2FE0F630" w14:textId="4D18A8B2" w:rsidR="00662EE1" w:rsidRPr="00EE4B03" w:rsidRDefault="00D17496" w:rsidP="00662EE1">
      <w:pPr>
        <w:pStyle w:val="NormalWeb"/>
        <w:widowControl w:val="0"/>
        <w:numPr>
          <w:ilvl w:val="1"/>
          <w:numId w:val="6"/>
        </w:numPr>
        <w:spacing w:before="0" w:beforeAutospacing="0" w:after="0" w:afterAutospacing="0" w:line="276" w:lineRule="auto"/>
        <w:rPr>
          <w:rFonts w:ascii="Arial" w:hAnsi="Arial" w:cs="Arial"/>
          <w:color w:val="0000FF"/>
          <w:sz w:val="22"/>
          <w:szCs w:val="22"/>
          <w:u w:val="single"/>
        </w:rPr>
      </w:pPr>
      <w:r>
        <w:rPr>
          <w:rFonts w:ascii="Arial" w:hAnsi="Arial" w:cs="Arial"/>
          <w:sz w:val="22"/>
          <w:szCs w:val="22"/>
        </w:rPr>
        <w:t xml:space="preserve">DECC (2012), </w:t>
      </w:r>
      <w:r w:rsidR="00662EE1" w:rsidRPr="00861E44">
        <w:rPr>
          <w:rFonts w:ascii="Arial" w:hAnsi="Arial" w:cs="Arial"/>
          <w:i/>
          <w:sz w:val="22"/>
          <w:szCs w:val="22"/>
        </w:rPr>
        <w:t>Improving Energy Efficiency in Buildings: Resources Guide for Local Authorities</w:t>
      </w:r>
      <w:r w:rsidR="00662EE1" w:rsidRPr="00EE4B03">
        <w:rPr>
          <w:rFonts w:ascii="Arial" w:hAnsi="Arial" w:cs="Arial"/>
          <w:sz w:val="22"/>
          <w:szCs w:val="22"/>
        </w:rPr>
        <w:t xml:space="preserve">, </w:t>
      </w:r>
      <w:hyperlink r:id="rId25" w:history="1">
        <w:r w:rsidR="00662EE1" w:rsidRPr="00EE4B03">
          <w:rPr>
            <w:rStyle w:val="Hyperlink"/>
            <w:rFonts w:ascii="Arial" w:hAnsi="Arial" w:cs="Arial"/>
            <w:sz w:val="22"/>
            <w:szCs w:val="22"/>
          </w:rPr>
          <w:t>https://assets.publishing.service.gov.uk/government/uploads/system/uploads/attachment_data/file/445440/EHS_Energy_efficiency_of_English_housing_2013.pdf</w:t>
        </w:r>
      </w:hyperlink>
    </w:p>
    <w:p w14:paraId="04BCC9C9" w14:textId="77777777" w:rsidR="003A2016" w:rsidRPr="00EE4B03" w:rsidRDefault="003A2016" w:rsidP="003A2016">
      <w:pPr>
        <w:pStyle w:val="ListParagraph"/>
        <w:keepNext/>
        <w:keepLines/>
        <w:numPr>
          <w:ilvl w:val="1"/>
          <w:numId w:val="6"/>
        </w:numPr>
        <w:rPr>
          <w:rFonts w:ascii="Arial" w:hAnsi="Arial" w:cs="Arial"/>
        </w:rPr>
      </w:pPr>
      <w:r>
        <w:rPr>
          <w:rFonts w:ascii="Arial" w:hAnsi="Arial" w:cs="Arial"/>
        </w:rPr>
        <w:lastRenderedPageBreak/>
        <w:t>Climate Xchange (</w:t>
      </w:r>
      <w:r w:rsidRPr="00EE4B03">
        <w:rPr>
          <w:rFonts w:ascii="Arial" w:hAnsi="Arial" w:cs="Arial"/>
        </w:rPr>
        <w:t>2014</w:t>
      </w:r>
      <w:r>
        <w:rPr>
          <w:rFonts w:ascii="Arial" w:hAnsi="Arial" w:cs="Arial"/>
        </w:rPr>
        <w:t xml:space="preserve">), </w:t>
      </w:r>
      <w:r w:rsidRPr="00861E44">
        <w:rPr>
          <w:rFonts w:ascii="Arial" w:hAnsi="Arial" w:cs="Arial"/>
          <w:i/>
        </w:rPr>
        <w:t>Home energy efficiency – review of evidence on attitudes and behaviours</w:t>
      </w:r>
      <w:r w:rsidRPr="00EE4B03">
        <w:rPr>
          <w:rFonts w:ascii="Arial" w:hAnsi="Arial" w:cs="Arial"/>
        </w:rPr>
        <w:t xml:space="preserve">, </w:t>
      </w:r>
      <w:hyperlink r:id="rId26" w:history="1">
        <w:r w:rsidRPr="00EE4B03">
          <w:rPr>
            <w:rStyle w:val="Hyperlink"/>
            <w:rFonts w:ascii="Arial" w:hAnsi="Arial" w:cs="Arial"/>
          </w:rPr>
          <w:t>https://www.climatexchange.org.uk/media/1844/cxc_brief_home_energy_efficiency_review_-_full_report.pdf</w:t>
        </w:r>
      </w:hyperlink>
      <w:r w:rsidRPr="00EE4B03">
        <w:rPr>
          <w:rFonts w:ascii="Arial" w:hAnsi="Arial" w:cs="Arial"/>
        </w:rPr>
        <w:t xml:space="preserve"> </w:t>
      </w:r>
    </w:p>
    <w:p w14:paraId="64516DC5" w14:textId="460C8E95" w:rsidR="00662EE1" w:rsidRPr="00EE4B03" w:rsidRDefault="00D17496" w:rsidP="00662EE1">
      <w:pPr>
        <w:pStyle w:val="ListParagraph"/>
        <w:keepNext/>
        <w:keepLines/>
        <w:numPr>
          <w:ilvl w:val="1"/>
          <w:numId w:val="6"/>
        </w:numPr>
        <w:rPr>
          <w:rFonts w:ascii="Arial" w:hAnsi="Arial" w:cs="Arial"/>
        </w:rPr>
      </w:pPr>
      <w:r>
        <w:rPr>
          <w:rFonts w:ascii="Arial" w:hAnsi="Arial" w:cs="Arial"/>
        </w:rPr>
        <w:t xml:space="preserve">DCLG (2015), </w:t>
      </w:r>
      <w:r w:rsidR="00662EE1" w:rsidRPr="00861E44">
        <w:rPr>
          <w:rFonts w:ascii="Arial" w:hAnsi="Arial" w:cs="Arial"/>
          <w:i/>
        </w:rPr>
        <w:t>English Housing Survey, Energy Efficiency of English Housing 2013</w:t>
      </w:r>
      <w:r w:rsidR="00662EE1" w:rsidRPr="00EE4B03">
        <w:rPr>
          <w:rFonts w:ascii="Arial" w:hAnsi="Arial" w:cs="Arial"/>
        </w:rPr>
        <w:t xml:space="preserve">, </w:t>
      </w:r>
      <w:hyperlink r:id="rId27" w:history="1">
        <w:r w:rsidR="00662EE1" w:rsidRPr="00EE4B03">
          <w:rPr>
            <w:rStyle w:val="Hyperlink"/>
            <w:rFonts w:ascii="Arial" w:hAnsi="Arial" w:cs="Arial"/>
          </w:rPr>
          <w:t>https://assets.publishing.service.gov.uk/government/uploads/system/uploads/attachment_data/file/445440/EHS_Energy_efficiency_of_English_housing_2013.pdf</w:t>
        </w:r>
      </w:hyperlink>
      <w:r w:rsidR="00662EE1" w:rsidRPr="00EE4B03">
        <w:rPr>
          <w:rFonts w:ascii="Arial" w:hAnsi="Arial" w:cs="Arial"/>
        </w:rPr>
        <w:t xml:space="preserve"> </w:t>
      </w:r>
    </w:p>
    <w:p w14:paraId="456B8E27" w14:textId="45D118D5" w:rsidR="00662EE1" w:rsidRPr="00D17496" w:rsidRDefault="00D17496">
      <w:pPr>
        <w:pStyle w:val="ListParagraph"/>
        <w:keepNext/>
        <w:keepLines/>
        <w:numPr>
          <w:ilvl w:val="1"/>
          <w:numId w:val="6"/>
        </w:numPr>
        <w:rPr>
          <w:rFonts w:ascii="Arial" w:hAnsi="Arial" w:cs="Arial"/>
        </w:rPr>
      </w:pPr>
      <w:r w:rsidRPr="00D17496">
        <w:rPr>
          <w:rFonts w:ascii="Arial" w:hAnsi="Arial" w:cs="Arial"/>
        </w:rPr>
        <w:t xml:space="preserve">BEIS (2017), </w:t>
      </w:r>
      <w:proofErr w:type="gramStart"/>
      <w:r w:rsidR="00662EE1" w:rsidRPr="00861E44">
        <w:rPr>
          <w:rFonts w:ascii="Arial" w:hAnsi="Arial" w:cs="Arial"/>
          <w:i/>
        </w:rPr>
        <w:t>What</w:t>
      </w:r>
      <w:proofErr w:type="gramEnd"/>
      <w:r w:rsidR="00662EE1" w:rsidRPr="00861E44">
        <w:rPr>
          <w:rFonts w:ascii="Arial" w:hAnsi="Arial" w:cs="Arial"/>
          <w:i/>
        </w:rPr>
        <w:t xml:space="preserve"> does it cost to retrofit homes?</w:t>
      </w:r>
      <w:r w:rsidR="00662EE1" w:rsidRPr="00D17496">
        <w:rPr>
          <w:rFonts w:ascii="Arial" w:hAnsi="Arial" w:cs="Arial"/>
        </w:rPr>
        <w:t xml:space="preserve"> </w:t>
      </w:r>
      <w:hyperlink r:id="rId28" w:history="1">
        <w:r w:rsidR="00662EE1" w:rsidRPr="00D17496">
          <w:rPr>
            <w:rStyle w:val="Hyperlink"/>
            <w:rFonts w:ascii="Arial" w:hAnsi="Arial" w:cs="Arial"/>
          </w:rPr>
          <w:t>https://assets.publishing.service.gov.uk/government/uploads/system/uploads/attachment_data/file/656866/BEIS_Update_of_Domestic_Cost_Assumptions_031017.pdf</w:t>
        </w:r>
      </w:hyperlink>
      <w:r w:rsidR="00662EE1" w:rsidRPr="00D17496">
        <w:rPr>
          <w:rFonts w:ascii="Arial" w:hAnsi="Arial" w:cs="Arial"/>
        </w:rPr>
        <w:t xml:space="preserve"> </w:t>
      </w:r>
      <w:r w:rsidRPr="00D17496">
        <w:rPr>
          <w:rFonts w:ascii="Arial" w:hAnsi="Arial" w:cs="Arial"/>
        </w:rPr>
        <w:t xml:space="preserve">and </w:t>
      </w:r>
      <w:hyperlink r:id="rId29" w:history="1">
        <w:r w:rsidR="00662EE1" w:rsidRPr="00D17496">
          <w:rPr>
            <w:rStyle w:val="Hyperlink"/>
            <w:rFonts w:ascii="Arial" w:hAnsi="Arial" w:cs="Arial"/>
          </w:rPr>
          <w:t>https://www.gov.uk/government/collections/buildings-energy-efficiency-technical-research</w:t>
        </w:r>
      </w:hyperlink>
      <w:r w:rsidR="00662EE1" w:rsidRPr="00D17496">
        <w:rPr>
          <w:rFonts w:ascii="Arial" w:hAnsi="Arial" w:cs="Arial"/>
        </w:rPr>
        <w:t xml:space="preserve"> </w:t>
      </w:r>
    </w:p>
    <w:p w14:paraId="16C6A121" w14:textId="77777777" w:rsidR="00EE4B03" w:rsidRPr="00EE4B03" w:rsidRDefault="00EE4B03" w:rsidP="00861E44">
      <w:pPr>
        <w:pStyle w:val="ListParagraph"/>
        <w:keepNext/>
        <w:keepLines/>
        <w:ind w:left="1440"/>
        <w:rPr>
          <w:rFonts w:ascii="Arial" w:hAnsi="Arial" w:cs="Arial"/>
        </w:rPr>
      </w:pPr>
    </w:p>
    <w:p w14:paraId="5EA8755A" w14:textId="77777777" w:rsidR="00FE1227" w:rsidRPr="00EE4B03" w:rsidRDefault="00016416">
      <w:pPr>
        <w:pStyle w:val="Heading1"/>
        <w:numPr>
          <w:ilvl w:val="0"/>
          <w:numId w:val="1"/>
        </w:numPr>
        <w:jc w:val="both"/>
        <w:rPr>
          <w:rFonts w:ascii="Arial" w:hAnsi="Arial" w:cs="Arial"/>
          <w:sz w:val="24"/>
          <w:szCs w:val="24"/>
        </w:rPr>
      </w:pPr>
      <w:bookmarkStart w:id="9" w:name="_Ref357535689"/>
      <w:bookmarkStart w:id="10" w:name="_Toc381969508"/>
      <w:bookmarkStart w:id="11" w:name="_Toc405888457"/>
      <w:bookmarkStart w:id="12" w:name="_Toc530496752"/>
      <w:r w:rsidRPr="00EE4B03">
        <w:rPr>
          <w:rFonts w:ascii="Arial" w:hAnsi="Arial" w:cs="Arial"/>
          <w:sz w:val="24"/>
          <w:szCs w:val="24"/>
        </w:rPr>
        <w:t>Aims and Objectives</w:t>
      </w:r>
      <w:bookmarkEnd w:id="9"/>
      <w:bookmarkEnd w:id="10"/>
      <w:bookmarkEnd w:id="11"/>
      <w:bookmarkEnd w:id="12"/>
    </w:p>
    <w:p w14:paraId="19343453" w14:textId="77777777" w:rsidR="00DD521A" w:rsidRPr="00955B41" w:rsidRDefault="00DD521A" w:rsidP="00DD521A">
      <w:pPr>
        <w:pStyle w:val="Norma"/>
        <w:rPr>
          <w:rFonts w:cs="Arial"/>
        </w:rPr>
      </w:pPr>
    </w:p>
    <w:p w14:paraId="237FCF5A" w14:textId="40780376" w:rsidR="00662EE1" w:rsidRPr="00861E44" w:rsidRDefault="00662EE1" w:rsidP="00662EE1">
      <w:pPr>
        <w:pStyle w:val="Norma1"/>
        <w:rPr>
          <w:rFonts w:cs="Arial"/>
        </w:rPr>
      </w:pPr>
      <w:r w:rsidRPr="00861E44">
        <w:rPr>
          <w:rFonts w:cs="Arial"/>
        </w:rPr>
        <w:t xml:space="preserve">The overarching aim of this work is to </w:t>
      </w:r>
      <w:r w:rsidRPr="00861E44">
        <w:rPr>
          <w:rFonts w:cs="Arial"/>
          <w:b/>
        </w:rPr>
        <w:t xml:space="preserve">develop a view on the </w:t>
      </w:r>
      <w:r w:rsidRPr="00861E44">
        <w:rPr>
          <w:rFonts w:cs="Arial"/>
          <w:b/>
        </w:rPr>
        <w:lastRenderedPageBreak/>
        <w:t xml:space="preserve">most cost-effective and appropriate package of </w:t>
      </w:r>
      <w:r w:rsidR="003B758B">
        <w:rPr>
          <w:rFonts w:cs="Arial"/>
          <w:b/>
        </w:rPr>
        <w:t xml:space="preserve">decarbonisation </w:t>
      </w:r>
      <w:r w:rsidRPr="00861E44">
        <w:rPr>
          <w:rFonts w:cs="Arial"/>
          <w:b/>
        </w:rPr>
        <w:t>measures for each segment of the ‘hard to decarbonise’ stock, and to</w:t>
      </w:r>
      <w:r w:rsidR="000F3694">
        <w:rPr>
          <w:rFonts w:cs="Arial"/>
          <w:b/>
        </w:rPr>
        <w:t xml:space="preserve"> use this to provide a profile of measure deployment for ‘hard to decarbonise’ homes which can be used to update the Max Scenario to 2050. </w:t>
      </w:r>
      <w:r w:rsidR="000F3694" w:rsidRPr="00E655AE">
        <w:rPr>
          <w:rFonts w:cs="Arial"/>
          <w:b/>
        </w:rPr>
        <w:t xml:space="preserve">A discrete number of additional scenarios will also be needed. </w:t>
      </w:r>
      <w:r w:rsidRPr="00861E44">
        <w:rPr>
          <w:rFonts w:cs="Arial"/>
        </w:rPr>
        <w:t>The assessment should make use of the latest available evidence.</w:t>
      </w:r>
    </w:p>
    <w:p w14:paraId="79427E5E" w14:textId="77777777" w:rsidR="00662EE1" w:rsidRPr="00861E44" w:rsidRDefault="00662EE1" w:rsidP="00662EE1">
      <w:pPr>
        <w:pStyle w:val="Norma1"/>
        <w:rPr>
          <w:rFonts w:cs="Arial"/>
          <w:b/>
        </w:rPr>
      </w:pPr>
    </w:p>
    <w:p w14:paraId="06F6D1B7" w14:textId="77777777" w:rsidR="00662EE1" w:rsidRPr="00861E44" w:rsidRDefault="00662EE1" w:rsidP="00662EE1">
      <w:pPr>
        <w:pStyle w:val="Norma1"/>
        <w:rPr>
          <w:rFonts w:cs="Arial"/>
        </w:rPr>
      </w:pPr>
      <w:r w:rsidRPr="00861E44">
        <w:rPr>
          <w:rFonts w:cs="Arial"/>
        </w:rPr>
        <w:t>Alongside the core analysis, the outputs will need to include a qualitative assessment of the policy measures necessary to decarbonise these homes.</w:t>
      </w:r>
    </w:p>
    <w:p w14:paraId="45D80CCE" w14:textId="77777777" w:rsidR="00662EE1" w:rsidRPr="00861E44" w:rsidRDefault="00662EE1" w:rsidP="00E655AE">
      <w:pPr>
        <w:pStyle w:val="Heading4"/>
        <w:widowControl/>
        <w:rPr>
          <w:rFonts w:ascii="Arial" w:hAnsi="Arial" w:cs="Arial"/>
        </w:rPr>
      </w:pPr>
      <w:r w:rsidRPr="00861E44">
        <w:rPr>
          <w:rFonts w:ascii="Arial" w:hAnsi="Arial" w:cs="Arial"/>
        </w:rPr>
        <w:t>Scope of interest</w:t>
      </w:r>
    </w:p>
    <w:p w14:paraId="0C7024F0" w14:textId="77777777" w:rsidR="00662EE1" w:rsidRPr="00EE4B03" w:rsidRDefault="00662EE1" w:rsidP="00E655AE">
      <w:pPr>
        <w:keepNext/>
        <w:keepLines/>
        <w:spacing w:line="276" w:lineRule="auto"/>
        <w:textAlignment w:val="center"/>
        <w:rPr>
          <w:rFonts w:ascii="Arial" w:hAnsi="Arial" w:cs="Arial"/>
          <w:color w:val="000000"/>
          <w:sz w:val="22"/>
          <w:szCs w:val="22"/>
        </w:rPr>
      </w:pPr>
    </w:p>
    <w:p w14:paraId="4545C675" w14:textId="6E4AA5AC" w:rsidR="00662EE1" w:rsidRPr="00EE4B03" w:rsidRDefault="00662EE1" w:rsidP="00662EE1">
      <w:pPr>
        <w:spacing w:line="276" w:lineRule="auto"/>
        <w:textAlignment w:val="center"/>
        <w:rPr>
          <w:rFonts w:ascii="Arial" w:hAnsi="Arial" w:cs="Arial"/>
          <w:color w:val="000000"/>
          <w:sz w:val="22"/>
          <w:szCs w:val="22"/>
        </w:rPr>
      </w:pPr>
      <w:r w:rsidRPr="00EE4B03">
        <w:rPr>
          <w:rFonts w:ascii="Arial" w:hAnsi="Arial" w:cs="Arial"/>
          <w:color w:val="000000"/>
          <w:sz w:val="22"/>
          <w:szCs w:val="22"/>
        </w:rPr>
        <w:t xml:space="preserve">As discussed above, this analysis is intended to feed into advice on future ‘net zero’ targets. We are interested in understanding both how packages of measures could be combined to achieve very low levels of direct emissions by 2050, and in determining how direct emissions from these homes can be </w:t>
      </w:r>
      <w:r w:rsidRPr="00932674">
        <w:rPr>
          <w:rFonts w:ascii="Arial" w:hAnsi="Arial" w:cs="Arial"/>
          <w:color w:val="000000"/>
          <w:sz w:val="22"/>
          <w:szCs w:val="22"/>
        </w:rPr>
        <w:t>fully</w:t>
      </w:r>
      <w:r w:rsidRPr="00EE4B03">
        <w:rPr>
          <w:rFonts w:ascii="Arial" w:hAnsi="Arial" w:cs="Arial"/>
          <w:color w:val="000000"/>
          <w:sz w:val="22"/>
          <w:szCs w:val="22"/>
        </w:rPr>
        <w:t xml:space="preserve"> abated.</w:t>
      </w:r>
      <w:r w:rsidR="00E201F4">
        <w:rPr>
          <w:rStyle w:val="FootnoteReference"/>
          <w:rFonts w:ascii="Arial" w:hAnsi="Arial" w:cs="Arial"/>
          <w:color w:val="000000"/>
          <w:sz w:val="22"/>
          <w:szCs w:val="22"/>
        </w:rPr>
        <w:footnoteReference w:id="17"/>
      </w:r>
      <w:r w:rsidRPr="00EE4B03">
        <w:rPr>
          <w:rFonts w:ascii="Arial" w:hAnsi="Arial" w:cs="Arial"/>
          <w:color w:val="000000"/>
          <w:sz w:val="22"/>
          <w:szCs w:val="22"/>
        </w:rPr>
        <w:t xml:space="preserve"> </w:t>
      </w:r>
    </w:p>
    <w:p w14:paraId="20DB43FB" w14:textId="77777777" w:rsidR="00662EE1" w:rsidRPr="00EE4B03" w:rsidRDefault="00662EE1" w:rsidP="00662EE1">
      <w:pPr>
        <w:spacing w:line="276" w:lineRule="auto"/>
        <w:textAlignment w:val="center"/>
        <w:rPr>
          <w:rFonts w:ascii="Arial" w:hAnsi="Arial" w:cs="Arial"/>
          <w:color w:val="000000"/>
          <w:sz w:val="22"/>
          <w:szCs w:val="22"/>
        </w:rPr>
      </w:pPr>
    </w:p>
    <w:p w14:paraId="16CBC6FB" w14:textId="77777777" w:rsidR="00662EE1" w:rsidRPr="00EE4B03" w:rsidRDefault="00662EE1" w:rsidP="00662EE1">
      <w:pPr>
        <w:spacing w:line="276" w:lineRule="auto"/>
        <w:textAlignment w:val="center"/>
        <w:rPr>
          <w:rFonts w:ascii="Arial" w:hAnsi="Arial" w:cs="Arial"/>
          <w:color w:val="000000"/>
          <w:sz w:val="22"/>
          <w:szCs w:val="22"/>
        </w:rPr>
      </w:pPr>
      <w:r w:rsidRPr="00EE4B03">
        <w:rPr>
          <w:rFonts w:ascii="Arial" w:hAnsi="Arial" w:cs="Arial"/>
          <w:color w:val="000000"/>
          <w:sz w:val="22"/>
          <w:szCs w:val="22"/>
        </w:rPr>
        <w:lastRenderedPageBreak/>
        <w:t>We are interested in modelling the rollout of measures over time, following a trajectory which is realistic and aims to minimise costs overall. Scenarios for ‘hard to decarbonise’ homes should aim to decarbonise these homes by 2050 at the latest, with an associated view on whether certain measures could be deployed more quickly and under what circumstances.</w:t>
      </w:r>
    </w:p>
    <w:p w14:paraId="229D5A03" w14:textId="77777777" w:rsidR="00662EE1" w:rsidRPr="00EE4B03" w:rsidRDefault="00662EE1" w:rsidP="00662EE1">
      <w:pPr>
        <w:spacing w:line="276" w:lineRule="auto"/>
        <w:textAlignment w:val="center"/>
        <w:rPr>
          <w:rFonts w:ascii="Arial" w:hAnsi="Arial" w:cs="Arial"/>
          <w:color w:val="000000"/>
          <w:sz w:val="22"/>
          <w:szCs w:val="22"/>
        </w:rPr>
      </w:pPr>
    </w:p>
    <w:p w14:paraId="0992DBDE" w14:textId="40C2A3E8" w:rsidR="00662EE1" w:rsidRPr="00EE4B03" w:rsidRDefault="00662EE1" w:rsidP="00662EE1">
      <w:pPr>
        <w:spacing w:line="276" w:lineRule="auto"/>
        <w:textAlignment w:val="center"/>
        <w:rPr>
          <w:rFonts w:ascii="Arial" w:hAnsi="Arial" w:cs="Arial"/>
          <w:color w:val="000000"/>
          <w:sz w:val="22"/>
          <w:szCs w:val="22"/>
        </w:rPr>
      </w:pPr>
      <w:r w:rsidRPr="00EE4B03">
        <w:rPr>
          <w:rFonts w:ascii="Arial" w:hAnsi="Arial" w:cs="Arial"/>
          <w:color w:val="000000"/>
          <w:sz w:val="22"/>
          <w:szCs w:val="22"/>
        </w:rPr>
        <w:t>The analysis will need to be developed on a UK</w:t>
      </w:r>
      <w:r w:rsidR="004345D4">
        <w:rPr>
          <w:rFonts w:ascii="Arial" w:hAnsi="Arial" w:cs="Arial"/>
          <w:color w:val="000000"/>
          <w:sz w:val="22"/>
          <w:szCs w:val="22"/>
        </w:rPr>
        <w:t>-</w:t>
      </w:r>
      <w:r w:rsidRPr="00EE4B03">
        <w:rPr>
          <w:rFonts w:ascii="Arial" w:hAnsi="Arial" w:cs="Arial"/>
          <w:color w:val="000000"/>
          <w:sz w:val="22"/>
          <w:szCs w:val="22"/>
        </w:rPr>
        <w:t>wide basis, with results separated out by country.</w:t>
      </w:r>
      <w:r w:rsidRPr="00EE4B03">
        <w:rPr>
          <w:rStyle w:val="FootnoteReference"/>
          <w:rFonts w:ascii="Arial" w:hAnsi="Arial" w:cs="Arial"/>
          <w:color w:val="000000"/>
          <w:sz w:val="22"/>
          <w:szCs w:val="22"/>
        </w:rPr>
        <w:footnoteReference w:id="18"/>
      </w:r>
      <w:r w:rsidRPr="00EE4B03">
        <w:rPr>
          <w:rFonts w:ascii="Arial" w:hAnsi="Arial" w:cs="Arial"/>
          <w:color w:val="000000"/>
          <w:sz w:val="22"/>
          <w:szCs w:val="22"/>
        </w:rPr>
        <w:t xml:space="preserve"> </w:t>
      </w:r>
    </w:p>
    <w:p w14:paraId="62097EA8" w14:textId="77777777" w:rsidR="00662EE1" w:rsidRPr="00EE4B03" w:rsidRDefault="00662EE1" w:rsidP="00662EE1">
      <w:pPr>
        <w:spacing w:line="276" w:lineRule="auto"/>
        <w:textAlignment w:val="center"/>
        <w:rPr>
          <w:rFonts w:ascii="Arial" w:hAnsi="Arial" w:cs="Arial"/>
          <w:color w:val="000000"/>
          <w:sz w:val="22"/>
          <w:szCs w:val="22"/>
        </w:rPr>
      </w:pPr>
    </w:p>
    <w:p w14:paraId="214CD6EA" w14:textId="77777777" w:rsidR="00662EE1" w:rsidRPr="00EE4B03" w:rsidRDefault="00662EE1" w:rsidP="00662EE1">
      <w:pPr>
        <w:spacing w:line="276" w:lineRule="auto"/>
        <w:textAlignment w:val="center"/>
        <w:rPr>
          <w:rFonts w:ascii="Arial" w:hAnsi="Arial" w:cs="Arial"/>
          <w:color w:val="000000"/>
          <w:sz w:val="22"/>
          <w:szCs w:val="22"/>
        </w:rPr>
      </w:pPr>
      <w:r w:rsidRPr="00EE4B03">
        <w:rPr>
          <w:rFonts w:ascii="Arial" w:hAnsi="Arial" w:cs="Arial"/>
          <w:color w:val="000000"/>
          <w:sz w:val="22"/>
          <w:szCs w:val="22"/>
        </w:rPr>
        <w:t>We expect the following tasks to form the basis of the work.</w:t>
      </w:r>
    </w:p>
    <w:p w14:paraId="1BDD875B" w14:textId="77777777" w:rsidR="00662EE1" w:rsidRPr="00EE4B03" w:rsidRDefault="00662EE1" w:rsidP="00662EE1">
      <w:pPr>
        <w:keepNext/>
        <w:keepLines/>
        <w:spacing w:after="240"/>
        <w:textAlignment w:val="center"/>
        <w:rPr>
          <w:rFonts w:ascii="Arial" w:hAnsi="Arial" w:cs="Arial"/>
          <w:b/>
        </w:rPr>
      </w:pPr>
    </w:p>
    <w:p w14:paraId="1C9E7851" w14:textId="77777777" w:rsidR="00662EE1" w:rsidRPr="00EE4B03" w:rsidRDefault="00662EE1" w:rsidP="00662EE1">
      <w:pPr>
        <w:pStyle w:val="ListParagraph"/>
        <w:widowControl w:val="0"/>
        <w:numPr>
          <w:ilvl w:val="0"/>
          <w:numId w:val="9"/>
        </w:numPr>
        <w:spacing w:after="240"/>
        <w:contextualSpacing w:val="0"/>
        <w:textAlignment w:val="center"/>
        <w:rPr>
          <w:rFonts w:ascii="Arial" w:hAnsi="Arial" w:cs="Arial"/>
          <w:b/>
        </w:rPr>
      </w:pPr>
      <w:r w:rsidRPr="00EE4B03">
        <w:rPr>
          <w:rFonts w:ascii="Arial" w:hAnsi="Arial" w:cs="Arial"/>
          <w:b/>
        </w:rPr>
        <w:t>To define ‘hard to decarbonise’ homes</w:t>
      </w:r>
    </w:p>
    <w:p w14:paraId="067A6F21" w14:textId="37511B03"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Th</w:t>
      </w:r>
      <w:r w:rsidR="00E201F4">
        <w:rPr>
          <w:rFonts w:ascii="Arial" w:hAnsi="Arial" w:cs="Arial"/>
        </w:rPr>
        <w:t>e</w:t>
      </w:r>
      <w:r w:rsidRPr="00EE4B03">
        <w:rPr>
          <w:rFonts w:ascii="Arial" w:hAnsi="Arial" w:cs="Arial"/>
        </w:rPr>
        <w:t xml:space="preserve"> necessary first step to frame and bound the subsequent analysis</w:t>
      </w:r>
      <w:r w:rsidR="00E201F4">
        <w:rPr>
          <w:rFonts w:ascii="Arial" w:hAnsi="Arial" w:cs="Arial"/>
        </w:rPr>
        <w:t xml:space="preserve"> is to identify the set of characteristics that identify a home as being </w:t>
      </w:r>
      <w:r w:rsidR="00AC0CC1">
        <w:rPr>
          <w:rFonts w:ascii="Arial" w:hAnsi="Arial" w:cs="Arial"/>
        </w:rPr>
        <w:t>‘</w:t>
      </w:r>
      <w:r w:rsidR="00E201F4">
        <w:rPr>
          <w:rFonts w:ascii="Arial" w:hAnsi="Arial" w:cs="Arial"/>
        </w:rPr>
        <w:t>hard</w:t>
      </w:r>
      <w:r w:rsidR="00AC0CC1">
        <w:rPr>
          <w:rFonts w:ascii="Arial" w:hAnsi="Arial" w:cs="Arial"/>
        </w:rPr>
        <w:t xml:space="preserve"> </w:t>
      </w:r>
      <w:r w:rsidR="00E201F4">
        <w:rPr>
          <w:rFonts w:ascii="Arial" w:hAnsi="Arial" w:cs="Arial"/>
        </w:rPr>
        <w:t>to</w:t>
      </w:r>
      <w:r w:rsidR="00AC0CC1">
        <w:rPr>
          <w:rFonts w:ascii="Arial" w:hAnsi="Arial" w:cs="Arial"/>
        </w:rPr>
        <w:t xml:space="preserve"> </w:t>
      </w:r>
      <w:r w:rsidR="00E201F4">
        <w:rPr>
          <w:rFonts w:ascii="Arial" w:hAnsi="Arial" w:cs="Arial"/>
        </w:rPr>
        <w:t>decarbonise</w:t>
      </w:r>
      <w:r w:rsidR="00AC0CC1">
        <w:rPr>
          <w:rFonts w:ascii="Arial" w:hAnsi="Arial" w:cs="Arial"/>
        </w:rPr>
        <w:t>’</w:t>
      </w:r>
      <w:r w:rsidRPr="00EE4B03">
        <w:rPr>
          <w:rFonts w:ascii="Arial" w:hAnsi="Arial" w:cs="Arial"/>
        </w:rPr>
        <w:t xml:space="preserve">. As set out above, our primary interest is in those homes which are costly or difficult to decarbonise, as a result of one or </w:t>
      </w:r>
      <w:r w:rsidRPr="00EE4B03">
        <w:rPr>
          <w:rFonts w:ascii="Arial" w:hAnsi="Arial" w:cs="Arial"/>
        </w:rPr>
        <w:lastRenderedPageBreak/>
        <w:t>more features</w:t>
      </w:r>
      <w:r w:rsidR="00C47878">
        <w:rPr>
          <w:rFonts w:ascii="Arial" w:hAnsi="Arial" w:cs="Arial"/>
        </w:rPr>
        <w:t>.</w:t>
      </w:r>
    </w:p>
    <w:p w14:paraId="22060534" w14:textId="5CDE0F7B" w:rsidR="00662EE1" w:rsidRPr="00EE4B03" w:rsidRDefault="00662EE1" w:rsidP="00E655AE">
      <w:pPr>
        <w:pStyle w:val="ListParagraph"/>
        <w:widowControl w:val="0"/>
        <w:numPr>
          <w:ilvl w:val="0"/>
          <w:numId w:val="23"/>
        </w:numPr>
        <w:spacing w:after="240"/>
        <w:contextualSpacing w:val="0"/>
        <w:textAlignment w:val="center"/>
        <w:rPr>
          <w:rFonts w:ascii="Arial" w:hAnsi="Arial" w:cs="Arial"/>
        </w:rPr>
      </w:pPr>
      <w:r w:rsidRPr="00EE4B03">
        <w:rPr>
          <w:rFonts w:ascii="Arial" w:hAnsi="Arial" w:cs="Arial"/>
        </w:rPr>
        <w:t xml:space="preserve">Regarding those homes which are costly to decarbonise, as a first step we are interested in those homes not decarbonised in our </w:t>
      </w:r>
      <w:r w:rsidR="000C516B">
        <w:rPr>
          <w:rFonts w:ascii="Arial" w:hAnsi="Arial" w:cs="Arial"/>
        </w:rPr>
        <w:t>C</w:t>
      </w:r>
      <w:r w:rsidRPr="00EE4B03">
        <w:rPr>
          <w:rFonts w:ascii="Arial" w:hAnsi="Arial" w:cs="Arial"/>
        </w:rPr>
        <w:t xml:space="preserve">entral </w:t>
      </w:r>
      <w:r w:rsidR="000C516B">
        <w:rPr>
          <w:rFonts w:ascii="Arial" w:hAnsi="Arial" w:cs="Arial"/>
        </w:rPr>
        <w:t>S</w:t>
      </w:r>
      <w:r w:rsidRPr="00EE4B03">
        <w:rPr>
          <w:rFonts w:ascii="Arial" w:hAnsi="Arial" w:cs="Arial"/>
        </w:rPr>
        <w:t>cenario for the fifth carbon budget, where insulation measures did not prove to be socially cost-effective using the CCC’s central carbon price assumptions.</w:t>
      </w:r>
      <w:r w:rsidRPr="00EE4B03">
        <w:rPr>
          <w:rStyle w:val="FootnoteReference"/>
          <w:rFonts w:ascii="Arial" w:hAnsi="Arial" w:cs="Arial"/>
        </w:rPr>
        <w:footnoteReference w:id="19"/>
      </w:r>
    </w:p>
    <w:p w14:paraId="6E1653B9" w14:textId="3D861290" w:rsidR="00E201F4" w:rsidRDefault="00662EE1" w:rsidP="00E655AE">
      <w:pPr>
        <w:pStyle w:val="ListParagraph"/>
        <w:widowControl w:val="0"/>
        <w:numPr>
          <w:ilvl w:val="0"/>
          <w:numId w:val="23"/>
        </w:numPr>
        <w:spacing w:after="240"/>
        <w:contextualSpacing w:val="0"/>
        <w:textAlignment w:val="center"/>
        <w:rPr>
          <w:rFonts w:ascii="Arial" w:hAnsi="Arial" w:cs="Arial"/>
        </w:rPr>
      </w:pPr>
      <w:r w:rsidRPr="00EE4B03">
        <w:rPr>
          <w:rFonts w:ascii="Arial" w:hAnsi="Arial" w:cs="Arial"/>
        </w:rPr>
        <w:t xml:space="preserve">However, we are also interested in those homes which may be difficult or complex to decarbonise for a range of reasons. </w:t>
      </w:r>
      <w:r w:rsidR="00C47878">
        <w:rPr>
          <w:rFonts w:ascii="Arial" w:hAnsi="Arial" w:cs="Arial"/>
        </w:rPr>
        <w:t xml:space="preserve">This could include factors such as wall type, heritage value, suitability for low-carbon heating (e.g. off-gas grid, lack of district heating availability etc.). </w:t>
      </w:r>
      <w:r w:rsidRPr="00EE4B03">
        <w:rPr>
          <w:rFonts w:ascii="Arial" w:hAnsi="Arial" w:cs="Arial"/>
        </w:rPr>
        <w:t xml:space="preserve">This </w:t>
      </w:r>
      <w:r w:rsidR="00C47878">
        <w:rPr>
          <w:rFonts w:ascii="Arial" w:hAnsi="Arial" w:cs="Arial"/>
        </w:rPr>
        <w:t>group is expected to</w:t>
      </w:r>
      <w:r w:rsidRPr="00EE4B03">
        <w:rPr>
          <w:rFonts w:ascii="Arial" w:hAnsi="Arial" w:cs="Arial"/>
        </w:rPr>
        <w:t xml:space="preserve"> include some of those homes which are decarbonised in our </w:t>
      </w:r>
      <w:r w:rsidR="000C516B">
        <w:rPr>
          <w:rFonts w:ascii="Arial" w:hAnsi="Arial" w:cs="Arial"/>
        </w:rPr>
        <w:lastRenderedPageBreak/>
        <w:t>C</w:t>
      </w:r>
      <w:r w:rsidRPr="00EE4B03">
        <w:rPr>
          <w:rFonts w:ascii="Arial" w:hAnsi="Arial" w:cs="Arial"/>
        </w:rPr>
        <w:t xml:space="preserve">entral </w:t>
      </w:r>
      <w:r w:rsidR="000C516B">
        <w:rPr>
          <w:rFonts w:ascii="Arial" w:hAnsi="Arial" w:cs="Arial"/>
        </w:rPr>
        <w:t>S</w:t>
      </w:r>
      <w:r w:rsidRPr="00EE4B03">
        <w:rPr>
          <w:rFonts w:ascii="Arial" w:hAnsi="Arial" w:cs="Arial"/>
        </w:rPr>
        <w:t>cenario, including solid walled homes.</w:t>
      </w:r>
      <w:r w:rsidRPr="00EE4B03">
        <w:rPr>
          <w:rStyle w:val="FootnoteReference"/>
          <w:rFonts w:ascii="Arial" w:hAnsi="Arial" w:cs="Arial"/>
        </w:rPr>
        <w:footnoteReference w:id="20"/>
      </w:r>
      <w:r w:rsidRPr="00EE4B03">
        <w:rPr>
          <w:rFonts w:ascii="Arial" w:hAnsi="Arial" w:cs="Arial"/>
        </w:rPr>
        <w:t xml:space="preserve"> </w:t>
      </w:r>
    </w:p>
    <w:p w14:paraId="5D680D53" w14:textId="5860FD9E" w:rsidR="00C47878" w:rsidRDefault="00E201F4" w:rsidP="00E655AE">
      <w:pPr>
        <w:pStyle w:val="ListParagraph"/>
        <w:widowControl w:val="0"/>
        <w:numPr>
          <w:ilvl w:val="0"/>
          <w:numId w:val="23"/>
        </w:numPr>
        <w:spacing w:after="240"/>
        <w:contextualSpacing w:val="0"/>
        <w:textAlignment w:val="center"/>
        <w:rPr>
          <w:rFonts w:ascii="Arial" w:hAnsi="Arial" w:cs="Arial"/>
        </w:rPr>
      </w:pPr>
      <w:r>
        <w:rPr>
          <w:rFonts w:ascii="Arial" w:hAnsi="Arial" w:cs="Arial"/>
        </w:rPr>
        <w:t>The definition could also include the type of occupier (e.g. some occupiers may be unwilling to take up any low-carbon heating solutions).</w:t>
      </w:r>
    </w:p>
    <w:p w14:paraId="5C0268EA" w14:textId="7BD40263"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 xml:space="preserve">In particular, we are interested in those characteristics which could necessitate bespoke decarbonisation approaches. We acknowledge that there will be some characteristics which make homes difficult to decarbonise, but which would need to be addressed through the use of other policy levers. For instance, the misalignment of interests that can arise between </w:t>
      </w:r>
      <w:proofErr w:type="gramStart"/>
      <w:r w:rsidRPr="00EE4B03">
        <w:rPr>
          <w:rFonts w:ascii="Arial" w:hAnsi="Arial" w:cs="Arial"/>
        </w:rPr>
        <w:t>landlord</w:t>
      </w:r>
      <w:proofErr w:type="gramEnd"/>
      <w:r w:rsidRPr="00EE4B03">
        <w:rPr>
          <w:rFonts w:ascii="Arial" w:hAnsi="Arial" w:cs="Arial"/>
        </w:rPr>
        <w:t xml:space="preserve"> and tenant in rented homes, or additional challenges associated with vulnerable occupants.  Whilst we are interested in qualitative discussion of these challenges and possible solutions, the focus </w:t>
      </w:r>
      <w:r w:rsidRPr="00EE4B03">
        <w:rPr>
          <w:rFonts w:ascii="Arial" w:hAnsi="Arial" w:cs="Arial"/>
        </w:rPr>
        <w:lastRenderedPageBreak/>
        <w:t xml:space="preserve">of the quantitative analysis should be on issues that can be addressed through alterations to the packages of measures applied. </w:t>
      </w:r>
    </w:p>
    <w:p w14:paraId="637FCEB8" w14:textId="77777777" w:rsidR="00662EE1" w:rsidRPr="00EE4B03" w:rsidRDefault="00662EE1" w:rsidP="00662EE1">
      <w:pPr>
        <w:pStyle w:val="ListParagraph"/>
        <w:widowControl w:val="0"/>
        <w:numPr>
          <w:ilvl w:val="0"/>
          <w:numId w:val="9"/>
        </w:numPr>
        <w:spacing w:after="240"/>
        <w:contextualSpacing w:val="0"/>
        <w:textAlignment w:val="center"/>
        <w:rPr>
          <w:rFonts w:ascii="Arial" w:hAnsi="Arial" w:cs="Arial"/>
          <w:b/>
        </w:rPr>
      </w:pPr>
      <w:r w:rsidRPr="00EE4B03">
        <w:rPr>
          <w:rFonts w:ascii="Arial" w:hAnsi="Arial" w:cs="Arial"/>
          <w:b/>
        </w:rPr>
        <w:t>To consolidate and extend the existing evidence on the distribution and characteristics of ‘hard to decarbonise’ homes</w:t>
      </w:r>
    </w:p>
    <w:p w14:paraId="392A5065" w14:textId="4AEF7C68"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 xml:space="preserve">This task is intended to be the basis for the modelling undertaken in tasks </w:t>
      </w:r>
      <w:r w:rsidR="004345D4">
        <w:rPr>
          <w:rFonts w:ascii="Arial" w:hAnsi="Arial" w:cs="Arial"/>
        </w:rPr>
        <w:t>C</w:t>
      </w:r>
      <w:r w:rsidR="004345D4" w:rsidRPr="00EE4B03">
        <w:rPr>
          <w:rFonts w:ascii="Arial" w:hAnsi="Arial" w:cs="Arial"/>
        </w:rPr>
        <w:t xml:space="preserve"> </w:t>
      </w:r>
      <w:r w:rsidRPr="00EE4B03">
        <w:rPr>
          <w:rFonts w:ascii="Arial" w:hAnsi="Arial" w:cs="Arial"/>
        </w:rPr>
        <w:t xml:space="preserve">and </w:t>
      </w:r>
      <w:r w:rsidR="004345D4">
        <w:rPr>
          <w:rFonts w:ascii="Arial" w:hAnsi="Arial" w:cs="Arial"/>
        </w:rPr>
        <w:t>D</w:t>
      </w:r>
      <w:r w:rsidRPr="00EE4B03">
        <w:rPr>
          <w:rFonts w:ascii="Arial" w:hAnsi="Arial" w:cs="Arial"/>
        </w:rPr>
        <w:t xml:space="preserve">. </w:t>
      </w:r>
    </w:p>
    <w:p w14:paraId="275B0D95" w14:textId="5844B4E0"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A range of new evidence has emerged since the fifth Carbon Budget. There is now an opportunity to make use of this new evidence</w:t>
      </w:r>
      <w:r w:rsidR="00283B74">
        <w:rPr>
          <w:rFonts w:ascii="Arial" w:hAnsi="Arial" w:cs="Arial"/>
        </w:rPr>
        <w:t>,</w:t>
      </w:r>
      <w:r w:rsidRPr="00EE4B03">
        <w:rPr>
          <w:rFonts w:ascii="Arial" w:hAnsi="Arial" w:cs="Arial"/>
        </w:rPr>
        <w:t xml:space="preserve"> and to extend it by bringing information together to generate new insights about the distribution and characteristics of ‘hard to decarbonise’ homes.  </w:t>
      </w:r>
    </w:p>
    <w:p w14:paraId="6B24CD44" w14:textId="77777777"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We are primarily interested in understanding:</w:t>
      </w:r>
    </w:p>
    <w:p w14:paraId="7DE3961F" w14:textId="5EDBED09" w:rsidR="00662EE1" w:rsidRPr="00EE4B03" w:rsidRDefault="00662EE1" w:rsidP="00662EE1">
      <w:pPr>
        <w:pStyle w:val="ListParagraph"/>
        <w:widowControl w:val="0"/>
        <w:numPr>
          <w:ilvl w:val="0"/>
          <w:numId w:val="10"/>
        </w:numPr>
        <w:spacing w:after="240"/>
        <w:contextualSpacing w:val="0"/>
        <w:textAlignment w:val="center"/>
        <w:rPr>
          <w:rFonts w:ascii="Arial" w:hAnsi="Arial" w:cs="Arial"/>
        </w:rPr>
      </w:pPr>
      <w:r w:rsidRPr="00EE4B03">
        <w:rPr>
          <w:rFonts w:ascii="Arial" w:hAnsi="Arial" w:cs="Arial"/>
        </w:rPr>
        <w:t xml:space="preserve">The incidence of ‘hard to decarbonise’ homes across </w:t>
      </w:r>
      <w:r w:rsidR="008F3079">
        <w:rPr>
          <w:rFonts w:ascii="Arial" w:hAnsi="Arial" w:cs="Arial"/>
        </w:rPr>
        <w:t>England, Scotland, Wales and Northern Ireland.</w:t>
      </w:r>
    </w:p>
    <w:p w14:paraId="1F031D2C" w14:textId="36214F2E" w:rsidR="00662EE1" w:rsidRPr="00EE4B03" w:rsidRDefault="00662EE1" w:rsidP="00662EE1">
      <w:pPr>
        <w:pStyle w:val="ListParagraph"/>
        <w:widowControl w:val="0"/>
        <w:numPr>
          <w:ilvl w:val="0"/>
          <w:numId w:val="10"/>
        </w:numPr>
        <w:spacing w:after="240"/>
        <w:contextualSpacing w:val="0"/>
        <w:textAlignment w:val="center"/>
        <w:rPr>
          <w:rFonts w:ascii="Arial" w:hAnsi="Arial" w:cs="Arial"/>
        </w:rPr>
      </w:pPr>
      <w:r w:rsidRPr="00EE4B03">
        <w:rPr>
          <w:rFonts w:ascii="Arial" w:hAnsi="Arial" w:cs="Arial"/>
        </w:rPr>
        <w:t xml:space="preserve">The coincidence of ‘hard to decarbonise’ homes with potential for </w:t>
      </w:r>
      <w:proofErr w:type="spellStart"/>
      <w:r w:rsidRPr="00EE4B03">
        <w:rPr>
          <w:rFonts w:ascii="Arial" w:hAnsi="Arial" w:cs="Arial"/>
        </w:rPr>
        <w:t>locationally</w:t>
      </w:r>
      <w:proofErr w:type="spellEnd"/>
      <w:r w:rsidR="00B0072E">
        <w:rPr>
          <w:rFonts w:ascii="Arial" w:hAnsi="Arial" w:cs="Arial"/>
        </w:rPr>
        <w:t>-</w:t>
      </w:r>
      <w:r w:rsidRPr="00EE4B03">
        <w:rPr>
          <w:rFonts w:ascii="Arial" w:hAnsi="Arial" w:cs="Arial"/>
        </w:rPr>
        <w:t xml:space="preserve">specific low-carbon heating solutions. This includes proximity to areas suitable </w:t>
      </w:r>
      <w:r w:rsidRPr="00EE4B03">
        <w:rPr>
          <w:rFonts w:ascii="Arial" w:hAnsi="Arial" w:cs="Arial"/>
        </w:rPr>
        <w:lastRenderedPageBreak/>
        <w:t>for low-carbon district heat networks, and/or proximity to the gas grid (for use with hydrogen or hybrid heat pumps). It could also include information on the scale of grid congestion where this data is available.</w:t>
      </w:r>
    </w:p>
    <w:p w14:paraId="2744A1FA" w14:textId="36E77A8B" w:rsidR="008F3079" w:rsidRDefault="00662EE1">
      <w:pPr>
        <w:pStyle w:val="ListParagraph"/>
        <w:widowControl w:val="0"/>
        <w:numPr>
          <w:ilvl w:val="0"/>
          <w:numId w:val="10"/>
        </w:numPr>
        <w:spacing w:after="240"/>
        <w:contextualSpacing w:val="0"/>
        <w:textAlignment w:val="center"/>
        <w:rPr>
          <w:rFonts w:ascii="Arial" w:hAnsi="Arial" w:cs="Arial"/>
        </w:rPr>
      </w:pPr>
      <w:r w:rsidRPr="008F3079">
        <w:rPr>
          <w:rFonts w:ascii="Arial" w:hAnsi="Arial" w:cs="Arial"/>
        </w:rPr>
        <w:t xml:space="preserve">The coincidence of characteristics which make homes ‘hard to decarbonise’, including multiple technical barriers (i.e. a need for both wall insulation and loft insulation), and the coincidence of technical barriers with other challenges. </w:t>
      </w:r>
    </w:p>
    <w:p w14:paraId="1E07382D" w14:textId="0F06C977" w:rsidR="008F3079" w:rsidRPr="00E655AE" w:rsidRDefault="008F3079">
      <w:pPr>
        <w:pStyle w:val="ListParagraph"/>
        <w:widowControl w:val="0"/>
        <w:numPr>
          <w:ilvl w:val="0"/>
          <w:numId w:val="10"/>
        </w:numPr>
        <w:spacing w:after="240"/>
        <w:contextualSpacing w:val="0"/>
        <w:textAlignment w:val="center"/>
        <w:rPr>
          <w:rFonts w:ascii="Arial" w:hAnsi="Arial" w:cs="Arial"/>
        </w:rPr>
      </w:pPr>
      <w:r w:rsidRPr="008F3079">
        <w:rPr>
          <w:rFonts w:ascii="Arial" w:hAnsi="Arial" w:cs="Arial"/>
        </w:rPr>
        <w:t>The extent to which hard to decarbonise homes occur in areas with a high incidence of fuel poverty. This will help inform scenarios and policy development.</w:t>
      </w:r>
    </w:p>
    <w:p w14:paraId="1A2B615D" w14:textId="46B1A1B0"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This task should aim to generate a detailed segmentation of the ‘hard to decarbonise’ stock which incorporates the latest evidence on technical potential for measures. In the case of some measures (such as solid wall insulation) the costs are expected to vary materially between different types of home. As far as possible, this should also be represented and mapped geographically.  The segmentation should seek to break</w:t>
      </w:r>
      <w:r w:rsidR="008F3079">
        <w:rPr>
          <w:rFonts w:ascii="Arial" w:hAnsi="Arial" w:cs="Arial"/>
        </w:rPr>
        <w:t xml:space="preserve"> </w:t>
      </w:r>
      <w:r w:rsidRPr="00EE4B03">
        <w:rPr>
          <w:rFonts w:ascii="Arial" w:hAnsi="Arial" w:cs="Arial"/>
        </w:rPr>
        <w:t xml:space="preserve">down the different factors which </w:t>
      </w:r>
      <w:r w:rsidRPr="00EE4B03">
        <w:rPr>
          <w:rFonts w:ascii="Arial" w:hAnsi="Arial" w:cs="Arial"/>
        </w:rPr>
        <w:lastRenderedPageBreak/>
        <w:t xml:space="preserve">make homes across the UK ‘hard to decarbonise’ and which could therefore require a variety of approaches to address. This detailed segmentation should be used to develop a simplified segmentation of the stock based around a defined number of ‘hard to decarbonise’ archetypes. These are envisaged to be the basis of analysis for task C. </w:t>
      </w:r>
    </w:p>
    <w:p w14:paraId="0D42FDC9" w14:textId="77777777"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 xml:space="preserve">A counterfactual will also need to be developed as part of task B, modelling expected energy use and emissions in the event of no further action/business as usual. </w:t>
      </w:r>
    </w:p>
    <w:p w14:paraId="5E0EC90E" w14:textId="77777777" w:rsidR="00662EE1" w:rsidRPr="00EE4B03" w:rsidRDefault="00662EE1" w:rsidP="00662EE1">
      <w:pPr>
        <w:pStyle w:val="ListParagraph"/>
        <w:widowControl w:val="0"/>
        <w:numPr>
          <w:ilvl w:val="0"/>
          <w:numId w:val="9"/>
        </w:numPr>
        <w:spacing w:after="240"/>
        <w:contextualSpacing w:val="0"/>
        <w:textAlignment w:val="center"/>
        <w:rPr>
          <w:rFonts w:ascii="Arial" w:hAnsi="Arial" w:cs="Arial"/>
          <w:b/>
        </w:rPr>
      </w:pPr>
      <w:r w:rsidRPr="00EE4B03">
        <w:rPr>
          <w:rFonts w:ascii="Arial" w:hAnsi="Arial" w:cs="Arial"/>
          <w:b/>
        </w:rPr>
        <w:t>To assess packages of treatment options for the different segments of the ‘hard to decarbonise’ stock, and the costs and carbon savings associated with them</w:t>
      </w:r>
    </w:p>
    <w:p w14:paraId="78441166" w14:textId="401679A3"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For each of the ‘hard to decarbonise’ archetypes, it will be necessary to determine the potential treatment options, and package</w:t>
      </w:r>
      <w:r w:rsidR="00E30618">
        <w:rPr>
          <w:rFonts w:ascii="Arial" w:hAnsi="Arial" w:cs="Arial"/>
        </w:rPr>
        <w:t>s</w:t>
      </w:r>
      <w:r w:rsidRPr="00EE4B03">
        <w:rPr>
          <w:rFonts w:ascii="Arial" w:hAnsi="Arial" w:cs="Arial"/>
        </w:rPr>
        <w:t xml:space="preserve"> of measures which offer best decarbonisation potential (taking practical considerations into account), at least cost.</w:t>
      </w:r>
      <w:r w:rsidRPr="00EE4B03">
        <w:rPr>
          <w:rFonts w:ascii="Arial" w:hAnsi="Arial" w:cs="Arial"/>
        </w:rPr>
        <w:br/>
      </w:r>
      <w:r w:rsidRPr="00EE4B03">
        <w:rPr>
          <w:rFonts w:ascii="Arial" w:hAnsi="Arial" w:cs="Arial"/>
        </w:rPr>
        <w:br/>
      </w:r>
      <w:r w:rsidRPr="00EE4B03">
        <w:rPr>
          <w:rFonts w:ascii="Arial" w:hAnsi="Arial" w:cs="Arial"/>
        </w:rPr>
        <w:lastRenderedPageBreak/>
        <w:t xml:space="preserve">Whilst the £/tonne abatement costs associated with packages of measures are expected to be an input into the selection of ‘lead options’ for decarbonisation of each archetype, </w:t>
      </w:r>
      <w:r w:rsidR="00E30618">
        <w:rPr>
          <w:rFonts w:ascii="Arial" w:hAnsi="Arial" w:cs="Arial"/>
        </w:rPr>
        <w:t>i</w:t>
      </w:r>
      <w:r w:rsidR="00283B74" w:rsidRPr="00E655AE">
        <w:rPr>
          <w:rFonts w:ascii="Arial" w:hAnsi="Arial" w:cs="Arial"/>
        </w:rPr>
        <w:t>n some cases the most cost-effective package of measures for an archetype may be associated with material practical challenges (for instance related to heritage value, space-take, peak impact, or very high upfront costs/bills). This will need to be assessed as part of the work, with potential alternative decarbonisation approaches identified. This will help ensure robust decarbonisation options can be identified for each archetype as well as informing our understanding of knock-on impacts where practical challenges cannot be overcome.</w:t>
      </w:r>
    </w:p>
    <w:p w14:paraId="610E910A" w14:textId="77777777" w:rsidR="00961AC9"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Whilst at least one ‘lead’ option is expected to be needed for each archetype, in some cases alternative options will also need to be identified to support the development of alternative deployment scenarios and qualitative discussion of variants.</w:t>
      </w:r>
    </w:p>
    <w:p w14:paraId="000389A1" w14:textId="39452E0B" w:rsidR="00961AC9" w:rsidRDefault="00662EE1" w:rsidP="00E655AE">
      <w:pPr>
        <w:pStyle w:val="ListParagraph"/>
        <w:widowControl w:val="0"/>
        <w:numPr>
          <w:ilvl w:val="0"/>
          <w:numId w:val="24"/>
        </w:numPr>
        <w:spacing w:after="240"/>
        <w:contextualSpacing w:val="0"/>
        <w:textAlignment w:val="center"/>
        <w:rPr>
          <w:rFonts w:ascii="Arial" w:hAnsi="Arial" w:cs="Arial"/>
        </w:rPr>
      </w:pPr>
      <w:r w:rsidRPr="00EE4B03">
        <w:rPr>
          <w:rFonts w:ascii="Arial" w:hAnsi="Arial" w:cs="Arial"/>
        </w:rPr>
        <w:t xml:space="preserve">For example, for homes with uninsulated solid walls, </w:t>
      </w:r>
      <w:r w:rsidRPr="00EE4B03">
        <w:rPr>
          <w:rFonts w:ascii="Arial" w:hAnsi="Arial" w:cs="Arial"/>
        </w:rPr>
        <w:lastRenderedPageBreak/>
        <w:t xml:space="preserve">a package which does not involve the use of </w:t>
      </w:r>
      <w:r w:rsidR="005F1C0A" w:rsidRPr="00EE4B03">
        <w:rPr>
          <w:rFonts w:ascii="Arial" w:hAnsi="Arial" w:cs="Arial"/>
        </w:rPr>
        <w:t xml:space="preserve">conventional </w:t>
      </w:r>
      <w:r w:rsidRPr="00EE4B03">
        <w:rPr>
          <w:rFonts w:ascii="Arial" w:hAnsi="Arial" w:cs="Arial"/>
        </w:rPr>
        <w:t>solid wall insulation will need to be examined</w:t>
      </w:r>
      <w:r w:rsidR="005F1C0A" w:rsidRPr="00EE4B03">
        <w:rPr>
          <w:rFonts w:ascii="Arial" w:hAnsi="Arial" w:cs="Arial"/>
        </w:rPr>
        <w:t>.</w:t>
      </w:r>
      <w:r w:rsidR="005F1C0A" w:rsidRPr="00EE4B03">
        <w:rPr>
          <w:rStyle w:val="FootnoteReference"/>
          <w:rFonts w:ascii="Arial" w:hAnsi="Arial" w:cs="Arial"/>
        </w:rPr>
        <w:footnoteReference w:id="21"/>
      </w:r>
    </w:p>
    <w:p w14:paraId="665C64CC" w14:textId="2E042EF1" w:rsidR="00662EE1" w:rsidRPr="00EE4B03" w:rsidRDefault="00961AC9" w:rsidP="00E655AE">
      <w:pPr>
        <w:pStyle w:val="ListParagraph"/>
        <w:widowControl w:val="0"/>
        <w:numPr>
          <w:ilvl w:val="0"/>
          <w:numId w:val="24"/>
        </w:numPr>
        <w:spacing w:after="240"/>
        <w:contextualSpacing w:val="0"/>
        <w:textAlignment w:val="center"/>
        <w:rPr>
          <w:rFonts w:ascii="Arial" w:hAnsi="Arial" w:cs="Arial"/>
        </w:rPr>
      </w:pPr>
      <w:r>
        <w:rPr>
          <w:rFonts w:ascii="Arial" w:hAnsi="Arial" w:cs="Arial"/>
        </w:rPr>
        <w:t>For homes on the gas grid, the challenges may be very different for a scenario where the gas supply is shifted to low-carbon hydrogen compared to a scenario based on electrification.</w:t>
      </w:r>
    </w:p>
    <w:p w14:paraId="0193D1EF" w14:textId="77777777" w:rsidR="00662EE1" w:rsidRPr="00EE4B03" w:rsidRDefault="00662EE1" w:rsidP="00662EE1">
      <w:pPr>
        <w:pStyle w:val="ListParagraph"/>
        <w:keepNext/>
        <w:keepLines/>
        <w:numPr>
          <w:ilvl w:val="0"/>
          <w:numId w:val="9"/>
        </w:numPr>
        <w:spacing w:after="240"/>
        <w:contextualSpacing w:val="0"/>
        <w:textAlignment w:val="center"/>
        <w:rPr>
          <w:rFonts w:ascii="Arial" w:hAnsi="Arial" w:cs="Arial"/>
          <w:b/>
        </w:rPr>
      </w:pPr>
      <w:r w:rsidRPr="00EE4B03">
        <w:rPr>
          <w:rFonts w:ascii="Arial" w:hAnsi="Arial" w:cs="Arial"/>
          <w:b/>
        </w:rPr>
        <w:t xml:space="preserve">To develop scenarios for measure deployment which abate direct emissions from the ‘hard to decarbonise’ stock , alongside advice on associated policy </w:t>
      </w:r>
    </w:p>
    <w:p w14:paraId="1EE97FEA" w14:textId="4A3DC1F5" w:rsidR="00662EE1" w:rsidRPr="00EE4B03" w:rsidRDefault="00662EE1" w:rsidP="00662EE1">
      <w:pPr>
        <w:pStyle w:val="ListParagraph"/>
        <w:keepNext/>
        <w:keepLines/>
        <w:spacing w:after="240"/>
        <w:contextualSpacing w:val="0"/>
        <w:textAlignment w:val="center"/>
        <w:rPr>
          <w:rFonts w:ascii="Arial" w:hAnsi="Arial" w:cs="Arial"/>
        </w:rPr>
      </w:pPr>
      <w:r w:rsidRPr="00EE4B03">
        <w:rPr>
          <w:rFonts w:ascii="Arial" w:hAnsi="Arial" w:cs="Arial"/>
        </w:rPr>
        <w:t xml:space="preserve">Task D aims to take the outputs of task C and translate them into scenarios for integration into the CCC’s Max </w:t>
      </w:r>
      <w:r w:rsidR="000C516B">
        <w:rPr>
          <w:rFonts w:ascii="Arial" w:hAnsi="Arial" w:cs="Arial"/>
        </w:rPr>
        <w:t>S</w:t>
      </w:r>
      <w:r w:rsidRPr="00EE4B03">
        <w:rPr>
          <w:rFonts w:ascii="Arial" w:hAnsi="Arial" w:cs="Arial"/>
        </w:rPr>
        <w:t xml:space="preserve">cenario for </w:t>
      </w:r>
      <w:r w:rsidR="00136AFE">
        <w:rPr>
          <w:rFonts w:ascii="Arial" w:hAnsi="Arial" w:cs="Arial"/>
        </w:rPr>
        <w:t>buildings</w:t>
      </w:r>
      <w:r w:rsidRPr="00EE4B03">
        <w:rPr>
          <w:rFonts w:ascii="Arial" w:hAnsi="Arial" w:cs="Arial"/>
        </w:rPr>
        <w:t>.</w:t>
      </w:r>
    </w:p>
    <w:p w14:paraId="7EDCEF6C" w14:textId="3E46A633" w:rsidR="00662EE1" w:rsidRPr="00EE4B03" w:rsidRDefault="00662EE1" w:rsidP="00662EE1">
      <w:pPr>
        <w:pStyle w:val="ListParagraph"/>
        <w:widowControl w:val="0"/>
        <w:spacing w:after="0"/>
        <w:ind w:left="714"/>
        <w:contextualSpacing w:val="0"/>
        <w:textAlignment w:val="center"/>
        <w:rPr>
          <w:rFonts w:ascii="Arial" w:hAnsi="Arial" w:cs="Arial"/>
        </w:rPr>
      </w:pPr>
      <w:r w:rsidRPr="00EE4B03">
        <w:rPr>
          <w:rFonts w:ascii="Arial" w:hAnsi="Arial" w:cs="Arial"/>
        </w:rPr>
        <w:t xml:space="preserve">A ‘core’ scenario will be needed which represents a best view of how the ‘hard to decarbonise’ stock can be decarbonised. We are also seeking the development of a discrete number of additional scenarios. To the extent some </w:t>
      </w:r>
      <w:r w:rsidRPr="00EE4B03">
        <w:rPr>
          <w:rFonts w:ascii="Arial" w:hAnsi="Arial" w:cs="Arial"/>
        </w:rPr>
        <w:lastRenderedPageBreak/>
        <w:t>of our areas of interest are not addressed through additional scenarios, we would expect qualitative assessment to be undertaken.</w:t>
      </w:r>
    </w:p>
    <w:p w14:paraId="7CDA0F82" w14:textId="77777777" w:rsidR="00662EE1" w:rsidRPr="00EE4B03" w:rsidRDefault="00662EE1" w:rsidP="00662EE1">
      <w:pPr>
        <w:pStyle w:val="ListParagraph"/>
        <w:rPr>
          <w:rFonts w:ascii="Arial" w:hAnsi="Arial" w:cs="Arial"/>
        </w:rPr>
      </w:pPr>
    </w:p>
    <w:p w14:paraId="5491EDD4" w14:textId="3762D655" w:rsidR="00662EE1" w:rsidRPr="00EE4B03" w:rsidRDefault="00662EE1" w:rsidP="00662EE1">
      <w:pPr>
        <w:pStyle w:val="ListParagraph"/>
        <w:widowControl w:val="0"/>
        <w:spacing w:after="0"/>
        <w:ind w:left="714"/>
        <w:contextualSpacing w:val="0"/>
        <w:textAlignment w:val="center"/>
        <w:rPr>
          <w:rFonts w:ascii="Arial" w:hAnsi="Arial" w:cs="Arial"/>
        </w:rPr>
      </w:pPr>
      <w:r w:rsidRPr="00EE4B03">
        <w:rPr>
          <w:rFonts w:ascii="Arial" w:hAnsi="Arial" w:cs="Arial"/>
        </w:rPr>
        <w:t xml:space="preserve">Whilst the primary role of the successful bidder will be to develop discrete scenarios for the ‘hard to decarbonise’ stock, it is expected that additional discussions will need to take place with the CCC to ensure that the ‘hard to decarbonise’ scenarios can be integrated effectively with the rest of the CCC’s Max (and potentially also Central) scenario(s). </w:t>
      </w:r>
      <w:r w:rsidR="00E827C9">
        <w:rPr>
          <w:rFonts w:ascii="Arial" w:hAnsi="Arial" w:cs="Arial"/>
        </w:rPr>
        <w:t>W</w:t>
      </w:r>
      <w:r w:rsidRPr="00EE4B03">
        <w:rPr>
          <w:rFonts w:ascii="Arial" w:hAnsi="Arial" w:cs="Arial"/>
        </w:rPr>
        <w:t>e welcome research methodologies which are designed to support this process.</w:t>
      </w:r>
    </w:p>
    <w:p w14:paraId="7D5DC4BD" w14:textId="77777777" w:rsidR="00662EE1" w:rsidRPr="00EE4B03" w:rsidRDefault="00662EE1" w:rsidP="00662EE1">
      <w:pPr>
        <w:pStyle w:val="ListParagraph"/>
        <w:widowControl w:val="0"/>
        <w:spacing w:after="0"/>
        <w:ind w:left="714"/>
        <w:contextualSpacing w:val="0"/>
        <w:textAlignment w:val="center"/>
        <w:rPr>
          <w:rFonts w:ascii="Arial" w:hAnsi="Arial" w:cs="Arial"/>
        </w:rPr>
      </w:pPr>
    </w:p>
    <w:p w14:paraId="02C8120C" w14:textId="4BC43C58" w:rsidR="00DD521A" w:rsidRPr="00EE4B03" w:rsidRDefault="00662EE1" w:rsidP="00662EE1">
      <w:pPr>
        <w:pStyle w:val="ListParagraph"/>
        <w:widowControl w:val="0"/>
        <w:spacing w:after="0"/>
        <w:ind w:left="714"/>
        <w:contextualSpacing w:val="0"/>
        <w:textAlignment w:val="center"/>
        <w:rPr>
          <w:rFonts w:ascii="Arial" w:hAnsi="Arial" w:cs="Arial"/>
        </w:rPr>
      </w:pPr>
      <w:r w:rsidRPr="00EE4B03">
        <w:rPr>
          <w:rFonts w:ascii="Arial" w:hAnsi="Arial" w:cs="Arial"/>
        </w:rPr>
        <w:t>The scenarios should be accompanied by qualitative discussion on the policy measures which are expected to be needed to facilitate delivery.</w:t>
      </w:r>
    </w:p>
    <w:p w14:paraId="5EA8755C" w14:textId="77777777" w:rsidR="00C4141B" w:rsidRPr="00EE4B03" w:rsidRDefault="00E85ED1" w:rsidP="00662EE1">
      <w:pPr>
        <w:pStyle w:val="Heading1"/>
        <w:numPr>
          <w:ilvl w:val="0"/>
          <w:numId w:val="3"/>
        </w:numPr>
        <w:rPr>
          <w:rFonts w:ascii="Arial" w:hAnsi="Arial" w:cs="Arial"/>
          <w:sz w:val="24"/>
          <w:szCs w:val="24"/>
        </w:rPr>
      </w:pPr>
      <w:bookmarkStart w:id="13" w:name="_Toc381969509"/>
      <w:bookmarkStart w:id="14" w:name="_Toc405888458"/>
      <w:bookmarkStart w:id="15" w:name="_Toc530496753"/>
      <w:r w:rsidRPr="00EE4B03">
        <w:rPr>
          <w:rFonts w:ascii="Arial" w:hAnsi="Arial" w:cs="Arial"/>
          <w:sz w:val="24"/>
          <w:szCs w:val="24"/>
        </w:rPr>
        <w:t>Methodology</w:t>
      </w:r>
      <w:bookmarkEnd w:id="13"/>
      <w:bookmarkEnd w:id="14"/>
      <w:bookmarkEnd w:id="15"/>
    </w:p>
    <w:p w14:paraId="5A1BB8BA" w14:textId="77777777" w:rsidR="00DD521A" w:rsidRPr="00955B41" w:rsidRDefault="00DD521A" w:rsidP="00DD521A">
      <w:pPr>
        <w:pStyle w:val="Norma"/>
        <w:rPr>
          <w:rFonts w:cs="Arial"/>
        </w:rPr>
      </w:pPr>
    </w:p>
    <w:p w14:paraId="7DCD2E42" w14:textId="32886E62" w:rsidR="009F2592" w:rsidRDefault="004915C2" w:rsidP="004915C2">
      <w:pPr>
        <w:pStyle w:val="Norma1"/>
        <w:spacing w:line="276" w:lineRule="auto"/>
        <w:rPr>
          <w:rFonts w:cs="Arial"/>
          <w:b/>
        </w:rPr>
      </w:pPr>
      <w:r w:rsidRPr="00E655AE">
        <w:rPr>
          <w:rFonts w:cs="Arial"/>
        </w:rPr>
        <w:t xml:space="preserve">Below we set out an </w:t>
      </w:r>
      <w:r w:rsidR="009F2592">
        <w:rPr>
          <w:rFonts w:cs="Arial"/>
        </w:rPr>
        <w:t>illustration</w:t>
      </w:r>
      <w:r w:rsidRPr="00E655AE">
        <w:rPr>
          <w:rFonts w:cs="Arial"/>
        </w:rPr>
        <w:t xml:space="preserve"> of how the work package might be taken forward.</w:t>
      </w:r>
      <w:r>
        <w:rPr>
          <w:rFonts w:cs="Arial"/>
          <w:b/>
        </w:rPr>
        <w:t xml:space="preserve"> </w:t>
      </w:r>
    </w:p>
    <w:p w14:paraId="6BE6E179" w14:textId="77777777" w:rsidR="009F2592" w:rsidRDefault="009F2592" w:rsidP="004915C2">
      <w:pPr>
        <w:pStyle w:val="Norma1"/>
        <w:spacing w:line="276" w:lineRule="auto"/>
        <w:rPr>
          <w:rFonts w:cs="Arial"/>
          <w:b/>
        </w:rPr>
      </w:pPr>
    </w:p>
    <w:p w14:paraId="385FEA14" w14:textId="256063CD" w:rsidR="009F2592" w:rsidRDefault="004915C2" w:rsidP="004915C2">
      <w:pPr>
        <w:pStyle w:val="Norma1"/>
        <w:spacing w:line="276" w:lineRule="auto"/>
        <w:rPr>
          <w:rFonts w:cs="Arial"/>
          <w:b/>
        </w:rPr>
      </w:pPr>
      <w:r>
        <w:rPr>
          <w:rFonts w:cs="Arial"/>
          <w:b/>
        </w:rPr>
        <w:t>However b</w:t>
      </w:r>
      <w:r w:rsidRPr="00861E44">
        <w:rPr>
          <w:rFonts w:cs="Arial"/>
          <w:b/>
        </w:rPr>
        <w:t xml:space="preserve">idders are invited to propose their recommended </w:t>
      </w:r>
      <w:r w:rsidRPr="00861E44">
        <w:rPr>
          <w:rFonts w:cs="Arial"/>
          <w:b/>
        </w:rPr>
        <w:lastRenderedPageBreak/>
        <w:t xml:space="preserve">approach. This includes setting out amendments to tasks where alternative approaches are considered better able to deliver the project objectives within the required timescales and budget. </w:t>
      </w:r>
      <w:r w:rsidR="009F2592">
        <w:rPr>
          <w:rFonts w:cs="Arial"/>
          <w:b/>
        </w:rPr>
        <w:t xml:space="preserve">Bids should make clear where simplifying assumptions or </w:t>
      </w:r>
      <w:r w:rsidR="00B0072E">
        <w:rPr>
          <w:rFonts w:cs="Arial"/>
          <w:b/>
        </w:rPr>
        <w:t xml:space="preserve">simplified </w:t>
      </w:r>
      <w:r w:rsidR="009F2592">
        <w:rPr>
          <w:rFonts w:cs="Arial"/>
          <w:b/>
        </w:rPr>
        <w:t xml:space="preserve">methodological approaches are expected to be necessary. </w:t>
      </w:r>
    </w:p>
    <w:p w14:paraId="6F95B4F5" w14:textId="77777777" w:rsidR="009F2592" w:rsidRDefault="009F2592" w:rsidP="004915C2">
      <w:pPr>
        <w:pStyle w:val="Norma1"/>
        <w:spacing w:line="276" w:lineRule="auto"/>
        <w:rPr>
          <w:rFonts w:cs="Arial"/>
          <w:b/>
        </w:rPr>
      </w:pPr>
    </w:p>
    <w:p w14:paraId="447119B3" w14:textId="36CA0B5E" w:rsidR="0004691B" w:rsidRPr="00E655AE" w:rsidRDefault="00226C4A" w:rsidP="00662EE1">
      <w:pPr>
        <w:pStyle w:val="Norma1"/>
        <w:spacing w:line="276" w:lineRule="auto"/>
        <w:rPr>
          <w:rFonts w:cs="Arial"/>
          <w:b/>
        </w:rPr>
      </w:pPr>
      <w:r w:rsidRPr="00932674">
        <w:rPr>
          <w:rFonts w:cs="Arial"/>
          <w:b/>
        </w:rPr>
        <w:t xml:space="preserve">We are conscious that this specification sets out </w:t>
      </w:r>
      <w:r w:rsidR="004915C2" w:rsidRPr="00932674">
        <w:rPr>
          <w:rFonts w:cs="Arial"/>
          <w:b/>
        </w:rPr>
        <w:t>a</w:t>
      </w:r>
      <w:r w:rsidRPr="00C70CC9">
        <w:rPr>
          <w:rFonts w:cs="Arial"/>
          <w:b/>
        </w:rPr>
        <w:t xml:space="preserve"> </w:t>
      </w:r>
      <w:r w:rsidR="004915C2" w:rsidRPr="00E655AE">
        <w:rPr>
          <w:rFonts w:cs="Arial"/>
          <w:b/>
        </w:rPr>
        <w:t>comprehensive</w:t>
      </w:r>
      <w:r w:rsidRPr="00E655AE">
        <w:rPr>
          <w:rFonts w:cs="Arial"/>
          <w:b/>
        </w:rPr>
        <w:t xml:space="preserve"> work package, for delivery in </w:t>
      </w:r>
      <w:r w:rsidR="00633E75" w:rsidRPr="00E655AE">
        <w:rPr>
          <w:rFonts w:cs="Arial"/>
          <w:b/>
        </w:rPr>
        <w:t>limited</w:t>
      </w:r>
      <w:r w:rsidRPr="00E655AE">
        <w:rPr>
          <w:rFonts w:cs="Arial"/>
          <w:b/>
        </w:rPr>
        <w:t xml:space="preserve"> timeframes. </w:t>
      </w:r>
      <w:r w:rsidR="00633E75" w:rsidRPr="00E655AE">
        <w:rPr>
          <w:rFonts w:cs="Arial"/>
          <w:b/>
        </w:rPr>
        <w:t xml:space="preserve">We envisage that bidders will need to </w:t>
      </w:r>
      <w:r w:rsidR="004915C2" w:rsidRPr="00E655AE">
        <w:rPr>
          <w:rFonts w:cs="Arial"/>
          <w:b/>
        </w:rPr>
        <w:t>make use of</w:t>
      </w:r>
      <w:r w:rsidR="00633E75" w:rsidRPr="00E655AE">
        <w:rPr>
          <w:rFonts w:cs="Arial"/>
          <w:b/>
        </w:rPr>
        <w:t xml:space="preserve"> pre-existing modelling capability to enable delivery. Consortium approaches are particularly encouraged where this enables best use of pre-existing models and data.   </w:t>
      </w:r>
    </w:p>
    <w:p w14:paraId="5A67F06F" w14:textId="368DFEA7" w:rsidR="00226C4A" w:rsidRDefault="00226C4A" w:rsidP="00662EE1">
      <w:pPr>
        <w:pStyle w:val="Norma1"/>
        <w:spacing w:line="276" w:lineRule="auto"/>
        <w:rPr>
          <w:rFonts w:cs="Arial"/>
          <w:b/>
        </w:rPr>
      </w:pPr>
    </w:p>
    <w:p w14:paraId="2FC5C8E0" w14:textId="1A2DDD5B" w:rsidR="00662EE1" w:rsidRDefault="00662EE1" w:rsidP="00662EE1">
      <w:pPr>
        <w:pStyle w:val="Norma1"/>
        <w:spacing w:line="276" w:lineRule="auto"/>
        <w:rPr>
          <w:rFonts w:cs="Arial"/>
        </w:rPr>
      </w:pPr>
      <w:r w:rsidRPr="00861E44">
        <w:rPr>
          <w:rFonts w:cs="Arial"/>
        </w:rPr>
        <w:t>Bids should set out separate pricing for each task</w:t>
      </w:r>
      <w:r w:rsidR="0004691B">
        <w:rPr>
          <w:rFonts w:cs="Arial"/>
        </w:rPr>
        <w:t>.</w:t>
      </w:r>
      <w:r w:rsidRPr="00861E44">
        <w:rPr>
          <w:rFonts w:cs="Arial"/>
        </w:rPr>
        <w:t xml:space="preserve"> </w:t>
      </w:r>
    </w:p>
    <w:p w14:paraId="684E1897" w14:textId="77777777" w:rsidR="00566811" w:rsidRPr="00955B41" w:rsidRDefault="00566811" w:rsidP="00662EE1">
      <w:pPr>
        <w:pStyle w:val="Norma1"/>
        <w:spacing w:line="276" w:lineRule="auto"/>
        <w:rPr>
          <w:rFonts w:cs="Arial"/>
        </w:rPr>
      </w:pPr>
    </w:p>
    <w:p w14:paraId="08A2CAE3" w14:textId="1712468E" w:rsidR="00566811" w:rsidRPr="001A3702" w:rsidRDefault="00566811" w:rsidP="00566811">
      <w:pPr>
        <w:pStyle w:val="Norma1"/>
        <w:spacing w:line="276" w:lineRule="auto"/>
        <w:rPr>
          <w:rFonts w:cs="Arial"/>
        </w:rPr>
      </w:pPr>
      <w:r>
        <w:rPr>
          <w:rFonts w:cs="Arial"/>
        </w:rPr>
        <w:t xml:space="preserve">Bids should make clear the proposed approach to any stakeholder engagement planned as part of the work. </w:t>
      </w:r>
    </w:p>
    <w:p w14:paraId="51B816CF" w14:textId="77777777" w:rsidR="00662EE1" w:rsidRPr="00955B41" w:rsidRDefault="00662EE1" w:rsidP="00662EE1">
      <w:pPr>
        <w:pStyle w:val="Norma1"/>
        <w:spacing w:line="276" w:lineRule="auto"/>
        <w:rPr>
          <w:rFonts w:cs="Arial"/>
        </w:rPr>
      </w:pPr>
    </w:p>
    <w:p w14:paraId="1E4FF072" w14:textId="33296611" w:rsidR="00662EE1" w:rsidRDefault="00662EE1" w:rsidP="00662EE1">
      <w:pPr>
        <w:pStyle w:val="Norma1"/>
        <w:spacing w:line="276" w:lineRule="auto"/>
        <w:rPr>
          <w:rFonts w:cs="Arial"/>
        </w:rPr>
      </w:pPr>
      <w:r w:rsidRPr="00861E44">
        <w:rPr>
          <w:rFonts w:cs="Arial"/>
        </w:rPr>
        <w:t xml:space="preserve">Bids should </w:t>
      </w:r>
      <w:r w:rsidR="00566811">
        <w:rPr>
          <w:rFonts w:cs="Arial"/>
        </w:rPr>
        <w:t xml:space="preserve">also </w:t>
      </w:r>
      <w:r w:rsidRPr="00955B41">
        <w:rPr>
          <w:rFonts w:cs="Arial"/>
        </w:rPr>
        <w:t>make clear where a specific need for CCC input is anticipated, for inst</w:t>
      </w:r>
      <w:r w:rsidRPr="00861E44">
        <w:rPr>
          <w:rFonts w:cs="Arial"/>
        </w:rPr>
        <w:t>ance to provide or develop assumptions.</w:t>
      </w:r>
    </w:p>
    <w:p w14:paraId="0E5BAC13" w14:textId="77777777" w:rsidR="00257CAF" w:rsidRDefault="00257CAF" w:rsidP="00662EE1">
      <w:pPr>
        <w:pStyle w:val="Norma1"/>
        <w:spacing w:line="276" w:lineRule="auto"/>
        <w:rPr>
          <w:rFonts w:cs="Arial"/>
        </w:rPr>
      </w:pPr>
    </w:p>
    <w:p w14:paraId="7BC818CE" w14:textId="77777777" w:rsidR="00662EE1" w:rsidRPr="00861E44" w:rsidRDefault="00662EE1" w:rsidP="00662EE1">
      <w:pPr>
        <w:pStyle w:val="Norma1"/>
        <w:spacing w:line="276" w:lineRule="auto"/>
        <w:rPr>
          <w:rFonts w:cs="Arial"/>
        </w:rPr>
      </w:pPr>
    </w:p>
    <w:p w14:paraId="466C9D68" w14:textId="77777777" w:rsidR="00662EE1" w:rsidRPr="00EE4B03" w:rsidRDefault="00662EE1" w:rsidP="00662EE1">
      <w:pPr>
        <w:pStyle w:val="ListParagraph"/>
        <w:numPr>
          <w:ilvl w:val="0"/>
          <w:numId w:val="11"/>
        </w:numPr>
        <w:spacing w:after="240"/>
        <w:contextualSpacing w:val="0"/>
        <w:textAlignment w:val="center"/>
        <w:rPr>
          <w:rFonts w:ascii="Arial" w:hAnsi="Arial" w:cs="Arial"/>
          <w:b/>
        </w:rPr>
      </w:pPr>
      <w:r w:rsidRPr="00EE4B03">
        <w:rPr>
          <w:rFonts w:ascii="Arial" w:hAnsi="Arial" w:cs="Arial"/>
          <w:b/>
        </w:rPr>
        <w:t>To define ‘hard to decarbonise’ homes</w:t>
      </w:r>
    </w:p>
    <w:p w14:paraId="4FDF8150" w14:textId="77777777" w:rsidR="00662EE1" w:rsidRPr="00EE4B03" w:rsidRDefault="00662EE1" w:rsidP="00662EE1">
      <w:pPr>
        <w:pStyle w:val="ListParagraph"/>
        <w:keepNext/>
        <w:keepLines/>
        <w:spacing w:after="240"/>
        <w:contextualSpacing w:val="0"/>
        <w:textAlignment w:val="center"/>
        <w:rPr>
          <w:rFonts w:ascii="Arial" w:hAnsi="Arial" w:cs="Arial"/>
        </w:rPr>
      </w:pPr>
      <w:r w:rsidRPr="00EE4B03">
        <w:rPr>
          <w:rFonts w:ascii="Arial" w:hAnsi="Arial" w:cs="Arial"/>
        </w:rPr>
        <w:t xml:space="preserve">We welcome proposals on the definition and scope of ‘hard to decarbonise’ homes as part of the tender proposal. </w:t>
      </w:r>
    </w:p>
    <w:p w14:paraId="4C70AE6E" w14:textId="77777777" w:rsidR="00662EE1" w:rsidRPr="00EE4B03" w:rsidRDefault="00662EE1" w:rsidP="00662EE1">
      <w:pPr>
        <w:pStyle w:val="ListParagraph"/>
        <w:keepNext/>
        <w:keepLines/>
        <w:spacing w:after="240"/>
        <w:contextualSpacing w:val="0"/>
        <w:textAlignment w:val="center"/>
        <w:rPr>
          <w:rFonts w:ascii="Arial" w:hAnsi="Arial" w:cs="Arial"/>
        </w:rPr>
      </w:pPr>
      <w:r w:rsidRPr="00EE4B03">
        <w:rPr>
          <w:rFonts w:ascii="Arial" w:hAnsi="Arial" w:cs="Arial"/>
        </w:rPr>
        <w:t xml:space="preserve">It is envisaged that the final definition will be agreed as early as possible in the research process. </w:t>
      </w:r>
    </w:p>
    <w:p w14:paraId="19E0A009" w14:textId="77777777" w:rsidR="00662EE1" w:rsidRPr="00EE4B03" w:rsidRDefault="00662EE1" w:rsidP="00662EE1">
      <w:pPr>
        <w:pStyle w:val="ListParagraph"/>
        <w:numPr>
          <w:ilvl w:val="0"/>
          <w:numId w:val="11"/>
        </w:numPr>
        <w:spacing w:after="240"/>
        <w:contextualSpacing w:val="0"/>
        <w:textAlignment w:val="center"/>
        <w:rPr>
          <w:rFonts w:ascii="Arial" w:hAnsi="Arial" w:cs="Arial"/>
          <w:b/>
          <w:color w:val="000000"/>
        </w:rPr>
      </w:pPr>
      <w:r w:rsidRPr="00EE4B03">
        <w:rPr>
          <w:rFonts w:ascii="Arial" w:hAnsi="Arial" w:cs="Arial"/>
          <w:b/>
          <w:color w:val="000000"/>
        </w:rPr>
        <w:t>To consolidate and extend the existing evidence on the distribution and characteristics of ‘hard to decarbonise’ homes</w:t>
      </w:r>
    </w:p>
    <w:p w14:paraId="5968263A" w14:textId="77777777"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 xml:space="preserve">We envisage that this task will be based around the use of models of the UK housing stock with good locational granularity, which can be effectively combined with key datasets and analytical outputs. Some bidders may already have models and datasets which can serve this purpose. Where bidders have some components (such as models of the UK housing stock) but lack others (such as detail on the locational potential for district heating systems) we encourage the use of collaborative partnerships to maximise </w:t>
      </w:r>
      <w:r w:rsidRPr="00EE4B03">
        <w:rPr>
          <w:rFonts w:ascii="Arial" w:hAnsi="Arial" w:cs="Arial"/>
        </w:rPr>
        <w:lastRenderedPageBreak/>
        <w:t xml:space="preserve">the use of readily available analysis. In the absence of this, the missing components will need to be developed as part of the work. </w:t>
      </w:r>
    </w:p>
    <w:p w14:paraId="0B8F5850" w14:textId="7B127651"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 xml:space="preserve">The first step is anticipated to involve integration of the relevant datasets into </w:t>
      </w:r>
      <w:r w:rsidR="00566811">
        <w:rPr>
          <w:rFonts w:ascii="Arial" w:hAnsi="Arial" w:cs="Arial"/>
        </w:rPr>
        <w:t>a</w:t>
      </w:r>
      <w:r w:rsidR="00566811" w:rsidRPr="00EE4B03">
        <w:rPr>
          <w:rFonts w:ascii="Arial" w:hAnsi="Arial" w:cs="Arial"/>
        </w:rPr>
        <w:t xml:space="preserve"> </w:t>
      </w:r>
      <w:r w:rsidRPr="00EE4B03">
        <w:rPr>
          <w:rFonts w:ascii="Arial" w:hAnsi="Arial" w:cs="Arial"/>
        </w:rPr>
        <w:t xml:space="preserve">housing stock model, such that ‘hard to decarbonise’ characteristics can be mapped against one another, and against potential for </w:t>
      </w:r>
      <w:proofErr w:type="spellStart"/>
      <w:r w:rsidRPr="00EE4B03">
        <w:rPr>
          <w:rFonts w:ascii="Arial" w:hAnsi="Arial" w:cs="Arial"/>
        </w:rPr>
        <w:t>locationally</w:t>
      </w:r>
      <w:proofErr w:type="spellEnd"/>
      <w:r w:rsidRPr="00EE4B03">
        <w:rPr>
          <w:rFonts w:ascii="Arial" w:hAnsi="Arial" w:cs="Arial"/>
        </w:rPr>
        <w:t xml:space="preserve"> specific </w:t>
      </w:r>
      <w:r w:rsidR="00566811">
        <w:rPr>
          <w:rFonts w:ascii="Arial" w:hAnsi="Arial" w:cs="Arial"/>
        </w:rPr>
        <w:t>decarbonisation</w:t>
      </w:r>
      <w:r w:rsidRPr="00EE4B03">
        <w:rPr>
          <w:rFonts w:ascii="Arial" w:hAnsi="Arial" w:cs="Arial"/>
        </w:rPr>
        <w:t xml:space="preserve"> solutions. We are also interested in the </w:t>
      </w:r>
      <w:r w:rsidR="00566811">
        <w:rPr>
          <w:rFonts w:ascii="Arial" w:hAnsi="Arial" w:cs="Arial"/>
        </w:rPr>
        <w:t>incidence</w:t>
      </w:r>
      <w:r w:rsidR="00566811" w:rsidRPr="00EE4B03">
        <w:rPr>
          <w:rFonts w:ascii="Arial" w:hAnsi="Arial" w:cs="Arial"/>
        </w:rPr>
        <w:t xml:space="preserve"> </w:t>
      </w:r>
      <w:r w:rsidRPr="00EE4B03">
        <w:rPr>
          <w:rFonts w:ascii="Arial" w:hAnsi="Arial" w:cs="Arial"/>
        </w:rPr>
        <w:t>of fuel poverty across this subset of the UK housing stock.</w:t>
      </w:r>
    </w:p>
    <w:p w14:paraId="153BB55B" w14:textId="77777777"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A counterfactual will need to be generated, determining the expected energy use and emissions of the ‘hard to decarbonise’ stock in the event of no further action.</w:t>
      </w:r>
    </w:p>
    <w:p w14:paraId="2EA911B1" w14:textId="77777777"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 xml:space="preserve">We envisage the need for a detailed segmentation of the stock to be developed which can be of standalone analytical use for future work. This should then be used to develop a simplified segmentation which will be the basis of analysis for task C. </w:t>
      </w:r>
    </w:p>
    <w:p w14:paraId="27187E88" w14:textId="6C91BC61" w:rsidR="00662EE1" w:rsidRPr="00EE4B03" w:rsidRDefault="00662EE1" w:rsidP="00662EE1">
      <w:pPr>
        <w:pStyle w:val="ListParagraph"/>
        <w:widowControl w:val="0"/>
        <w:spacing w:after="240"/>
        <w:contextualSpacing w:val="0"/>
        <w:textAlignment w:val="center"/>
        <w:rPr>
          <w:rFonts w:ascii="Arial" w:hAnsi="Arial" w:cs="Arial"/>
          <w:color w:val="000000"/>
        </w:rPr>
      </w:pPr>
      <w:r w:rsidRPr="00EE4B03">
        <w:rPr>
          <w:rFonts w:ascii="Arial" w:hAnsi="Arial" w:cs="Arial"/>
        </w:rPr>
        <w:t>Generally, the choice of archetypes will need to be in</w:t>
      </w:r>
      <w:r w:rsidRPr="00EE4B03">
        <w:rPr>
          <w:rFonts w:ascii="Arial" w:hAnsi="Arial" w:cs="Arial"/>
        </w:rPr>
        <w:lastRenderedPageBreak/>
        <w:t xml:space="preserve">formed by the prevalence of homes that fit </w:t>
      </w:r>
      <w:r w:rsidR="00212EED">
        <w:rPr>
          <w:rFonts w:ascii="Arial" w:hAnsi="Arial" w:cs="Arial"/>
        </w:rPr>
        <w:t xml:space="preserve">each </w:t>
      </w:r>
      <w:r w:rsidRPr="00EE4B03">
        <w:rPr>
          <w:rFonts w:ascii="Arial" w:hAnsi="Arial" w:cs="Arial"/>
        </w:rPr>
        <w:t xml:space="preserve">description, and by the nature of the expected packages of solutions. Where one package of solutions is expected to be viable for more than one archetype for instance, there could be potential to combine them. It will be necessary to understand how the archetypes developed for this work relate to the ‘hard to treat’ segmentation developed for past CCC modelling. </w:t>
      </w:r>
      <w:r w:rsidRPr="00EE4B03">
        <w:rPr>
          <w:rFonts w:ascii="Arial" w:hAnsi="Arial" w:cs="Arial"/>
          <w:color w:val="000000"/>
        </w:rPr>
        <w:t xml:space="preserve">  </w:t>
      </w:r>
    </w:p>
    <w:p w14:paraId="2A884976" w14:textId="77777777" w:rsidR="00662EE1" w:rsidRPr="00EE4B03" w:rsidRDefault="00662EE1" w:rsidP="00662EE1">
      <w:pPr>
        <w:pStyle w:val="ListParagraph"/>
        <w:widowControl w:val="0"/>
        <w:numPr>
          <w:ilvl w:val="0"/>
          <w:numId w:val="11"/>
        </w:numPr>
        <w:spacing w:after="240"/>
        <w:contextualSpacing w:val="0"/>
        <w:textAlignment w:val="center"/>
        <w:rPr>
          <w:rFonts w:ascii="Arial" w:hAnsi="Arial" w:cs="Arial"/>
          <w:b/>
        </w:rPr>
      </w:pPr>
      <w:r w:rsidRPr="00EE4B03">
        <w:rPr>
          <w:rFonts w:ascii="Arial" w:hAnsi="Arial" w:cs="Arial"/>
          <w:b/>
        </w:rPr>
        <w:t>To assess packages of treatment options for the different segments of the ‘hard to decarbonise’ stock, and the costs and carbon savings associated with them</w:t>
      </w:r>
    </w:p>
    <w:p w14:paraId="497705EA" w14:textId="77777777"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 xml:space="preserve">For each of the ‘hard to decarbonise’ archetypes, it will be necessary to determine the range of potential treatment options, and subsequently the treatment options which offer best decarbonisation potential (taking practical considerations into account), at least cost. </w:t>
      </w:r>
    </w:p>
    <w:p w14:paraId="762AB7DF" w14:textId="77777777"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b/>
        </w:rPr>
        <w:t xml:space="preserve">Determining the range of individual measures that could support decarbonisation: </w:t>
      </w:r>
      <w:r w:rsidRPr="00EE4B03">
        <w:rPr>
          <w:rFonts w:ascii="Arial" w:hAnsi="Arial" w:cs="Arial"/>
        </w:rPr>
        <w:t xml:space="preserve">CCC analysis has historically been based around a range of energy efficiency </w:t>
      </w:r>
      <w:r w:rsidRPr="00EE4B03">
        <w:rPr>
          <w:rFonts w:ascii="Arial" w:hAnsi="Arial" w:cs="Arial"/>
        </w:rPr>
        <w:lastRenderedPageBreak/>
        <w:t>measures which could be integrated in homes,</w:t>
      </w:r>
      <w:r w:rsidRPr="00EE4B03">
        <w:rPr>
          <w:rStyle w:val="FootnoteReference"/>
          <w:rFonts w:ascii="Arial" w:hAnsi="Arial" w:cs="Arial"/>
        </w:rPr>
        <w:footnoteReference w:id="22"/>
      </w:r>
      <w:r w:rsidRPr="00EE4B03">
        <w:rPr>
          <w:rFonts w:ascii="Arial" w:hAnsi="Arial" w:cs="Arial"/>
        </w:rPr>
        <w:t xml:space="preserve"> and a discrete list of low-carbon heating options including air source and ground source heat pumps, district heating systems,</w:t>
      </w:r>
      <w:r w:rsidRPr="00EE4B03">
        <w:rPr>
          <w:rStyle w:val="FootnoteReference"/>
          <w:rFonts w:ascii="Arial" w:hAnsi="Arial" w:cs="Arial"/>
        </w:rPr>
        <w:footnoteReference w:id="23"/>
      </w:r>
      <w:r w:rsidRPr="00EE4B03">
        <w:rPr>
          <w:rFonts w:ascii="Arial" w:hAnsi="Arial" w:cs="Arial"/>
        </w:rPr>
        <w:t xml:space="preserve"> biomass boilers, storage heating and hybrid heat pumps. We are interested in refining analysis around the above measures (in particular for hybrid heat pumps and solid wall insulation) and extending the list of potential measures examined. Provisional proposals of measures to be examined are welcomed as part of the tender. We are keen that the list of potential measures is extended to include:</w:t>
      </w:r>
    </w:p>
    <w:p w14:paraId="5FDCEC5B" w14:textId="77777777" w:rsidR="00662EE1" w:rsidRPr="00EE4B03" w:rsidRDefault="00662EE1" w:rsidP="00662EE1">
      <w:pPr>
        <w:pStyle w:val="ListParagraph"/>
        <w:widowControl w:val="0"/>
        <w:numPr>
          <w:ilvl w:val="0"/>
          <w:numId w:val="12"/>
        </w:numPr>
        <w:spacing w:after="0"/>
        <w:ind w:left="1502" w:hanging="357"/>
        <w:contextualSpacing w:val="0"/>
        <w:textAlignment w:val="center"/>
        <w:rPr>
          <w:rFonts w:ascii="Arial" w:hAnsi="Arial" w:cs="Arial"/>
        </w:rPr>
      </w:pPr>
      <w:r w:rsidRPr="00EE4B03">
        <w:rPr>
          <w:rFonts w:ascii="Arial" w:hAnsi="Arial" w:cs="Arial"/>
        </w:rPr>
        <w:t>Thin internal solid wall insulation</w:t>
      </w:r>
    </w:p>
    <w:p w14:paraId="39645320" w14:textId="77777777" w:rsidR="00662EE1" w:rsidRPr="00EE4B03" w:rsidRDefault="00662EE1" w:rsidP="00662EE1">
      <w:pPr>
        <w:pStyle w:val="ListParagraph"/>
        <w:widowControl w:val="0"/>
        <w:numPr>
          <w:ilvl w:val="0"/>
          <w:numId w:val="12"/>
        </w:numPr>
        <w:spacing w:after="0"/>
        <w:ind w:left="1502" w:hanging="357"/>
        <w:contextualSpacing w:val="0"/>
        <w:textAlignment w:val="center"/>
        <w:rPr>
          <w:rFonts w:ascii="Arial" w:hAnsi="Arial" w:cs="Arial"/>
        </w:rPr>
      </w:pPr>
      <w:r w:rsidRPr="00EE4B03">
        <w:rPr>
          <w:rFonts w:ascii="Arial" w:hAnsi="Arial" w:cs="Arial"/>
        </w:rPr>
        <w:t>Airtightness and ventilation</w:t>
      </w:r>
    </w:p>
    <w:p w14:paraId="58D5B3F6" w14:textId="77777777" w:rsidR="00662EE1" w:rsidRPr="00EE4B03" w:rsidRDefault="00662EE1" w:rsidP="00662EE1">
      <w:pPr>
        <w:pStyle w:val="ListParagraph"/>
        <w:widowControl w:val="0"/>
        <w:numPr>
          <w:ilvl w:val="0"/>
          <w:numId w:val="12"/>
        </w:numPr>
        <w:spacing w:after="0"/>
        <w:ind w:left="1502" w:hanging="357"/>
        <w:contextualSpacing w:val="0"/>
        <w:textAlignment w:val="center"/>
        <w:rPr>
          <w:rFonts w:ascii="Arial" w:hAnsi="Arial" w:cs="Arial"/>
        </w:rPr>
      </w:pPr>
      <w:r w:rsidRPr="00EE4B03">
        <w:rPr>
          <w:rFonts w:ascii="Arial" w:hAnsi="Arial" w:cs="Arial"/>
        </w:rPr>
        <w:t>Household level flexibility measures (such as batteries and thermal stores)</w:t>
      </w:r>
    </w:p>
    <w:p w14:paraId="1965CD32" w14:textId="77777777" w:rsidR="00662EE1" w:rsidRPr="00EE4B03" w:rsidRDefault="00662EE1" w:rsidP="00662EE1">
      <w:pPr>
        <w:pStyle w:val="ListParagraph"/>
        <w:widowControl w:val="0"/>
        <w:numPr>
          <w:ilvl w:val="0"/>
          <w:numId w:val="12"/>
        </w:numPr>
        <w:spacing w:after="0"/>
        <w:ind w:left="1502" w:hanging="357"/>
        <w:contextualSpacing w:val="0"/>
        <w:textAlignment w:val="center"/>
        <w:rPr>
          <w:rFonts w:ascii="Arial" w:hAnsi="Arial" w:cs="Arial"/>
        </w:rPr>
      </w:pPr>
      <w:r w:rsidRPr="00EE4B03">
        <w:rPr>
          <w:rFonts w:ascii="Arial" w:hAnsi="Arial" w:cs="Arial"/>
        </w:rPr>
        <w:t>Resistive heating</w:t>
      </w:r>
      <w:r w:rsidRPr="00EE4B03">
        <w:rPr>
          <w:rStyle w:val="FootnoteReference"/>
          <w:rFonts w:ascii="Arial" w:hAnsi="Arial" w:cs="Arial"/>
        </w:rPr>
        <w:footnoteReference w:id="24"/>
      </w:r>
    </w:p>
    <w:p w14:paraId="717DAF0F" w14:textId="77777777" w:rsidR="00662EE1" w:rsidRPr="00EE4B03" w:rsidRDefault="00662EE1" w:rsidP="00662EE1">
      <w:pPr>
        <w:pStyle w:val="ListParagraph"/>
        <w:widowControl w:val="0"/>
        <w:numPr>
          <w:ilvl w:val="0"/>
          <w:numId w:val="12"/>
        </w:numPr>
        <w:spacing w:after="0"/>
        <w:ind w:left="1502" w:hanging="357"/>
        <w:contextualSpacing w:val="0"/>
        <w:textAlignment w:val="center"/>
        <w:rPr>
          <w:rFonts w:ascii="Arial" w:hAnsi="Arial" w:cs="Arial"/>
        </w:rPr>
      </w:pPr>
      <w:r w:rsidRPr="00EE4B03">
        <w:rPr>
          <w:rFonts w:ascii="Arial" w:hAnsi="Arial" w:cs="Arial"/>
        </w:rPr>
        <w:lastRenderedPageBreak/>
        <w:t>Demolition and rebuilding of homes</w:t>
      </w:r>
      <w:r w:rsidRPr="00EE4B03">
        <w:rPr>
          <w:rStyle w:val="FootnoteReference"/>
          <w:rFonts w:ascii="Arial" w:hAnsi="Arial" w:cs="Arial"/>
        </w:rPr>
        <w:footnoteReference w:id="25"/>
      </w:r>
    </w:p>
    <w:p w14:paraId="7DB1BF9E" w14:textId="77777777" w:rsidR="00662EE1" w:rsidRPr="00EE4B03" w:rsidRDefault="00662EE1" w:rsidP="00662EE1">
      <w:pPr>
        <w:pStyle w:val="ListParagraph"/>
        <w:widowControl w:val="0"/>
        <w:spacing w:after="0"/>
        <w:ind w:left="1502"/>
        <w:contextualSpacing w:val="0"/>
        <w:textAlignment w:val="center"/>
        <w:rPr>
          <w:rFonts w:ascii="Arial" w:hAnsi="Arial" w:cs="Arial"/>
        </w:rPr>
      </w:pPr>
    </w:p>
    <w:p w14:paraId="3EEF2E57" w14:textId="4E31FB80" w:rsidR="00212EED" w:rsidRDefault="00E827C9" w:rsidP="00662EE1">
      <w:pPr>
        <w:pStyle w:val="ListParagraph"/>
        <w:widowControl w:val="0"/>
        <w:spacing w:after="240"/>
        <w:contextualSpacing w:val="0"/>
        <w:textAlignment w:val="center"/>
        <w:rPr>
          <w:rFonts w:ascii="Arial" w:hAnsi="Arial" w:cs="Arial"/>
        </w:rPr>
      </w:pPr>
      <w:r w:rsidRPr="00EE4B03">
        <w:rPr>
          <w:rFonts w:ascii="Arial" w:hAnsi="Arial" w:cs="Arial"/>
        </w:rPr>
        <w:t xml:space="preserve">We may wish to include </w:t>
      </w:r>
      <w:r>
        <w:rPr>
          <w:rFonts w:ascii="Arial" w:hAnsi="Arial" w:cs="Arial"/>
        </w:rPr>
        <w:t>solar thermal, to the extent this can contribute meaningfully to full decarbonisation, in a way that is additional to what can be offered by other solutions and at reasonable cost</w:t>
      </w:r>
      <w:r w:rsidRPr="00EE4B03">
        <w:rPr>
          <w:rFonts w:ascii="Arial" w:hAnsi="Arial" w:cs="Arial"/>
        </w:rPr>
        <w:t xml:space="preserve">. </w:t>
      </w:r>
      <w:r w:rsidR="00662EE1" w:rsidRPr="00EE4B03">
        <w:rPr>
          <w:rFonts w:ascii="Arial" w:hAnsi="Arial" w:cs="Arial"/>
        </w:rPr>
        <w:t xml:space="preserve">We are also interested in understanding how packages of measures interact with hydrogen uptake at grid scale, as well as any role for bottled hydrogen. </w:t>
      </w:r>
    </w:p>
    <w:p w14:paraId="27110344" w14:textId="1138FEA7"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For each of the measures</w:t>
      </w:r>
      <w:r w:rsidR="00B0072E">
        <w:rPr>
          <w:rFonts w:ascii="Arial" w:hAnsi="Arial" w:cs="Arial"/>
        </w:rPr>
        <w:t>,</w:t>
      </w:r>
      <w:r w:rsidRPr="00EE4B03">
        <w:rPr>
          <w:rFonts w:ascii="Arial" w:hAnsi="Arial" w:cs="Arial"/>
        </w:rPr>
        <w:t xml:space="preserve"> it will be necessary to </w:t>
      </w:r>
      <w:r w:rsidR="00212EED">
        <w:rPr>
          <w:rFonts w:ascii="Arial" w:hAnsi="Arial" w:cs="Arial"/>
        </w:rPr>
        <w:t>establish</w:t>
      </w:r>
      <w:r w:rsidRPr="00EE4B03">
        <w:rPr>
          <w:rFonts w:ascii="Arial" w:hAnsi="Arial" w:cs="Arial"/>
        </w:rPr>
        <w:t xml:space="preserve"> techno-economic assumptions </w:t>
      </w:r>
      <w:r w:rsidR="00212EED">
        <w:rPr>
          <w:rFonts w:ascii="Arial" w:hAnsi="Arial" w:cs="Arial"/>
        </w:rPr>
        <w:t>on the basis of</w:t>
      </w:r>
      <w:r w:rsidRPr="00EE4B03">
        <w:rPr>
          <w:rFonts w:ascii="Arial" w:hAnsi="Arial" w:cs="Arial"/>
        </w:rPr>
        <w:t xml:space="preserve"> the latest available evidence</w:t>
      </w:r>
      <w:r w:rsidR="00B0072E">
        <w:rPr>
          <w:rFonts w:ascii="Arial" w:hAnsi="Arial" w:cs="Arial"/>
        </w:rPr>
        <w:t xml:space="preserve"> (</w:t>
      </w:r>
      <w:r w:rsidRPr="00EE4B03">
        <w:rPr>
          <w:rFonts w:ascii="Arial" w:hAnsi="Arial" w:cs="Arial"/>
        </w:rPr>
        <w:t>including internationally where relevant</w:t>
      </w:r>
      <w:r w:rsidR="00B0072E">
        <w:rPr>
          <w:rFonts w:ascii="Arial" w:hAnsi="Arial" w:cs="Arial"/>
        </w:rPr>
        <w:t>)</w:t>
      </w:r>
      <w:r w:rsidRPr="00EE4B03">
        <w:rPr>
          <w:rFonts w:ascii="Arial" w:hAnsi="Arial" w:cs="Arial"/>
        </w:rPr>
        <w:t xml:space="preserve">. There is potential for new evidence to emerge during the course of the project (for instance any updated in-use factors that BEIS are able to provide). The modelling should be designed </w:t>
      </w:r>
      <w:r w:rsidR="00212EED">
        <w:rPr>
          <w:rFonts w:ascii="Arial" w:hAnsi="Arial" w:cs="Arial"/>
        </w:rPr>
        <w:t>to enable</w:t>
      </w:r>
      <w:r w:rsidRPr="00EE4B03">
        <w:rPr>
          <w:rFonts w:ascii="Arial" w:hAnsi="Arial" w:cs="Arial"/>
        </w:rPr>
        <w:t xml:space="preserve"> these </w:t>
      </w:r>
      <w:r w:rsidR="00212EED">
        <w:rPr>
          <w:rFonts w:ascii="Arial" w:hAnsi="Arial" w:cs="Arial"/>
        </w:rPr>
        <w:t>to</w:t>
      </w:r>
      <w:r w:rsidR="00212EED" w:rsidRPr="00EE4B03">
        <w:rPr>
          <w:rFonts w:ascii="Arial" w:hAnsi="Arial" w:cs="Arial"/>
        </w:rPr>
        <w:t xml:space="preserve"> </w:t>
      </w:r>
      <w:r w:rsidRPr="00EE4B03">
        <w:rPr>
          <w:rFonts w:ascii="Arial" w:hAnsi="Arial" w:cs="Arial"/>
        </w:rPr>
        <w:t xml:space="preserve">be easily integrated </w:t>
      </w:r>
      <w:r w:rsidRPr="00EE4B03">
        <w:rPr>
          <w:rFonts w:ascii="Arial" w:hAnsi="Arial" w:cs="Arial"/>
        </w:rPr>
        <w:lastRenderedPageBreak/>
        <w:t xml:space="preserve">when available. It is expected that some of the techno-economic assumptions (e.g. costs) will vary across archetypes for each measure. Where possible, assessment of the potential to bring costs down should also be included, e.g. how costs can be expected to change over time with learning, and in the case of whole house retrofit approaches and bulk installations. </w:t>
      </w:r>
    </w:p>
    <w:p w14:paraId="52B70CB6" w14:textId="528DF953"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b/>
        </w:rPr>
        <w:t xml:space="preserve">Determining packages of measures which can successfully decarbonise these homes: </w:t>
      </w:r>
      <w:r w:rsidRPr="00EE4B03">
        <w:rPr>
          <w:rFonts w:ascii="Arial" w:hAnsi="Arial" w:cs="Arial"/>
        </w:rPr>
        <w:t xml:space="preserve">We wish to understand how individual measures can be effectively combined to deliver holistic solutions to decarbonisation at a </w:t>
      </w:r>
      <w:r w:rsidR="00404798" w:rsidRPr="00EE4B03">
        <w:rPr>
          <w:rFonts w:ascii="Arial" w:hAnsi="Arial" w:cs="Arial"/>
        </w:rPr>
        <w:t>building</w:t>
      </w:r>
      <w:r w:rsidR="00404798">
        <w:rPr>
          <w:rFonts w:ascii="Arial" w:hAnsi="Arial" w:cs="Arial"/>
        </w:rPr>
        <w:t>-</w:t>
      </w:r>
      <w:r w:rsidRPr="00EE4B03">
        <w:rPr>
          <w:rFonts w:ascii="Arial" w:hAnsi="Arial" w:cs="Arial"/>
        </w:rPr>
        <w:t>level. In particular</w:t>
      </w:r>
      <w:r w:rsidR="00404798">
        <w:rPr>
          <w:rFonts w:ascii="Arial" w:hAnsi="Arial" w:cs="Arial"/>
        </w:rPr>
        <w:t>,</w:t>
      </w:r>
      <w:r w:rsidRPr="00EE4B03">
        <w:rPr>
          <w:rFonts w:ascii="Arial" w:hAnsi="Arial" w:cs="Arial"/>
        </w:rPr>
        <w:t xml:space="preserve"> we are interested in the optimal balance between energy efficiency and low-carbon heat for the different archetypes, and in understanding how different low-carbon heating options can be effectively combined to deliver the best outcome. </w:t>
      </w:r>
    </w:p>
    <w:p w14:paraId="536F871F" w14:textId="70EFBA6A"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 xml:space="preserve">We anticipate that a number of potential measure packages will need to be developed for each archetype. For homes with uninsulated solid walls, this will need to include one package which does not include the use of </w:t>
      </w:r>
      <w:r w:rsidR="005F1C0A" w:rsidRPr="00EE4B03">
        <w:rPr>
          <w:rFonts w:ascii="Arial" w:hAnsi="Arial" w:cs="Arial"/>
        </w:rPr>
        <w:t xml:space="preserve">conventional </w:t>
      </w:r>
      <w:r w:rsidRPr="00EE4B03">
        <w:rPr>
          <w:rFonts w:ascii="Arial" w:hAnsi="Arial" w:cs="Arial"/>
        </w:rPr>
        <w:t xml:space="preserve">solid wall insulation.  </w:t>
      </w:r>
    </w:p>
    <w:p w14:paraId="789F8467" w14:textId="1F1E5690" w:rsidR="00662EE1" w:rsidRPr="00EE4B03" w:rsidRDefault="00662EE1" w:rsidP="00662EE1">
      <w:pPr>
        <w:pStyle w:val="ListParagraph"/>
        <w:widowControl w:val="0"/>
        <w:spacing w:after="240"/>
        <w:contextualSpacing w:val="0"/>
        <w:textAlignment w:val="center"/>
        <w:rPr>
          <w:rFonts w:ascii="Arial" w:hAnsi="Arial" w:cs="Arial"/>
          <w:b/>
        </w:rPr>
      </w:pPr>
      <w:r w:rsidRPr="00EE4B03">
        <w:rPr>
          <w:rFonts w:ascii="Arial" w:hAnsi="Arial" w:cs="Arial"/>
        </w:rPr>
        <w:lastRenderedPageBreak/>
        <w:t>We are particularly interested in analytical approaches which extend beyond the core capabilities of the National Household Model, for instance through incorporating detailed building physics modelling or the use of real-life case studies. The proposed approach and inputs</w:t>
      </w:r>
      <w:r w:rsidR="00566811">
        <w:rPr>
          <w:rFonts w:ascii="Arial" w:hAnsi="Arial" w:cs="Arial"/>
        </w:rPr>
        <w:t>, including planned stakeholder engagement,</w:t>
      </w:r>
      <w:r w:rsidRPr="00EE4B03">
        <w:rPr>
          <w:rFonts w:ascii="Arial" w:hAnsi="Arial" w:cs="Arial"/>
        </w:rPr>
        <w:t xml:space="preserve"> should be set out as part of the tender.</w:t>
      </w:r>
    </w:p>
    <w:p w14:paraId="1AA762F3" w14:textId="6AA7CDCD"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b/>
        </w:rPr>
        <w:t>Determining the relative cost-effectiveness of these packages of measures</w:t>
      </w:r>
      <w:r w:rsidR="00D11CB1">
        <w:rPr>
          <w:rFonts w:ascii="Arial" w:hAnsi="Arial" w:cs="Arial"/>
          <w:b/>
        </w:rPr>
        <w:t>,</w:t>
      </w:r>
      <w:r w:rsidRPr="00EE4B03">
        <w:rPr>
          <w:rFonts w:ascii="Arial" w:hAnsi="Arial" w:cs="Arial"/>
          <w:b/>
        </w:rPr>
        <w:t xml:space="preserve"> to </w:t>
      </w:r>
      <w:r w:rsidR="00D11CB1">
        <w:rPr>
          <w:rFonts w:ascii="Arial" w:hAnsi="Arial" w:cs="Arial"/>
          <w:b/>
        </w:rPr>
        <w:t>inform identification of</w:t>
      </w:r>
      <w:r w:rsidR="00D11CB1" w:rsidRPr="00EE4B03">
        <w:rPr>
          <w:rFonts w:ascii="Arial" w:hAnsi="Arial" w:cs="Arial"/>
          <w:b/>
        </w:rPr>
        <w:t xml:space="preserve"> </w:t>
      </w:r>
      <w:r w:rsidRPr="00EE4B03">
        <w:rPr>
          <w:rFonts w:ascii="Arial" w:hAnsi="Arial" w:cs="Arial"/>
          <w:b/>
        </w:rPr>
        <w:t xml:space="preserve">lead options: </w:t>
      </w:r>
      <w:r w:rsidR="00D11CB1">
        <w:rPr>
          <w:rFonts w:ascii="Arial" w:hAnsi="Arial" w:cs="Arial"/>
        </w:rPr>
        <w:t>We anticipate the need</w:t>
      </w:r>
      <w:r w:rsidRPr="00EE4B03">
        <w:rPr>
          <w:rFonts w:ascii="Arial" w:hAnsi="Arial" w:cs="Arial"/>
        </w:rPr>
        <w:t xml:space="preserve"> to determine the £/tonne abatement costs for each of the packages over the lifetime, to inform a view of which packages of measures are suitable for decarbonising each archetype at least cost. We expect costs to be bounded by the costs of demolishing and rebuilding homes</w:t>
      </w:r>
      <w:r w:rsidR="00212EED">
        <w:rPr>
          <w:rFonts w:ascii="Arial" w:hAnsi="Arial" w:cs="Arial"/>
        </w:rPr>
        <w:t>,</w:t>
      </w:r>
      <w:r w:rsidRPr="00EE4B03">
        <w:rPr>
          <w:rFonts w:ascii="Arial" w:hAnsi="Arial" w:cs="Arial"/>
        </w:rPr>
        <w:t xml:space="preserve"> with low-carbon heating systems added. As discussed above, whilst the £/tonne abatement costs associated with measures are expected to be an input into the selection of ‘lead options’ for decarbonisation of these homes, there will also be a need to take other factors into account. </w:t>
      </w:r>
    </w:p>
    <w:p w14:paraId="228BBDC0" w14:textId="77777777"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 xml:space="preserve">The analytical outputs will need to include a full and clear </w:t>
      </w:r>
      <w:r w:rsidRPr="00EE4B03">
        <w:rPr>
          <w:rFonts w:ascii="Arial" w:hAnsi="Arial" w:cs="Arial"/>
        </w:rPr>
        <w:lastRenderedPageBreak/>
        <w:t xml:space="preserve">assumptions log setting out all techno-economic assumptions, and listing evidence sources to support them. </w:t>
      </w:r>
    </w:p>
    <w:p w14:paraId="65FB2E70" w14:textId="77777777" w:rsidR="00662EE1" w:rsidRPr="00EE4B03" w:rsidRDefault="00662EE1" w:rsidP="00662EE1">
      <w:pPr>
        <w:pStyle w:val="ListParagraph"/>
        <w:widowControl w:val="0"/>
        <w:numPr>
          <w:ilvl w:val="0"/>
          <w:numId w:val="11"/>
        </w:numPr>
        <w:spacing w:after="240"/>
        <w:contextualSpacing w:val="0"/>
        <w:textAlignment w:val="center"/>
        <w:rPr>
          <w:rFonts w:ascii="Arial" w:hAnsi="Arial" w:cs="Arial"/>
        </w:rPr>
      </w:pPr>
      <w:r w:rsidRPr="00EE4B03">
        <w:rPr>
          <w:rFonts w:ascii="Arial" w:hAnsi="Arial" w:cs="Arial"/>
          <w:b/>
        </w:rPr>
        <w:t xml:space="preserve">To develop scenarios for measure deployment which abate direct emissions from the ‘hard to decarbonise’ stock, alongside advice on associated policy </w:t>
      </w:r>
    </w:p>
    <w:p w14:paraId="703167A9" w14:textId="77777777" w:rsidR="00662EE1" w:rsidRPr="00EE4B03" w:rsidRDefault="00662EE1" w:rsidP="00662EE1">
      <w:pPr>
        <w:pStyle w:val="ListParagraph"/>
        <w:widowControl w:val="0"/>
        <w:spacing w:after="240"/>
        <w:contextualSpacing w:val="0"/>
        <w:textAlignment w:val="center"/>
        <w:rPr>
          <w:rFonts w:ascii="Arial" w:hAnsi="Arial" w:cs="Arial"/>
        </w:rPr>
      </w:pPr>
      <w:r w:rsidRPr="00EE4B03">
        <w:rPr>
          <w:rFonts w:ascii="Arial" w:hAnsi="Arial" w:cs="Arial"/>
        </w:rPr>
        <w:t>The lead options should be used to develop scenarios for measure deployment which abate direct emissions from the ‘hard to decarbonise’ stock.</w:t>
      </w:r>
    </w:p>
    <w:p w14:paraId="3262AA98" w14:textId="77777777" w:rsidR="00662EE1" w:rsidRPr="00EE4B03" w:rsidRDefault="00662EE1" w:rsidP="00662EE1">
      <w:pPr>
        <w:pStyle w:val="ListParagraph"/>
        <w:widowControl w:val="0"/>
        <w:spacing w:after="0"/>
        <w:ind w:left="714"/>
        <w:contextualSpacing w:val="0"/>
        <w:textAlignment w:val="center"/>
        <w:rPr>
          <w:rFonts w:ascii="Arial" w:hAnsi="Arial" w:cs="Arial"/>
        </w:rPr>
      </w:pPr>
      <w:r w:rsidRPr="00EE4B03">
        <w:rPr>
          <w:rFonts w:ascii="Arial" w:hAnsi="Arial" w:cs="Arial"/>
        </w:rPr>
        <w:t>Scenarios should reflect appropriate constraints on supply,</w:t>
      </w:r>
      <w:r w:rsidRPr="00EE4B03">
        <w:rPr>
          <w:rStyle w:val="FootnoteReference"/>
          <w:rFonts w:ascii="Arial" w:hAnsi="Arial" w:cs="Arial"/>
        </w:rPr>
        <w:footnoteReference w:id="26"/>
      </w:r>
      <w:r w:rsidRPr="00EE4B03">
        <w:rPr>
          <w:rFonts w:ascii="Arial" w:hAnsi="Arial" w:cs="Arial"/>
        </w:rPr>
        <w:t xml:space="preserve"> rates of progress, and supporting infrastructure, with assumptions evidenced and set out in the assumptions log. </w:t>
      </w:r>
    </w:p>
    <w:p w14:paraId="0E3747CA" w14:textId="77777777" w:rsidR="00662EE1" w:rsidRPr="00EE4B03" w:rsidRDefault="00662EE1" w:rsidP="00662EE1">
      <w:pPr>
        <w:pStyle w:val="ListParagraph"/>
        <w:widowControl w:val="0"/>
        <w:spacing w:after="0"/>
        <w:ind w:left="714"/>
        <w:contextualSpacing w:val="0"/>
        <w:textAlignment w:val="center"/>
        <w:rPr>
          <w:rFonts w:ascii="Arial" w:hAnsi="Arial" w:cs="Arial"/>
        </w:rPr>
      </w:pPr>
    </w:p>
    <w:p w14:paraId="79C9B731" w14:textId="77777777" w:rsidR="00662EE1" w:rsidRPr="00EE4B03" w:rsidRDefault="00662EE1" w:rsidP="00662EE1">
      <w:pPr>
        <w:pStyle w:val="ListParagraph"/>
        <w:widowControl w:val="0"/>
        <w:spacing w:after="0"/>
        <w:ind w:left="714"/>
        <w:contextualSpacing w:val="0"/>
        <w:textAlignment w:val="center"/>
        <w:rPr>
          <w:rFonts w:ascii="Arial" w:hAnsi="Arial" w:cs="Arial"/>
        </w:rPr>
      </w:pPr>
      <w:r w:rsidRPr="00EE4B03">
        <w:rPr>
          <w:rFonts w:ascii="Arial" w:hAnsi="Arial" w:cs="Arial"/>
        </w:rPr>
        <w:t xml:space="preserve">As noted above, insulating one component of a property, whilst leaving others uninsulated, may in reality lead to higher levels of heat loss through uninsulated areas, limiting the overall benefits of the individual insulation measure. Scenarios (and associated in-use factors) should reflect this, setting out a realistic retrofit approach which </w:t>
      </w:r>
      <w:r w:rsidRPr="00EE4B03">
        <w:rPr>
          <w:rFonts w:ascii="Arial" w:hAnsi="Arial" w:cs="Arial"/>
        </w:rPr>
        <w:lastRenderedPageBreak/>
        <w:t xml:space="preserve">maximises the delivery of savings.  </w:t>
      </w:r>
    </w:p>
    <w:p w14:paraId="4A85D673" w14:textId="77777777" w:rsidR="00662EE1" w:rsidRPr="00861E44" w:rsidRDefault="00662EE1" w:rsidP="00662EE1">
      <w:pPr>
        <w:rPr>
          <w:rFonts w:ascii="Arial" w:hAnsi="Arial" w:cs="Arial"/>
        </w:rPr>
      </w:pPr>
    </w:p>
    <w:p w14:paraId="0B80D92A" w14:textId="084F6418" w:rsidR="00662EE1" w:rsidRPr="00861E44" w:rsidRDefault="00662EE1" w:rsidP="00662EE1">
      <w:pPr>
        <w:pStyle w:val="ListParagraph"/>
        <w:keepNext/>
        <w:keepLines/>
        <w:spacing w:after="240"/>
        <w:contextualSpacing w:val="0"/>
        <w:textAlignment w:val="center"/>
        <w:rPr>
          <w:rFonts w:ascii="Arial" w:hAnsi="Arial" w:cs="Arial"/>
        </w:rPr>
      </w:pPr>
      <w:r w:rsidRPr="00EE4B03">
        <w:rPr>
          <w:rFonts w:ascii="Arial" w:hAnsi="Arial" w:cs="Arial"/>
        </w:rPr>
        <w:t xml:space="preserve">A ‘core’ scenario will be needed which represents a best view of how the ‘hard to decarbonise’ stock can be decarbonised by 2050. </w:t>
      </w:r>
      <w:r w:rsidR="00666B4E">
        <w:rPr>
          <w:rFonts w:ascii="Arial" w:hAnsi="Arial" w:cs="Arial"/>
        </w:rPr>
        <w:t>This includes understanding the measures necessary to reduce direct emissions to very low levels, and what further action would be necessary to abate them fully.</w:t>
      </w:r>
    </w:p>
    <w:p w14:paraId="6917DC7F" w14:textId="77777777" w:rsidR="00662EE1" w:rsidRPr="00EE4B03" w:rsidRDefault="00662EE1" w:rsidP="00662EE1">
      <w:pPr>
        <w:pStyle w:val="ListParagraph"/>
        <w:widowControl w:val="0"/>
        <w:spacing w:after="0"/>
        <w:ind w:left="714"/>
        <w:contextualSpacing w:val="0"/>
        <w:textAlignment w:val="center"/>
        <w:rPr>
          <w:rFonts w:ascii="Arial" w:hAnsi="Arial" w:cs="Arial"/>
        </w:rPr>
      </w:pPr>
      <w:r w:rsidRPr="00EE4B03">
        <w:rPr>
          <w:rFonts w:ascii="Arial" w:hAnsi="Arial" w:cs="Arial"/>
        </w:rPr>
        <w:t>We are also seeking the development of a discrete number of additional scenarios. Through these we would like to understand the measures and costs associated with:</w:t>
      </w:r>
    </w:p>
    <w:p w14:paraId="7C4DFCB0" w14:textId="77777777" w:rsidR="00662EE1" w:rsidRPr="00EE4B03" w:rsidRDefault="00662EE1" w:rsidP="00662EE1">
      <w:pPr>
        <w:pStyle w:val="ListParagraph"/>
        <w:widowControl w:val="0"/>
        <w:numPr>
          <w:ilvl w:val="0"/>
          <w:numId w:val="14"/>
        </w:numPr>
        <w:spacing w:after="0"/>
        <w:contextualSpacing w:val="0"/>
        <w:textAlignment w:val="center"/>
        <w:rPr>
          <w:rFonts w:ascii="Arial" w:hAnsi="Arial" w:cs="Arial"/>
        </w:rPr>
      </w:pPr>
      <w:r w:rsidRPr="00EE4B03">
        <w:rPr>
          <w:rFonts w:ascii="Arial" w:hAnsi="Arial" w:cs="Arial"/>
        </w:rPr>
        <w:t>Decarbonising at a faster rate</w:t>
      </w:r>
    </w:p>
    <w:p w14:paraId="56E3E5FF" w14:textId="0854E8FE" w:rsidR="00662EE1" w:rsidRPr="00EE4B03" w:rsidRDefault="00662EE1" w:rsidP="00662EE1">
      <w:pPr>
        <w:pStyle w:val="ListParagraph"/>
        <w:widowControl w:val="0"/>
        <w:numPr>
          <w:ilvl w:val="0"/>
          <w:numId w:val="14"/>
        </w:numPr>
        <w:spacing w:after="0"/>
        <w:contextualSpacing w:val="0"/>
        <w:textAlignment w:val="center"/>
        <w:rPr>
          <w:rFonts w:ascii="Arial" w:hAnsi="Arial" w:cs="Arial"/>
        </w:rPr>
      </w:pPr>
      <w:r w:rsidRPr="00EE4B03">
        <w:rPr>
          <w:rFonts w:ascii="Arial" w:hAnsi="Arial" w:cs="Arial"/>
        </w:rPr>
        <w:t xml:space="preserve">Decarbonising without use of </w:t>
      </w:r>
      <w:r w:rsidR="005F1C0A" w:rsidRPr="00EE4B03">
        <w:rPr>
          <w:rFonts w:ascii="Arial" w:hAnsi="Arial" w:cs="Arial"/>
        </w:rPr>
        <w:t xml:space="preserve">conventional </w:t>
      </w:r>
      <w:r w:rsidRPr="00EE4B03">
        <w:rPr>
          <w:rFonts w:ascii="Arial" w:hAnsi="Arial" w:cs="Arial"/>
        </w:rPr>
        <w:t>solid wall insulation</w:t>
      </w:r>
      <w:r w:rsidR="005F1C0A" w:rsidRPr="00EE4B03">
        <w:rPr>
          <w:rStyle w:val="FootnoteReference"/>
          <w:rFonts w:ascii="Arial" w:hAnsi="Arial" w:cs="Arial"/>
        </w:rPr>
        <w:footnoteReference w:id="27"/>
      </w:r>
      <w:r w:rsidR="005F1C0A" w:rsidRPr="00EE4B03">
        <w:rPr>
          <w:rFonts w:ascii="Arial" w:hAnsi="Arial" w:cs="Arial"/>
        </w:rPr>
        <w:t xml:space="preserve"> </w:t>
      </w:r>
    </w:p>
    <w:p w14:paraId="7FFB3D6D" w14:textId="77777777" w:rsidR="00662EE1" w:rsidRPr="00EE4B03" w:rsidRDefault="00662EE1" w:rsidP="00662EE1">
      <w:pPr>
        <w:pStyle w:val="ListParagraph"/>
        <w:widowControl w:val="0"/>
        <w:numPr>
          <w:ilvl w:val="0"/>
          <w:numId w:val="14"/>
        </w:numPr>
        <w:spacing w:after="0"/>
        <w:contextualSpacing w:val="0"/>
        <w:textAlignment w:val="center"/>
        <w:rPr>
          <w:rFonts w:ascii="Arial" w:hAnsi="Arial" w:cs="Arial"/>
        </w:rPr>
      </w:pPr>
      <w:r w:rsidRPr="00EE4B03">
        <w:rPr>
          <w:rFonts w:ascii="Arial" w:hAnsi="Arial" w:cs="Arial"/>
        </w:rPr>
        <w:t>Different technology pathways (including hydrogen)</w:t>
      </w:r>
    </w:p>
    <w:p w14:paraId="64707DF9" w14:textId="77777777" w:rsidR="00662EE1" w:rsidRPr="00861E44" w:rsidRDefault="00662EE1" w:rsidP="00662EE1">
      <w:pPr>
        <w:rPr>
          <w:rFonts w:ascii="Arial" w:hAnsi="Arial" w:cs="Arial"/>
        </w:rPr>
      </w:pPr>
    </w:p>
    <w:p w14:paraId="4A9DB191" w14:textId="77777777" w:rsidR="00662EE1" w:rsidRPr="00EE4B03" w:rsidRDefault="00662EE1" w:rsidP="00662EE1">
      <w:pPr>
        <w:pStyle w:val="ListParagraph"/>
        <w:widowControl w:val="0"/>
        <w:spacing w:after="0"/>
        <w:ind w:left="714"/>
        <w:contextualSpacing w:val="0"/>
        <w:textAlignment w:val="center"/>
        <w:rPr>
          <w:rFonts w:ascii="Arial" w:hAnsi="Arial" w:cs="Arial"/>
        </w:rPr>
      </w:pPr>
      <w:r w:rsidRPr="00EE4B03">
        <w:rPr>
          <w:rFonts w:ascii="Arial" w:hAnsi="Arial" w:cs="Arial"/>
        </w:rPr>
        <w:t xml:space="preserve">We welcome a view from bidders on how many scenarios they intend to develop. To the extent the above areas of interest are not addressed through alternative scenarios, </w:t>
      </w:r>
      <w:r w:rsidRPr="00EE4B03">
        <w:rPr>
          <w:rFonts w:ascii="Arial" w:hAnsi="Arial" w:cs="Arial"/>
        </w:rPr>
        <w:lastRenderedPageBreak/>
        <w:t>we would expect qualitative assessment to be undertaken.</w:t>
      </w:r>
    </w:p>
    <w:p w14:paraId="1EB1E809" w14:textId="77777777" w:rsidR="00662EE1" w:rsidRPr="00861E44" w:rsidRDefault="00662EE1" w:rsidP="00662EE1">
      <w:pPr>
        <w:rPr>
          <w:rFonts w:ascii="Arial" w:hAnsi="Arial" w:cs="Arial"/>
        </w:rPr>
      </w:pPr>
    </w:p>
    <w:p w14:paraId="2A1F6B60" w14:textId="77777777" w:rsidR="00662EE1" w:rsidRPr="00EE4B03" w:rsidRDefault="00662EE1" w:rsidP="00662EE1">
      <w:pPr>
        <w:pStyle w:val="ListParagraph"/>
        <w:widowControl w:val="0"/>
        <w:spacing w:after="0"/>
        <w:ind w:left="714"/>
        <w:contextualSpacing w:val="0"/>
        <w:textAlignment w:val="center"/>
        <w:rPr>
          <w:rFonts w:ascii="Arial" w:hAnsi="Arial" w:cs="Arial"/>
        </w:rPr>
      </w:pPr>
      <w:r w:rsidRPr="00EE4B03">
        <w:rPr>
          <w:rFonts w:ascii="Arial" w:hAnsi="Arial" w:cs="Arial"/>
        </w:rPr>
        <w:t>The outputs will need to set out how emissions in ‘hard to decarbonise’ homes can be abated on a year-by-year basis, including:</w:t>
      </w:r>
    </w:p>
    <w:p w14:paraId="12670E01" w14:textId="77777777" w:rsidR="00662EE1" w:rsidRPr="00EE4B03" w:rsidRDefault="00662EE1" w:rsidP="00662EE1">
      <w:pPr>
        <w:pStyle w:val="ListParagraph"/>
        <w:widowControl w:val="0"/>
        <w:spacing w:after="0"/>
        <w:ind w:left="714"/>
        <w:contextualSpacing w:val="0"/>
        <w:textAlignment w:val="center"/>
        <w:rPr>
          <w:rFonts w:ascii="Arial" w:hAnsi="Arial" w:cs="Arial"/>
        </w:rPr>
      </w:pPr>
    </w:p>
    <w:p w14:paraId="169104D2" w14:textId="77777777" w:rsidR="00662EE1" w:rsidRPr="00EE4B03" w:rsidRDefault="00662EE1" w:rsidP="00662EE1">
      <w:pPr>
        <w:pStyle w:val="ListParagraph"/>
        <w:widowControl w:val="0"/>
        <w:numPr>
          <w:ilvl w:val="0"/>
          <w:numId w:val="13"/>
        </w:numPr>
        <w:spacing w:after="0"/>
        <w:contextualSpacing w:val="0"/>
        <w:textAlignment w:val="center"/>
        <w:rPr>
          <w:rFonts w:ascii="Arial" w:hAnsi="Arial" w:cs="Arial"/>
        </w:rPr>
      </w:pPr>
      <w:r w:rsidRPr="00EE4B03">
        <w:rPr>
          <w:rFonts w:ascii="Arial" w:hAnsi="Arial" w:cs="Arial"/>
        </w:rPr>
        <w:t>Deployment levels</w:t>
      </w:r>
    </w:p>
    <w:p w14:paraId="5472B891" w14:textId="77777777" w:rsidR="00662EE1" w:rsidRPr="00EE4B03" w:rsidRDefault="00662EE1" w:rsidP="00662EE1">
      <w:pPr>
        <w:pStyle w:val="ListParagraph"/>
        <w:widowControl w:val="0"/>
        <w:numPr>
          <w:ilvl w:val="0"/>
          <w:numId w:val="13"/>
        </w:numPr>
        <w:spacing w:after="0"/>
        <w:contextualSpacing w:val="0"/>
        <w:textAlignment w:val="center"/>
        <w:rPr>
          <w:rFonts w:ascii="Arial" w:hAnsi="Arial" w:cs="Arial"/>
        </w:rPr>
      </w:pPr>
      <w:r w:rsidRPr="00EE4B03">
        <w:rPr>
          <w:rFonts w:ascii="Arial" w:hAnsi="Arial" w:cs="Arial"/>
        </w:rPr>
        <w:t>Direct abatement (MtCO</w:t>
      </w:r>
      <w:r w:rsidRPr="00E655AE">
        <w:rPr>
          <w:rFonts w:ascii="Arial" w:hAnsi="Arial" w:cs="Arial"/>
          <w:vertAlign w:val="subscript"/>
        </w:rPr>
        <w:t>2</w:t>
      </w:r>
      <w:r w:rsidRPr="00EE4B03">
        <w:rPr>
          <w:rFonts w:ascii="Arial" w:hAnsi="Arial" w:cs="Arial"/>
        </w:rPr>
        <w:t>e)</w:t>
      </w:r>
    </w:p>
    <w:p w14:paraId="501F6911" w14:textId="77777777" w:rsidR="00662EE1" w:rsidRPr="00EE4B03" w:rsidRDefault="00662EE1" w:rsidP="00662EE1">
      <w:pPr>
        <w:pStyle w:val="ListParagraph"/>
        <w:widowControl w:val="0"/>
        <w:numPr>
          <w:ilvl w:val="0"/>
          <w:numId w:val="13"/>
        </w:numPr>
        <w:spacing w:after="0"/>
        <w:contextualSpacing w:val="0"/>
        <w:textAlignment w:val="center"/>
        <w:rPr>
          <w:rFonts w:ascii="Arial" w:hAnsi="Arial" w:cs="Arial"/>
        </w:rPr>
      </w:pPr>
      <w:r w:rsidRPr="00EE4B03">
        <w:rPr>
          <w:rFonts w:ascii="Arial" w:hAnsi="Arial" w:cs="Arial"/>
        </w:rPr>
        <w:t>Indirect abatement (MtCO</w:t>
      </w:r>
      <w:r w:rsidRPr="00E655AE">
        <w:rPr>
          <w:rFonts w:ascii="Arial" w:hAnsi="Arial" w:cs="Arial"/>
          <w:vertAlign w:val="subscript"/>
        </w:rPr>
        <w:t>2</w:t>
      </w:r>
      <w:r w:rsidRPr="00EE4B03">
        <w:rPr>
          <w:rFonts w:ascii="Arial" w:hAnsi="Arial" w:cs="Arial"/>
        </w:rPr>
        <w:t>e)</w:t>
      </w:r>
    </w:p>
    <w:p w14:paraId="600E9B93" w14:textId="77777777" w:rsidR="00662EE1" w:rsidRPr="00EE4B03" w:rsidRDefault="00662EE1" w:rsidP="00662EE1">
      <w:pPr>
        <w:pStyle w:val="ListParagraph"/>
        <w:widowControl w:val="0"/>
        <w:numPr>
          <w:ilvl w:val="0"/>
          <w:numId w:val="13"/>
        </w:numPr>
        <w:spacing w:after="0"/>
        <w:contextualSpacing w:val="0"/>
        <w:textAlignment w:val="center"/>
        <w:rPr>
          <w:rFonts w:ascii="Arial" w:hAnsi="Arial" w:cs="Arial"/>
        </w:rPr>
      </w:pPr>
      <w:r w:rsidRPr="00EE4B03">
        <w:rPr>
          <w:rFonts w:ascii="Arial" w:hAnsi="Arial" w:cs="Arial"/>
        </w:rPr>
        <w:t>Unit abatement cost (£/tCO</w:t>
      </w:r>
      <w:r w:rsidRPr="00E655AE">
        <w:rPr>
          <w:rFonts w:ascii="Arial" w:hAnsi="Arial" w:cs="Arial"/>
          <w:vertAlign w:val="subscript"/>
        </w:rPr>
        <w:t>2</w:t>
      </w:r>
      <w:r w:rsidRPr="00EE4B03">
        <w:rPr>
          <w:rFonts w:ascii="Arial" w:hAnsi="Arial" w:cs="Arial"/>
        </w:rPr>
        <w:t xml:space="preserve">e) including sensitivities on fossil fuel price and technology cost (split into capex, </w:t>
      </w:r>
      <w:proofErr w:type="spellStart"/>
      <w:r w:rsidRPr="00EE4B03">
        <w:rPr>
          <w:rFonts w:ascii="Arial" w:hAnsi="Arial" w:cs="Arial"/>
        </w:rPr>
        <w:t>opex</w:t>
      </w:r>
      <w:proofErr w:type="spellEnd"/>
      <w:r w:rsidRPr="00EE4B03">
        <w:rPr>
          <w:rFonts w:ascii="Arial" w:hAnsi="Arial" w:cs="Arial"/>
        </w:rPr>
        <w:t>, fuel costs and costs of capital etc.)</w:t>
      </w:r>
    </w:p>
    <w:p w14:paraId="2B732D8C" w14:textId="77777777" w:rsidR="00662EE1" w:rsidRPr="00EE4B03" w:rsidRDefault="00662EE1" w:rsidP="00662EE1">
      <w:pPr>
        <w:pStyle w:val="ListParagraph"/>
        <w:widowControl w:val="0"/>
        <w:numPr>
          <w:ilvl w:val="0"/>
          <w:numId w:val="13"/>
        </w:numPr>
        <w:spacing w:after="0"/>
        <w:contextualSpacing w:val="0"/>
        <w:textAlignment w:val="center"/>
        <w:rPr>
          <w:rFonts w:ascii="Arial" w:hAnsi="Arial" w:cs="Arial"/>
        </w:rPr>
      </w:pPr>
      <w:r w:rsidRPr="00EE4B03">
        <w:rPr>
          <w:rFonts w:ascii="Arial" w:hAnsi="Arial" w:cs="Arial"/>
        </w:rPr>
        <w:t>Change in energy demand for all relevant energy sources (including increases and decreases in electricity use, rather than just the net impact)</w:t>
      </w:r>
    </w:p>
    <w:p w14:paraId="7CA710D9" w14:textId="77777777" w:rsidR="00662EE1" w:rsidRPr="00EE4B03" w:rsidRDefault="00662EE1" w:rsidP="00662EE1">
      <w:pPr>
        <w:widowControl w:val="0"/>
        <w:textAlignment w:val="center"/>
        <w:rPr>
          <w:rFonts w:ascii="Arial" w:hAnsi="Arial" w:cs="Arial"/>
        </w:rPr>
      </w:pPr>
    </w:p>
    <w:p w14:paraId="303E4F7E" w14:textId="77777777" w:rsidR="00662EE1" w:rsidRPr="00EE4B03" w:rsidRDefault="00662EE1" w:rsidP="00662EE1">
      <w:pPr>
        <w:pStyle w:val="ListParagraph"/>
        <w:widowControl w:val="0"/>
        <w:spacing w:after="0"/>
        <w:ind w:left="714"/>
        <w:contextualSpacing w:val="0"/>
        <w:textAlignment w:val="center"/>
        <w:rPr>
          <w:rFonts w:ascii="Arial" w:hAnsi="Arial" w:cs="Arial"/>
        </w:rPr>
      </w:pPr>
      <w:r w:rsidRPr="00EE4B03">
        <w:rPr>
          <w:rFonts w:ascii="Arial" w:hAnsi="Arial" w:cs="Arial"/>
        </w:rPr>
        <w:t xml:space="preserve">In order to do so, comparison against the counterfactual developed in task B will be necessary. </w:t>
      </w:r>
    </w:p>
    <w:p w14:paraId="617C5596" w14:textId="77777777" w:rsidR="00662EE1" w:rsidRPr="00EE4B03" w:rsidRDefault="00662EE1" w:rsidP="00662EE1">
      <w:pPr>
        <w:pStyle w:val="ListParagraph"/>
        <w:widowControl w:val="0"/>
        <w:spacing w:after="0"/>
        <w:ind w:left="714"/>
        <w:contextualSpacing w:val="0"/>
        <w:textAlignment w:val="center"/>
        <w:rPr>
          <w:rFonts w:ascii="Arial" w:hAnsi="Arial" w:cs="Arial"/>
          <w:color w:val="000000"/>
        </w:rPr>
      </w:pPr>
    </w:p>
    <w:p w14:paraId="79EC39E6" w14:textId="6CF89FD3" w:rsidR="00662EE1" w:rsidRPr="00EE4B03" w:rsidRDefault="00662EE1" w:rsidP="00662EE1">
      <w:pPr>
        <w:pStyle w:val="ListParagraph"/>
        <w:widowControl w:val="0"/>
        <w:spacing w:after="0"/>
        <w:ind w:left="714"/>
        <w:contextualSpacing w:val="0"/>
        <w:textAlignment w:val="center"/>
        <w:rPr>
          <w:rFonts w:ascii="Arial" w:hAnsi="Arial" w:cs="Arial"/>
        </w:rPr>
      </w:pPr>
      <w:r w:rsidRPr="00EE4B03">
        <w:rPr>
          <w:rFonts w:ascii="Arial" w:hAnsi="Arial" w:cs="Arial"/>
          <w:color w:val="000000"/>
        </w:rPr>
        <w:t xml:space="preserve">For an example of the template format that will need to be </w:t>
      </w:r>
      <w:r w:rsidRPr="00EE4B03">
        <w:rPr>
          <w:rFonts w:ascii="Arial" w:hAnsi="Arial" w:cs="Arial"/>
          <w:color w:val="000000"/>
        </w:rPr>
        <w:lastRenderedPageBreak/>
        <w:t xml:space="preserve">followed, please see the Fifth Carbon Budget Central </w:t>
      </w:r>
      <w:r w:rsidRPr="00EE4B03">
        <w:rPr>
          <w:rFonts w:ascii="Arial" w:hAnsi="Arial" w:cs="Arial"/>
        </w:rPr>
        <w:t>Scenario</w:t>
      </w:r>
      <w:r w:rsidRPr="00EE4B03">
        <w:rPr>
          <w:rFonts w:ascii="Arial" w:hAnsi="Arial" w:cs="Arial"/>
          <w:color w:val="000000"/>
        </w:rPr>
        <w:t xml:space="preserve"> Dataset.</w:t>
      </w:r>
      <w:r w:rsidRPr="00EE4B03">
        <w:rPr>
          <w:rStyle w:val="FootnoteReference"/>
          <w:rFonts w:ascii="Arial" w:hAnsi="Arial" w:cs="Arial"/>
          <w:color w:val="000000"/>
        </w:rPr>
        <w:footnoteReference w:id="28"/>
      </w:r>
      <w:r w:rsidRPr="00EE4B03">
        <w:rPr>
          <w:rFonts w:ascii="Arial" w:hAnsi="Arial" w:cs="Arial"/>
          <w:color w:val="000000"/>
        </w:rPr>
        <w:t xml:space="preserve"> The </w:t>
      </w:r>
      <w:r w:rsidRPr="00EE4B03">
        <w:rPr>
          <w:rFonts w:ascii="Arial" w:hAnsi="Arial" w:cs="Arial"/>
        </w:rPr>
        <w:t xml:space="preserve">data will need to be presented on both an aggregate basis and separated out by </w:t>
      </w:r>
      <w:r w:rsidR="00212EED">
        <w:rPr>
          <w:rFonts w:ascii="Arial" w:hAnsi="Arial" w:cs="Arial"/>
        </w:rPr>
        <w:t>Devolved Administration</w:t>
      </w:r>
      <w:r w:rsidRPr="00EE4B03">
        <w:rPr>
          <w:rFonts w:ascii="Arial" w:hAnsi="Arial" w:cs="Arial"/>
        </w:rPr>
        <w:t>.</w:t>
      </w:r>
      <w:r w:rsidRPr="00EE4B03">
        <w:rPr>
          <w:rFonts w:ascii="Arial" w:hAnsi="Arial" w:cs="Arial"/>
          <w:color w:val="000000"/>
        </w:rPr>
        <w:t xml:space="preserve"> </w:t>
      </w:r>
    </w:p>
    <w:p w14:paraId="767627A9" w14:textId="77777777" w:rsidR="00662EE1" w:rsidRPr="00EE4B03" w:rsidRDefault="00662EE1" w:rsidP="00662EE1">
      <w:pPr>
        <w:widowControl w:val="0"/>
        <w:textAlignment w:val="center"/>
        <w:rPr>
          <w:rFonts w:ascii="Arial" w:hAnsi="Arial" w:cs="Arial"/>
        </w:rPr>
      </w:pPr>
    </w:p>
    <w:p w14:paraId="2DDC6905" w14:textId="77777777" w:rsidR="00662EE1" w:rsidRPr="00EE4B03" w:rsidRDefault="00662EE1" w:rsidP="00662EE1">
      <w:pPr>
        <w:pStyle w:val="ListParagraph"/>
        <w:widowControl w:val="0"/>
        <w:spacing w:after="0"/>
        <w:ind w:left="714"/>
        <w:contextualSpacing w:val="0"/>
        <w:textAlignment w:val="center"/>
        <w:rPr>
          <w:rFonts w:ascii="Arial" w:hAnsi="Arial" w:cs="Arial"/>
        </w:rPr>
      </w:pPr>
      <w:r w:rsidRPr="00EE4B03">
        <w:rPr>
          <w:rFonts w:ascii="Arial" w:hAnsi="Arial" w:cs="Arial"/>
        </w:rPr>
        <w:t xml:space="preserve">Alongside the scenarios, the final report will need to include discussion of the policy measures which would be necessary to support these scenarios, including what policy measures could be instigated to achieve decarbonisation at a faster rate. </w:t>
      </w:r>
    </w:p>
    <w:p w14:paraId="7BB5AA92" w14:textId="77777777" w:rsidR="00662EE1" w:rsidRPr="00EE4B03" w:rsidRDefault="00662EE1" w:rsidP="00662EE1">
      <w:pPr>
        <w:pStyle w:val="ListParagraph"/>
        <w:widowControl w:val="0"/>
        <w:spacing w:after="0"/>
        <w:ind w:left="714"/>
        <w:contextualSpacing w:val="0"/>
        <w:textAlignment w:val="center"/>
        <w:rPr>
          <w:rFonts w:ascii="Arial" w:hAnsi="Arial" w:cs="Arial"/>
        </w:rPr>
      </w:pPr>
    </w:p>
    <w:p w14:paraId="5EA8755D" w14:textId="50022C09" w:rsidR="004B3AD5" w:rsidRPr="00EE4B03" w:rsidRDefault="00662EE1" w:rsidP="00662EE1">
      <w:pPr>
        <w:pStyle w:val="ListParagraph"/>
        <w:widowControl w:val="0"/>
        <w:spacing w:after="0"/>
        <w:ind w:left="714"/>
        <w:contextualSpacing w:val="0"/>
        <w:textAlignment w:val="center"/>
        <w:rPr>
          <w:rFonts w:ascii="Arial" w:hAnsi="Arial" w:cs="Arial"/>
          <w:szCs w:val="24"/>
        </w:rPr>
      </w:pPr>
      <w:r w:rsidRPr="00EE4B03">
        <w:rPr>
          <w:rFonts w:ascii="Arial" w:hAnsi="Arial" w:cs="Arial"/>
        </w:rPr>
        <w:t>All analysis will need to be fully quality assured by an independent person not directly involved in the work, with quality assurance fully documented. See section 6 for further discussion.</w:t>
      </w:r>
    </w:p>
    <w:p w14:paraId="5EA8755E" w14:textId="77777777" w:rsidR="0034658D" w:rsidRPr="00EE4B03" w:rsidRDefault="0034658D">
      <w:pPr>
        <w:pStyle w:val="Heading1"/>
        <w:numPr>
          <w:ilvl w:val="0"/>
          <w:numId w:val="3"/>
        </w:numPr>
        <w:rPr>
          <w:rFonts w:ascii="Arial" w:hAnsi="Arial" w:cs="Arial"/>
          <w:sz w:val="24"/>
          <w:szCs w:val="24"/>
        </w:rPr>
      </w:pPr>
      <w:bookmarkStart w:id="16" w:name="_Ref357541705"/>
      <w:bookmarkStart w:id="17" w:name="_Toc381969510"/>
      <w:bookmarkStart w:id="18" w:name="_Toc405888459"/>
      <w:bookmarkStart w:id="19" w:name="_Toc530496754"/>
      <w:r w:rsidRPr="00EE4B03">
        <w:rPr>
          <w:rFonts w:ascii="Arial" w:hAnsi="Arial" w:cs="Arial"/>
          <w:sz w:val="24"/>
          <w:szCs w:val="24"/>
        </w:rPr>
        <w:t xml:space="preserve">Outputs </w:t>
      </w:r>
      <w:r w:rsidR="00104197" w:rsidRPr="00EE4B03">
        <w:rPr>
          <w:rFonts w:ascii="Arial" w:hAnsi="Arial" w:cs="Arial"/>
          <w:sz w:val="24"/>
          <w:szCs w:val="24"/>
        </w:rPr>
        <w:t>Required</w:t>
      </w:r>
      <w:bookmarkEnd w:id="16"/>
      <w:bookmarkEnd w:id="17"/>
      <w:bookmarkEnd w:id="18"/>
      <w:bookmarkEnd w:id="19"/>
    </w:p>
    <w:p w14:paraId="15115440" w14:textId="77777777" w:rsidR="00DD521A" w:rsidRPr="00955B41" w:rsidRDefault="00DD521A" w:rsidP="00DD521A">
      <w:pPr>
        <w:pStyle w:val="Norma"/>
        <w:rPr>
          <w:rFonts w:cs="Arial"/>
        </w:rPr>
      </w:pPr>
    </w:p>
    <w:p w14:paraId="78DF9C5A" w14:textId="77777777" w:rsidR="00662EE1" w:rsidRPr="00EE4B03" w:rsidRDefault="00662EE1" w:rsidP="00662EE1">
      <w:pPr>
        <w:widowControl w:val="0"/>
        <w:spacing w:line="276" w:lineRule="auto"/>
        <w:textAlignment w:val="center"/>
        <w:rPr>
          <w:rFonts w:ascii="Arial" w:hAnsi="Arial" w:cs="Arial"/>
          <w:color w:val="000000"/>
          <w:sz w:val="22"/>
          <w:szCs w:val="22"/>
        </w:rPr>
      </w:pPr>
      <w:r w:rsidRPr="00EE4B03">
        <w:rPr>
          <w:rFonts w:ascii="Arial" w:hAnsi="Arial" w:cs="Arial"/>
          <w:color w:val="000000"/>
          <w:sz w:val="22"/>
          <w:szCs w:val="22"/>
        </w:rPr>
        <w:t>The outputs of the work should include:</w:t>
      </w:r>
    </w:p>
    <w:p w14:paraId="357E1E69" w14:textId="77777777" w:rsidR="00662EE1" w:rsidRPr="00EE4B03" w:rsidRDefault="00662EE1" w:rsidP="00662EE1">
      <w:pPr>
        <w:widowControl w:val="0"/>
        <w:spacing w:line="276" w:lineRule="auto"/>
        <w:textAlignment w:val="center"/>
        <w:rPr>
          <w:rFonts w:ascii="Arial" w:hAnsi="Arial" w:cs="Arial"/>
          <w:color w:val="000000"/>
          <w:sz w:val="22"/>
          <w:szCs w:val="22"/>
        </w:rPr>
      </w:pPr>
    </w:p>
    <w:p w14:paraId="42616368" w14:textId="77777777" w:rsidR="00662EE1" w:rsidRPr="00EE4B03" w:rsidRDefault="00662EE1" w:rsidP="00662EE1">
      <w:pPr>
        <w:pStyle w:val="ListParagraph"/>
        <w:widowControl w:val="0"/>
        <w:numPr>
          <w:ilvl w:val="0"/>
          <w:numId w:val="15"/>
        </w:numPr>
        <w:textAlignment w:val="center"/>
        <w:rPr>
          <w:rFonts w:ascii="Arial" w:hAnsi="Arial" w:cs="Arial"/>
          <w:color w:val="000000"/>
        </w:rPr>
      </w:pPr>
      <w:r w:rsidRPr="00EE4B03">
        <w:rPr>
          <w:rFonts w:ascii="Arial" w:hAnsi="Arial" w:cs="Arial"/>
          <w:b/>
          <w:color w:val="000000"/>
        </w:rPr>
        <w:lastRenderedPageBreak/>
        <w:t>An excel workbook</w:t>
      </w:r>
      <w:r w:rsidRPr="00EE4B03">
        <w:rPr>
          <w:rFonts w:ascii="Arial" w:hAnsi="Arial" w:cs="Arial"/>
          <w:color w:val="000000"/>
        </w:rPr>
        <w:t xml:space="preserve">, containing the scenarios, a detailed assumptions log (including ranges on key data items where required to test sensitivities and deliver robust conclusions), and detailed modelling outputs that underpin the scenarios. This should be clearly set out and formatted, maximising ease of future use and reference for users not directly involved in the work. Cells should be linked and spreadsheets should be unlocked. </w:t>
      </w:r>
    </w:p>
    <w:p w14:paraId="2D2F6EA4" w14:textId="77777777" w:rsidR="00662EE1" w:rsidRPr="00EE4B03" w:rsidRDefault="00662EE1" w:rsidP="00662EE1">
      <w:pPr>
        <w:pStyle w:val="ListParagraph"/>
        <w:widowControl w:val="0"/>
        <w:numPr>
          <w:ilvl w:val="0"/>
          <w:numId w:val="15"/>
        </w:numPr>
        <w:textAlignment w:val="center"/>
        <w:rPr>
          <w:rFonts w:ascii="Arial" w:hAnsi="Arial" w:cs="Arial"/>
          <w:color w:val="000000"/>
        </w:rPr>
      </w:pPr>
      <w:r w:rsidRPr="00EE4B03">
        <w:rPr>
          <w:rFonts w:ascii="Arial" w:hAnsi="Arial" w:cs="Arial"/>
          <w:b/>
          <w:color w:val="000000"/>
        </w:rPr>
        <w:t xml:space="preserve">Associated models. </w:t>
      </w:r>
      <w:r w:rsidRPr="00EE4B03">
        <w:rPr>
          <w:rFonts w:ascii="Arial" w:hAnsi="Arial" w:cs="Arial"/>
          <w:color w:val="000000"/>
        </w:rPr>
        <w:t>Where excel models are used these should be shared, fully unlocked and linked to rest of the excel workbook deliverable above, allowing future capability to update assumptions and re-run outputs. Where alternative modelling software is used (e.g. the NHM, building physics packages) any relevant inputs such as scripts, stock and model version should be shared. In the event of any limitations on sharing, these should be specified as part of the tender.</w:t>
      </w:r>
    </w:p>
    <w:p w14:paraId="5EA8755F" w14:textId="3F356CA3" w:rsidR="00A469D8" w:rsidRPr="00EE4B03" w:rsidRDefault="00662EE1" w:rsidP="00662EE1">
      <w:pPr>
        <w:pStyle w:val="ListParagraph"/>
        <w:widowControl w:val="0"/>
        <w:numPr>
          <w:ilvl w:val="0"/>
          <w:numId w:val="15"/>
        </w:numPr>
        <w:textAlignment w:val="center"/>
        <w:rPr>
          <w:rFonts w:ascii="Arial" w:hAnsi="Arial" w:cs="Arial"/>
          <w:color w:val="000000"/>
        </w:rPr>
      </w:pPr>
      <w:r w:rsidRPr="00EE4B03">
        <w:rPr>
          <w:rFonts w:ascii="Arial" w:hAnsi="Arial" w:cs="Arial"/>
          <w:b/>
          <w:color w:val="000000"/>
        </w:rPr>
        <w:t xml:space="preserve">A report, </w:t>
      </w:r>
      <w:r w:rsidRPr="00EE4B03">
        <w:rPr>
          <w:rFonts w:ascii="Arial" w:hAnsi="Arial" w:cs="Arial"/>
          <w:color w:val="000000"/>
        </w:rPr>
        <w:t xml:space="preserve">setting out the scope of work, methodology and findings. This report should also include discussion of the policy measures needed to support the delivery of the scenarios. </w:t>
      </w:r>
    </w:p>
    <w:p w14:paraId="5EA87560" w14:textId="77777777" w:rsidR="00936F29" w:rsidRPr="00EE4B03" w:rsidRDefault="00F042F9" w:rsidP="00662EE1">
      <w:pPr>
        <w:pStyle w:val="Heading1"/>
        <w:numPr>
          <w:ilvl w:val="0"/>
          <w:numId w:val="3"/>
        </w:numPr>
        <w:rPr>
          <w:rFonts w:ascii="Arial" w:hAnsi="Arial" w:cs="Arial"/>
          <w:sz w:val="24"/>
          <w:szCs w:val="24"/>
        </w:rPr>
      </w:pPr>
      <w:bookmarkStart w:id="20" w:name="_Toc381969511"/>
      <w:bookmarkStart w:id="21" w:name="_Toc405888460"/>
      <w:bookmarkStart w:id="22" w:name="_Toc530496755"/>
      <w:bookmarkStart w:id="23" w:name="_Ref373505205"/>
      <w:bookmarkStart w:id="24" w:name="_Ref357541720"/>
      <w:r w:rsidRPr="00EE4B03">
        <w:rPr>
          <w:rFonts w:ascii="Arial" w:hAnsi="Arial" w:cs="Arial"/>
          <w:sz w:val="24"/>
          <w:szCs w:val="24"/>
        </w:rPr>
        <w:lastRenderedPageBreak/>
        <w:t>O</w:t>
      </w:r>
      <w:r w:rsidR="006700D3" w:rsidRPr="00EE4B03">
        <w:rPr>
          <w:rFonts w:ascii="Arial" w:hAnsi="Arial" w:cs="Arial"/>
          <w:sz w:val="24"/>
          <w:szCs w:val="24"/>
        </w:rPr>
        <w:t>wnership and Publication</w:t>
      </w:r>
      <w:bookmarkEnd w:id="20"/>
      <w:bookmarkEnd w:id="21"/>
      <w:bookmarkEnd w:id="22"/>
    </w:p>
    <w:p w14:paraId="7DD79DA8" w14:textId="77777777" w:rsidR="00DD521A" w:rsidRPr="00955B41" w:rsidRDefault="00DD521A" w:rsidP="00DD521A">
      <w:pPr>
        <w:pStyle w:val="Norma"/>
        <w:rPr>
          <w:rFonts w:cs="Arial"/>
        </w:rPr>
      </w:pPr>
    </w:p>
    <w:p w14:paraId="53C8200E" w14:textId="474D3CAE" w:rsidR="00DD521A" w:rsidRPr="00EE4B03" w:rsidRDefault="00662EE1" w:rsidP="00662EE1">
      <w:pPr>
        <w:pStyle w:val="Norma1"/>
        <w:spacing w:line="276" w:lineRule="auto"/>
        <w:rPr>
          <w:rFonts w:cs="Arial"/>
          <w:color w:val="000000" w:themeColor="text1"/>
        </w:rPr>
      </w:pPr>
      <w:r w:rsidRPr="00EE4B03">
        <w:rPr>
          <w:rFonts w:cs="Arial"/>
          <w:color w:val="000000" w:themeColor="text1"/>
        </w:rPr>
        <w:t>The key deliverables will be handed over to the CCC, who may choose to publish these as supporting evidence on their website. Spreadsheets should be open access and unrestricted, to enable full QA of results and assumptions.</w:t>
      </w:r>
    </w:p>
    <w:p w14:paraId="5EA87562" w14:textId="77777777" w:rsidR="006700D3" w:rsidRPr="00EE4B03" w:rsidRDefault="00936F29" w:rsidP="00662EE1">
      <w:pPr>
        <w:pStyle w:val="Heading1"/>
        <w:numPr>
          <w:ilvl w:val="0"/>
          <w:numId w:val="3"/>
        </w:numPr>
        <w:rPr>
          <w:rFonts w:ascii="Arial" w:hAnsi="Arial" w:cs="Arial"/>
          <w:sz w:val="24"/>
          <w:szCs w:val="24"/>
        </w:rPr>
      </w:pPr>
      <w:bookmarkStart w:id="25" w:name="_Toc530496756"/>
      <w:r w:rsidRPr="00EE4B03">
        <w:rPr>
          <w:rFonts w:ascii="Arial" w:hAnsi="Arial" w:cs="Arial"/>
          <w:sz w:val="24"/>
          <w:szCs w:val="24"/>
        </w:rPr>
        <w:t>Quality Assurance</w:t>
      </w:r>
      <w:bookmarkEnd w:id="25"/>
      <w:r w:rsidR="00AB7905" w:rsidRPr="00EE4B03">
        <w:rPr>
          <w:rFonts w:ascii="Arial" w:hAnsi="Arial" w:cs="Arial"/>
          <w:sz w:val="24"/>
          <w:szCs w:val="24"/>
        </w:rPr>
        <w:t xml:space="preserve"> </w:t>
      </w:r>
      <w:bookmarkEnd w:id="23"/>
    </w:p>
    <w:p w14:paraId="7C05295D" w14:textId="77777777" w:rsidR="00DD521A" w:rsidRPr="00955B41" w:rsidRDefault="00DD521A" w:rsidP="00DD521A">
      <w:pPr>
        <w:pStyle w:val="Norma"/>
        <w:rPr>
          <w:rFonts w:cs="Arial"/>
        </w:rPr>
      </w:pPr>
    </w:p>
    <w:p w14:paraId="697CDF90" w14:textId="77777777" w:rsidR="00662EE1" w:rsidRPr="00EE4B03" w:rsidRDefault="00662EE1" w:rsidP="00662EE1">
      <w:pPr>
        <w:pStyle w:val="BodyText"/>
        <w:widowControl w:val="0"/>
        <w:spacing w:line="276" w:lineRule="auto"/>
        <w:jc w:val="left"/>
        <w:rPr>
          <w:rFonts w:ascii="Arial" w:eastAsia="Calibri" w:hAnsi="Arial" w:cs="Arial"/>
          <w:color w:val="000000"/>
          <w:sz w:val="22"/>
          <w:szCs w:val="24"/>
          <w:lang w:eastAsia="en-GB"/>
        </w:rPr>
      </w:pPr>
      <w:r w:rsidRPr="00EE4B03">
        <w:rPr>
          <w:rFonts w:ascii="Arial" w:eastAsia="Calibri" w:hAnsi="Arial" w:cs="Arial"/>
          <w:color w:val="000000"/>
          <w:sz w:val="22"/>
          <w:szCs w:val="24"/>
          <w:lang w:eastAsia="en-GB"/>
        </w:rPr>
        <w:t xml:space="preserve">This project must comply with the ‘CCC – Quality Assurance of Evidence and Analysis’ guidance and bidders must set out their approach to quality assurance in their response to this ITT.  </w:t>
      </w:r>
    </w:p>
    <w:p w14:paraId="76997D70" w14:textId="77777777" w:rsidR="00662EE1" w:rsidRPr="00EE4B03" w:rsidRDefault="00662EE1" w:rsidP="00662EE1">
      <w:pPr>
        <w:pStyle w:val="BodyText"/>
        <w:widowControl w:val="0"/>
        <w:spacing w:line="276" w:lineRule="auto"/>
        <w:jc w:val="left"/>
        <w:rPr>
          <w:rFonts w:ascii="Arial" w:eastAsia="Calibri" w:hAnsi="Arial" w:cs="Arial"/>
          <w:color w:val="000000"/>
          <w:sz w:val="22"/>
          <w:szCs w:val="24"/>
          <w:lang w:eastAsia="en-GB"/>
        </w:rPr>
      </w:pPr>
    </w:p>
    <w:p w14:paraId="796E21A1" w14:textId="77777777" w:rsidR="00662EE1" w:rsidRPr="00EE4B03" w:rsidRDefault="00662EE1" w:rsidP="00662EE1">
      <w:pPr>
        <w:pStyle w:val="BodyText"/>
        <w:widowControl w:val="0"/>
        <w:spacing w:line="276" w:lineRule="auto"/>
        <w:jc w:val="left"/>
        <w:rPr>
          <w:rFonts w:ascii="Arial" w:hAnsi="Arial" w:cs="Arial"/>
          <w:color w:val="000000"/>
          <w:sz w:val="22"/>
          <w:szCs w:val="24"/>
        </w:rPr>
      </w:pPr>
      <w:r w:rsidRPr="00EE4B03">
        <w:rPr>
          <w:rFonts w:ascii="Arial" w:hAnsi="Arial" w:cs="Arial"/>
          <w:color w:val="000000"/>
          <w:sz w:val="22"/>
          <w:szCs w:val="24"/>
        </w:rPr>
        <w:t xml:space="preserve">All research tasks and modelling must be quality assured and documented. Contractors should: </w:t>
      </w:r>
    </w:p>
    <w:p w14:paraId="110D05B7" w14:textId="77777777" w:rsidR="00662EE1" w:rsidRPr="00EE4B03" w:rsidRDefault="00662EE1" w:rsidP="00662EE1">
      <w:pPr>
        <w:pStyle w:val="BodyText"/>
        <w:widowControl w:val="0"/>
        <w:spacing w:line="276" w:lineRule="auto"/>
        <w:jc w:val="left"/>
        <w:rPr>
          <w:rFonts w:ascii="Arial" w:hAnsi="Arial" w:cs="Arial"/>
          <w:color w:val="000000"/>
          <w:sz w:val="22"/>
          <w:szCs w:val="24"/>
        </w:rPr>
      </w:pPr>
    </w:p>
    <w:p w14:paraId="3BA10A6F" w14:textId="77777777" w:rsidR="00662EE1" w:rsidRPr="00EE4B03" w:rsidRDefault="00662EE1" w:rsidP="00662EE1">
      <w:pPr>
        <w:pStyle w:val="BodyText"/>
        <w:widowControl w:val="0"/>
        <w:numPr>
          <w:ilvl w:val="0"/>
          <w:numId w:val="16"/>
        </w:numPr>
        <w:spacing w:line="276" w:lineRule="auto"/>
        <w:jc w:val="left"/>
        <w:rPr>
          <w:rFonts w:ascii="Arial" w:hAnsi="Arial" w:cs="Arial"/>
          <w:color w:val="000000"/>
          <w:sz w:val="22"/>
          <w:szCs w:val="24"/>
        </w:rPr>
      </w:pPr>
      <w:r w:rsidRPr="00EE4B03">
        <w:rPr>
          <w:rFonts w:ascii="Arial" w:hAnsi="Arial" w:cs="Arial"/>
          <w:color w:val="000000"/>
          <w:sz w:val="22"/>
          <w:szCs w:val="24"/>
        </w:rPr>
        <w:t xml:space="preserve">Include a quality assurance (QA) plan that they will apply to all of the research tasks and modelling, </w:t>
      </w:r>
    </w:p>
    <w:p w14:paraId="2C1A0CB5" w14:textId="77777777" w:rsidR="00662EE1" w:rsidRPr="00EE4B03" w:rsidRDefault="00662EE1" w:rsidP="00662EE1">
      <w:pPr>
        <w:pStyle w:val="BodyText"/>
        <w:widowControl w:val="0"/>
        <w:numPr>
          <w:ilvl w:val="0"/>
          <w:numId w:val="16"/>
        </w:numPr>
        <w:spacing w:line="276" w:lineRule="auto"/>
        <w:jc w:val="left"/>
        <w:rPr>
          <w:rFonts w:ascii="Arial" w:hAnsi="Arial" w:cs="Arial"/>
          <w:color w:val="000000"/>
          <w:sz w:val="22"/>
          <w:szCs w:val="24"/>
          <w:lang w:eastAsia="en-GB"/>
        </w:rPr>
      </w:pPr>
      <w:r w:rsidRPr="00EE4B03">
        <w:rPr>
          <w:rFonts w:ascii="Arial" w:hAnsi="Arial" w:cs="Arial"/>
          <w:color w:val="000000"/>
          <w:sz w:val="22"/>
          <w:szCs w:val="24"/>
          <w:lang w:eastAsia="en-GB"/>
        </w:rPr>
        <w:t>Specify who will be responsible for quality assurance and ensure that this is done by individuals who were not directly involved in the research, analysis or model development,</w:t>
      </w:r>
    </w:p>
    <w:p w14:paraId="7E66410F" w14:textId="0C5F581F" w:rsidR="00662EE1" w:rsidRPr="00EE4B03" w:rsidRDefault="00662EE1" w:rsidP="00662EE1">
      <w:pPr>
        <w:pStyle w:val="BodyText"/>
        <w:widowControl w:val="0"/>
        <w:numPr>
          <w:ilvl w:val="0"/>
          <w:numId w:val="16"/>
        </w:numPr>
        <w:spacing w:line="276" w:lineRule="auto"/>
        <w:jc w:val="left"/>
        <w:rPr>
          <w:rFonts w:ascii="Arial" w:hAnsi="Arial" w:cs="Arial"/>
          <w:color w:val="000000"/>
          <w:sz w:val="22"/>
          <w:szCs w:val="24"/>
        </w:rPr>
      </w:pPr>
      <w:r w:rsidRPr="00EE4B03">
        <w:rPr>
          <w:rFonts w:ascii="Arial" w:hAnsi="Arial" w:cs="Arial"/>
          <w:color w:val="000000"/>
          <w:sz w:val="22"/>
          <w:szCs w:val="24"/>
        </w:rPr>
        <w:t xml:space="preserve">Provide </w:t>
      </w:r>
      <w:r w:rsidR="00D11CB1">
        <w:rPr>
          <w:rFonts w:ascii="Arial" w:hAnsi="Arial" w:cs="Arial"/>
          <w:color w:val="000000"/>
          <w:sz w:val="22"/>
          <w:szCs w:val="24"/>
        </w:rPr>
        <w:t xml:space="preserve">a </w:t>
      </w:r>
      <w:r w:rsidRPr="00EE4B03">
        <w:rPr>
          <w:rFonts w:ascii="Arial" w:hAnsi="Arial" w:cs="Arial"/>
          <w:color w:val="000000"/>
          <w:sz w:val="22"/>
          <w:szCs w:val="24"/>
        </w:rPr>
        <w:t xml:space="preserve">QA log to demonstrate the QA undertaken, including who undertook the QA and the scope, type and level of </w:t>
      </w:r>
      <w:r w:rsidRPr="00EE4B03">
        <w:rPr>
          <w:rFonts w:ascii="Arial" w:hAnsi="Arial" w:cs="Arial"/>
          <w:color w:val="000000"/>
          <w:sz w:val="22"/>
          <w:szCs w:val="24"/>
        </w:rPr>
        <w:lastRenderedPageBreak/>
        <w:t>QA that has been undertaken (e.g. a log entry only stating ‘the data was checked’ will not be sufficient)</w:t>
      </w:r>
      <w:r w:rsidRPr="00EE4B03">
        <w:rPr>
          <w:rFonts w:ascii="Arial" w:hAnsi="Arial" w:cs="Arial"/>
          <w:color w:val="000000"/>
          <w:sz w:val="22"/>
          <w:szCs w:val="24"/>
          <w:lang w:eastAsia="en-GB"/>
        </w:rPr>
        <w:t xml:space="preserve"> </w:t>
      </w:r>
    </w:p>
    <w:p w14:paraId="33DADD54" w14:textId="77777777" w:rsidR="00662EE1" w:rsidRPr="00EE4B03" w:rsidRDefault="00662EE1" w:rsidP="00662EE1">
      <w:pPr>
        <w:pStyle w:val="BodyText"/>
        <w:spacing w:line="276" w:lineRule="auto"/>
        <w:jc w:val="left"/>
        <w:rPr>
          <w:rFonts w:ascii="Arial" w:hAnsi="Arial" w:cs="Arial"/>
          <w:color w:val="000000"/>
          <w:sz w:val="22"/>
          <w:szCs w:val="24"/>
        </w:rPr>
      </w:pPr>
    </w:p>
    <w:p w14:paraId="6E69A32C" w14:textId="77777777" w:rsidR="00662EE1" w:rsidRPr="00EE4B03" w:rsidRDefault="00662EE1" w:rsidP="00662EE1">
      <w:pPr>
        <w:pStyle w:val="BodyText"/>
        <w:spacing w:line="276" w:lineRule="auto"/>
        <w:jc w:val="left"/>
        <w:rPr>
          <w:rFonts w:ascii="Arial" w:hAnsi="Arial" w:cs="Arial"/>
          <w:color w:val="000000"/>
          <w:sz w:val="22"/>
          <w:szCs w:val="24"/>
        </w:rPr>
      </w:pPr>
      <w:r w:rsidRPr="00EE4B03">
        <w:rPr>
          <w:rFonts w:ascii="Arial" w:hAnsi="Arial" w:cs="Arial"/>
          <w:color w:val="000000"/>
          <w:sz w:val="22"/>
          <w:szCs w:val="24"/>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65A5D002" w14:textId="77777777" w:rsidR="00662EE1" w:rsidRPr="00EE4B03" w:rsidRDefault="00662EE1" w:rsidP="00662EE1">
      <w:pPr>
        <w:pStyle w:val="BodyText"/>
        <w:spacing w:line="276" w:lineRule="auto"/>
        <w:jc w:val="left"/>
        <w:rPr>
          <w:rFonts w:ascii="Arial" w:hAnsi="Arial" w:cs="Arial"/>
          <w:color w:val="000000"/>
          <w:sz w:val="22"/>
          <w:szCs w:val="24"/>
        </w:rPr>
      </w:pPr>
    </w:p>
    <w:p w14:paraId="2529D4D7" w14:textId="77777777" w:rsidR="00662EE1" w:rsidRPr="00EE4B03" w:rsidRDefault="00662EE1" w:rsidP="00662EE1">
      <w:pPr>
        <w:pStyle w:val="BodyText"/>
        <w:spacing w:line="276" w:lineRule="auto"/>
        <w:jc w:val="left"/>
        <w:rPr>
          <w:rFonts w:ascii="Arial" w:hAnsi="Arial" w:cs="Arial"/>
          <w:color w:val="000000"/>
          <w:sz w:val="22"/>
          <w:szCs w:val="24"/>
        </w:rPr>
      </w:pPr>
      <w:r w:rsidRPr="00EE4B03">
        <w:rPr>
          <w:rFonts w:ascii="Arial" w:hAnsi="Arial" w:cs="Arial"/>
          <w:color w:val="000000"/>
          <w:sz w:val="22"/>
          <w:szCs w:val="24"/>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50D6F619" w14:textId="77777777" w:rsidR="00662EE1" w:rsidRPr="00EE4B03" w:rsidRDefault="00662EE1" w:rsidP="00662EE1">
      <w:pPr>
        <w:pStyle w:val="BodyText"/>
        <w:spacing w:line="276" w:lineRule="auto"/>
        <w:jc w:val="left"/>
        <w:rPr>
          <w:rFonts w:ascii="Arial" w:hAnsi="Arial" w:cs="Arial"/>
          <w:color w:val="000000"/>
          <w:sz w:val="22"/>
          <w:szCs w:val="24"/>
        </w:rPr>
      </w:pPr>
    </w:p>
    <w:p w14:paraId="5EA87563" w14:textId="684A9326" w:rsidR="006700D3" w:rsidRPr="00EE4B03" w:rsidRDefault="00662EE1" w:rsidP="00662EE1">
      <w:pPr>
        <w:pStyle w:val="BodyText"/>
        <w:spacing w:line="276" w:lineRule="auto"/>
        <w:jc w:val="left"/>
        <w:rPr>
          <w:rFonts w:ascii="Arial" w:hAnsi="Arial" w:cs="Arial"/>
          <w:color w:val="000000"/>
          <w:sz w:val="22"/>
          <w:szCs w:val="24"/>
        </w:rPr>
      </w:pPr>
      <w:r w:rsidRPr="00EE4B03">
        <w:rPr>
          <w:rFonts w:ascii="Arial" w:hAnsi="Arial" w:cs="Arial"/>
          <w:color w:val="000000"/>
          <w:sz w:val="22"/>
          <w:szCs w:val="24"/>
        </w:rPr>
        <w:t>For primary research, contractors should be willing to facilitate CCC research staff to attend interviews or listen in to telephone surveys as part of the quality assurance process.</w:t>
      </w:r>
    </w:p>
    <w:p w14:paraId="5EA87564" w14:textId="77777777" w:rsidR="0038006D" w:rsidRPr="00EE4B03" w:rsidRDefault="0038006D">
      <w:pPr>
        <w:pStyle w:val="Heading1"/>
        <w:numPr>
          <w:ilvl w:val="0"/>
          <w:numId w:val="3"/>
        </w:numPr>
        <w:rPr>
          <w:rFonts w:ascii="Arial" w:hAnsi="Arial" w:cs="Arial"/>
          <w:sz w:val="24"/>
          <w:szCs w:val="24"/>
        </w:rPr>
      </w:pPr>
      <w:bookmarkStart w:id="26" w:name="_Ref373505215"/>
      <w:bookmarkStart w:id="27" w:name="_Toc381969513"/>
      <w:bookmarkStart w:id="28" w:name="_Toc405888462"/>
      <w:bookmarkStart w:id="29" w:name="_Toc530496757"/>
      <w:r w:rsidRPr="00EE4B03">
        <w:rPr>
          <w:rFonts w:ascii="Arial" w:hAnsi="Arial" w:cs="Arial"/>
          <w:sz w:val="24"/>
          <w:szCs w:val="24"/>
        </w:rPr>
        <w:t>Timetable</w:t>
      </w:r>
      <w:bookmarkEnd w:id="24"/>
      <w:bookmarkEnd w:id="26"/>
      <w:bookmarkEnd w:id="27"/>
      <w:bookmarkEnd w:id="28"/>
      <w:bookmarkEnd w:id="29"/>
    </w:p>
    <w:p w14:paraId="0F755DEB" w14:textId="77777777" w:rsidR="00DD521A" w:rsidRPr="00955B41" w:rsidRDefault="00DD521A" w:rsidP="00DD521A">
      <w:pPr>
        <w:pStyle w:val="Norma"/>
        <w:rPr>
          <w:rFonts w:cs="Arial"/>
        </w:rPr>
      </w:pPr>
    </w:p>
    <w:p w14:paraId="2FEE0636" w14:textId="7F958BD1" w:rsidR="00662EE1" w:rsidRPr="00EE4B03" w:rsidRDefault="00662EE1" w:rsidP="00662EE1">
      <w:pPr>
        <w:keepNext/>
        <w:rPr>
          <w:rFonts w:ascii="Arial" w:hAnsi="Arial" w:cs="Arial"/>
          <w:sz w:val="22"/>
          <w:szCs w:val="22"/>
        </w:rPr>
      </w:pPr>
      <w:r w:rsidRPr="00EE4B03">
        <w:rPr>
          <w:rFonts w:ascii="Arial" w:hAnsi="Arial" w:cs="Arial"/>
          <w:sz w:val="22"/>
          <w:szCs w:val="22"/>
        </w:rPr>
        <w:lastRenderedPageBreak/>
        <w:t xml:space="preserve">The proposed timetable for the project is set out in the following table. </w:t>
      </w:r>
    </w:p>
    <w:p w14:paraId="59711497" w14:textId="77777777" w:rsidR="00662EE1" w:rsidRPr="00EE4B03" w:rsidRDefault="00662EE1" w:rsidP="00662EE1">
      <w:pPr>
        <w:keepNext/>
        <w:rPr>
          <w:rFonts w:ascii="Arial" w:hAnsi="Arial" w:cs="Arial"/>
          <w:sz w:val="22"/>
          <w:szCs w:val="22"/>
        </w:rPr>
      </w:pPr>
    </w:p>
    <w:p w14:paraId="622FCFED" w14:textId="77777777" w:rsidR="00662EE1" w:rsidRPr="00EE4B03" w:rsidRDefault="00662EE1" w:rsidP="00662EE1">
      <w:pPr>
        <w:keepNext/>
        <w:rPr>
          <w:rFonts w:ascii="Arial" w:hAnsi="Arial" w:cs="Arial"/>
          <w:sz w:val="22"/>
          <w:szCs w:val="22"/>
          <w:highlight w:val="yellow"/>
        </w:rPr>
      </w:pPr>
      <w:r w:rsidRPr="00EE4B03">
        <w:rPr>
          <w:rFonts w:ascii="Arial" w:hAnsi="Arial" w:cs="Arial"/>
          <w:sz w:val="22"/>
          <w:szCs w:val="22"/>
        </w:rPr>
        <w:t>In addition to the formal reporting points, the CCC would expect to have regular scheduled discussions (weekly meetings or calls) to ensure the work is progressing as expected.</w:t>
      </w:r>
    </w:p>
    <w:p w14:paraId="5F48A697" w14:textId="77777777" w:rsidR="00662EE1" w:rsidRPr="00EE4B03" w:rsidRDefault="00662EE1" w:rsidP="00662EE1">
      <w:pPr>
        <w:pStyle w:val="ListParagraph"/>
        <w:keepNext/>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4983"/>
      </w:tblGrid>
      <w:tr w:rsidR="00662EE1" w:rsidRPr="00EE4B03" w14:paraId="52CA1AE3" w14:textId="77777777" w:rsidTr="005F1C0A">
        <w:tc>
          <w:tcPr>
            <w:tcW w:w="3539" w:type="dxa"/>
            <w:shd w:val="clear" w:color="auto" w:fill="auto"/>
          </w:tcPr>
          <w:p w14:paraId="012BD37D" w14:textId="77777777" w:rsidR="00662EE1" w:rsidRPr="00EE4B03" w:rsidRDefault="00662EE1" w:rsidP="005F1C0A">
            <w:pPr>
              <w:keepNext/>
              <w:jc w:val="both"/>
              <w:rPr>
                <w:rFonts w:ascii="Arial" w:hAnsi="Arial" w:cs="Arial"/>
                <w:b/>
                <w:sz w:val="22"/>
                <w:szCs w:val="22"/>
              </w:rPr>
            </w:pPr>
            <w:r w:rsidRPr="00EE4B03">
              <w:rPr>
                <w:rFonts w:ascii="Arial" w:hAnsi="Arial" w:cs="Arial"/>
                <w:b/>
                <w:sz w:val="22"/>
                <w:szCs w:val="22"/>
              </w:rPr>
              <w:t>Date</w:t>
            </w:r>
          </w:p>
        </w:tc>
        <w:tc>
          <w:tcPr>
            <w:tcW w:w="4983" w:type="dxa"/>
            <w:shd w:val="clear" w:color="auto" w:fill="auto"/>
          </w:tcPr>
          <w:p w14:paraId="095D13B7" w14:textId="77777777" w:rsidR="00662EE1" w:rsidRPr="00EE4B03" w:rsidRDefault="00662EE1" w:rsidP="005F1C0A">
            <w:pPr>
              <w:keepNext/>
              <w:jc w:val="both"/>
              <w:rPr>
                <w:rFonts w:ascii="Arial" w:hAnsi="Arial" w:cs="Arial"/>
                <w:b/>
                <w:sz w:val="22"/>
                <w:szCs w:val="22"/>
              </w:rPr>
            </w:pPr>
            <w:r w:rsidRPr="00EE4B03">
              <w:rPr>
                <w:rFonts w:ascii="Arial" w:hAnsi="Arial" w:cs="Arial"/>
                <w:b/>
                <w:sz w:val="22"/>
                <w:szCs w:val="22"/>
              </w:rPr>
              <w:t>Action</w:t>
            </w:r>
          </w:p>
        </w:tc>
      </w:tr>
      <w:tr w:rsidR="00662EE1" w:rsidRPr="00EE4B03" w14:paraId="0E002A9B" w14:textId="77777777" w:rsidTr="005F1C0A">
        <w:tc>
          <w:tcPr>
            <w:tcW w:w="3539" w:type="dxa"/>
            <w:shd w:val="clear" w:color="auto" w:fill="auto"/>
          </w:tcPr>
          <w:p w14:paraId="2E765FC7" w14:textId="2E6DD8BF" w:rsidR="00662EE1" w:rsidRPr="00EE4B03" w:rsidRDefault="002C2454" w:rsidP="00DC5EFD">
            <w:pPr>
              <w:keepNext/>
              <w:spacing w:before="60" w:after="60"/>
              <w:jc w:val="both"/>
              <w:rPr>
                <w:rFonts w:ascii="Arial" w:hAnsi="Arial" w:cs="Arial"/>
                <w:sz w:val="22"/>
                <w:szCs w:val="22"/>
              </w:rPr>
            </w:pPr>
            <w:r>
              <w:rPr>
                <w:rFonts w:ascii="Arial" w:hAnsi="Arial" w:cs="Arial"/>
                <w:sz w:val="22"/>
                <w:szCs w:val="22"/>
              </w:rPr>
              <w:t>20</w:t>
            </w:r>
            <w:r w:rsidR="00DC5EFD" w:rsidRPr="00DC5EFD">
              <w:rPr>
                <w:rFonts w:ascii="Arial" w:hAnsi="Arial" w:cs="Arial"/>
                <w:sz w:val="22"/>
                <w:szCs w:val="22"/>
                <w:vertAlign w:val="superscript"/>
              </w:rPr>
              <w:t>th</w:t>
            </w:r>
            <w:r w:rsidR="00DC5EFD">
              <w:rPr>
                <w:rFonts w:ascii="Arial" w:hAnsi="Arial" w:cs="Arial"/>
                <w:sz w:val="22"/>
                <w:szCs w:val="22"/>
              </w:rPr>
              <w:t xml:space="preserve"> </w:t>
            </w:r>
            <w:r w:rsidR="00662EE1" w:rsidRPr="00EE4B03">
              <w:rPr>
                <w:rFonts w:ascii="Arial" w:hAnsi="Arial" w:cs="Arial"/>
                <w:sz w:val="22"/>
                <w:szCs w:val="22"/>
              </w:rPr>
              <w:t>Nov 2018</w:t>
            </w:r>
          </w:p>
        </w:tc>
        <w:tc>
          <w:tcPr>
            <w:tcW w:w="4983" w:type="dxa"/>
            <w:shd w:val="clear" w:color="auto" w:fill="auto"/>
          </w:tcPr>
          <w:p w14:paraId="0E452745" w14:textId="77777777" w:rsidR="00662EE1" w:rsidRPr="00EE4B03" w:rsidRDefault="00662EE1" w:rsidP="005F1C0A">
            <w:pPr>
              <w:keepNext/>
              <w:spacing w:before="60" w:after="60"/>
              <w:jc w:val="both"/>
              <w:rPr>
                <w:rFonts w:ascii="Arial" w:hAnsi="Arial" w:cs="Arial"/>
                <w:sz w:val="22"/>
                <w:szCs w:val="22"/>
              </w:rPr>
            </w:pPr>
            <w:r w:rsidRPr="00EE4B03">
              <w:rPr>
                <w:rFonts w:ascii="Arial" w:hAnsi="Arial" w:cs="Arial"/>
                <w:sz w:val="22"/>
                <w:szCs w:val="22"/>
              </w:rPr>
              <w:t>Publication of ITT</w:t>
            </w:r>
          </w:p>
        </w:tc>
      </w:tr>
      <w:tr w:rsidR="00662EE1" w:rsidRPr="00EE4B03" w14:paraId="0A0E21B7" w14:textId="77777777" w:rsidTr="005F1C0A">
        <w:tc>
          <w:tcPr>
            <w:tcW w:w="3539" w:type="dxa"/>
            <w:shd w:val="clear" w:color="auto" w:fill="auto"/>
          </w:tcPr>
          <w:p w14:paraId="376F3A0D" w14:textId="579A2E26" w:rsidR="00662EE1" w:rsidRPr="00EE4B03" w:rsidRDefault="00662EE1" w:rsidP="005F1C0A">
            <w:pPr>
              <w:keepNext/>
              <w:spacing w:before="60" w:after="60"/>
              <w:jc w:val="both"/>
              <w:rPr>
                <w:rFonts w:ascii="Arial" w:hAnsi="Arial" w:cs="Arial"/>
                <w:sz w:val="22"/>
                <w:szCs w:val="22"/>
              </w:rPr>
            </w:pPr>
            <w:r w:rsidRPr="00EE4B03">
              <w:rPr>
                <w:rFonts w:ascii="Arial" w:hAnsi="Arial" w:cs="Arial"/>
                <w:sz w:val="22"/>
                <w:szCs w:val="22"/>
              </w:rPr>
              <w:t>11</w:t>
            </w:r>
            <w:r w:rsidRPr="00EE4B03">
              <w:rPr>
                <w:rFonts w:ascii="Arial" w:hAnsi="Arial" w:cs="Arial"/>
                <w:sz w:val="22"/>
                <w:szCs w:val="22"/>
                <w:vertAlign w:val="superscript"/>
              </w:rPr>
              <w:t>th</w:t>
            </w:r>
            <w:r w:rsidRPr="00EE4B03">
              <w:rPr>
                <w:rFonts w:ascii="Arial" w:hAnsi="Arial" w:cs="Arial"/>
                <w:sz w:val="22"/>
                <w:szCs w:val="22"/>
              </w:rPr>
              <w:t xml:space="preserve"> Dec 2018, </w:t>
            </w:r>
            <w:r w:rsidR="00666B4E">
              <w:rPr>
                <w:rFonts w:ascii="Arial" w:hAnsi="Arial" w:cs="Arial"/>
                <w:sz w:val="22"/>
                <w:szCs w:val="22"/>
              </w:rPr>
              <w:t>5</w:t>
            </w:r>
            <w:r w:rsidRPr="00EE4B03">
              <w:rPr>
                <w:rFonts w:ascii="Arial" w:hAnsi="Arial" w:cs="Arial"/>
                <w:sz w:val="22"/>
                <w:szCs w:val="22"/>
              </w:rPr>
              <w:t xml:space="preserve"> </w:t>
            </w:r>
            <w:r w:rsidR="00666B4E">
              <w:rPr>
                <w:rFonts w:ascii="Arial" w:hAnsi="Arial" w:cs="Arial"/>
                <w:sz w:val="22"/>
                <w:szCs w:val="22"/>
              </w:rPr>
              <w:t>p</w:t>
            </w:r>
            <w:r w:rsidRPr="00EE4B03">
              <w:rPr>
                <w:rFonts w:ascii="Arial" w:hAnsi="Arial" w:cs="Arial"/>
                <w:sz w:val="22"/>
                <w:szCs w:val="22"/>
              </w:rPr>
              <w:t>m</w:t>
            </w:r>
          </w:p>
        </w:tc>
        <w:tc>
          <w:tcPr>
            <w:tcW w:w="4983" w:type="dxa"/>
            <w:shd w:val="clear" w:color="auto" w:fill="auto"/>
          </w:tcPr>
          <w:p w14:paraId="4112D1F9" w14:textId="77777777" w:rsidR="00662EE1" w:rsidRPr="00EE4B03" w:rsidRDefault="00662EE1" w:rsidP="005F1C0A">
            <w:pPr>
              <w:keepNext/>
              <w:spacing w:before="60" w:after="60"/>
              <w:jc w:val="both"/>
              <w:rPr>
                <w:rFonts w:ascii="Arial" w:hAnsi="Arial" w:cs="Arial"/>
                <w:sz w:val="22"/>
                <w:szCs w:val="22"/>
              </w:rPr>
            </w:pPr>
            <w:r w:rsidRPr="00EE4B03">
              <w:rPr>
                <w:rFonts w:ascii="Arial" w:hAnsi="Arial" w:cs="Arial"/>
                <w:sz w:val="22"/>
                <w:szCs w:val="22"/>
              </w:rPr>
              <w:t>Deadline for response to ITT</w:t>
            </w:r>
          </w:p>
        </w:tc>
      </w:tr>
      <w:tr w:rsidR="00662EE1" w:rsidRPr="00EE4B03" w14:paraId="18BA9C46" w14:textId="77777777" w:rsidTr="005F1C0A">
        <w:tc>
          <w:tcPr>
            <w:tcW w:w="3539" w:type="dxa"/>
            <w:shd w:val="clear" w:color="auto" w:fill="auto"/>
          </w:tcPr>
          <w:p w14:paraId="5B301E4E" w14:textId="214ADE0E" w:rsidR="00662EE1" w:rsidRPr="00EE4B03" w:rsidRDefault="00662EE1" w:rsidP="00932674">
            <w:pPr>
              <w:keepNext/>
              <w:spacing w:before="60" w:after="60"/>
              <w:jc w:val="both"/>
              <w:rPr>
                <w:rFonts w:ascii="Arial" w:hAnsi="Arial" w:cs="Arial"/>
                <w:sz w:val="22"/>
                <w:szCs w:val="22"/>
              </w:rPr>
            </w:pPr>
            <w:r w:rsidRPr="00EE4B03">
              <w:rPr>
                <w:rFonts w:ascii="Arial" w:hAnsi="Arial" w:cs="Arial"/>
                <w:sz w:val="22"/>
                <w:szCs w:val="22"/>
              </w:rPr>
              <w:t>17</w:t>
            </w:r>
            <w:r w:rsidRPr="00EE4B03">
              <w:rPr>
                <w:rFonts w:ascii="Arial" w:hAnsi="Arial" w:cs="Arial"/>
                <w:sz w:val="22"/>
                <w:szCs w:val="22"/>
                <w:vertAlign w:val="superscript"/>
              </w:rPr>
              <w:t>th</w:t>
            </w:r>
            <w:r w:rsidRPr="00EE4B03">
              <w:rPr>
                <w:rFonts w:ascii="Arial" w:hAnsi="Arial" w:cs="Arial"/>
                <w:sz w:val="22"/>
                <w:szCs w:val="22"/>
              </w:rPr>
              <w:t>, 18</w:t>
            </w:r>
            <w:r w:rsidRPr="00EE4B03">
              <w:rPr>
                <w:rFonts w:ascii="Arial" w:hAnsi="Arial" w:cs="Arial"/>
                <w:sz w:val="22"/>
                <w:szCs w:val="22"/>
                <w:vertAlign w:val="superscript"/>
              </w:rPr>
              <w:t>th</w:t>
            </w:r>
            <w:r w:rsidR="00541DA1">
              <w:rPr>
                <w:rFonts w:ascii="Arial" w:hAnsi="Arial" w:cs="Arial"/>
                <w:sz w:val="22"/>
                <w:szCs w:val="22"/>
              </w:rPr>
              <w:t xml:space="preserve"> (morning),</w:t>
            </w:r>
            <w:r w:rsidRPr="00EE4B03">
              <w:rPr>
                <w:rFonts w:ascii="Arial" w:hAnsi="Arial" w:cs="Arial"/>
                <w:sz w:val="22"/>
                <w:szCs w:val="22"/>
              </w:rPr>
              <w:t xml:space="preserve"> 19</w:t>
            </w:r>
            <w:r w:rsidRPr="00EE4B03">
              <w:rPr>
                <w:rFonts w:ascii="Arial" w:hAnsi="Arial" w:cs="Arial"/>
                <w:sz w:val="22"/>
                <w:szCs w:val="22"/>
                <w:vertAlign w:val="superscript"/>
              </w:rPr>
              <w:t>th</w:t>
            </w:r>
            <w:r w:rsidRPr="00EE4B03">
              <w:rPr>
                <w:rFonts w:ascii="Arial" w:hAnsi="Arial" w:cs="Arial"/>
                <w:sz w:val="22"/>
                <w:szCs w:val="22"/>
              </w:rPr>
              <w:t xml:space="preserve"> Dec</w:t>
            </w:r>
          </w:p>
        </w:tc>
        <w:tc>
          <w:tcPr>
            <w:tcW w:w="4983" w:type="dxa"/>
            <w:shd w:val="clear" w:color="auto" w:fill="auto"/>
          </w:tcPr>
          <w:p w14:paraId="60077259" w14:textId="77777777" w:rsidR="00662EE1" w:rsidRPr="00EE4B03" w:rsidRDefault="00662EE1" w:rsidP="005F1C0A">
            <w:pPr>
              <w:keepNext/>
              <w:spacing w:before="60" w:after="60"/>
              <w:jc w:val="both"/>
              <w:rPr>
                <w:rFonts w:ascii="Arial" w:hAnsi="Arial" w:cs="Arial"/>
                <w:sz w:val="22"/>
                <w:szCs w:val="22"/>
              </w:rPr>
            </w:pPr>
            <w:r w:rsidRPr="00EE4B03">
              <w:rPr>
                <w:rFonts w:ascii="Arial" w:hAnsi="Arial" w:cs="Arial"/>
                <w:sz w:val="22"/>
                <w:szCs w:val="22"/>
              </w:rPr>
              <w:t>Interviews</w:t>
            </w:r>
          </w:p>
        </w:tc>
      </w:tr>
      <w:tr w:rsidR="00662EE1" w:rsidRPr="00EE4B03" w14:paraId="18E16424" w14:textId="77777777" w:rsidTr="005F1C0A">
        <w:tc>
          <w:tcPr>
            <w:tcW w:w="3539" w:type="dxa"/>
            <w:shd w:val="clear" w:color="auto" w:fill="auto"/>
          </w:tcPr>
          <w:p w14:paraId="4A09D809" w14:textId="310DDDBC" w:rsidR="00662EE1" w:rsidRPr="00EE4B03" w:rsidRDefault="00662EE1">
            <w:pPr>
              <w:keepNext/>
              <w:spacing w:before="60" w:after="60"/>
              <w:jc w:val="both"/>
              <w:rPr>
                <w:rFonts w:ascii="Arial" w:hAnsi="Arial" w:cs="Arial"/>
                <w:sz w:val="22"/>
                <w:szCs w:val="22"/>
              </w:rPr>
            </w:pPr>
            <w:r w:rsidRPr="00EE4B03">
              <w:rPr>
                <w:rFonts w:ascii="Arial" w:hAnsi="Arial" w:cs="Arial"/>
                <w:sz w:val="22"/>
                <w:szCs w:val="22"/>
              </w:rPr>
              <w:t>w/c 3</w:t>
            </w:r>
            <w:r w:rsidR="00866B38">
              <w:rPr>
                <w:rFonts w:ascii="Arial" w:hAnsi="Arial" w:cs="Arial"/>
                <w:sz w:val="22"/>
                <w:szCs w:val="22"/>
              </w:rPr>
              <w:t>1</w:t>
            </w:r>
            <w:r w:rsidR="00866B38">
              <w:rPr>
                <w:rFonts w:ascii="Arial" w:hAnsi="Arial" w:cs="Arial"/>
                <w:sz w:val="22"/>
                <w:szCs w:val="22"/>
                <w:vertAlign w:val="superscript"/>
              </w:rPr>
              <w:t>st</w:t>
            </w:r>
            <w:r w:rsidRPr="00EE4B03">
              <w:rPr>
                <w:rFonts w:ascii="Arial" w:hAnsi="Arial" w:cs="Arial"/>
                <w:sz w:val="22"/>
                <w:szCs w:val="22"/>
              </w:rPr>
              <w:t xml:space="preserve"> Dec</w:t>
            </w:r>
          </w:p>
        </w:tc>
        <w:tc>
          <w:tcPr>
            <w:tcW w:w="4983" w:type="dxa"/>
            <w:shd w:val="clear" w:color="auto" w:fill="auto"/>
          </w:tcPr>
          <w:p w14:paraId="76B1AA5B" w14:textId="77777777" w:rsidR="00662EE1" w:rsidRPr="00EE4B03" w:rsidRDefault="00662EE1" w:rsidP="005F1C0A">
            <w:pPr>
              <w:keepNext/>
              <w:tabs>
                <w:tab w:val="left" w:pos="2175"/>
              </w:tabs>
              <w:spacing w:before="60" w:after="60"/>
              <w:jc w:val="both"/>
              <w:rPr>
                <w:rFonts w:ascii="Arial" w:hAnsi="Arial" w:cs="Arial"/>
                <w:sz w:val="22"/>
                <w:szCs w:val="22"/>
              </w:rPr>
            </w:pPr>
            <w:r w:rsidRPr="00EE4B03">
              <w:rPr>
                <w:rFonts w:ascii="Arial" w:hAnsi="Arial" w:cs="Arial"/>
                <w:sz w:val="22"/>
                <w:szCs w:val="22"/>
              </w:rPr>
              <w:t>Kick-off meeting (identify key sources of information, agree methodology &amp; timelines)</w:t>
            </w:r>
            <w:r w:rsidRPr="00EE4B03">
              <w:rPr>
                <w:rFonts w:ascii="Arial" w:hAnsi="Arial" w:cs="Arial"/>
                <w:sz w:val="22"/>
                <w:szCs w:val="22"/>
              </w:rPr>
              <w:tab/>
            </w:r>
          </w:p>
        </w:tc>
      </w:tr>
      <w:tr w:rsidR="00662EE1" w:rsidRPr="00EE4B03" w14:paraId="5270DADE" w14:textId="77777777" w:rsidTr="005F1C0A">
        <w:tc>
          <w:tcPr>
            <w:tcW w:w="3539" w:type="dxa"/>
            <w:shd w:val="clear" w:color="auto" w:fill="auto"/>
          </w:tcPr>
          <w:p w14:paraId="19CB6EF4" w14:textId="77777777" w:rsidR="00662EE1" w:rsidRPr="00EE4B03" w:rsidRDefault="00662EE1" w:rsidP="005F1C0A">
            <w:pPr>
              <w:keepNext/>
              <w:spacing w:before="60" w:after="60"/>
              <w:jc w:val="both"/>
              <w:rPr>
                <w:rFonts w:ascii="Arial" w:hAnsi="Arial" w:cs="Arial"/>
                <w:color w:val="808080" w:themeColor="background1" w:themeShade="80"/>
                <w:sz w:val="22"/>
                <w:szCs w:val="22"/>
              </w:rPr>
            </w:pPr>
            <w:r w:rsidRPr="00EE4B03">
              <w:rPr>
                <w:rFonts w:ascii="Arial" w:hAnsi="Arial" w:cs="Arial"/>
                <w:sz w:val="22"/>
                <w:szCs w:val="22"/>
              </w:rPr>
              <w:t>11</w:t>
            </w:r>
            <w:r w:rsidRPr="00EE4B03">
              <w:rPr>
                <w:rFonts w:ascii="Arial" w:hAnsi="Arial" w:cs="Arial"/>
                <w:sz w:val="22"/>
                <w:szCs w:val="22"/>
                <w:vertAlign w:val="superscript"/>
              </w:rPr>
              <w:t>th</w:t>
            </w:r>
            <w:r w:rsidRPr="00EE4B03">
              <w:rPr>
                <w:rFonts w:ascii="Arial" w:hAnsi="Arial" w:cs="Arial"/>
                <w:sz w:val="22"/>
                <w:szCs w:val="22"/>
              </w:rPr>
              <w:t xml:space="preserve"> Feb</w:t>
            </w:r>
          </w:p>
        </w:tc>
        <w:tc>
          <w:tcPr>
            <w:tcW w:w="4983" w:type="dxa"/>
            <w:shd w:val="clear" w:color="auto" w:fill="auto"/>
          </w:tcPr>
          <w:p w14:paraId="2C6C511F" w14:textId="2FF1E588" w:rsidR="00662EE1" w:rsidRPr="00EE4B03" w:rsidRDefault="00662EE1" w:rsidP="00932674">
            <w:pPr>
              <w:keepNext/>
              <w:spacing w:before="60" w:after="60"/>
              <w:jc w:val="both"/>
              <w:rPr>
                <w:rFonts w:ascii="Arial" w:hAnsi="Arial" w:cs="Arial"/>
                <w:color w:val="808080" w:themeColor="background1" w:themeShade="80"/>
                <w:sz w:val="22"/>
                <w:szCs w:val="22"/>
              </w:rPr>
            </w:pPr>
            <w:r w:rsidRPr="00EE4B03">
              <w:rPr>
                <w:rFonts w:ascii="Arial" w:hAnsi="Arial" w:cs="Arial"/>
                <w:sz w:val="22"/>
                <w:szCs w:val="22"/>
              </w:rPr>
              <w:t>Interim summary of emerging findings</w:t>
            </w:r>
          </w:p>
        </w:tc>
      </w:tr>
      <w:tr w:rsidR="00662EE1" w:rsidRPr="00EE4B03" w14:paraId="05B4197A" w14:textId="77777777" w:rsidTr="005F1C0A">
        <w:tc>
          <w:tcPr>
            <w:tcW w:w="3539" w:type="dxa"/>
            <w:shd w:val="clear" w:color="auto" w:fill="auto"/>
          </w:tcPr>
          <w:p w14:paraId="4E8950DD" w14:textId="77777777" w:rsidR="00662EE1" w:rsidRPr="00EE4B03" w:rsidRDefault="00662EE1" w:rsidP="005F1C0A">
            <w:pPr>
              <w:keepNext/>
              <w:spacing w:before="60" w:after="60"/>
              <w:jc w:val="both"/>
              <w:rPr>
                <w:rFonts w:ascii="Arial" w:hAnsi="Arial" w:cs="Arial"/>
                <w:sz w:val="22"/>
                <w:szCs w:val="22"/>
              </w:rPr>
            </w:pPr>
            <w:r w:rsidRPr="00EE4B03">
              <w:rPr>
                <w:rFonts w:ascii="Arial" w:hAnsi="Arial" w:cs="Arial"/>
                <w:sz w:val="22"/>
                <w:szCs w:val="22"/>
              </w:rPr>
              <w:t>1</w:t>
            </w:r>
            <w:r w:rsidRPr="00EE4B03">
              <w:rPr>
                <w:rFonts w:ascii="Arial" w:hAnsi="Arial" w:cs="Arial"/>
                <w:sz w:val="22"/>
                <w:szCs w:val="22"/>
                <w:vertAlign w:val="superscript"/>
              </w:rPr>
              <w:t>st</w:t>
            </w:r>
            <w:r w:rsidRPr="00EE4B03">
              <w:rPr>
                <w:rFonts w:ascii="Arial" w:hAnsi="Arial" w:cs="Arial"/>
                <w:sz w:val="22"/>
                <w:szCs w:val="22"/>
              </w:rPr>
              <w:t xml:space="preserve"> March</w:t>
            </w:r>
          </w:p>
        </w:tc>
        <w:tc>
          <w:tcPr>
            <w:tcW w:w="4983" w:type="dxa"/>
            <w:shd w:val="clear" w:color="auto" w:fill="auto"/>
          </w:tcPr>
          <w:p w14:paraId="04EFFC70" w14:textId="77777777" w:rsidR="00662EE1" w:rsidRPr="00EE4B03" w:rsidRDefault="00662EE1" w:rsidP="005F1C0A">
            <w:pPr>
              <w:keepNext/>
              <w:spacing w:before="60" w:after="60"/>
              <w:jc w:val="both"/>
              <w:rPr>
                <w:rFonts w:ascii="Arial" w:hAnsi="Arial" w:cs="Arial"/>
                <w:sz w:val="22"/>
                <w:szCs w:val="22"/>
              </w:rPr>
            </w:pPr>
            <w:r w:rsidRPr="00EE4B03">
              <w:rPr>
                <w:rFonts w:ascii="Arial" w:hAnsi="Arial" w:cs="Arial"/>
                <w:sz w:val="22"/>
                <w:szCs w:val="22"/>
              </w:rPr>
              <w:t xml:space="preserve">Final  excel workbook, and summary of recommendations </w:t>
            </w:r>
          </w:p>
        </w:tc>
      </w:tr>
      <w:tr w:rsidR="00662EE1" w:rsidRPr="00EE4B03" w14:paraId="458C9342" w14:textId="77777777" w:rsidTr="005F1C0A">
        <w:tc>
          <w:tcPr>
            <w:tcW w:w="3539" w:type="dxa"/>
            <w:shd w:val="clear" w:color="auto" w:fill="auto"/>
          </w:tcPr>
          <w:p w14:paraId="6942070E" w14:textId="77777777" w:rsidR="00662EE1" w:rsidRPr="00EE4B03" w:rsidRDefault="00662EE1" w:rsidP="005F1C0A">
            <w:pPr>
              <w:keepNext/>
              <w:spacing w:before="60" w:after="60"/>
              <w:jc w:val="both"/>
              <w:rPr>
                <w:rFonts w:ascii="Arial" w:hAnsi="Arial" w:cs="Arial"/>
                <w:sz w:val="22"/>
                <w:szCs w:val="22"/>
              </w:rPr>
            </w:pPr>
            <w:r w:rsidRPr="00EE4B03">
              <w:rPr>
                <w:rFonts w:ascii="Arial" w:hAnsi="Arial" w:cs="Arial"/>
                <w:sz w:val="22"/>
                <w:szCs w:val="22"/>
              </w:rPr>
              <w:t>8</w:t>
            </w:r>
            <w:r w:rsidRPr="00EE4B03">
              <w:rPr>
                <w:rFonts w:ascii="Arial" w:hAnsi="Arial" w:cs="Arial"/>
                <w:sz w:val="22"/>
                <w:szCs w:val="22"/>
                <w:vertAlign w:val="superscript"/>
              </w:rPr>
              <w:t>th</w:t>
            </w:r>
            <w:r w:rsidRPr="00EE4B03">
              <w:rPr>
                <w:rFonts w:ascii="Arial" w:hAnsi="Arial" w:cs="Arial"/>
                <w:sz w:val="22"/>
                <w:szCs w:val="22"/>
              </w:rPr>
              <w:t xml:space="preserve"> March</w:t>
            </w:r>
          </w:p>
        </w:tc>
        <w:tc>
          <w:tcPr>
            <w:tcW w:w="4983" w:type="dxa"/>
            <w:shd w:val="clear" w:color="auto" w:fill="auto"/>
          </w:tcPr>
          <w:p w14:paraId="25158498" w14:textId="77777777" w:rsidR="00662EE1" w:rsidRPr="00EE4B03" w:rsidRDefault="00662EE1" w:rsidP="005F1C0A">
            <w:pPr>
              <w:keepNext/>
              <w:spacing w:before="60" w:after="60"/>
              <w:jc w:val="both"/>
              <w:rPr>
                <w:rFonts w:ascii="Arial" w:hAnsi="Arial" w:cs="Arial"/>
                <w:sz w:val="22"/>
                <w:szCs w:val="22"/>
              </w:rPr>
            </w:pPr>
            <w:r w:rsidRPr="00EE4B03">
              <w:rPr>
                <w:rFonts w:ascii="Arial" w:hAnsi="Arial" w:cs="Arial"/>
                <w:sz w:val="22"/>
                <w:szCs w:val="22"/>
              </w:rPr>
              <w:t>Final report and associated models</w:t>
            </w:r>
          </w:p>
        </w:tc>
      </w:tr>
    </w:tbl>
    <w:p w14:paraId="72044152" w14:textId="77777777" w:rsidR="00DD521A" w:rsidRPr="00955B41" w:rsidRDefault="00DD521A" w:rsidP="007963DA">
      <w:pPr>
        <w:pStyle w:val="Norma"/>
        <w:rPr>
          <w:rFonts w:cs="Arial"/>
        </w:rPr>
      </w:pPr>
    </w:p>
    <w:p w14:paraId="5EA87566" w14:textId="77777777" w:rsidR="002F59AC" w:rsidRPr="00EE4B03" w:rsidRDefault="004C7039">
      <w:pPr>
        <w:pStyle w:val="Heading1"/>
        <w:numPr>
          <w:ilvl w:val="0"/>
          <w:numId w:val="3"/>
        </w:numPr>
        <w:rPr>
          <w:rFonts w:ascii="Arial" w:hAnsi="Arial" w:cs="Arial"/>
          <w:sz w:val="24"/>
          <w:szCs w:val="24"/>
        </w:rPr>
      </w:pPr>
      <w:bookmarkStart w:id="30" w:name="_Ref357541731"/>
      <w:bookmarkStart w:id="31" w:name="_Toc381969514"/>
      <w:bookmarkStart w:id="32" w:name="_Toc405888463"/>
      <w:bookmarkStart w:id="33" w:name="_Toc530496758"/>
      <w:r w:rsidRPr="00EE4B03">
        <w:rPr>
          <w:rFonts w:ascii="Arial" w:hAnsi="Arial" w:cs="Arial"/>
          <w:sz w:val="24"/>
          <w:szCs w:val="24"/>
        </w:rPr>
        <w:t>C</w:t>
      </w:r>
      <w:r w:rsidR="002F59AC" w:rsidRPr="00EE4B03">
        <w:rPr>
          <w:rFonts w:ascii="Arial" w:hAnsi="Arial" w:cs="Arial"/>
          <w:sz w:val="24"/>
          <w:szCs w:val="24"/>
        </w:rPr>
        <w:t>hallenges</w:t>
      </w:r>
      <w:bookmarkEnd w:id="30"/>
      <w:bookmarkEnd w:id="31"/>
      <w:bookmarkEnd w:id="32"/>
      <w:bookmarkEnd w:id="33"/>
    </w:p>
    <w:p w14:paraId="284AE220" w14:textId="77D18234" w:rsidR="00DD521A" w:rsidRPr="00955B41" w:rsidRDefault="00DD521A" w:rsidP="00DD521A">
      <w:pPr>
        <w:pStyle w:val="Norma"/>
        <w:rPr>
          <w:rFonts w:cs="Arial"/>
        </w:rPr>
      </w:pPr>
    </w:p>
    <w:p w14:paraId="42C6A935" w14:textId="77777777" w:rsidR="00EE4B03" w:rsidRPr="00861E44" w:rsidRDefault="00EE4B03" w:rsidP="00861E44">
      <w:pPr>
        <w:pStyle w:val="ListParagraph"/>
        <w:spacing w:after="0" w:line="240" w:lineRule="auto"/>
        <w:ind w:left="0"/>
        <w:contextualSpacing w:val="0"/>
        <w:jc w:val="both"/>
        <w:rPr>
          <w:rFonts w:ascii="Arial" w:hAnsi="Arial" w:cs="Arial"/>
        </w:rPr>
      </w:pPr>
      <w:r w:rsidRPr="00861E44">
        <w:rPr>
          <w:rFonts w:ascii="Arial" w:hAnsi="Arial" w:cs="Arial"/>
        </w:rPr>
        <w:t>The specific challenges that the CCC envisage with this project include:</w:t>
      </w:r>
    </w:p>
    <w:p w14:paraId="38FB4952" w14:textId="77777777" w:rsidR="00EE4B03" w:rsidRPr="00861E44" w:rsidRDefault="00EE4B03" w:rsidP="00861E44">
      <w:pPr>
        <w:pStyle w:val="ListParagraph"/>
        <w:spacing w:after="0" w:line="240" w:lineRule="auto"/>
        <w:ind w:left="0"/>
        <w:contextualSpacing w:val="0"/>
        <w:jc w:val="both"/>
        <w:rPr>
          <w:rFonts w:ascii="Arial" w:hAnsi="Arial" w:cs="Arial"/>
        </w:rPr>
      </w:pPr>
    </w:p>
    <w:p w14:paraId="61B566BD" w14:textId="1F9CAB52" w:rsidR="00EE4B03" w:rsidRPr="00861E44" w:rsidRDefault="00EE4B03" w:rsidP="00861E44">
      <w:pPr>
        <w:pStyle w:val="ListParagraph"/>
        <w:numPr>
          <w:ilvl w:val="0"/>
          <w:numId w:val="21"/>
        </w:numPr>
        <w:spacing w:after="0" w:line="240" w:lineRule="auto"/>
        <w:ind w:left="720"/>
        <w:contextualSpacing w:val="0"/>
        <w:jc w:val="both"/>
        <w:rPr>
          <w:rFonts w:ascii="Arial" w:hAnsi="Arial" w:cs="Arial"/>
        </w:rPr>
      </w:pPr>
      <w:r w:rsidRPr="00861E44">
        <w:rPr>
          <w:rFonts w:ascii="Arial" w:hAnsi="Arial" w:cs="Arial"/>
        </w:rPr>
        <w:lastRenderedPageBreak/>
        <w:t>Gaps in the evidence base, particularly for newer technologies</w:t>
      </w:r>
    </w:p>
    <w:p w14:paraId="0F022D19" w14:textId="275005FC" w:rsidR="00EE4B03" w:rsidRPr="00861E44" w:rsidRDefault="00EE4B03" w:rsidP="00861E44">
      <w:pPr>
        <w:pStyle w:val="ListParagraph"/>
        <w:numPr>
          <w:ilvl w:val="0"/>
          <w:numId w:val="21"/>
        </w:numPr>
        <w:spacing w:after="0" w:line="240" w:lineRule="auto"/>
        <w:ind w:left="720"/>
        <w:contextualSpacing w:val="0"/>
        <w:jc w:val="both"/>
        <w:rPr>
          <w:rFonts w:ascii="Arial" w:hAnsi="Arial" w:cs="Arial"/>
        </w:rPr>
      </w:pPr>
      <w:r w:rsidRPr="00861E44">
        <w:rPr>
          <w:rFonts w:ascii="Arial" w:hAnsi="Arial" w:cs="Arial"/>
        </w:rPr>
        <w:t xml:space="preserve">Establishing a methodology and approach which </w:t>
      </w:r>
      <w:r w:rsidRPr="00955B41">
        <w:rPr>
          <w:rFonts w:ascii="Arial" w:hAnsi="Arial" w:cs="Arial"/>
        </w:rPr>
        <w:t>enable</w:t>
      </w:r>
      <w:r w:rsidRPr="00861E44">
        <w:rPr>
          <w:rFonts w:ascii="Arial" w:hAnsi="Arial" w:cs="Arial"/>
        </w:rPr>
        <w:t xml:space="preserve"> high quality insights</w:t>
      </w:r>
      <w:r w:rsidRPr="00955B41">
        <w:rPr>
          <w:rFonts w:ascii="Arial" w:hAnsi="Arial" w:cs="Arial"/>
        </w:rPr>
        <w:t xml:space="preserve"> to be delivered</w:t>
      </w:r>
      <w:r w:rsidRPr="00861E44">
        <w:rPr>
          <w:rFonts w:ascii="Arial" w:hAnsi="Arial" w:cs="Arial"/>
        </w:rPr>
        <w:t xml:space="preserve"> in short timeframes</w:t>
      </w:r>
    </w:p>
    <w:p w14:paraId="6E5C8338" w14:textId="77777777" w:rsidR="00EE4B03" w:rsidRPr="00861E44" w:rsidRDefault="00EE4B03" w:rsidP="00861E44">
      <w:pPr>
        <w:pStyle w:val="ListParagraph"/>
        <w:numPr>
          <w:ilvl w:val="0"/>
          <w:numId w:val="21"/>
        </w:numPr>
        <w:spacing w:after="0" w:line="240" w:lineRule="auto"/>
        <w:ind w:left="720"/>
        <w:contextualSpacing w:val="0"/>
        <w:jc w:val="both"/>
        <w:rPr>
          <w:rFonts w:ascii="Arial" w:hAnsi="Arial" w:cs="Arial"/>
        </w:rPr>
      </w:pPr>
      <w:r w:rsidRPr="00861E44">
        <w:rPr>
          <w:rFonts w:ascii="Arial" w:hAnsi="Arial" w:cs="Arial"/>
        </w:rPr>
        <w:t>Ensuring that the project findings can be integrated effectively and coherently with the CCC’s existing scenarios</w:t>
      </w:r>
    </w:p>
    <w:p w14:paraId="152174EF" w14:textId="6E22FE64" w:rsidR="00EE4B03" w:rsidRPr="00861E44" w:rsidRDefault="00EE4B03" w:rsidP="00861E44">
      <w:pPr>
        <w:pStyle w:val="ListParagraph"/>
        <w:spacing w:after="0" w:line="240" w:lineRule="auto"/>
        <w:contextualSpacing w:val="0"/>
        <w:jc w:val="both"/>
        <w:rPr>
          <w:rFonts w:ascii="Arial" w:hAnsi="Arial" w:cs="Arial"/>
        </w:rPr>
      </w:pPr>
      <w:r w:rsidRPr="00861E44">
        <w:rPr>
          <w:rFonts w:ascii="Arial" w:hAnsi="Arial" w:cs="Arial"/>
        </w:rPr>
        <w:t xml:space="preserve"> </w:t>
      </w:r>
    </w:p>
    <w:p w14:paraId="05EA40ED" w14:textId="1B648CB1" w:rsidR="005F1C0A" w:rsidRPr="00861E44" w:rsidRDefault="005F1C0A" w:rsidP="00861E44">
      <w:pPr>
        <w:pStyle w:val="ListParagraph"/>
        <w:spacing w:after="0" w:line="240" w:lineRule="auto"/>
        <w:ind w:left="0"/>
        <w:contextualSpacing w:val="0"/>
        <w:jc w:val="both"/>
        <w:rPr>
          <w:rFonts w:ascii="Arial" w:hAnsi="Arial" w:cs="Arial"/>
        </w:rPr>
      </w:pPr>
      <w:r w:rsidRPr="00861E44">
        <w:rPr>
          <w:rFonts w:ascii="Arial" w:hAnsi="Arial" w:cs="Arial"/>
        </w:rPr>
        <w:t xml:space="preserve">Bids should set out </w:t>
      </w:r>
      <w:r w:rsidR="00EE4B03" w:rsidRPr="00955B41">
        <w:rPr>
          <w:rFonts w:ascii="Arial" w:hAnsi="Arial" w:cs="Arial"/>
        </w:rPr>
        <w:t xml:space="preserve">how these risks will be managed alongside any </w:t>
      </w:r>
      <w:r w:rsidRPr="00861E44">
        <w:rPr>
          <w:rFonts w:ascii="Arial" w:hAnsi="Arial" w:cs="Arial"/>
        </w:rPr>
        <w:t>other risks and challenges to successfully undertaking this work.</w:t>
      </w:r>
    </w:p>
    <w:p w14:paraId="06C98284" w14:textId="77777777" w:rsidR="005F1C0A" w:rsidRPr="00861E44" w:rsidRDefault="005F1C0A" w:rsidP="005F1C0A">
      <w:pPr>
        <w:rPr>
          <w:rFonts w:ascii="Arial" w:hAnsi="Arial" w:cs="Arial"/>
          <w:bCs/>
          <w:iCs/>
          <w:sz w:val="22"/>
          <w:szCs w:val="22"/>
          <w:highlight w:val="yellow"/>
        </w:rPr>
      </w:pPr>
    </w:p>
    <w:p w14:paraId="5EA87568" w14:textId="47A8F6B6" w:rsidR="008F4BEB" w:rsidRPr="00861E44" w:rsidRDefault="008F4BEB" w:rsidP="00662EE1">
      <w:pPr>
        <w:pStyle w:val="Heading1"/>
        <w:numPr>
          <w:ilvl w:val="0"/>
          <w:numId w:val="3"/>
        </w:numPr>
        <w:rPr>
          <w:rFonts w:ascii="Arial" w:hAnsi="Arial" w:cs="Arial"/>
          <w:sz w:val="22"/>
          <w:szCs w:val="22"/>
        </w:rPr>
      </w:pPr>
      <w:bookmarkStart w:id="34" w:name="_Toc381969515"/>
      <w:bookmarkStart w:id="35" w:name="_Toc405888464"/>
      <w:bookmarkStart w:id="36" w:name="_Toc530496759"/>
      <w:bookmarkStart w:id="37" w:name="_Toc271272913"/>
      <w:r w:rsidRPr="00861E44">
        <w:rPr>
          <w:rFonts w:ascii="Arial" w:hAnsi="Arial" w:cs="Arial"/>
          <w:sz w:val="22"/>
          <w:szCs w:val="22"/>
        </w:rPr>
        <w:t>Ethics</w:t>
      </w:r>
      <w:bookmarkEnd w:id="34"/>
      <w:bookmarkEnd w:id="35"/>
      <w:bookmarkEnd w:id="36"/>
      <w:r w:rsidR="009E2B4B" w:rsidRPr="00861E44">
        <w:rPr>
          <w:rFonts w:ascii="Arial" w:hAnsi="Arial" w:cs="Arial"/>
          <w:sz w:val="22"/>
          <w:szCs w:val="22"/>
        </w:rPr>
        <w:t xml:space="preserve"> </w:t>
      </w:r>
    </w:p>
    <w:p w14:paraId="5EA87569" w14:textId="77777777" w:rsidR="002D32D5" w:rsidRPr="00861E44" w:rsidRDefault="002D32D5" w:rsidP="008F4BEB">
      <w:pPr>
        <w:pStyle w:val="ListParagraph"/>
        <w:spacing w:after="0" w:line="240" w:lineRule="auto"/>
        <w:ind w:left="0"/>
        <w:contextualSpacing w:val="0"/>
        <w:rPr>
          <w:rFonts w:ascii="Arial" w:hAnsi="Arial" w:cs="Arial"/>
        </w:rPr>
      </w:pPr>
    </w:p>
    <w:p w14:paraId="5EA8756A" w14:textId="77777777" w:rsidR="005C0467" w:rsidRPr="00861E44" w:rsidRDefault="008F4BEB" w:rsidP="00861E44">
      <w:pPr>
        <w:pStyle w:val="ListParagraph"/>
        <w:spacing w:after="0" w:line="240" w:lineRule="auto"/>
        <w:ind w:left="0"/>
        <w:contextualSpacing w:val="0"/>
        <w:jc w:val="both"/>
        <w:rPr>
          <w:rFonts w:ascii="Arial" w:hAnsi="Arial" w:cs="Arial"/>
        </w:rPr>
      </w:pPr>
      <w:r w:rsidRPr="00861E44">
        <w:rPr>
          <w:rFonts w:ascii="Arial" w:hAnsi="Arial" w:cs="Arial"/>
        </w:rPr>
        <w:t>All applicants will need to identify and propose arrangements for initial scrutiny and on-going monitoring of ethical issues.</w:t>
      </w:r>
      <w:r w:rsidR="00BF74E5" w:rsidRPr="00861E44">
        <w:rPr>
          <w:rFonts w:ascii="Arial" w:hAnsi="Arial" w:cs="Arial"/>
        </w:rPr>
        <w:t xml:space="preserve"> </w:t>
      </w:r>
      <w:r w:rsidR="005C0467" w:rsidRPr="00861E44">
        <w:rPr>
          <w:rFonts w:ascii="Arial" w:hAnsi="Arial" w:cs="Arial"/>
        </w:rPr>
        <w:t>The appropriate handling of ethical issues is part of the tender assessment exercise and proposals will be evaluated on this as part of the ‘addressing challenges and risks’ criterion.</w:t>
      </w:r>
    </w:p>
    <w:p w14:paraId="5EA8756B" w14:textId="77777777" w:rsidR="005C0467" w:rsidRPr="00861E44" w:rsidRDefault="005C0467">
      <w:pPr>
        <w:pStyle w:val="ListParagraph"/>
        <w:spacing w:after="0" w:line="240" w:lineRule="auto"/>
        <w:ind w:left="0"/>
        <w:contextualSpacing w:val="0"/>
        <w:jc w:val="both"/>
        <w:rPr>
          <w:rFonts w:ascii="Arial" w:hAnsi="Arial" w:cs="Arial"/>
        </w:rPr>
      </w:pPr>
    </w:p>
    <w:p w14:paraId="5EA8756C" w14:textId="77777777" w:rsidR="00D75586" w:rsidRPr="00861E44" w:rsidRDefault="00BF74E5" w:rsidP="00861E44">
      <w:pPr>
        <w:pStyle w:val="ListParagraph"/>
        <w:spacing w:after="0" w:line="240" w:lineRule="auto"/>
        <w:ind w:left="0"/>
        <w:contextualSpacing w:val="0"/>
        <w:jc w:val="both"/>
        <w:rPr>
          <w:rFonts w:ascii="Arial" w:hAnsi="Arial" w:cs="Arial"/>
        </w:rPr>
      </w:pPr>
      <w:r w:rsidRPr="00861E44">
        <w:rPr>
          <w:rFonts w:ascii="Arial" w:hAnsi="Arial" w:cs="Arial"/>
        </w:rPr>
        <w:t>We expect contractors to adhere to the</w:t>
      </w:r>
      <w:r w:rsidR="00D75586" w:rsidRPr="00861E44">
        <w:rPr>
          <w:rFonts w:ascii="Arial" w:hAnsi="Arial" w:cs="Arial"/>
        </w:rPr>
        <w:t xml:space="preserve"> following</w:t>
      </w:r>
      <w:r w:rsidRPr="00861E44">
        <w:rPr>
          <w:rFonts w:ascii="Arial" w:hAnsi="Arial" w:cs="Arial"/>
        </w:rPr>
        <w:t xml:space="preserve"> GSR</w:t>
      </w:r>
      <w:r w:rsidR="00D75586" w:rsidRPr="00861E44">
        <w:rPr>
          <w:rFonts w:ascii="Arial" w:hAnsi="Arial" w:cs="Arial"/>
        </w:rPr>
        <w:t xml:space="preserve"> Principals:</w:t>
      </w:r>
    </w:p>
    <w:p w14:paraId="5EA8756D" w14:textId="77777777" w:rsidR="00D75586" w:rsidRPr="00861E44" w:rsidRDefault="00D75586" w:rsidP="00861E44">
      <w:pPr>
        <w:pStyle w:val="ListParagraph"/>
        <w:numPr>
          <w:ilvl w:val="0"/>
          <w:numId w:val="2"/>
        </w:numPr>
        <w:ind w:left="851"/>
        <w:rPr>
          <w:rFonts w:ascii="Arial" w:hAnsi="Arial" w:cs="Arial"/>
          <w:iCs/>
        </w:rPr>
      </w:pPr>
      <w:r w:rsidRPr="00861E44">
        <w:rPr>
          <w:rFonts w:ascii="Arial" w:hAnsi="Arial" w:cs="Arial"/>
          <w:iCs/>
        </w:rPr>
        <w:t>Sound application</w:t>
      </w:r>
      <w:r w:rsidR="009E2B4B" w:rsidRPr="00861E44">
        <w:rPr>
          <w:rFonts w:ascii="Arial" w:hAnsi="Arial" w:cs="Arial"/>
          <w:iCs/>
        </w:rPr>
        <w:t xml:space="preserve"> and conduct of social research </w:t>
      </w:r>
      <w:r w:rsidRPr="00861E44">
        <w:rPr>
          <w:rFonts w:ascii="Arial" w:hAnsi="Arial" w:cs="Arial"/>
          <w:iCs/>
        </w:rPr>
        <w:t>methods and appropriate dissemination and utilisation of findings</w:t>
      </w:r>
    </w:p>
    <w:p w14:paraId="5EA8756E" w14:textId="77777777" w:rsidR="00D75586" w:rsidRPr="00861E44" w:rsidRDefault="00D75586" w:rsidP="00861E44">
      <w:pPr>
        <w:pStyle w:val="ListParagraph"/>
        <w:numPr>
          <w:ilvl w:val="0"/>
          <w:numId w:val="2"/>
        </w:numPr>
        <w:ind w:left="851"/>
        <w:jc w:val="both"/>
        <w:rPr>
          <w:rFonts w:ascii="Arial" w:hAnsi="Arial" w:cs="Arial"/>
          <w:iCs/>
        </w:rPr>
      </w:pPr>
      <w:r w:rsidRPr="00861E44">
        <w:rPr>
          <w:rFonts w:ascii="Arial" w:hAnsi="Arial" w:cs="Arial"/>
          <w:iCs/>
        </w:rPr>
        <w:t>Participation based on valid consent</w:t>
      </w:r>
    </w:p>
    <w:p w14:paraId="5EA8756F" w14:textId="77777777" w:rsidR="00D75586" w:rsidRPr="00861E44" w:rsidRDefault="00D75586" w:rsidP="00861E44">
      <w:pPr>
        <w:pStyle w:val="ListParagraph"/>
        <w:numPr>
          <w:ilvl w:val="0"/>
          <w:numId w:val="2"/>
        </w:numPr>
        <w:ind w:left="851"/>
        <w:jc w:val="both"/>
        <w:rPr>
          <w:rFonts w:ascii="Arial" w:hAnsi="Arial" w:cs="Arial"/>
          <w:iCs/>
        </w:rPr>
      </w:pPr>
      <w:r w:rsidRPr="00861E44">
        <w:rPr>
          <w:rFonts w:ascii="Arial" w:hAnsi="Arial" w:cs="Arial"/>
          <w:iCs/>
        </w:rPr>
        <w:lastRenderedPageBreak/>
        <w:t>Enabling participation</w:t>
      </w:r>
    </w:p>
    <w:p w14:paraId="5EA87570" w14:textId="77777777" w:rsidR="00D75586" w:rsidRPr="00861E44" w:rsidRDefault="00D75586" w:rsidP="00861E44">
      <w:pPr>
        <w:pStyle w:val="ListParagraph"/>
        <w:numPr>
          <w:ilvl w:val="0"/>
          <w:numId w:val="2"/>
        </w:numPr>
        <w:ind w:left="851"/>
        <w:jc w:val="both"/>
        <w:rPr>
          <w:rFonts w:ascii="Arial" w:hAnsi="Arial" w:cs="Arial"/>
          <w:iCs/>
        </w:rPr>
      </w:pPr>
      <w:r w:rsidRPr="00861E44">
        <w:rPr>
          <w:rFonts w:ascii="Arial" w:hAnsi="Arial" w:cs="Arial"/>
          <w:iCs/>
        </w:rPr>
        <w:t>Avoidance of personal harm</w:t>
      </w:r>
    </w:p>
    <w:p w14:paraId="5EA87571" w14:textId="77777777" w:rsidR="00D75586" w:rsidRPr="00861E44" w:rsidRDefault="00D75586" w:rsidP="00861E44">
      <w:pPr>
        <w:pStyle w:val="ListParagraph"/>
        <w:numPr>
          <w:ilvl w:val="0"/>
          <w:numId w:val="2"/>
        </w:numPr>
        <w:spacing w:after="0" w:line="240" w:lineRule="auto"/>
        <w:ind w:left="851"/>
        <w:contextualSpacing w:val="0"/>
        <w:jc w:val="both"/>
        <w:rPr>
          <w:rFonts w:ascii="Arial" w:hAnsi="Arial" w:cs="Arial"/>
          <w:iCs/>
        </w:rPr>
      </w:pPr>
      <w:r w:rsidRPr="00861E44">
        <w:rPr>
          <w:rFonts w:ascii="Arial" w:hAnsi="Arial" w:cs="Arial"/>
          <w:iCs/>
        </w:rPr>
        <w:t>Non-disclosure of identity and personal information</w:t>
      </w:r>
    </w:p>
    <w:p w14:paraId="5EA87572" w14:textId="77777777" w:rsidR="00D75586" w:rsidRPr="00861E44" w:rsidRDefault="00D75586" w:rsidP="002D32D5">
      <w:pPr>
        <w:pStyle w:val="ListParagraph"/>
        <w:spacing w:after="0" w:line="240" w:lineRule="auto"/>
        <w:ind w:left="0"/>
        <w:contextualSpacing w:val="0"/>
        <w:jc w:val="both"/>
        <w:rPr>
          <w:rFonts w:ascii="Arial" w:hAnsi="Arial" w:cs="Arial"/>
        </w:rPr>
      </w:pPr>
    </w:p>
    <w:p w14:paraId="5EA87573" w14:textId="77777777" w:rsidR="00E070AD" w:rsidRPr="00861E44" w:rsidRDefault="00E070AD" w:rsidP="00662EE1">
      <w:pPr>
        <w:pStyle w:val="Heading1"/>
        <w:numPr>
          <w:ilvl w:val="0"/>
          <w:numId w:val="3"/>
        </w:numPr>
        <w:rPr>
          <w:rFonts w:ascii="Arial" w:hAnsi="Arial" w:cs="Arial"/>
          <w:sz w:val="22"/>
          <w:szCs w:val="22"/>
        </w:rPr>
      </w:pPr>
      <w:bookmarkStart w:id="38" w:name="_Ref338852517"/>
      <w:bookmarkStart w:id="39" w:name="_Toc381969516"/>
      <w:bookmarkStart w:id="40" w:name="_Toc405888465"/>
      <w:bookmarkStart w:id="41" w:name="_Toc530496760"/>
      <w:bookmarkEnd w:id="37"/>
      <w:r w:rsidRPr="00861E44">
        <w:rPr>
          <w:rFonts w:ascii="Arial" w:hAnsi="Arial" w:cs="Arial"/>
          <w:sz w:val="22"/>
          <w:szCs w:val="22"/>
        </w:rPr>
        <w:t>Working Arrangements</w:t>
      </w:r>
      <w:bookmarkEnd w:id="38"/>
      <w:bookmarkEnd w:id="39"/>
      <w:bookmarkEnd w:id="40"/>
      <w:bookmarkEnd w:id="41"/>
    </w:p>
    <w:p w14:paraId="5EA87574" w14:textId="77777777" w:rsidR="00AA62E8" w:rsidRPr="00861E44" w:rsidRDefault="00AA62E8">
      <w:pPr>
        <w:pStyle w:val="Norma"/>
        <w:jc w:val="both"/>
        <w:rPr>
          <w:rFonts w:cs="Arial"/>
          <w:b/>
          <w:bCs/>
          <w:iCs/>
        </w:rPr>
      </w:pPr>
    </w:p>
    <w:p w14:paraId="5EA87575" w14:textId="016847B5" w:rsidR="00AA62E8" w:rsidRPr="00861E44" w:rsidRDefault="00AA62E8" w:rsidP="00861E44">
      <w:pPr>
        <w:pStyle w:val="Norma"/>
        <w:jc w:val="both"/>
        <w:rPr>
          <w:rFonts w:cs="Arial"/>
          <w:bCs/>
        </w:rPr>
      </w:pPr>
      <w:r w:rsidRPr="00861E44">
        <w:rPr>
          <w:rFonts w:cs="Arial"/>
          <w:bCs/>
        </w:rPr>
        <w:t>The successful contractor will be expected to identify one named point of contract through</w:t>
      </w:r>
      <w:r w:rsidR="005A7FBC" w:rsidRPr="00861E44">
        <w:rPr>
          <w:rFonts w:cs="Arial"/>
          <w:bCs/>
        </w:rPr>
        <w:t xml:space="preserve"> </w:t>
      </w:r>
      <w:r w:rsidRPr="00861E44">
        <w:rPr>
          <w:rFonts w:cs="Arial"/>
          <w:bCs/>
        </w:rPr>
        <w:t>whom all e</w:t>
      </w:r>
      <w:r w:rsidR="0097210C" w:rsidRPr="00861E44">
        <w:rPr>
          <w:rFonts w:cs="Arial"/>
          <w:bCs/>
        </w:rPr>
        <w:t>nquiries can be filtered. A CCC</w:t>
      </w:r>
      <w:r w:rsidRPr="00861E44">
        <w:rPr>
          <w:rFonts w:cs="Arial"/>
          <w:bCs/>
        </w:rPr>
        <w:t xml:space="preserve"> project manager will be assigned to the project and will be the central point of contact. </w:t>
      </w:r>
    </w:p>
    <w:p w14:paraId="5EA87578" w14:textId="77777777" w:rsidR="00AA62E8" w:rsidRPr="00861E44" w:rsidRDefault="00AA62E8" w:rsidP="00AA62E8">
      <w:pPr>
        <w:pStyle w:val="ListParagraph"/>
        <w:ind w:left="0"/>
        <w:rPr>
          <w:rFonts w:ascii="Arial" w:eastAsia="Times New Roman" w:hAnsi="Arial" w:cs="Arial"/>
        </w:rPr>
      </w:pPr>
    </w:p>
    <w:p w14:paraId="5EA87579" w14:textId="77777777" w:rsidR="003C1CE8" w:rsidRPr="00861E44" w:rsidRDefault="007A7010" w:rsidP="00662EE1">
      <w:pPr>
        <w:pStyle w:val="Heading1"/>
        <w:numPr>
          <w:ilvl w:val="0"/>
          <w:numId w:val="3"/>
        </w:numPr>
        <w:rPr>
          <w:rFonts w:ascii="Arial" w:hAnsi="Arial" w:cs="Arial"/>
          <w:sz w:val="22"/>
          <w:szCs w:val="22"/>
        </w:rPr>
      </w:pPr>
      <w:bookmarkStart w:id="42" w:name="_Toc530496761"/>
      <w:r w:rsidRPr="00861E44">
        <w:rPr>
          <w:rFonts w:ascii="Arial" w:hAnsi="Arial" w:cs="Arial"/>
          <w:sz w:val="22"/>
          <w:szCs w:val="22"/>
        </w:rPr>
        <w:t>Skills and experience</w:t>
      </w:r>
      <w:bookmarkEnd w:id="42"/>
    </w:p>
    <w:p w14:paraId="5EA8757A" w14:textId="77777777" w:rsidR="00427AFA" w:rsidRPr="00861E44" w:rsidRDefault="00427AFA" w:rsidP="00B960BC">
      <w:pPr>
        <w:pStyle w:val="Norma"/>
        <w:ind w:left="360"/>
        <w:jc w:val="both"/>
        <w:rPr>
          <w:rFonts w:cs="Arial"/>
        </w:rPr>
      </w:pPr>
    </w:p>
    <w:p w14:paraId="5EA8757B" w14:textId="5FB8080B" w:rsidR="00FA702B" w:rsidRPr="00861E44" w:rsidRDefault="0097210C" w:rsidP="00861E44">
      <w:pPr>
        <w:pStyle w:val="PTablebodyCharCharChar"/>
        <w:tabs>
          <w:tab w:val="clear" w:pos="7823"/>
          <w:tab w:val="right" w:pos="709"/>
        </w:tabs>
        <w:spacing w:after="0"/>
        <w:ind w:left="0"/>
        <w:rPr>
          <w:rFonts w:ascii="Arial" w:hAnsi="Arial" w:cs="Arial"/>
          <w:sz w:val="22"/>
          <w:szCs w:val="22"/>
          <w:highlight w:val="yellow"/>
        </w:rPr>
      </w:pPr>
      <w:r w:rsidRPr="00861E44">
        <w:rPr>
          <w:rFonts w:ascii="Arial" w:hAnsi="Arial" w:cs="Arial"/>
          <w:sz w:val="22"/>
          <w:szCs w:val="22"/>
        </w:rPr>
        <w:t>C</w:t>
      </w:r>
      <w:r w:rsidR="004B3AD5" w:rsidRPr="00861E44">
        <w:rPr>
          <w:rFonts w:ascii="Arial" w:hAnsi="Arial" w:cs="Arial"/>
          <w:sz w:val="22"/>
          <w:szCs w:val="22"/>
        </w:rPr>
        <w:t xml:space="preserve">CC </w:t>
      </w:r>
      <w:r w:rsidR="007A7010" w:rsidRPr="00861E44">
        <w:rPr>
          <w:rFonts w:ascii="Arial" w:hAnsi="Arial" w:cs="Arial"/>
          <w:sz w:val="22"/>
          <w:szCs w:val="22"/>
        </w:rPr>
        <w:t xml:space="preserve">would like you to demonstrate that you have </w:t>
      </w:r>
      <w:r w:rsidR="009F7CC0" w:rsidRPr="00861E44">
        <w:rPr>
          <w:rFonts w:ascii="Arial" w:hAnsi="Arial" w:cs="Arial"/>
          <w:sz w:val="22"/>
          <w:szCs w:val="22"/>
        </w:rPr>
        <w:t>the experience and capabilities to undertake the project</w:t>
      </w:r>
      <w:r w:rsidR="007A7010" w:rsidRPr="00861E44">
        <w:rPr>
          <w:rFonts w:ascii="Arial" w:hAnsi="Arial" w:cs="Arial"/>
          <w:sz w:val="22"/>
          <w:szCs w:val="22"/>
        </w:rPr>
        <w:t xml:space="preserve">. Your tender response should include a summary of </w:t>
      </w:r>
      <w:r w:rsidR="009F7CC0" w:rsidRPr="00861E44">
        <w:rPr>
          <w:rFonts w:ascii="Arial" w:hAnsi="Arial" w:cs="Arial"/>
          <w:sz w:val="22"/>
          <w:szCs w:val="22"/>
        </w:rPr>
        <w:t>each proposed team members experience</w:t>
      </w:r>
      <w:r w:rsidR="007A7010" w:rsidRPr="00861E44">
        <w:rPr>
          <w:rFonts w:ascii="Arial" w:hAnsi="Arial" w:cs="Arial"/>
          <w:sz w:val="22"/>
          <w:szCs w:val="22"/>
        </w:rPr>
        <w:t xml:space="preserve"> </w:t>
      </w:r>
      <w:r w:rsidR="009F7CC0" w:rsidRPr="00861E44">
        <w:rPr>
          <w:rFonts w:ascii="Arial" w:hAnsi="Arial" w:cs="Arial"/>
          <w:sz w:val="22"/>
          <w:szCs w:val="22"/>
        </w:rPr>
        <w:t>and capabilities</w:t>
      </w:r>
      <w:r w:rsidR="007A7010" w:rsidRPr="00861E44">
        <w:rPr>
          <w:rFonts w:ascii="Arial" w:hAnsi="Arial" w:cs="Arial"/>
          <w:sz w:val="22"/>
          <w:szCs w:val="22"/>
        </w:rPr>
        <w:t>.</w:t>
      </w:r>
      <w:r w:rsidR="00816371" w:rsidRPr="00861E44">
        <w:rPr>
          <w:rFonts w:ascii="Arial" w:hAnsi="Arial" w:cs="Arial"/>
          <w:sz w:val="22"/>
          <w:szCs w:val="22"/>
          <w:highlight w:val="yellow"/>
        </w:rPr>
        <w:t xml:space="preserve"> </w:t>
      </w:r>
    </w:p>
    <w:p w14:paraId="5EA8757C" w14:textId="77777777" w:rsidR="00FA702B" w:rsidRPr="00861E44" w:rsidRDefault="00FA702B">
      <w:pPr>
        <w:pStyle w:val="PTablebodyCharCharChar"/>
        <w:spacing w:after="0"/>
        <w:ind w:left="0"/>
        <w:rPr>
          <w:rFonts w:ascii="Arial" w:hAnsi="Arial" w:cs="Arial"/>
          <w:sz w:val="22"/>
          <w:szCs w:val="22"/>
        </w:rPr>
      </w:pPr>
    </w:p>
    <w:p w14:paraId="5EA8757D" w14:textId="77777777" w:rsidR="003C1CE8" w:rsidRPr="00861E44" w:rsidRDefault="003C1CE8" w:rsidP="00861E44">
      <w:pPr>
        <w:pStyle w:val="PTablebodyCharCharChar"/>
        <w:tabs>
          <w:tab w:val="clear" w:pos="7823"/>
          <w:tab w:val="right" w:pos="709"/>
        </w:tabs>
        <w:spacing w:after="0"/>
        <w:ind w:left="0"/>
        <w:rPr>
          <w:rFonts w:ascii="Arial" w:hAnsi="Arial" w:cs="Arial"/>
          <w:sz w:val="22"/>
          <w:szCs w:val="22"/>
        </w:rPr>
      </w:pPr>
      <w:r w:rsidRPr="00861E44">
        <w:rPr>
          <w:rFonts w:ascii="Arial" w:hAnsi="Arial"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861E44" w:rsidRDefault="003C1CE8">
      <w:pPr>
        <w:pStyle w:val="PTablebodyCharCharChar"/>
        <w:spacing w:after="0"/>
        <w:ind w:left="0"/>
        <w:rPr>
          <w:rFonts w:ascii="Arial" w:hAnsi="Arial" w:cs="Arial"/>
          <w:sz w:val="22"/>
          <w:szCs w:val="22"/>
        </w:rPr>
      </w:pPr>
    </w:p>
    <w:p w14:paraId="5EA8757F" w14:textId="77777777" w:rsidR="00D64BB0" w:rsidRPr="00861E44" w:rsidRDefault="003C1CE8" w:rsidP="00861E44">
      <w:pPr>
        <w:pStyle w:val="Norma"/>
        <w:jc w:val="both"/>
        <w:rPr>
          <w:rFonts w:cs="Arial"/>
        </w:rPr>
      </w:pPr>
      <w:r w:rsidRPr="00861E44">
        <w:rPr>
          <w:rFonts w:cs="Arial"/>
        </w:rPr>
        <w:t>Contractors should identify the individual(s) who will be responsible for managing the project.</w:t>
      </w:r>
      <w:bookmarkStart w:id="43" w:name="_Ref338852499"/>
    </w:p>
    <w:p w14:paraId="5EA87580" w14:textId="77777777" w:rsidR="00986070" w:rsidRPr="00861E44" w:rsidRDefault="00986070" w:rsidP="00D64BB0">
      <w:pPr>
        <w:pStyle w:val="Norma"/>
        <w:jc w:val="both"/>
        <w:rPr>
          <w:rFonts w:cs="Arial"/>
        </w:rPr>
      </w:pPr>
    </w:p>
    <w:p w14:paraId="5EA87581" w14:textId="77777777" w:rsidR="003043AD" w:rsidRPr="00861E44" w:rsidRDefault="00D64BB0" w:rsidP="00662EE1">
      <w:pPr>
        <w:pStyle w:val="Heading1"/>
        <w:numPr>
          <w:ilvl w:val="0"/>
          <w:numId w:val="3"/>
        </w:numPr>
        <w:rPr>
          <w:rFonts w:ascii="Arial" w:hAnsi="Arial" w:cs="Arial"/>
          <w:sz w:val="22"/>
          <w:szCs w:val="22"/>
        </w:rPr>
      </w:pPr>
      <w:bookmarkStart w:id="44" w:name="_Ref373505239"/>
      <w:bookmarkStart w:id="45" w:name="_Toc381969518"/>
      <w:bookmarkStart w:id="46" w:name="_Toc405888467"/>
      <w:bookmarkStart w:id="47" w:name="_Toc530496762"/>
      <w:r w:rsidRPr="00861E44">
        <w:rPr>
          <w:rFonts w:ascii="Arial" w:hAnsi="Arial" w:cs="Arial"/>
          <w:sz w:val="22"/>
          <w:szCs w:val="22"/>
        </w:rPr>
        <w:t>C</w:t>
      </w:r>
      <w:r w:rsidR="00A64B82" w:rsidRPr="00861E44">
        <w:rPr>
          <w:rFonts w:ascii="Arial" w:hAnsi="Arial" w:cs="Arial"/>
          <w:sz w:val="22"/>
          <w:szCs w:val="22"/>
        </w:rPr>
        <w:t>onsortium Bids</w:t>
      </w:r>
      <w:bookmarkEnd w:id="44"/>
      <w:bookmarkEnd w:id="45"/>
      <w:bookmarkEnd w:id="46"/>
      <w:bookmarkEnd w:id="47"/>
    </w:p>
    <w:p w14:paraId="5EA87582" w14:textId="77777777" w:rsidR="00D64BB0" w:rsidRPr="00861E44" w:rsidRDefault="00D64BB0" w:rsidP="00E4650D">
      <w:pPr>
        <w:pStyle w:val="Norma"/>
        <w:jc w:val="both"/>
        <w:rPr>
          <w:rFonts w:cs="Arial"/>
        </w:rPr>
      </w:pPr>
    </w:p>
    <w:p w14:paraId="5EA87583" w14:textId="77777777" w:rsidR="00D65A99" w:rsidRPr="00861E44" w:rsidRDefault="003043AD" w:rsidP="00861E44">
      <w:pPr>
        <w:pStyle w:val="FootnoteText"/>
        <w:jc w:val="both"/>
        <w:rPr>
          <w:rFonts w:ascii="Arial" w:hAnsi="Arial" w:cs="Arial"/>
          <w:sz w:val="22"/>
          <w:szCs w:val="22"/>
          <w:lang w:eastAsia="en-GB"/>
        </w:rPr>
      </w:pPr>
      <w:r w:rsidRPr="00861E44">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861E44">
        <w:rPr>
          <w:rFonts w:ascii="Arial" w:hAnsi="Arial" w:cs="Arial"/>
          <w:sz w:val="22"/>
          <w:szCs w:val="22"/>
          <w:lang w:eastAsia="en-GB"/>
        </w:rPr>
        <w:t xml:space="preserve">  We </w:t>
      </w:r>
      <w:r w:rsidR="00D65A99" w:rsidRPr="00861E44">
        <w:rPr>
          <w:rFonts w:ascii="Arial" w:hAnsi="Arial" w:cs="Arial"/>
          <w:sz w:val="22"/>
          <w:szCs w:val="22"/>
        </w:rPr>
        <w:t>expect the bidder to indicate who in the consortium will be th</w:t>
      </w:r>
      <w:r w:rsidR="00CD651A" w:rsidRPr="00861E44">
        <w:rPr>
          <w:rFonts w:ascii="Arial" w:hAnsi="Arial" w:cs="Arial"/>
          <w:sz w:val="22"/>
          <w:szCs w:val="22"/>
        </w:rPr>
        <w:t xml:space="preserve">e </w:t>
      </w:r>
      <w:r w:rsidR="00CD651A" w:rsidRPr="00861E44">
        <w:rPr>
          <w:rFonts w:ascii="Arial" w:hAnsi="Arial" w:cs="Arial"/>
          <w:sz w:val="22"/>
          <w:szCs w:val="22"/>
          <w:lang w:eastAsia="en-GB"/>
        </w:rPr>
        <w:t>lead contact for this project, and the organisation and governance associated with the consortia.</w:t>
      </w:r>
    </w:p>
    <w:p w14:paraId="5EA87584" w14:textId="77777777" w:rsidR="003043AD" w:rsidRPr="00861E44" w:rsidRDefault="003043AD" w:rsidP="00861E44">
      <w:pPr>
        <w:pStyle w:val="FootnoteText"/>
        <w:ind w:left="207"/>
        <w:jc w:val="both"/>
        <w:rPr>
          <w:rFonts w:ascii="Arial" w:hAnsi="Arial" w:cs="Arial"/>
          <w:sz w:val="22"/>
          <w:szCs w:val="22"/>
          <w:lang w:eastAsia="en-GB"/>
        </w:rPr>
      </w:pPr>
    </w:p>
    <w:p w14:paraId="5EA87585" w14:textId="77777777" w:rsidR="003043AD" w:rsidRPr="00861E44" w:rsidRDefault="003043AD" w:rsidP="00861E44">
      <w:pPr>
        <w:pStyle w:val="FootnoteText"/>
        <w:jc w:val="both"/>
        <w:rPr>
          <w:rFonts w:ascii="Arial" w:hAnsi="Arial" w:cs="Arial"/>
          <w:sz w:val="22"/>
          <w:szCs w:val="22"/>
          <w:lang w:eastAsia="en-GB"/>
        </w:rPr>
      </w:pPr>
      <w:r w:rsidRPr="00861E44">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861E44" w:rsidRDefault="003043AD" w:rsidP="00861E44">
      <w:pPr>
        <w:pStyle w:val="FootnoteText"/>
        <w:ind w:left="207"/>
        <w:jc w:val="both"/>
        <w:rPr>
          <w:rFonts w:ascii="Arial" w:hAnsi="Arial" w:cs="Arial"/>
          <w:sz w:val="22"/>
          <w:szCs w:val="22"/>
          <w:lang w:eastAsia="en-GB"/>
        </w:rPr>
      </w:pPr>
    </w:p>
    <w:p w14:paraId="5EA87587" w14:textId="79EB2CDE" w:rsidR="00AD130E" w:rsidRPr="00861E44" w:rsidRDefault="00AD130E" w:rsidP="00861E44">
      <w:pPr>
        <w:pStyle w:val="NoSpacing"/>
        <w:jc w:val="both"/>
        <w:rPr>
          <w:rFonts w:ascii="Arial" w:hAnsi="Arial" w:cs="Arial"/>
        </w:rPr>
      </w:pPr>
      <w:r w:rsidRPr="00861E44">
        <w:rPr>
          <w:rFonts w:ascii="Arial" w:hAnsi="Arial" w:cs="Arial"/>
        </w:rPr>
        <w:t>If a consortium is not proposing to form a corporate entity, full details of alternative proposed arran</w:t>
      </w:r>
      <w:r w:rsidR="007A11CB" w:rsidRPr="00861E44">
        <w:rPr>
          <w:rFonts w:ascii="Arial" w:hAnsi="Arial" w:cs="Arial"/>
        </w:rPr>
        <w:t>gements should be provided</w:t>
      </w:r>
      <w:r w:rsidR="0097210C" w:rsidRPr="00861E44">
        <w:rPr>
          <w:rFonts w:ascii="Arial" w:hAnsi="Arial" w:cs="Arial"/>
        </w:rPr>
        <w:t>. However, please note C</w:t>
      </w:r>
      <w:r w:rsidRPr="00861E44">
        <w:rPr>
          <w:rFonts w:ascii="Arial" w:hAnsi="Arial" w:cs="Arial"/>
        </w:rPr>
        <w:t xml:space="preserve">CC reserves the right to require a successful consortium to form a single legal entity in accordance with Regulation 28 of the Public Contracts Regulations 2006. </w:t>
      </w:r>
    </w:p>
    <w:p w14:paraId="5EA87588" w14:textId="77777777" w:rsidR="00AD130E" w:rsidRPr="00861E44" w:rsidRDefault="00AD130E">
      <w:pPr>
        <w:pStyle w:val="NoSpacing"/>
        <w:jc w:val="both"/>
        <w:rPr>
          <w:rFonts w:ascii="Arial" w:hAnsi="Arial" w:cs="Arial"/>
        </w:rPr>
      </w:pPr>
    </w:p>
    <w:p w14:paraId="5EA87589" w14:textId="40024243" w:rsidR="00AD130E" w:rsidRPr="00861E44" w:rsidRDefault="0097210C" w:rsidP="00861E44">
      <w:pPr>
        <w:pStyle w:val="NoSpacing"/>
        <w:jc w:val="both"/>
        <w:rPr>
          <w:rFonts w:ascii="Arial" w:hAnsi="Arial" w:cs="Arial"/>
        </w:rPr>
      </w:pPr>
      <w:r w:rsidRPr="00861E44">
        <w:rPr>
          <w:rFonts w:ascii="Arial" w:hAnsi="Arial" w:cs="Arial"/>
        </w:rPr>
        <w:lastRenderedPageBreak/>
        <w:t>C</w:t>
      </w:r>
      <w:r w:rsidR="00AD130E" w:rsidRPr="00861E44">
        <w:rPr>
          <w:rFonts w:ascii="Arial" w:hAnsi="Arial"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861E44">
        <w:rPr>
          <w:rFonts w:ascii="Arial" w:hAnsi="Arial" w:cs="Arial"/>
        </w:rPr>
        <w:t>consortia must be notified to C</w:t>
      </w:r>
      <w:r w:rsidR="00AD130E" w:rsidRPr="00861E44">
        <w:rPr>
          <w:rFonts w:ascii="Arial" w:hAnsi="Arial" w:cs="Arial"/>
        </w:rPr>
        <w:t xml:space="preserve">CC so that it can make a further assessment by applying the selection criteria to the new information provided. </w:t>
      </w:r>
    </w:p>
    <w:p w14:paraId="5EA8758A" w14:textId="77777777" w:rsidR="004A2B75" w:rsidRPr="00861E44" w:rsidRDefault="004A2B75" w:rsidP="00053592">
      <w:pPr>
        <w:pStyle w:val="FootnoteText"/>
        <w:rPr>
          <w:rFonts w:ascii="Arial" w:hAnsi="Arial" w:cs="Arial"/>
          <w:sz w:val="22"/>
          <w:szCs w:val="22"/>
          <w:lang w:eastAsia="en-GB"/>
        </w:rPr>
      </w:pPr>
    </w:p>
    <w:p w14:paraId="5EA8758B" w14:textId="77777777" w:rsidR="00F0291F" w:rsidRPr="00861E44" w:rsidRDefault="00F0291F">
      <w:pPr>
        <w:pStyle w:val="Heading1"/>
        <w:numPr>
          <w:ilvl w:val="0"/>
          <w:numId w:val="3"/>
        </w:numPr>
        <w:rPr>
          <w:rFonts w:ascii="Arial" w:hAnsi="Arial" w:cs="Arial"/>
          <w:sz w:val="22"/>
          <w:szCs w:val="22"/>
        </w:rPr>
      </w:pPr>
      <w:bookmarkStart w:id="48" w:name="_Ref357541811"/>
      <w:bookmarkStart w:id="49" w:name="_Toc381969519"/>
      <w:bookmarkStart w:id="50" w:name="_Toc405888468"/>
      <w:bookmarkStart w:id="51" w:name="_Toc530496763"/>
      <w:bookmarkStart w:id="52" w:name="_Toc246831559"/>
      <w:bookmarkStart w:id="53" w:name="_Toc271272917"/>
      <w:bookmarkStart w:id="54" w:name="_Ref338852577"/>
      <w:bookmarkEnd w:id="43"/>
      <w:r w:rsidRPr="00861E44">
        <w:rPr>
          <w:rFonts w:ascii="Arial" w:hAnsi="Arial" w:cs="Arial"/>
          <w:sz w:val="22"/>
          <w:szCs w:val="22"/>
        </w:rPr>
        <w:t>Budget</w:t>
      </w:r>
      <w:bookmarkEnd w:id="48"/>
      <w:bookmarkEnd w:id="49"/>
      <w:bookmarkEnd w:id="50"/>
      <w:bookmarkEnd w:id="51"/>
      <w:r w:rsidRPr="00861E44">
        <w:rPr>
          <w:rFonts w:ascii="Arial" w:hAnsi="Arial" w:cs="Arial"/>
          <w:sz w:val="22"/>
          <w:szCs w:val="22"/>
        </w:rPr>
        <w:t xml:space="preserve"> </w:t>
      </w:r>
    </w:p>
    <w:p w14:paraId="5EA8758C" w14:textId="77777777" w:rsidR="004335BC" w:rsidRPr="00861E44" w:rsidRDefault="004335BC" w:rsidP="004335BC">
      <w:pPr>
        <w:pStyle w:val="Norma"/>
        <w:rPr>
          <w:rFonts w:cs="Arial"/>
          <w:b/>
          <w:bCs/>
          <w:iCs/>
        </w:rPr>
      </w:pPr>
    </w:p>
    <w:p w14:paraId="5EA8758D" w14:textId="6DB64D53" w:rsidR="003C1CE8" w:rsidRPr="00861E44" w:rsidRDefault="003C1CE8" w:rsidP="00861E44">
      <w:pPr>
        <w:pStyle w:val="Paragraph"/>
        <w:ind w:left="360" w:hanging="360"/>
        <w:rPr>
          <w:sz w:val="22"/>
          <w:szCs w:val="22"/>
        </w:rPr>
      </w:pPr>
      <w:r w:rsidRPr="00861E44">
        <w:rPr>
          <w:sz w:val="22"/>
          <w:szCs w:val="22"/>
        </w:rPr>
        <w:t xml:space="preserve">The budget for this project </w:t>
      </w:r>
      <w:r w:rsidRPr="004915C2">
        <w:rPr>
          <w:sz w:val="22"/>
          <w:szCs w:val="22"/>
        </w:rPr>
        <w:t xml:space="preserve">is </w:t>
      </w:r>
      <w:r w:rsidR="004A2B75" w:rsidRPr="00E655AE">
        <w:rPr>
          <w:sz w:val="22"/>
          <w:szCs w:val="22"/>
        </w:rPr>
        <w:t>£</w:t>
      </w:r>
      <w:r w:rsidR="004915C2" w:rsidRPr="00E655AE">
        <w:rPr>
          <w:sz w:val="22"/>
          <w:szCs w:val="22"/>
        </w:rPr>
        <w:t>60</w:t>
      </w:r>
      <w:r w:rsidR="00D11CB1">
        <w:rPr>
          <w:sz w:val="22"/>
          <w:szCs w:val="22"/>
        </w:rPr>
        <w:t>,000</w:t>
      </w:r>
      <w:r w:rsidR="004915C2" w:rsidRPr="00E655AE">
        <w:rPr>
          <w:sz w:val="22"/>
          <w:szCs w:val="22"/>
        </w:rPr>
        <w:t xml:space="preserve"> </w:t>
      </w:r>
      <w:r w:rsidRPr="00E655AE">
        <w:rPr>
          <w:sz w:val="22"/>
          <w:szCs w:val="22"/>
        </w:rPr>
        <w:t>to</w:t>
      </w:r>
      <w:r w:rsidR="00526862" w:rsidRPr="00E655AE">
        <w:rPr>
          <w:sz w:val="22"/>
          <w:szCs w:val="22"/>
        </w:rPr>
        <w:t xml:space="preserve"> </w:t>
      </w:r>
      <w:r w:rsidR="00293D12" w:rsidRPr="00E655AE">
        <w:rPr>
          <w:sz w:val="22"/>
          <w:szCs w:val="22"/>
        </w:rPr>
        <w:t>£</w:t>
      </w:r>
      <w:r w:rsidR="004915C2" w:rsidRPr="00E655AE">
        <w:rPr>
          <w:sz w:val="22"/>
          <w:szCs w:val="22"/>
        </w:rPr>
        <w:t>75</w:t>
      </w:r>
      <w:r w:rsidR="00D11CB1">
        <w:rPr>
          <w:sz w:val="22"/>
          <w:szCs w:val="22"/>
        </w:rPr>
        <w:t>,000</w:t>
      </w:r>
      <w:r w:rsidR="004915C2" w:rsidRPr="00E655AE">
        <w:rPr>
          <w:sz w:val="22"/>
          <w:szCs w:val="22"/>
        </w:rPr>
        <w:t xml:space="preserve"> </w:t>
      </w:r>
      <w:r w:rsidR="00685B87" w:rsidRPr="00861E44">
        <w:rPr>
          <w:sz w:val="22"/>
          <w:szCs w:val="22"/>
        </w:rPr>
        <w:t>excluding VAT</w:t>
      </w:r>
      <w:r w:rsidRPr="00861E44">
        <w:rPr>
          <w:sz w:val="22"/>
          <w:szCs w:val="22"/>
        </w:rPr>
        <w:t>.</w:t>
      </w:r>
    </w:p>
    <w:p w14:paraId="5EA8758E" w14:textId="77777777" w:rsidR="00B00EA2" w:rsidRPr="00861E44" w:rsidRDefault="00B00EA2">
      <w:pPr>
        <w:pStyle w:val="ListParagraph"/>
        <w:spacing w:line="240" w:lineRule="auto"/>
        <w:ind w:left="0"/>
        <w:jc w:val="both"/>
        <w:rPr>
          <w:rFonts w:ascii="Arial" w:hAnsi="Arial" w:cs="Arial"/>
        </w:rPr>
      </w:pPr>
    </w:p>
    <w:p w14:paraId="5EA8758F" w14:textId="77777777" w:rsidR="0089058C" w:rsidRPr="00861E44" w:rsidRDefault="003C1CE8" w:rsidP="00861E44">
      <w:pPr>
        <w:pStyle w:val="ListParagraph"/>
        <w:spacing w:line="240" w:lineRule="auto"/>
        <w:ind w:left="0"/>
        <w:jc w:val="both"/>
        <w:rPr>
          <w:rFonts w:ascii="Arial" w:hAnsi="Arial" w:cs="Arial"/>
        </w:rPr>
      </w:pPr>
      <w:r w:rsidRPr="00861E44">
        <w:rPr>
          <w:rFonts w:ascii="Arial" w:hAnsi="Arial" w:cs="Arial"/>
        </w:rPr>
        <w:t xml:space="preserve">Contractors should provide a full and detailed breakdown of costs (including options where appropriate). This should include staff (and day rate) allocated to specific tasks. </w:t>
      </w:r>
      <w:bookmarkEnd w:id="52"/>
      <w:bookmarkEnd w:id="53"/>
      <w:bookmarkEnd w:id="54"/>
    </w:p>
    <w:p w14:paraId="5EA87590" w14:textId="77777777" w:rsidR="00272E19" w:rsidRPr="00861E44" w:rsidRDefault="00272E19">
      <w:pPr>
        <w:pStyle w:val="ListParagraph"/>
        <w:spacing w:line="240" w:lineRule="auto"/>
        <w:ind w:left="0"/>
        <w:jc w:val="both"/>
        <w:rPr>
          <w:rFonts w:ascii="Arial" w:hAnsi="Arial" w:cs="Arial"/>
        </w:rPr>
      </w:pPr>
    </w:p>
    <w:p w14:paraId="5EA87591" w14:textId="46955807" w:rsidR="00220792" w:rsidRPr="00861E44" w:rsidRDefault="00220792" w:rsidP="00861E44">
      <w:pPr>
        <w:pStyle w:val="ListParagraph"/>
        <w:spacing w:line="240" w:lineRule="auto"/>
        <w:ind w:left="0"/>
        <w:jc w:val="both"/>
        <w:rPr>
          <w:rFonts w:ascii="Arial" w:hAnsi="Arial" w:cs="Arial"/>
          <w:b/>
          <w:color w:val="FF0000"/>
        </w:rPr>
      </w:pPr>
      <w:r w:rsidRPr="00861E44">
        <w:rPr>
          <w:rFonts w:ascii="Arial" w:hAnsi="Arial" w:cs="Arial"/>
        </w:rPr>
        <w:t>Cost will be a criterion against wh</w:t>
      </w:r>
      <w:r w:rsidR="00662EE1" w:rsidRPr="00861E44">
        <w:rPr>
          <w:rFonts w:ascii="Arial" w:hAnsi="Arial" w:cs="Arial"/>
        </w:rPr>
        <w:t>ich bids which will be assessed.</w:t>
      </w:r>
    </w:p>
    <w:p w14:paraId="5EA87592" w14:textId="77777777" w:rsidR="00220792" w:rsidRPr="00861E44" w:rsidRDefault="00220792">
      <w:pPr>
        <w:pStyle w:val="ListParagraph"/>
        <w:spacing w:line="240" w:lineRule="auto"/>
        <w:ind w:left="0"/>
        <w:jc w:val="both"/>
        <w:rPr>
          <w:rFonts w:ascii="Arial" w:hAnsi="Arial" w:cs="Arial"/>
        </w:rPr>
      </w:pPr>
    </w:p>
    <w:p w14:paraId="5EA87593" w14:textId="4D3B8DF5" w:rsidR="00272E19" w:rsidRPr="00861E44" w:rsidRDefault="00272E19" w:rsidP="00861E44">
      <w:pPr>
        <w:pStyle w:val="ListParagraph"/>
        <w:spacing w:after="0" w:line="240" w:lineRule="auto"/>
        <w:ind w:left="0"/>
        <w:jc w:val="both"/>
        <w:rPr>
          <w:rFonts w:ascii="Arial" w:hAnsi="Arial" w:cs="Arial"/>
        </w:rPr>
      </w:pPr>
      <w:r w:rsidRPr="00861E44">
        <w:rPr>
          <w:rFonts w:ascii="Arial" w:hAnsi="Arial" w:cs="Arial"/>
        </w:rPr>
        <w:t xml:space="preserve">Payments will be linked to delivery of key milestones. The indicative milestones and phasing of payments </w:t>
      </w:r>
      <w:r w:rsidR="00DC39C6" w:rsidRPr="00861E44">
        <w:rPr>
          <w:rFonts w:ascii="Arial" w:hAnsi="Arial" w:cs="Arial"/>
        </w:rPr>
        <w:t>can be adjusted and agreed with the contractor</w:t>
      </w:r>
      <w:r w:rsidR="007A11CB" w:rsidRPr="00861E44">
        <w:rPr>
          <w:rFonts w:ascii="Arial" w:hAnsi="Arial" w:cs="Arial"/>
        </w:rPr>
        <w:t xml:space="preserve"> and Project Manager. </w:t>
      </w:r>
      <w:r w:rsidR="00E41E71" w:rsidRPr="00861E44">
        <w:rPr>
          <w:rFonts w:ascii="Arial" w:hAnsi="Arial" w:cs="Arial"/>
        </w:rPr>
        <w:t>P</w:t>
      </w:r>
      <w:r w:rsidR="00DC39C6" w:rsidRPr="00861E44">
        <w:rPr>
          <w:rFonts w:ascii="Arial" w:hAnsi="Arial" w:cs="Arial"/>
        </w:rPr>
        <w:t>lease advise in your tender response how this breakdown reflects your usual payment processes</w:t>
      </w:r>
      <w:r w:rsidRPr="00861E44">
        <w:rPr>
          <w:rFonts w:ascii="Arial" w:hAnsi="Arial" w:cs="Arial"/>
        </w:rPr>
        <w:t>:</w:t>
      </w:r>
    </w:p>
    <w:p w14:paraId="5EA87594" w14:textId="77777777" w:rsidR="00DC39C6" w:rsidRPr="00861E44" w:rsidRDefault="00DC39C6">
      <w:pPr>
        <w:pStyle w:val="ListParagraph"/>
        <w:spacing w:after="0" w:line="240" w:lineRule="auto"/>
        <w:ind w:left="0"/>
        <w:jc w:val="both"/>
        <w:rPr>
          <w:rFonts w:ascii="Arial" w:hAnsi="Arial" w:cs="Arial"/>
        </w:rPr>
      </w:pPr>
    </w:p>
    <w:p w14:paraId="5EA87595" w14:textId="77777777" w:rsidR="008261E0" w:rsidRPr="00861E44" w:rsidRDefault="003C06AA" w:rsidP="00861E44">
      <w:pPr>
        <w:pStyle w:val="Norma"/>
        <w:jc w:val="both"/>
        <w:rPr>
          <w:rFonts w:eastAsia="MS Mincho" w:cs="Arial"/>
          <w:lang w:eastAsia="en-US"/>
        </w:rPr>
      </w:pPr>
      <w:r w:rsidRPr="00861E44">
        <w:rPr>
          <w:rFonts w:eastAsia="MS Mincho" w:cs="Arial"/>
          <w:lang w:eastAsia="en-US"/>
        </w:rPr>
        <w:t xml:space="preserve">In submitting full tenders, contractors confirm in writing that the </w:t>
      </w:r>
      <w:r w:rsidRPr="00861E44">
        <w:rPr>
          <w:rFonts w:eastAsia="MS Mincho" w:cs="Arial"/>
          <w:lang w:eastAsia="en-US"/>
        </w:rPr>
        <w:lastRenderedPageBreak/>
        <w:t xml:space="preserve">price offered will be held for a minimum of 60 calendar days from the date of submission. Any payment conditions applicable to the prime contractor must also be replicated with sub-contractors. </w:t>
      </w:r>
    </w:p>
    <w:p w14:paraId="5EA87596" w14:textId="77777777" w:rsidR="00532695" w:rsidRPr="00861E44" w:rsidRDefault="00532695">
      <w:pPr>
        <w:pStyle w:val="Norma"/>
        <w:jc w:val="both"/>
        <w:rPr>
          <w:rFonts w:eastAsia="MS Mincho" w:cs="Arial"/>
          <w:lang w:eastAsia="en-US"/>
        </w:rPr>
      </w:pPr>
    </w:p>
    <w:p w14:paraId="5EA87597" w14:textId="18036C23" w:rsidR="00443DE6" w:rsidRPr="00861E44" w:rsidRDefault="008261E0" w:rsidP="00861E44">
      <w:pPr>
        <w:pStyle w:val="Norma"/>
        <w:jc w:val="both"/>
        <w:rPr>
          <w:rFonts w:eastAsia="MS Mincho" w:cs="Arial"/>
          <w:lang w:eastAsia="en-US"/>
        </w:rPr>
      </w:pPr>
      <w:r w:rsidRPr="00861E44">
        <w:rPr>
          <w:rFonts w:eastAsia="MS Mincho" w:cs="Arial"/>
          <w:lang w:eastAsia="en-US"/>
        </w:rPr>
        <w:t xml:space="preserve">The </w:t>
      </w:r>
      <w:r w:rsidR="00C55E72" w:rsidRPr="00861E44">
        <w:rPr>
          <w:rFonts w:eastAsia="MS Mincho" w:cs="Arial"/>
          <w:lang w:eastAsia="en-US"/>
        </w:rPr>
        <w:t>Committee on Climate Change</w:t>
      </w:r>
      <w:r w:rsidRPr="00861E44">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861E44">
        <w:rPr>
          <w:rFonts w:eastAsia="MS Mincho" w:cs="Arial"/>
          <w:lang w:eastAsia="en-US"/>
        </w:rPr>
        <w:t>.</w:t>
      </w:r>
    </w:p>
    <w:p w14:paraId="5EA87598" w14:textId="77777777" w:rsidR="003C06AA" w:rsidRPr="00861E44" w:rsidRDefault="003C06AA" w:rsidP="003C1CE8">
      <w:pPr>
        <w:pStyle w:val="Norma"/>
        <w:jc w:val="both"/>
        <w:rPr>
          <w:rFonts w:cs="Arial"/>
          <w:highlight w:val="yellow"/>
        </w:rPr>
      </w:pPr>
    </w:p>
    <w:p w14:paraId="5EA87599" w14:textId="77777777" w:rsidR="003C1CE8" w:rsidRPr="00861E44" w:rsidRDefault="005C6FBA" w:rsidP="00662EE1">
      <w:pPr>
        <w:pStyle w:val="Heading1"/>
        <w:numPr>
          <w:ilvl w:val="0"/>
          <w:numId w:val="3"/>
        </w:numPr>
        <w:rPr>
          <w:rFonts w:ascii="Arial" w:hAnsi="Arial" w:cs="Arial"/>
          <w:sz w:val="22"/>
          <w:szCs w:val="22"/>
        </w:rPr>
      </w:pPr>
      <w:bookmarkStart w:id="55" w:name="_Ref357541836"/>
      <w:bookmarkStart w:id="56" w:name="_Toc381969520"/>
      <w:bookmarkStart w:id="57" w:name="_Toc405888469"/>
      <w:bookmarkStart w:id="58" w:name="_Toc530496764"/>
      <w:r w:rsidRPr="00861E44">
        <w:rPr>
          <w:rFonts w:ascii="Arial" w:hAnsi="Arial" w:cs="Arial"/>
          <w:sz w:val="22"/>
          <w:szCs w:val="22"/>
        </w:rPr>
        <w:t>Evaluation of Tenders</w:t>
      </w:r>
      <w:bookmarkEnd w:id="55"/>
      <w:bookmarkEnd w:id="56"/>
      <w:bookmarkEnd w:id="57"/>
      <w:bookmarkEnd w:id="58"/>
    </w:p>
    <w:p w14:paraId="5EA8759A" w14:textId="77777777" w:rsidR="003C1CE8" w:rsidRPr="00861E44" w:rsidRDefault="003C1CE8" w:rsidP="00E4650D">
      <w:pPr>
        <w:pStyle w:val="Norma"/>
        <w:jc w:val="both"/>
        <w:rPr>
          <w:rFonts w:cs="Arial"/>
        </w:rPr>
      </w:pPr>
    </w:p>
    <w:p w14:paraId="5EA8759B" w14:textId="0A82C302" w:rsidR="005C788B" w:rsidRPr="00861E44" w:rsidRDefault="003C1CE8" w:rsidP="00861E44">
      <w:pPr>
        <w:pStyle w:val="Norma"/>
        <w:jc w:val="both"/>
        <w:rPr>
          <w:rFonts w:cs="Arial"/>
        </w:rPr>
      </w:pPr>
      <w:r w:rsidRPr="00861E44">
        <w:rPr>
          <w:rFonts w:cs="Arial"/>
        </w:rPr>
        <w:t>Contractors are invited to submit full tenders of no more than</w:t>
      </w:r>
      <w:r w:rsidRPr="00861E44">
        <w:rPr>
          <w:rFonts w:cs="Arial"/>
          <w:color w:val="0000FF"/>
        </w:rPr>
        <w:t xml:space="preserve"> </w:t>
      </w:r>
      <w:r w:rsidR="00662EE1" w:rsidRPr="00E655AE">
        <w:rPr>
          <w:rFonts w:cs="Arial"/>
        </w:rPr>
        <w:t>35</w:t>
      </w:r>
      <w:r w:rsidR="00832B02" w:rsidRPr="00E655AE">
        <w:rPr>
          <w:rFonts w:cs="Arial"/>
        </w:rPr>
        <w:t xml:space="preserve"> </w:t>
      </w:r>
      <w:r w:rsidRPr="00932674">
        <w:rPr>
          <w:rFonts w:cs="Arial"/>
        </w:rPr>
        <w:t>pages</w:t>
      </w:r>
      <w:r w:rsidR="008036AA" w:rsidRPr="00861E44">
        <w:rPr>
          <w:rFonts w:cs="Arial"/>
        </w:rPr>
        <w:t xml:space="preserve">, excluding </w:t>
      </w:r>
      <w:r w:rsidR="00662EE1" w:rsidRPr="00861E44">
        <w:rPr>
          <w:rFonts w:cs="Arial"/>
        </w:rPr>
        <w:t xml:space="preserve">CVs and </w:t>
      </w:r>
      <w:r w:rsidR="008036AA" w:rsidRPr="00861E44">
        <w:rPr>
          <w:rFonts w:cs="Arial"/>
        </w:rPr>
        <w:t>declarations</w:t>
      </w:r>
      <w:r w:rsidRPr="00861E44">
        <w:rPr>
          <w:rFonts w:cs="Arial"/>
        </w:rPr>
        <w:t>.</w:t>
      </w:r>
      <w:r w:rsidR="00E4650D" w:rsidRPr="00861E44">
        <w:rPr>
          <w:rFonts w:cs="Arial"/>
        </w:rPr>
        <w:t xml:space="preserve"> </w:t>
      </w:r>
      <w:r w:rsidR="003C54D5" w:rsidRPr="00861E44">
        <w:rPr>
          <w:rFonts w:cs="Arial"/>
        </w:rPr>
        <w:t xml:space="preserve">Tenders will be evaluated by at least three </w:t>
      </w:r>
      <w:r w:rsidR="0097210C" w:rsidRPr="00861E44">
        <w:rPr>
          <w:rFonts w:cs="Arial"/>
        </w:rPr>
        <w:t>C</w:t>
      </w:r>
      <w:r w:rsidR="003C54D5" w:rsidRPr="00861E44">
        <w:rPr>
          <w:rFonts w:cs="Arial"/>
        </w:rPr>
        <w:t>CC staff</w:t>
      </w:r>
      <w:r w:rsidR="005C788B" w:rsidRPr="00861E44">
        <w:rPr>
          <w:rFonts w:cs="Arial"/>
        </w:rPr>
        <w:t>.</w:t>
      </w:r>
    </w:p>
    <w:p w14:paraId="5EA8759C" w14:textId="77777777" w:rsidR="00E4650D" w:rsidRPr="00861E44" w:rsidRDefault="00E4650D">
      <w:pPr>
        <w:pStyle w:val="Norma"/>
        <w:jc w:val="both"/>
        <w:rPr>
          <w:rFonts w:cs="Arial"/>
        </w:rPr>
      </w:pPr>
    </w:p>
    <w:p w14:paraId="5EA8759F" w14:textId="66D1713C" w:rsidR="00002825" w:rsidRPr="00861E44" w:rsidRDefault="0097210C" w:rsidP="00861E44">
      <w:pPr>
        <w:pStyle w:val="NoSpacing"/>
        <w:rPr>
          <w:rFonts w:ascii="Arial" w:hAnsi="Arial" w:cs="Arial"/>
        </w:rPr>
      </w:pPr>
      <w:r w:rsidRPr="00861E44">
        <w:rPr>
          <w:rFonts w:ascii="Arial" w:hAnsi="Arial" w:cs="Arial"/>
        </w:rPr>
        <w:t>C</w:t>
      </w:r>
      <w:r w:rsidR="003C54D5" w:rsidRPr="00861E44">
        <w:rPr>
          <w:rFonts w:ascii="Arial" w:hAnsi="Arial" w:cs="Arial"/>
        </w:rPr>
        <w:t xml:space="preserve">CC will select the bidder that </w:t>
      </w:r>
      <w:r w:rsidR="007C2B17" w:rsidRPr="00861E44">
        <w:rPr>
          <w:rFonts w:ascii="Arial" w:hAnsi="Arial" w:cs="Arial"/>
        </w:rPr>
        <w:t>scores highest against the</w:t>
      </w:r>
      <w:r w:rsidR="003C54D5" w:rsidRPr="00861E44">
        <w:rPr>
          <w:rFonts w:ascii="Arial" w:hAnsi="Arial" w:cs="Arial"/>
        </w:rPr>
        <w:t xml:space="preserve"> crit</w:t>
      </w:r>
      <w:r w:rsidR="00804221" w:rsidRPr="00861E44">
        <w:rPr>
          <w:rFonts w:ascii="Arial" w:hAnsi="Arial" w:cs="Arial"/>
        </w:rPr>
        <w:t>eria and weighting listed below, s</w:t>
      </w:r>
      <w:r w:rsidR="00002825" w:rsidRPr="00861E44">
        <w:rPr>
          <w:rFonts w:ascii="Arial" w:hAnsi="Arial" w:cs="Arial"/>
        </w:rPr>
        <w:t xml:space="preserve">ee </w:t>
      </w:r>
      <w:r w:rsidR="00EE50B0" w:rsidRPr="00861E44">
        <w:rPr>
          <w:rFonts w:ascii="Arial" w:hAnsi="Arial" w:cs="Arial"/>
        </w:rPr>
        <w:t>the ITT</w:t>
      </w:r>
      <w:r w:rsidR="00002825" w:rsidRPr="00861E44">
        <w:rPr>
          <w:rFonts w:ascii="Arial" w:hAnsi="Arial" w:cs="Arial"/>
        </w:rPr>
        <w:t xml:space="preserve"> for further information</w:t>
      </w:r>
      <w:r w:rsidR="00804221" w:rsidRPr="00861E44">
        <w:rPr>
          <w:rFonts w:ascii="Arial" w:hAnsi="Arial" w:cs="Arial"/>
        </w:rPr>
        <w:t>.</w:t>
      </w:r>
    </w:p>
    <w:p w14:paraId="5EA875A0" w14:textId="77777777" w:rsidR="001623B7" w:rsidRPr="00861E44" w:rsidRDefault="001623B7" w:rsidP="001623B7">
      <w:pPr>
        <w:pStyle w:val="Norma"/>
        <w:widowControl/>
        <w:overflowPunct/>
        <w:autoSpaceDE/>
        <w:autoSpaceDN/>
        <w:adjustRightInd/>
        <w:jc w:val="both"/>
        <w:textAlignment w:val="auto"/>
        <w:rPr>
          <w:rFonts w:cs="Arial"/>
        </w:rPr>
      </w:pPr>
    </w:p>
    <w:p w14:paraId="5EA875A1" w14:textId="77777777" w:rsidR="001623B7" w:rsidRPr="00EE4B03" w:rsidRDefault="001623B7" w:rsidP="001623B7">
      <w:pPr>
        <w:pStyle w:val="Norma"/>
        <w:spacing w:line="276" w:lineRule="auto"/>
        <w:rPr>
          <w:rFonts w:cs="Arial"/>
          <w:b/>
        </w:rPr>
      </w:pPr>
    </w:p>
    <w:p w14:paraId="5EA875A2" w14:textId="77777777" w:rsidR="001623B7" w:rsidRPr="00EE4B03" w:rsidRDefault="001623B7" w:rsidP="00941465">
      <w:pPr>
        <w:pStyle w:val="Norma"/>
        <w:spacing w:line="276" w:lineRule="auto"/>
        <w:ind w:left="360"/>
        <w:rPr>
          <w:rFonts w:cs="Arial"/>
          <w:b/>
        </w:rPr>
      </w:pPr>
      <w:r w:rsidRPr="00EE4B03">
        <w:rPr>
          <w:rFonts w:cs="Arial"/>
          <w:b/>
        </w:rPr>
        <w:t>EVALUATION CRITERIA AND SCORING METHODOLOGY</w:t>
      </w:r>
    </w:p>
    <w:p w14:paraId="5EA875A3" w14:textId="77777777" w:rsidR="001623B7" w:rsidRPr="00EE4B03" w:rsidRDefault="001623B7" w:rsidP="001623B7">
      <w:pPr>
        <w:pStyle w:val="Norma"/>
        <w:spacing w:line="276" w:lineRule="auto"/>
        <w:rPr>
          <w:rFonts w:cs="Arial"/>
          <w:b/>
        </w:rPr>
      </w:pPr>
    </w:p>
    <w:p w14:paraId="5EA875A9" w14:textId="77777777" w:rsidR="001623B7" w:rsidRPr="00EE4B03" w:rsidRDefault="001623B7" w:rsidP="001623B7">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EE4B03" w14:paraId="5EA875AD" w14:textId="77777777" w:rsidTr="00FF4DBE">
        <w:tc>
          <w:tcPr>
            <w:tcW w:w="1133" w:type="dxa"/>
          </w:tcPr>
          <w:p w14:paraId="5EA875AA" w14:textId="77777777" w:rsidR="001623B7" w:rsidRPr="00EE4B03" w:rsidRDefault="001623B7" w:rsidP="005F1C0A">
            <w:pPr>
              <w:pStyle w:val="Heading4"/>
              <w:rPr>
                <w:rFonts w:ascii="Arial" w:hAnsi="Arial" w:cs="Arial"/>
              </w:rPr>
            </w:pPr>
            <w:bookmarkStart w:id="59" w:name="p2"/>
            <w:r w:rsidRPr="00EE4B03">
              <w:rPr>
                <w:rFonts w:ascii="Arial" w:hAnsi="Arial" w:cs="Arial"/>
              </w:rPr>
              <w:t>Criterion</w:t>
            </w:r>
            <w:bookmarkEnd w:id="59"/>
          </w:p>
        </w:tc>
        <w:tc>
          <w:tcPr>
            <w:tcW w:w="5638" w:type="dxa"/>
            <w:shd w:val="clear" w:color="auto" w:fill="auto"/>
          </w:tcPr>
          <w:p w14:paraId="5EA875AB" w14:textId="77777777" w:rsidR="001623B7" w:rsidRPr="00EE4B03" w:rsidRDefault="001623B7" w:rsidP="005F1C0A">
            <w:pPr>
              <w:pStyle w:val="Heading4"/>
              <w:rPr>
                <w:rFonts w:ascii="Arial" w:hAnsi="Arial" w:cs="Arial"/>
              </w:rPr>
            </w:pPr>
            <w:r w:rsidRPr="00EE4B03">
              <w:rPr>
                <w:rFonts w:ascii="Arial" w:hAnsi="Arial" w:cs="Arial"/>
              </w:rPr>
              <w:t>Description</w:t>
            </w:r>
          </w:p>
        </w:tc>
        <w:tc>
          <w:tcPr>
            <w:tcW w:w="2693" w:type="dxa"/>
            <w:shd w:val="clear" w:color="auto" w:fill="auto"/>
          </w:tcPr>
          <w:p w14:paraId="5EA875AC" w14:textId="380D7BDC" w:rsidR="001623B7" w:rsidRPr="00EE4B03" w:rsidRDefault="001623B7">
            <w:pPr>
              <w:pStyle w:val="Heading4"/>
              <w:rPr>
                <w:rFonts w:ascii="Arial" w:hAnsi="Arial" w:cs="Arial"/>
              </w:rPr>
            </w:pPr>
            <w:r w:rsidRPr="00EE4B03">
              <w:rPr>
                <w:rFonts w:ascii="Arial" w:hAnsi="Arial" w:cs="Arial"/>
              </w:rPr>
              <w:t>Weighting</w:t>
            </w:r>
          </w:p>
        </w:tc>
      </w:tr>
      <w:tr w:rsidR="001623B7" w:rsidRPr="00EE4B03" w14:paraId="5EA875B1" w14:textId="77777777" w:rsidTr="00FF4DBE">
        <w:tc>
          <w:tcPr>
            <w:tcW w:w="1133" w:type="dxa"/>
          </w:tcPr>
          <w:p w14:paraId="5EA875AE" w14:textId="699A64BB" w:rsidR="001623B7" w:rsidRPr="00EE4B03" w:rsidRDefault="00F81BC1" w:rsidP="005F1C0A">
            <w:pPr>
              <w:pStyle w:val="Norma"/>
              <w:rPr>
                <w:rFonts w:cs="Arial"/>
              </w:rPr>
            </w:pPr>
            <w:r w:rsidRPr="00EE4B03">
              <w:rPr>
                <w:rFonts w:cs="Arial"/>
              </w:rPr>
              <w:lastRenderedPageBreak/>
              <w:t>1</w:t>
            </w:r>
          </w:p>
        </w:tc>
        <w:tc>
          <w:tcPr>
            <w:tcW w:w="5638" w:type="dxa"/>
            <w:shd w:val="clear" w:color="auto" w:fill="auto"/>
          </w:tcPr>
          <w:p w14:paraId="5EA875AF" w14:textId="644AFD13" w:rsidR="001623B7" w:rsidRPr="00EE4B03" w:rsidRDefault="00F81BC1" w:rsidP="005F1C0A">
            <w:pPr>
              <w:pStyle w:val="Norma"/>
              <w:rPr>
                <w:rFonts w:cs="Arial"/>
              </w:rPr>
            </w:pPr>
            <w:r w:rsidRPr="00861E44">
              <w:rPr>
                <w:rFonts w:cs="Arial"/>
                <w:b/>
              </w:rPr>
              <w:t>RELEVANT EXPERIENCE / DEMONSTRATION OF CABABILITY</w:t>
            </w:r>
          </w:p>
        </w:tc>
        <w:tc>
          <w:tcPr>
            <w:tcW w:w="2693" w:type="dxa"/>
            <w:shd w:val="clear" w:color="auto" w:fill="auto"/>
          </w:tcPr>
          <w:p w14:paraId="5EA875B0" w14:textId="6D2D59FD" w:rsidR="001623B7" w:rsidRPr="00EE4B03" w:rsidRDefault="00DE76AF" w:rsidP="005F1C0A">
            <w:pPr>
              <w:pStyle w:val="Norma"/>
              <w:rPr>
                <w:rFonts w:cs="Arial"/>
              </w:rPr>
            </w:pPr>
            <w:r w:rsidRPr="00EE4B03">
              <w:rPr>
                <w:rFonts w:cs="Arial"/>
              </w:rPr>
              <w:t>20%</w:t>
            </w:r>
          </w:p>
        </w:tc>
      </w:tr>
      <w:tr w:rsidR="001623B7" w:rsidRPr="00EE4B03" w14:paraId="5EA875B5" w14:textId="77777777" w:rsidTr="00FF4DBE">
        <w:tc>
          <w:tcPr>
            <w:tcW w:w="1133" w:type="dxa"/>
          </w:tcPr>
          <w:p w14:paraId="5EA875B2" w14:textId="587E5247" w:rsidR="001623B7" w:rsidRPr="00EE4B03" w:rsidRDefault="00F81BC1" w:rsidP="005F1C0A">
            <w:pPr>
              <w:pStyle w:val="Norma"/>
              <w:rPr>
                <w:rFonts w:cs="Arial"/>
              </w:rPr>
            </w:pPr>
            <w:r w:rsidRPr="00EE4B03">
              <w:rPr>
                <w:rFonts w:cs="Arial"/>
              </w:rPr>
              <w:t>2</w:t>
            </w:r>
          </w:p>
        </w:tc>
        <w:tc>
          <w:tcPr>
            <w:tcW w:w="5638" w:type="dxa"/>
            <w:shd w:val="clear" w:color="auto" w:fill="auto"/>
          </w:tcPr>
          <w:p w14:paraId="5EA875B3" w14:textId="382A88F7" w:rsidR="001623B7" w:rsidRPr="00EE4B03" w:rsidRDefault="00F81BC1" w:rsidP="005F1C0A">
            <w:pPr>
              <w:pStyle w:val="Norma"/>
              <w:rPr>
                <w:rFonts w:cs="Arial"/>
              </w:rPr>
            </w:pPr>
            <w:r w:rsidRPr="00861E44">
              <w:rPr>
                <w:rFonts w:cs="Arial"/>
                <w:b/>
              </w:rPr>
              <w:t>MANAGING YOUR RELATIONSHIP WITH THE CCC</w:t>
            </w:r>
          </w:p>
        </w:tc>
        <w:tc>
          <w:tcPr>
            <w:tcW w:w="2693" w:type="dxa"/>
            <w:shd w:val="clear" w:color="auto" w:fill="auto"/>
          </w:tcPr>
          <w:p w14:paraId="5EA875B4" w14:textId="23BA9FB6" w:rsidR="001623B7" w:rsidRPr="00EE4B03" w:rsidRDefault="00662EE1" w:rsidP="005F1C0A">
            <w:pPr>
              <w:pStyle w:val="Norma"/>
              <w:rPr>
                <w:rFonts w:cs="Arial"/>
              </w:rPr>
            </w:pPr>
            <w:r w:rsidRPr="00EE4B03">
              <w:rPr>
                <w:rFonts w:cs="Arial"/>
              </w:rPr>
              <w:t>5%</w:t>
            </w:r>
          </w:p>
        </w:tc>
      </w:tr>
      <w:tr w:rsidR="001623B7" w:rsidRPr="00EE4B03" w14:paraId="5EA875B9" w14:textId="77777777" w:rsidTr="00FF4DBE">
        <w:tc>
          <w:tcPr>
            <w:tcW w:w="1133" w:type="dxa"/>
          </w:tcPr>
          <w:p w14:paraId="5EA875B6" w14:textId="5CBFCED4" w:rsidR="001623B7" w:rsidRPr="00EE4B03" w:rsidRDefault="00F81BC1" w:rsidP="005F1C0A">
            <w:pPr>
              <w:pStyle w:val="Norma"/>
              <w:rPr>
                <w:rFonts w:cs="Arial"/>
              </w:rPr>
            </w:pPr>
            <w:r w:rsidRPr="00EE4B03">
              <w:rPr>
                <w:rFonts w:cs="Arial"/>
              </w:rPr>
              <w:t>3</w:t>
            </w:r>
          </w:p>
        </w:tc>
        <w:tc>
          <w:tcPr>
            <w:tcW w:w="5638" w:type="dxa"/>
            <w:shd w:val="clear" w:color="auto" w:fill="auto"/>
          </w:tcPr>
          <w:p w14:paraId="5EA875B7" w14:textId="2D79AC43" w:rsidR="001623B7" w:rsidRPr="00EE4B03" w:rsidRDefault="00F81BC1" w:rsidP="005F1C0A">
            <w:pPr>
              <w:pStyle w:val="Norma"/>
              <w:rPr>
                <w:rFonts w:cs="Arial"/>
              </w:rPr>
            </w:pPr>
            <w:r w:rsidRPr="00861E44">
              <w:rPr>
                <w:rFonts w:cs="Arial"/>
                <w:b/>
              </w:rPr>
              <w:t>QUALITY ASSURING THE SERVICES YOU PROVIDE</w:t>
            </w:r>
          </w:p>
        </w:tc>
        <w:tc>
          <w:tcPr>
            <w:tcW w:w="2693" w:type="dxa"/>
            <w:shd w:val="clear" w:color="auto" w:fill="auto"/>
          </w:tcPr>
          <w:p w14:paraId="5EA875B8" w14:textId="22323499" w:rsidR="001623B7" w:rsidRPr="00EE4B03" w:rsidRDefault="00DE76AF" w:rsidP="005F1C0A">
            <w:pPr>
              <w:pStyle w:val="Norma"/>
              <w:rPr>
                <w:rFonts w:cs="Arial"/>
              </w:rPr>
            </w:pPr>
            <w:r w:rsidRPr="00EE4B03">
              <w:rPr>
                <w:rFonts w:cs="Arial"/>
              </w:rPr>
              <w:t>10%</w:t>
            </w:r>
          </w:p>
        </w:tc>
      </w:tr>
      <w:tr w:rsidR="001623B7" w:rsidRPr="00EE4B03" w14:paraId="5EA875BD" w14:textId="77777777" w:rsidTr="00FF4DBE">
        <w:tc>
          <w:tcPr>
            <w:tcW w:w="1133" w:type="dxa"/>
          </w:tcPr>
          <w:p w14:paraId="5EA875BA" w14:textId="3E205DAC" w:rsidR="001623B7" w:rsidRPr="00EE4B03" w:rsidRDefault="00F81BC1" w:rsidP="005F1C0A">
            <w:pPr>
              <w:pStyle w:val="Norma"/>
              <w:rPr>
                <w:rFonts w:cs="Arial"/>
              </w:rPr>
            </w:pPr>
            <w:r w:rsidRPr="00EE4B03">
              <w:rPr>
                <w:rFonts w:cs="Arial"/>
              </w:rPr>
              <w:t>4</w:t>
            </w:r>
          </w:p>
        </w:tc>
        <w:tc>
          <w:tcPr>
            <w:tcW w:w="5638" w:type="dxa"/>
            <w:shd w:val="clear" w:color="auto" w:fill="auto"/>
          </w:tcPr>
          <w:p w14:paraId="5EA875BB" w14:textId="676381F9" w:rsidR="001623B7" w:rsidRPr="00EE4B03" w:rsidRDefault="00F81BC1" w:rsidP="005F1C0A">
            <w:pPr>
              <w:pStyle w:val="Norma"/>
              <w:rPr>
                <w:rFonts w:cs="Arial"/>
              </w:rPr>
            </w:pPr>
            <w:r w:rsidRPr="00861E44">
              <w:rPr>
                <w:rFonts w:cs="Arial"/>
                <w:b/>
              </w:rPr>
              <w:t>MANAGEMENT STRUCTURE</w:t>
            </w:r>
          </w:p>
        </w:tc>
        <w:tc>
          <w:tcPr>
            <w:tcW w:w="2693" w:type="dxa"/>
            <w:shd w:val="clear" w:color="auto" w:fill="auto"/>
          </w:tcPr>
          <w:p w14:paraId="5EA875BC" w14:textId="61E152D7" w:rsidR="001623B7" w:rsidRPr="00EE4B03" w:rsidRDefault="00662EE1" w:rsidP="005F1C0A">
            <w:pPr>
              <w:pStyle w:val="Norma"/>
              <w:rPr>
                <w:rFonts w:cs="Arial"/>
              </w:rPr>
            </w:pPr>
            <w:r w:rsidRPr="00EE4B03">
              <w:rPr>
                <w:rFonts w:cs="Arial"/>
              </w:rPr>
              <w:t>5%</w:t>
            </w:r>
          </w:p>
        </w:tc>
      </w:tr>
      <w:tr w:rsidR="001623B7" w:rsidRPr="00EE4B03" w14:paraId="5EA875C1" w14:textId="77777777" w:rsidTr="00FF4DBE">
        <w:tc>
          <w:tcPr>
            <w:tcW w:w="1133" w:type="dxa"/>
          </w:tcPr>
          <w:p w14:paraId="5EA875BE" w14:textId="7AB65F34" w:rsidR="001623B7" w:rsidRPr="00EE4B03" w:rsidRDefault="00F81BC1" w:rsidP="005F1C0A">
            <w:pPr>
              <w:pStyle w:val="Norma"/>
              <w:rPr>
                <w:rFonts w:cs="Arial"/>
              </w:rPr>
            </w:pPr>
            <w:r w:rsidRPr="00EE4B03">
              <w:rPr>
                <w:rFonts w:cs="Arial"/>
              </w:rPr>
              <w:t>5</w:t>
            </w:r>
          </w:p>
        </w:tc>
        <w:tc>
          <w:tcPr>
            <w:tcW w:w="5638" w:type="dxa"/>
            <w:shd w:val="clear" w:color="auto" w:fill="auto"/>
          </w:tcPr>
          <w:p w14:paraId="5EA875BF" w14:textId="14D3D04F" w:rsidR="001623B7" w:rsidRPr="00EE4B03" w:rsidRDefault="00F81BC1" w:rsidP="005F1C0A">
            <w:pPr>
              <w:pStyle w:val="Norma"/>
              <w:rPr>
                <w:rFonts w:cs="Arial"/>
              </w:rPr>
            </w:pPr>
            <w:r w:rsidRPr="00861E44">
              <w:rPr>
                <w:rFonts w:cs="Arial"/>
                <w:b/>
              </w:rPr>
              <w:t>PROJECT TEAM – SKILLS AND KNOWLEDGE</w:t>
            </w:r>
          </w:p>
        </w:tc>
        <w:tc>
          <w:tcPr>
            <w:tcW w:w="2693" w:type="dxa"/>
            <w:shd w:val="clear" w:color="auto" w:fill="auto"/>
          </w:tcPr>
          <w:p w14:paraId="5EA875C0" w14:textId="7B782B49" w:rsidR="001623B7" w:rsidRPr="00EE4B03" w:rsidRDefault="00DE76AF" w:rsidP="005F1C0A">
            <w:pPr>
              <w:pStyle w:val="Norma"/>
              <w:rPr>
                <w:rFonts w:cs="Arial"/>
              </w:rPr>
            </w:pPr>
            <w:r w:rsidRPr="00EE4B03">
              <w:rPr>
                <w:rFonts w:cs="Arial"/>
              </w:rPr>
              <w:t>20%</w:t>
            </w:r>
          </w:p>
        </w:tc>
      </w:tr>
      <w:tr w:rsidR="001623B7" w:rsidRPr="00EE4B03" w14:paraId="5EA875C5" w14:textId="77777777" w:rsidTr="00FF4DBE">
        <w:tc>
          <w:tcPr>
            <w:tcW w:w="1133" w:type="dxa"/>
          </w:tcPr>
          <w:p w14:paraId="5EA875C2" w14:textId="416F5849" w:rsidR="001623B7" w:rsidRPr="00EE4B03" w:rsidRDefault="00F81BC1" w:rsidP="005F1C0A">
            <w:pPr>
              <w:pStyle w:val="Norma"/>
              <w:rPr>
                <w:rFonts w:cs="Arial"/>
              </w:rPr>
            </w:pPr>
            <w:r w:rsidRPr="00EE4B03">
              <w:rPr>
                <w:rFonts w:cs="Arial"/>
              </w:rPr>
              <w:t>6</w:t>
            </w:r>
          </w:p>
        </w:tc>
        <w:tc>
          <w:tcPr>
            <w:tcW w:w="5638" w:type="dxa"/>
            <w:shd w:val="clear" w:color="auto" w:fill="auto"/>
          </w:tcPr>
          <w:p w14:paraId="5EA875C3" w14:textId="1C33EBE8" w:rsidR="001623B7" w:rsidRPr="00EE4B03" w:rsidRDefault="00F81BC1" w:rsidP="00662EE1">
            <w:pPr>
              <w:pStyle w:val="Norma"/>
              <w:rPr>
                <w:rFonts w:cs="Arial"/>
              </w:rPr>
            </w:pPr>
            <w:r w:rsidRPr="00861E44">
              <w:rPr>
                <w:rFonts w:cs="Arial"/>
                <w:b/>
              </w:rPr>
              <w:t xml:space="preserve">METHOD, ABILITY AND TECHNICAL CAPACITY </w:t>
            </w:r>
          </w:p>
        </w:tc>
        <w:tc>
          <w:tcPr>
            <w:tcW w:w="2693" w:type="dxa"/>
            <w:shd w:val="clear" w:color="auto" w:fill="auto"/>
          </w:tcPr>
          <w:p w14:paraId="5EA875C4" w14:textId="58120297" w:rsidR="001623B7" w:rsidRPr="00EE4B03" w:rsidRDefault="00662EE1" w:rsidP="005F1C0A">
            <w:pPr>
              <w:pStyle w:val="Norma"/>
              <w:rPr>
                <w:rFonts w:cs="Arial"/>
              </w:rPr>
            </w:pPr>
            <w:r w:rsidRPr="00EE4B03">
              <w:rPr>
                <w:rFonts w:cs="Arial"/>
              </w:rPr>
              <w:t>20%</w:t>
            </w:r>
          </w:p>
        </w:tc>
      </w:tr>
      <w:tr w:rsidR="001623B7" w:rsidRPr="00EE4B03" w14:paraId="5EA875C9" w14:textId="77777777" w:rsidTr="00FF4DBE">
        <w:tc>
          <w:tcPr>
            <w:tcW w:w="1133" w:type="dxa"/>
          </w:tcPr>
          <w:p w14:paraId="5EA875C6" w14:textId="679AAEE0" w:rsidR="001623B7" w:rsidRPr="00EE4B03" w:rsidRDefault="00F81BC1" w:rsidP="005F1C0A">
            <w:pPr>
              <w:pStyle w:val="Norma"/>
              <w:rPr>
                <w:rFonts w:cs="Arial"/>
              </w:rPr>
            </w:pPr>
            <w:r w:rsidRPr="00EE4B03">
              <w:rPr>
                <w:rFonts w:cs="Arial"/>
              </w:rPr>
              <w:t>7</w:t>
            </w:r>
          </w:p>
        </w:tc>
        <w:tc>
          <w:tcPr>
            <w:tcW w:w="5638" w:type="dxa"/>
            <w:shd w:val="clear" w:color="auto" w:fill="auto"/>
          </w:tcPr>
          <w:p w14:paraId="5EA875C7" w14:textId="7433D552" w:rsidR="001623B7" w:rsidRPr="00EE4B03" w:rsidRDefault="00F81BC1" w:rsidP="005F1C0A">
            <w:pPr>
              <w:pStyle w:val="Norma"/>
              <w:rPr>
                <w:rFonts w:cs="Arial"/>
              </w:rPr>
            </w:pPr>
            <w:r w:rsidRPr="00861E44">
              <w:rPr>
                <w:rFonts w:cs="Arial"/>
                <w:b/>
              </w:rPr>
              <w:t>UNDERSTANDING OF REQUIREMENTS</w:t>
            </w:r>
          </w:p>
        </w:tc>
        <w:tc>
          <w:tcPr>
            <w:tcW w:w="2693" w:type="dxa"/>
            <w:shd w:val="clear" w:color="auto" w:fill="auto"/>
          </w:tcPr>
          <w:p w14:paraId="5EA875C8" w14:textId="3B5D62F1" w:rsidR="001623B7" w:rsidRPr="00EE4B03" w:rsidRDefault="00DE76AF" w:rsidP="005F1C0A">
            <w:pPr>
              <w:pStyle w:val="Norma"/>
              <w:rPr>
                <w:rFonts w:cs="Arial"/>
              </w:rPr>
            </w:pPr>
            <w:r w:rsidRPr="00EE4B03">
              <w:rPr>
                <w:rFonts w:cs="Arial"/>
              </w:rPr>
              <w:t>10%</w:t>
            </w:r>
          </w:p>
        </w:tc>
      </w:tr>
      <w:tr w:rsidR="00F81BC1" w:rsidRPr="00EE4B03" w14:paraId="2E6C8FB4" w14:textId="77777777" w:rsidTr="00FF4DBE">
        <w:tc>
          <w:tcPr>
            <w:tcW w:w="1133" w:type="dxa"/>
          </w:tcPr>
          <w:p w14:paraId="1E560CCE" w14:textId="3433B6B8" w:rsidR="00F81BC1" w:rsidRPr="00EE4B03" w:rsidRDefault="00F81BC1" w:rsidP="005F1C0A">
            <w:pPr>
              <w:pStyle w:val="Norma"/>
              <w:rPr>
                <w:rFonts w:cs="Arial"/>
              </w:rPr>
            </w:pPr>
            <w:r w:rsidRPr="00EE4B03">
              <w:rPr>
                <w:rFonts w:cs="Arial"/>
              </w:rPr>
              <w:t>8</w:t>
            </w:r>
          </w:p>
        </w:tc>
        <w:tc>
          <w:tcPr>
            <w:tcW w:w="5638" w:type="dxa"/>
            <w:shd w:val="clear" w:color="auto" w:fill="auto"/>
          </w:tcPr>
          <w:p w14:paraId="66360B15" w14:textId="1E9C66FF" w:rsidR="00F81BC1" w:rsidRPr="00EE4B03" w:rsidRDefault="00F81BC1" w:rsidP="005F1C0A">
            <w:pPr>
              <w:pStyle w:val="Norma"/>
              <w:rPr>
                <w:rFonts w:cs="Arial"/>
              </w:rPr>
            </w:pPr>
            <w:r w:rsidRPr="00861E44">
              <w:rPr>
                <w:rFonts w:cs="Arial"/>
                <w:b/>
              </w:rPr>
              <w:t>RISK AND CHALLENGES</w:t>
            </w:r>
          </w:p>
        </w:tc>
        <w:tc>
          <w:tcPr>
            <w:tcW w:w="2693" w:type="dxa"/>
            <w:shd w:val="clear" w:color="auto" w:fill="auto"/>
          </w:tcPr>
          <w:p w14:paraId="42541313" w14:textId="08A98D46" w:rsidR="00F81BC1" w:rsidRPr="00EE4B03" w:rsidRDefault="00DE76AF" w:rsidP="005F1C0A">
            <w:pPr>
              <w:pStyle w:val="Norma"/>
              <w:rPr>
                <w:rFonts w:cs="Arial"/>
              </w:rPr>
            </w:pPr>
            <w:r w:rsidRPr="00EE4B03">
              <w:rPr>
                <w:rFonts w:cs="Arial"/>
              </w:rPr>
              <w:t>10%</w:t>
            </w:r>
          </w:p>
        </w:tc>
      </w:tr>
      <w:tr w:rsidR="00F81BC1" w:rsidRPr="00EE4B03" w14:paraId="1D5C5230" w14:textId="77777777" w:rsidTr="00FF4DBE">
        <w:tc>
          <w:tcPr>
            <w:tcW w:w="1133" w:type="dxa"/>
          </w:tcPr>
          <w:p w14:paraId="2768895F" w14:textId="77777777" w:rsidR="00F81BC1" w:rsidRPr="00EE4B03" w:rsidRDefault="00F81BC1" w:rsidP="005F1C0A">
            <w:pPr>
              <w:pStyle w:val="Norma"/>
              <w:rPr>
                <w:rFonts w:cs="Arial"/>
              </w:rPr>
            </w:pPr>
          </w:p>
        </w:tc>
        <w:tc>
          <w:tcPr>
            <w:tcW w:w="5638" w:type="dxa"/>
            <w:shd w:val="clear" w:color="auto" w:fill="auto"/>
          </w:tcPr>
          <w:p w14:paraId="706ACC83" w14:textId="77777777" w:rsidR="00F81BC1" w:rsidRPr="00EE4B03" w:rsidRDefault="00F81BC1" w:rsidP="005F1C0A">
            <w:pPr>
              <w:pStyle w:val="Norma"/>
              <w:rPr>
                <w:rFonts w:cs="Arial"/>
              </w:rPr>
            </w:pPr>
          </w:p>
        </w:tc>
        <w:tc>
          <w:tcPr>
            <w:tcW w:w="2693" w:type="dxa"/>
            <w:shd w:val="clear" w:color="auto" w:fill="auto"/>
          </w:tcPr>
          <w:p w14:paraId="4C34B6F9" w14:textId="77777777" w:rsidR="00F81BC1" w:rsidRPr="00EE4B03" w:rsidRDefault="00F81BC1" w:rsidP="005F1C0A">
            <w:pPr>
              <w:pStyle w:val="Norma"/>
              <w:rPr>
                <w:rFonts w:cs="Arial"/>
              </w:rPr>
            </w:pPr>
          </w:p>
        </w:tc>
      </w:tr>
      <w:tr w:rsidR="001623B7" w:rsidRPr="00EE4B03" w14:paraId="5EA875CC" w14:textId="77777777" w:rsidTr="00FF4DBE">
        <w:tc>
          <w:tcPr>
            <w:tcW w:w="6771" w:type="dxa"/>
            <w:gridSpan w:val="2"/>
          </w:tcPr>
          <w:p w14:paraId="5EA875CA" w14:textId="77777777" w:rsidR="001623B7" w:rsidRPr="00EE4B03" w:rsidRDefault="001623B7" w:rsidP="005F1C0A">
            <w:pPr>
              <w:pStyle w:val="Norma"/>
              <w:rPr>
                <w:rFonts w:cs="Arial"/>
              </w:rPr>
            </w:pPr>
          </w:p>
        </w:tc>
        <w:tc>
          <w:tcPr>
            <w:tcW w:w="2693" w:type="dxa"/>
            <w:shd w:val="clear" w:color="auto" w:fill="auto"/>
          </w:tcPr>
          <w:p w14:paraId="5EA875CB" w14:textId="77777777" w:rsidR="001623B7" w:rsidRPr="00EE4B03" w:rsidRDefault="001623B7" w:rsidP="005F1C0A">
            <w:pPr>
              <w:pStyle w:val="Norma"/>
              <w:rPr>
                <w:rFonts w:cs="Arial"/>
              </w:rPr>
            </w:pPr>
            <w:r w:rsidRPr="00EE4B03">
              <w:rPr>
                <w:rFonts w:cs="Arial"/>
              </w:rPr>
              <w:t>100%</w:t>
            </w:r>
          </w:p>
        </w:tc>
      </w:tr>
    </w:tbl>
    <w:p w14:paraId="5EA875CD" w14:textId="77777777" w:rsidR="001623B7" w:rsidRPr="00955B41" w:rsidRDefault="001623B7" w:rsidP="001623B7">
      <w:pPr>
        <w:pStyle w:val="Norma"/>
        <w:rPr>
          <w:rFonts w:cs="Arial"/>
        </w:rPr>
      </w:pPr>
    </w:p>
    <w:p w14:paraId="405ED9CC" w14:textId="77777777" w:rsidR="0089389E" w:rsidRPr="00861E44" w:rsidRDefault="0089389E" w:rsidP="00F129F3">
      <w:pPr>
        <w:pStyle w:val="Norma"/>
        <w:jc w:val="both"/>
        <w:rPr>
          <w:rFonts w:cs="Arial"/>
          <w:b/>
          <w:bCs/>
        </w:rPr>
      </w:pPr>
    </w:p>
    <w:p w14:paraId="5EA875CE" w14:textId="77777777" w:rsidR="00F129F3" w:rsidRPr="00861E44" w:rsidRDefault="00F129F3" w:rsidP="00F129F3">
      <w:pPr>
        <w:pStyle w:val="Norma"/>
        <w:jc w:val="both"/>
        <w:rPr>
          <w:rFonts w:cs="Arial"/>
          <w:b/>
          <w:bCs/>
        </w:rPr>
      </w:pPr>
      <w:r w:rsidRPr="00861E44">
        <w:rPr>
          <w:rFonts w:cs="Arial"/>
          <w:b/>
          <w:bCs/>
        </w:rPr>
        <w:t>Scoring Method</w:t>
      </w:r>
    </w:p>
    <w:p w14:paraId="5EA875CF" w14:textId="77777777" w:rsidR="00F129F3" w:rsidRPr="00861E44" w:rsidRDefault="00F129F3" w:rsidP="00F129F3">
      <w:pPr>
        <w:pStyle w:val="Norma"/>
        <w:jc w:val="both"/>
        <w:rPr>
          <w:rFonts w:cs="Arial"/>
          <w:b/>
          <w:bCs/>
        </w:rPr>
      </w:pPr>
    </w:p>
    <w:p w14:paraId="5EA875D0" w14:textId="77777777" w:rsidR="00F129F3" w:rsidRPr="00861E44" w:rsidRDefault="00F129F3" w:rsidP="00F129F3">
      <w:pPr>
        <w:pStyle w:val="Norma"/>
        <w:jc w:val="both"/>
        <w:rPr>
          <w:rFonts w:cs="Arial"/>
          <w:bCs/>
        </w:rPr>
      </w:pPr>
      <w:r w:rsidRPr="00861E44">
        <w:rPr>
          <w:rFonts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861E44" w:rsidRDefault="00F129F3" w:rsidP="00F129F3">
      <w:pPr>
        <w:pStyle w:val="Norma"/>
        <w:jc w:val="both"/>
        <w:rPr>
          <w:rFonts w:cs="Arial"/>
          <w:bCs/>
        </w:rPr>
      </w:pPr>
    </w:p>
    <w:p w14:paraId="5EA875D2" w14:textId="77777777" w:rsidR="00F129F3" w:rsidRPr="00861E44" w:rsidRDefault="00F129F3" w:rsidP="00F129F3">
      <w:pPr>
        <w:pStyle w:val="Norma"/>
        <w:jc w:val="both"/>
        <w:rPr>
          <w:rFonts w:cs="Arial"/>
        </w:rPr>
      </w:pPr>
      <w:r w:rsidRPr="00861E44">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861E44" w:rsidRDefault="0089389E" w:rsidP="00F129F3">
      <w:pPr>
        <w:pStyle w:val="Norma"/>
        <w:jc w:val="both"/>
        <w:rPr>
          <w:rFonts w:cs="Arial"/>
        </w:rPr>
      </w:pPr>
    </w:p>
    <w:p w14:paraId="5EA875D3" w14:textId="77777777" w:rsidR="00F129F3" w:rsidRPr="00861E44" w:rsidRDefault="00F129F3" w:rsidP="00F129F3">
      <w:pPr>
        <w:pStyle w:val="Norma"/>
        <w:spacing w:line="276" w:lineRule="auto"/>
        <w:rPr>
          <w:rFonts w:cs="Arial"/>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EE4B03" w14:paraId="5EA875D6" w14:textId="77777777" w:rsidTr="005F1C0A">
        <w:tc>
          <w:tcPr>
            <w:tcW w:w="816" w:type="dxa"/>
          </w:tcPr>
          <w:p w14:paraId="5EA875D4" w14:textId="77777777" w:rsidR="00F129F3" w:rsidRPr="00861E44" w:rsidRDefault="00F129F3" w:rsidP="005F1C0A">
            <w:pPr>
              <w:pStyle w:val="Norma"/>
              <w:spacing w:line="276" w:lineRule="auto"/>
              <w:jc w:val="both"/>
              <w:rPr>
                <w:rFonts w:cs="Arial"/>
                <w:b/>
              </w:rPr>
            </w:pPr>
            <w:r w:rsidRPr="00861E44">
              <w:rPr>
                <w:rFonts w:cs="Arial"/>
                <w:b/>
              </w:rPr>
              <w:t>Score</w:t>
            </w:r>
          </w:p>
        </w:tc>
        <w:tc>
          <w:tcPr>
            <w:tcW w:w="7939" w:type="dxa"/>
          </w:tcPr>
          <w:p w14:paraId="5EA875D5" w14:textId="77777777" w:rsidR="00F129F3" w:rsidRPr="00861E44" w:rsidRDefault="00F129F3" w:rsidP="005F1C0A">
            <w:pPr>
              <w:pStyle w:val="Norma"/>
              <w:spacing w:line="276" w:lineRule="auto"/>
              <w:jc w:val="both"/>
              <w:rPr>
                <w:rFonts w:cs="Arial"/>
                <w:b/>
              </w:rPr>
            </w:pPr>
            <w:r w:rsidRPr="00861E44">
              <w:rPr>
                <w:rFonts w:cs="Arial"/>
                <w:b/>
              </w:rPr>
              <w:t>Description</w:t>
            </w:r>
          </w:p>
        </w:tc>
      </w:tr>
      <w:tr w:rsidR="00F129F3" w:rsidRPr="00EE4B03" w14:paraId="5EA875D9" w14:textId="77777777" w:rsidTr="005F1C0A">
        <w:trPr>
          <w:trHeight w:val="313"/>
        </w:trPr>
        <w:tc>
          <w:tcPr>
            <w:tcW w:w="816" w:type="dxa"/>
          </w:tcPr>
          <w:p w14:paraId="5EA875D7" w14:textId="77777777" w:rsidR="00F129F3" w:rsidRPr="00861E44" w:rsidRDefault="00F129F3" w:rsidP="005F1C0A">
            <w:pPr>
              <w:pStyle w:val="Norma"/>
              <w:spacing w:line="276" w:lineRule="auto"/>
              <w:jc w:val="both"/>
              <w:rPr>
                <w:rFonts w:cs="Arial"/>
              </w:rPr>
            </w:pPr>
            <w:r w:rsidRPr="00861E44">
              <w:rPr>
                <w:rFonts w:cs="Arial"/>
              </w:rPr>
              <w:t>1</w:t>
            </w:r>
          </w:p>
        </w:tc>
        <w:tc>
          <w:tcPr>
            <w:tcW w:w="7939" w:type="dxa"/>
          </w:tcPr>
          <w:p w14:paraId="5EA875D8" w14:textId="77777777" w:rsidR="00F129F3" w:rsidRPr="00861E44" w:rsidRDefault="00F129F3" w:rsidP="005F1C0A">
            <w:pPr>
              <w:pStyle w:val="NoSpacing"/>
              <w:rPr>
                <w:rFonts w:ascii="Arial" w:hAnsi="Arial" w:cs="Arial"/>
              </w:rPr>
            </w:pPr>
            <w:r w:rsidRPr="00861E44">
              <w:rPr>
                <w:rFonts w:ascii="Arial" w:hAnsi="Arial" w:cs="Arial"/>
              </w:rPr>
              <w:t>Not Satisfactory: Proposal contains significant shortcomings and does not meet the required standard</w:t>
            </w:r>
          </w:p>
        </w:tc>
      </w:tr>
      <w:tr w:rsidR="00F129F3" w:rsidRPr="00EE4B03" w14:paraId="5EA875DC" w14:textId="77777777" w:rsidTr="005F1C0A">
        <w:tc>
          <w:tcPr>
            <w:tcW w:w="816" w:type="dxa"/>
          </w:tcPr>
          <w:p w14:paraId="5EA875DA" w14:textId="77777777" w:rsidR="00F129F3" w:rsidRPr="00861E44" w:rsidRDefault="00F129F3" w:rsidP="005F1C0A">
            <w:pPr>
              <w:pStyle w:val="Norma"/>
              <w:spacing w:line="276" w:lineRule="auto"/>
              <w:jc w:val="both"/>
              <w:rPr>
                <w:rFonts w:cs="Arial"/>
              </w:rPr>
            </w:pPr>
            <w:r w:rsidRPr="00861E44">
              <w:rPr>
                <w:rFonts w:cs="Arial"/>
              </w:rPr>
              <w:lastRenderedPageBreak/>
              <w:t>2</w:t>
            </w:r>
          </w:p>
        </w:tc>
        <w:tc>
          <w:tcPr>
            <w:tcW w:w="7939" w:type="dxa"/>
          </w:tcPr>
          <w:p w14:paraId="5EA875DB" w14:textId="77777777" w:rsidR="00F129F3" w:rsidRPr="00861E44" w:rsidRDefault="00F129F3" w:rsidP="005F1C0A">
            <w:pPr>
              <w:pStyle w:val="NoSpacing"/>
              <w:rPr>
                <w:rFonts w:ascii="Arial" w:hAnsi="Arial" w:cs="Arial"/>
              </w:rPr>
            </w:pPr>
            <w:r w:rsidRPr="00861E44">
              <w:rPr>
                <w:rFonts w:ascii="Arial" w:hAnsi="Arial" w:cs="Arial"/>
              </w:rPr>
              <w:t xml:space="preserve">Partially Satisfactory: Proposal partially meets the required standard, with one or more moderate weaknesses or gaps </w:t>
            </w:r>
          </w:p>
        </w:tc>
      </w:tr>
      <w:tr w:rsidR="00F129F3" w:rsidRPr="00EE4B03" w14:paraId="5EA875DF" w14:textId="77777777" w:rsidTr="005F1C0A">
        <w:tc>
          <w:tcPr>
            <w:tcW w:w="816" w:type="dxa"/>
          </w:tcPr>
          <w:p w14:paraId="5EA875DD" w14:textId="77777777" w:rsidR="00F129F3" w:rsidRPr="00861E44" w:rsidRDefault="00F129F3" w:rsidP="005F1C0A">
            <w:pPr>
              <w:pStyle w:val="Norma"/>
              <w:spacing w:line="276" w:lineRule="auto"/>
              <w:jc w:val="both"/>
              <w:rPr>
                <w:rFonts w:cs="Arial"/>
              </w:rPr>
            </w:pPr>
            <w:r w:rsidRPr="00861E44">
              <w:rPr>
                <w:rFonts w:cs="Arial"/>
              </w:rPr>
              <w:t>3</w:t>
            </w:r>
          </w:p>
        </w:tc>
        <w:tc>
          <w:tcPr>
            <w:tcW w:w="7939" w:type="dxa"/>
          </w:tcPr>
          <w:p w14:paraId="5EA875DE" w14:textId="77777777" w:rsidR="00F129F3" w:rsidRPr="00861E44" w:rsidRDefault="00F129F3" w:rsidP="005F1C0A">
            <w:pPr>
              <w:pStyle w:val="NoSpacing"/>
              <w:rPr>
                <w:rFonts w:ascii="Arial" w:hAnsi="Arial" w:cs="Arial"/>
              </w:rPr>
            </w:pPr>
            <w:r w:rsidRPr="00861E44">
              <w:rPr>
                <w:rFonts w:ascii="Arial" w:hAnsi="Arial" w:cs="Arial"/>
              </w:rPr>
              <w:t>Satisfactory: Proposal mostly meets the required standard, with one or more minor weaknesses or gaps.</w:t>
            </w:r>
          </w:p>
        </w:tc>
      </w:tr>
      <w:tr w:rsidR="00F129F3" w:rsidRPr="00EE4B03" w14:paraId="5EA875E2" w14:textId="77777777" w:rsidTr="005F1C0A">
        <w:tc>
          <w:tcPr>
            <w:tcW w:w="816" w:type="dxa"/>
          </w:tcPr>
          <w:p w14:paraId="5EA875E0" w14:textId="77777777" w:rsidR="00F129F3" w:rsidRPr="00861E44" w:rsidRDefault="00F129F3" w:rsidP="005F1C0A">
            <w:pPr>
              <w:pStyle w:val="Norma"/>
              <w:spacing w:line="276" w:lineRule="auto"/>
              <w:jc w:val="both"/>
              <w:rPr>
                <w:rFonts w:cs="Arial"/>
              </w:rPr>
            </w:pPr>
            <w:r w:rsidRPr="00861E44">
              <w:rPr>
                <w:rFonts w:cs="Arial"/>
              </w:rPr>
              <w:t>4</w:t>
            </w:r>
          </w:p>
        </w:tc>
        <w:tc>
          <w:tcPr>
            <w:tcW w:w="7939" w:type="dxa"/>
          </w:tcPr>
          <w:p w14:paraId="5EA875E1" w14:textId="77777777" w:rsidR="00F129F3" w:rsidRPr="00861E44" w:rsidRDefault="00F129F3" w:rsidP="005F1C0A">
            <w:pPr>
              <w:pStyle w:val="NoSpacing"/>
              <w:rPr>
                <w:rFonts w:ascii="Arial" w:hAnsi="Arial" w:cs="Arial"/>
              </w:rPr>
            </w:pPr>
            <w:r w:rsidRPr="00861E44">
              <w:rPr>
                <w:rFonts w:ascii="Arial" w:hAnsi="Arial" w:cs="Arial"/>
              </w:rPr>
              <w:t>Good: Proposal meets the required standard, with moderate levels of assurance</w:t>
            </w:r>
          </w:p>
        </w:tc>
      </w:tr>
      <w:tr w:rsidR="00F129F3" w:rsidRPr="00EE4B03" w14:paraId="5EA875E5" w14:textId="77777777" w:rsidTr="005F1C0A">
        <w:tc>
          <w:tcPr>
            <w:tcW w:w="816" w:type="dxa"/>
          </w:tcPr>
          <w:p w14:paraId="5EA875E3" w14:textId="77777777" w:rsidR="00F129F3" w:rsidRPr="00861E44" w:rsidRDefault="00F129F3" w:rsidP="005F1C0A">
            <w:pPr>
              <w:pStyle w:val="Norma"/>
              <w:spacing w:line="276" w:lineRule="auto"/>
              <w:jc w:val="both"/>
              <w:rPr>
                <w:rFonts w:cs="Arial"/>
              </w:rPr>
            </w:pPr>
            <w:r w:rsidRPr="00861E44">
              <w:rPr>
                <w:rFonts w:cs="Arial"/>
              </w:rPr>
              <w:t>5</w:t>
            </w:r>
          </w:p>
        </w:tc>
        <w:tc>
          <w:tcPr>
            <w:tcW w:w="7939" w:type="dxa"/>
          </w:tcPr>
          <w:p w14:paraId="5EA875E4" w14:textId="77777777" w:rsidR="00F129F3" w:rsidRPr="00861E44" w:rsidRDefault="00F129F3" w:rsidP="005F1C0A">
            <w:pPr>
              <w:pStyle w:val="NoSpacing"/>
              <w:rPr>
                <w:rFonts w:ascii="Arial" w:hAnsi="Arial" w:cs="Arial"/>
              </w:rPr>
            </w:pPr>
            <w:r w:rsidRPr="00861E44">
              <w:rPr>
                <w:rFonts w:ascii="Arial" w:hAnsi="Arial" w:cs="Arial"/>
              </w:rPr>
              <w:t>Excellent: Proposal fully meets the required standard with high levels of assurance</w:t>
            </w:r>
          </w:p>
        </w:tc>
      </w:tr>
    </w:tbl>
    <w:p w14:paraId="5EA87614" w14:textId="77777777" w:rsidR="001623B7" w:rsidRPr="00861E44" w:rsidRDefault="001623B7" w:rsidP="001623B7">
      <w:pPr>
        <w:pStyle w:val="Norma"/>
        <w:widowControl/>
        <w:overflowPunct/>
        <w:autoSpaceDE/>
        <w:autoSpaceDN/>
        <w:adjustRightInd/>
        <w:jc w:val="both"/>
        <w:textAlignment w:val="auto"/>
        <w:rPr>
          <w:rFonts w:cs="Arial"/>
        </w:rPr>
      </w:pPr>
      <w:bookmarkStart w:id="60" w:name="nine01"/>
      <w:bookmarkEnd w:id="60"/>
    </w:p>
    <w:p w14:paraId="5EA87615" w14:textId="77777777" w:rsidR="004A2B75" w:rsidRPr="00861E44" w:rsidRDefault="004A2B75" w:rsidP="00E4650D">
      <w:pPr>
        <w:pStyle w:val="Norma"/>
        <w:jc w:val="both"/>
        <w:rPr>
          <w:rFonts w:cs="Arial"/>
          <w:b/>
        </w:rPr>
      </w:pPr>
    </w:p>
    <w:p w14:paraId="5EA87616" w14:textId="77777777" w:rsidR="00BD1875" w:rsidRPr="00861E44" w:rsidRDefault="00BD1875" w:rsidP="00E4650D">
      <w:pPr>
        <w:pStyle w:val="Norma"/>
        <w:jc w:val="both"/>
        <w:rPr>
          <w:rFonts w:cs="Arial"/>
          <w:b/>
        </w:rPr>
      </w:pPr>
      <w:r w:rsidRPr="00861E44">
        <w:rPr>
          <w:rFonts w:cs="Arial"/>
          <w:b/>
        </w:rPr>
        <w:t>Structure of Tenders</w:t>
      </w:r>
    </w:p>
    <w:p w14:paraId="5EA87617" w14:textId="77777777" w:rsidR="00BD1875" w:rsidRPr="00861E44" w:rsidRDefault="00BD1875" w:rsidP="00E4650D">
      <w:pPr>
        <w:pStyle w:val="Norma"/>
        <w:jc w:val="both"/>
        <w:rPr>
          <w:rFonts w:cs="Arial"/>
        </w:rPr>
      </w:pPr>
    </w:p>
    <w:p w14:paraId="5EA87618" w14:textId="6E218984" w:rsidR="00D648EC" w:rsidRPr="00861E44" w:rsidRDefault="007B668D" w:rsidP="00E4650D">
      <w:pPr>
        <w:pStyle w:val="Norma"/>
        <w:jc w:val="both"/>
        <w:rPr>
          <w:rFonts w:eastAsia="Calibri" w:cs="Arial"/>
          <w:lang w:eastAsia="en-US"/>
        </w:rPr>
      </w:pPr>
      <w:r w:rsidRPr="00861E44">
        <w:rPr>
          <w:rFonts w:cs="Arial"/>
        </w:rPr>
        <w:t>Contractors are strongly advised to structure their tender submissions to cover</w:t>
      </w:r>
      <w:r w:rsidR="000B765B" w:rsidRPr="00861E44">
        <w:rPr>
          <w:rFonts w:cs="Arial"/>
        </w:rPr>
        <w:t xml:space="preserve"> each of</w:t>
      </w:r>
      <w:r w:rsidRPr="00861E44">
        <w:rPr>
          <w:rFonts w:cs="Arial"/>
        </w:rPr>
        <w:t xml:space="preserve"> the criteria above</w:t>
      </w:r>
      <w:r w:rsidR="00F81BC1" w:rsidRPr="00861E44">
        <w:rPr>
          <w:rFonts w:cs="Arial"/>
        </w:rPr>
        <w:t xml:space="preserve"> and supply a price </w:t>
      </w:r>
      <w:r w:rsidR="006D62F6" w:rsidRPr="00861E44">
        <w:rPr>
          <w:rFonts w:eastAsia="Calibri" w:cs="Arial"/>
          <w:lang w:eastAsia="en-US"/>
        </w:rPr>
        <w:t xml:space="preserve">schedule </w:t>
      </w:r>
      <w:r w:rsidR="00D648EC" w:rsidRPr="00861E44">
        <w:rPr>
          <w:rFonts w:eastAsia="Calibri" w:cs="Arial"/>
          <w:lang w:eastAsia="en-US"/>
        </w:rPr>
        <w:t xml:space="preserve">specifying the daily rates (ex-VAT) you will charge for each level of your staff. </w:t>
      </w:r>
    </w:p>
    <w:p w14:paraId="5EA87619" w14:textId="77777777" w:rsidR="003C1CE8" w:rsidRPr="00861E44" w:rsidRDefault="003C1CE8" w:rsidP="003C1CE8">
      <w:pPr>
        <w:pStyle w:val="Norma"/>
        <w:rPr>
          <w:rFonts w:cs="Arial"/>
        </w:rPr>
      </w:pPr>
    </w:p>
    <w:p w14:paraId="5EA8761A" w14:textId="77777777" w:rsidR="003B5CAF" w:rsidRPr="00861E44" w:rsidRDefault="003B5CAF" w:rsidP="003C1CE8">
      <w:pPr>
        <w:pStyle w:val="Norma"/>
        <w:jc w:val="both"/>
        <w:rPr>
          <w:rFonts w:cs="Arial"/>
          <w:b/>
        </w:rPr>
      </w:pPr>
    </w:p>
    <w:p w14:paraId="5EA8761B" w14:textId="77777777" w:rsidR="000B02C5" w:rsidRPr="00861E44" w:rsidRDefault="000B02C5" w:rsidP="008A0415">
      <w:pPr>
        <w:pStyle w:val="Norma"/>
        <w:jc w:val="both"/>
        <w:rPr>
          <w:rFonts w:cs="Arial"/>
          <w:b/>
        </w:rPr>
      </w:pPr>
      <w:r w:rsidRPr="00861E44">
        <w:rPr>
          <w:rFonts w:cs="Arial"/>
          <w:b/>
        </w:rPr>
        <w:t>Evaluation for Interviews</w:t>
      </w:r>
      <w:r w:rsidR="00CF00CA" w:rsidRPr="00861E44">
        <w:rPr>
          <w:rFonts w:cs="Arial"/>
          <w:b/>
        </w:rPr>
        <w:t>, if held</w:t>
      </w:r>
      <w:r w:rsidRPr="00861E44">
        <w:rPr>
          <w:rFonts w:cs="Arial"/>
          <w:b/>
        </w:rPr>
        <w:t xml:space="preserve"> </w:t>
      </w:r>
    </w:p>
    <w:p w14:paraId="5EA8761C" w14:textId="77777777" w:rsidR="000B02C5" w:rsidRPr="00861E44" w:rsidRDefault="000B02C5" w:rsidP="008A0415">
      <w:pPr>
        <w:pStyle w:val="Norma"/>
        <w:jc w:val="both"/>
        <w:rPr>
          <w:rFonts w:cs="Arial"/>
          <w:b/>
        </w:rPr>
      </w:pPr>
    </w:p>
    <w:p w14:paraId="5EA8761D" w14:textId="4BB87FDC" w:rsidR="002E198B" w:rsidRPr="00861E44" w:rsidRDefault="0097210C" w:rsidP="008A0415">
      <w:pPr>
        <w:pStyle w:val="Norma"/>
        <w:jc w:val="both"/>
        <w:rPr>
          <w:rFonts w:cs="Arial"/>
        </w:rPr>
      </w:pPr>
      <w:r w:rsidRPr="00861E44">
        <w:rPr>
          <w:rFonts w:cs="Arial"/>
        </w:rPr>
        <w:t>C</w:t>
      </w:r>
      <w:r w:rsidR="00222DF8" w:rsidRPr="00861E44">
        <w:rPr>
          <w:rFonts w:cs="Arial"/>
        </w:rPr>
        <w:t xml:space="preserve">CC reserves the right to award the contract based on applicants’ written evaluation only if one candidate emerges from the evaluation stage as significantly stronger than the others.  </w:t>
      </w:r>
    </w:p>
    <w:p w14:paraId="5EA8761E" w14:textId="77777777" w:rsidR="002E198B" w:rsidRPr="00861E44" w:rsidRDefault="002E198B" w:rsidP="008A0415">
      <w:pPr>
        <w:pStyle w:val="Norma"/>
        <w:jc w:val="both"/>
        <w:rPr>
          <w:rFonts w:cs="Arial"/>
        </w:rPr>
      </w:pPr>
    </w:p>
    <w:p w14:paraId="3DADA445" w14:textId="05C16C48" w:rsidR="00802C0A" w:rsidRPr="00861E44" w:rsidRDefault="00802C0A" w:rsidP="00802C0A">
      <w:pPr>
        <w:pStyle w:val="Norma"/>
        <w:jc w:val="both"/>
        <w:rPr>
          <w:rFonts w:cs="Arial"/>
        </w:rPr>
      </w:pPr>
      <w:r w:rsidRPr="00861E44">
        <w:rPr>
          <w:rFonts w:cs="Arial"/>
        </w:rPr>
        <w:t>Should interviews go ahead, CCC will shortlist the top three suppliers with the highest marks from the written proposals. Inter</w:t>
      </w:r>
      <w:r w:rsidRPr="00861E44">
        <w:rPr>
          <w:rFonts w:cs="Arial"/>
        </w:rPr>
        <w:lastRenderedPageBreak/>
        <w:t>views are provisionally expected to be held on</w:t>
      </w:r>
      <w:r w:rsidR="00662EE1" w:rsidRPr="00861E44">
        <w:rPr>
          <w:rFonts w:cs="Arial"/>
        </w:rPr>
        <w:t xml:space="preserve"> the </w:t>
      </w:r>
      <w:r w:rsidR="00662EE1" w:rsidRPr="00E655AE">
        <w:rPr>
          <w:rFonts w:cs="Arial"/>
        </w:rPr>
        <w:t>17</w:t>
      </w:r>
      <w:r w:rsidR="00662EE1" w:rsidRPr="00E655AE">
        <w:rPr>
          <w:rFonts w:cs="Arial"/>
          <w:vertAlign w:val="superscript"/>
        </w:rPr>
        <w:t>th</w:t>
      </w:r>
      <w:r w:rsidR="00662EE1" w:rsidRPr="00E655AE">
        <w:rPr>
          <w:rFonts w:cs="Arial"/>
        </w:rPr>
        <w:t>, 18</w:t>
      </w:r>
      <w:r w:rsidR="00662EE1" w:rsidRPr="00E655AE">
        <w:rPr>
          <w:rFonts w:cs="Arial"/>
          <w:vertAlign w:val="superscript"/>
        </w:rPr>
        <w:t>th</w:t>
      </w:r>
      <w:r w:rsidR="00662EE1" w:rsidRPr="00E655AE">
        <w:rPr>
          <w:rFonts w:cs="Arial"/>
        </w:rPr>
        <w:t xml:space="preserve"> </w:t>
      </w:r>
      <w:r w:rsidR="00932674" w:rsidRPr="00E655AE">
        <w:rPr>
          <w:rFonts w:cs="Arial"/>
        </w:rPr>
        <w:t xml:space="preserve">(morning) </w:t>
      </w:r>
      <w:r w:rsidR="00662EE1" w:rsidRPr="00E655AE">
        <w:rPr>
          <w:rFonts w:cs="Arial"/>
        </w:rPr>
        <w:t>or 19</w:t>
      </w:r>
      <w:r w:rsidR="00662EE1" w:rsidRPr="00E655AE">
        <w:rPr>
          <w:rFonts w:cs="Arial"/>
          <w:vertAlign w:val="superscript"/>
        </w:rPr>
        <w:t>th</w:t>
      </w:r>
      <w:r w:rsidR="00662EE1" w:rsidRPr="00E655AE">
        <w:rPr>
          <w:rFonts w:cs="Arial"/>
        </w:rPr>
        <w:t xml:space="preserve"> December</w:t>
      </w:r>
      <w:r w:rsidR="00662EE1" w:rsidRPr="00932674">
        <w:rPr>
          <w:rFonts w:cs="Arial"/>
        </w:rPr>
        <w:t>.</w:t>
      </w:r>
      <w:r w:rsidR="00662EE1" w:rsidRPr="00861E44">
        <w:rPr>
          <w:rFonts w:cs="Arial"/>
        </w:rPr>
        <w:t xml:space="preserve"> If these</w:t>
      </w:r>
      <w:r w:rsidRPr="00861E44">
        <w:rPr>
          <w:rFonts w:cs="Arial"/>
        </w:rPr>
        <w:t xml:space="preserve"> date</w:t>
      </w:r>
      <w:r w:rsidR="00662EE1" w:rsidRPr="00861E44">
        <w:rPr>
          <w:rFonts w:cs="Arial"/>
        </w:rPr>
        <w:t>s</w:t>
      </w:r>
      <w:r w:rsidRPr="00861E44">
        <w:rPr>
          <w:rFonts w:cs="Arial"/>
        </w:rPr>
        <w:t xml:space="preserve"> change, </w:t>
      </w:r>
      <w:r w:rsidR="00662EE1" w:rsidRPr="00861E44">
        <w:rPr>
          <w:rFonts w:cs="Arial"/>
        </w:rPr>
        <w:t xml:space="preserve">the </w:t>
      </w:r>
      <w:r w:rsidRPr="00861E44">
        <w:rPr>
          <w:rFonts w:cs="Arial"/>
        </w:rPr>
        <w:t xml:space="preserve">CCC will notify applicants. </w:t>
      </w:r>
    </w:p>
    <w:p w14:paraId="1D18D5ED" w14:textId="77777777" w:rsidR="00802C0A" w:rsidRPr="00861E44" w:rsidRDefault="00802C0A" w:rsidP="008A0415">
      <w:pPr>
        <w:pStyle w:val="Norma"/>
        <w:jc w:val="both"/>
        <w:rPr>
          <w:rFonts w:cs="Arial"/>
        </w:rPr>
      </w:pPr>
    </w:p>
    <w:p w14:paraId="5EA87621" w14:textId="335D7D1B" w:rsidR="006C44C2" w:rsidRPr="00861E44" w:rsidRDefault="006C44C2" w:rsidP="008A0415">
      <w:pPr>
        <w:pStyle w:val="Norma"/>
        <w:jc w:val="both"/>
        <w:rPr>
          <w:rFonts w:cs="Arial"/>
        </w:rPr>
      </w:pPr>
      <w:r w:rsidRPr="00861E44">
        <w:rPr>
          <w:rFonts w:cs="Arial"/>
        </w:rPr>
        <w:t>The areas to be covered in the interview, and markings allocated to each topic area will be sent to the shortlisted supplier prior to interview.</w:t>
      </w:r>
    </w:p>
    <w:p w14:paraId="5EA87622" w14:textId="77777777" w:rsidR="006C44C2" w:rsidRPr="00861E44" w:rsidRDefault="006C44C2" w:rsidP="008A0415">
      <w:pPr>
        <w:pStyle w:val="Norma"/>
        <w:jc w:val="both"/>
        <w:rPr>
          <w:rFonts w:cs="Arial"/>
        </w:rPr>
      </w:pPr>
    </w:p>
    <w:p w14:paraId="5EA87623" w14:textId="77777777" w:rsidR="00A54FFC" w:rsidRPr="00861E44" w:rsidRDefault="00222DF8" w:rsidP="008A0415">
      <w:pPr>
        <w:pStyle w:val="Norma"/>
        <w:jc w:val="both"/>
        <w:rPr>
          <w:rFonts w:cs="Arial"/>
        </w:rPr>
      </w:pPr>
      <w:r w:rsidRPr="00861E44">
        <w:rPr>
          <w:rFonts w:cs="Arial"/>
        </w:rPr>
        <w:t>Further details of interview</w:t>
      </w:r>
      <w:r w:rsidR="000967DA" w:rsidRPr="00861E44">
        <w:rPr>
          <w:rFonts w:cs="Arial"/>
        </w:rPr>
        <w:t>s</w:t>
      </w:r>
      <w:r w:rsidRPr="00861E44">
        <w:rPr>
          <w:rFonts w:cs="Arial"/>
        </w:rPr>
        <w:t xml:space="preserve"> will be sent to successful applicants on selection.</w:t>
      </w:r>
      <w:r w:rsidR="001C6E36" w:rsidRPr="00861E44">
        <w:rPr>
          <w:rFonts w:cs="Arial"/>
        </w:rPr>
        <w:t xml:space="preserve"> </w:t>
      </w:r>
    </w:p>
    <w:p w14:paraId="5EA87624" w14:textId="77777777" w:rsidR="00A54FFC" w:rsidRPr="00861E44" w:rsidRDefault="00A54FFC" w:rsidP="008A0415">
      <w:pPr>
        <w:pStyle w:val="Norma"/>
        <w:jc w:val="both"/>
        <w:rPr>
          <w:rFonts w:cs="Arial"/>
        </w:rPr>
      </w:pPr>
    </w:p>
    <w:p w14:paraId="5EA87625" w14:textId="77777777" w:rsidR="003C1CE8" w:rsidRPr="00861E44" w:rsidRDefault="003C1CE8" w:rsidP="003C1CE8">
      <w:pPr>
        <w:pStyle w:val="Norma"/>
        <w:jc w:val="both"/>
        <w:rPr>
          <w:rFonts w:cs="Arial"/>
        </w:rPr>
      </w:pPr>
    </w:p>
    <w:p w14:paraId="5EA87626" w14:textId="77777777" w:rsidR="00480D1F" w:rsidRPr="00861E44"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rPr>
      </w:pPr>
      <w:r w:rsidRPr="00861E44">
        <w:rPr>
          <w:rFonts w:cs="Arial"/>
          <w:b/>
        </w:rPr>
        <w:t>Feedback</w:t>
      </w:r>
    </w:p>
    <w:p w14:paraId="5EA87627" w14:textId="77777777" w:rsidR="00480D1F" w:rsidRPr="00861E44" w:rsidRDefault="00480D1F" w:rsidP="008A0415">
      <w:pPr>
        <w:pStyle w:val="Norma"/>
        <w:widowControl/>
        <w:tabs>
          <w:tab w:val="left" w:pos="-1440"/>
          <w:tab w:val="left" w:pos="-720"/>
          <w:tab w:val="left" w:pos="0"/>
        </w:tabs>
        <w:suppressAutoHyphens/>
        <w:overflowPunct/>
        <w:autoSpaceDE/>
        <w:autoSpaceDN/>
        <w:adjustRightInd/>
        <w:textAlignment w:val="auto"/>
        <w:rPr>
          <w:rFonts w:cs="Arial"/>
        </w:rPr>
      </w:pPr>
    </w:p>
    <w:p w14:paraId="5EA87628" w14:textId="77777777" w:rsidR="00A10F62" w:rsidRPr="00861E44" w:rsidRDefault="00AA6AF5" w:rsidP="008A0415">
      <w:pPr>
        <w:pStyle w:val="Norma"/>
        <w:widowControl/>
        <w:tabs>
          <w:tab w:val="left" w:pos="-1440"/>
          <w:tab w:val="left" w:pos="-720"/>
          <w:tab w:val="left" w:pos="0"/>
        </w:tabs>
        <w:suppressAutoHyphens/>
        <w:overflowPunct/>
        <w:autoSpaceDE/>
        <w:autoSpaceDN/>
        <w:adjustRightInd/>
        <w:textAlignment w:val="auto"/>
        <w:rPr>
          <w:rFonts w:cs="Arial"/>
        </w:rPr>
      </w:pPr>
      <w:r w:rsidRPr="00861E44">
        <w:rPr>
          <w:rFonts w:cs="Arial"/>
        </w:rPr>
        <w:t>F</w:t>
      </w:r>
      <w:r w:rsidR="00480D1F" w:rsidRPr="00861E44">
        <w:rPr>
          <w:rFonts w:cs="Arial"/>
        </w:rPr>
        <w:t xml:space="preserve">eedback </w:t>
      </w:r>
      <w:r w:rsidR="000967DA" w:rsidRPr="00861E44">
        <w:rPr>
          <w:rFonts w:cs="Arial"/>
        </w:rPr>
        <w:t>will be given in the</w:t>
      </w:r>
      <w:r w:rsidRPr="00861E44">
        <w:rPr>
          <w:rFonts w:cs="Arial"/>
        </w:rPr>
        <w:t xml:space="preserve"> unsuccessful letters</w:t>
      </w:r>
      <w:r w:rsidRPr="00861E44" w:rsidDel="00AA6AF5">
        <w:rPr>
          <w:rFonts w:cs="Arial"/>
        </w:rPr>
        <w:t xml:space="preserve"> </w:t>
      </w:r>
      <w:r w:rsidR="000967DA" w:rsidRPr="00861E44">
        <w:rPr>
          <w:rFonts w:cs="Arial"/>
        </w:rPr>
        <w:t>or emails.</w:t>
      </w:r>
      <w:bookmarkEnd w:id="4"/>
    </w:p>
    <w:p w14:paraId="5EA87629" w14:textId="77777777" w:rsidR="00A10F62" w:rsidRPr="00EE4B03" w:rsidRDefault="00A10F62"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A10F62" w:rsidRPr="00EE4B03" w:rsidSect="005F738A">
      <w:footerReference w:type="default" r:id="rId30"/>
      <w:head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4915C2" w:rsidRDefault="004915C2" w:rsidP="00EB43D8">
      <w:pPr>
        <w:pStyle w:val="Norma"/>
      </w:pPr>
      <w:r>
        <w:separator/>
      </w:r>
    </w:p>
  </w:endnote>
  <w:endnote w:type="continuationSeparator" w:id="0">
    <w:p w14:paraId="5EA8762F" w14:textId="77777777" w:rsidR="004915C2" w:rsidRDefault="004915C2"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4915C2" w:rsidRDefault="004915C2" w:rsidP="00602CDD">
    <w:pPr>
      <w:pStyle w:val="Footer"/>
      <w:pBdr>
        <w:top w:val="single" w:sz="4" w:space="1" w:color="D9D9D9"/>
      </w:pBdr>
      <w:jc w:val="right"/>
    </w:pPr>
    <w:r>
      <w:fldChar w:fldCharType="begin"/>
    </w:r>
    <w:r>
      <w:instrText xml:space="preserve"> PAGE   \* MERGEFORMAT </w:instrText>
    </w:r>
    <w:r>
      <w:fldChar w:fldCharType="separate"/>
    </w:r>
    <w:r w:rsidR="00BE3531">
      <w:rPr>
        <w:noProof/>
      </w:rPr>
      <w:t>20</w:t>
    </w:r>
    <w:r>
      <w:rPr>
        <w:noProof/>
      </w:rPr>
      <w:fldChar w:fldCharType="end"/>
    </w:r>
    <w:r>
      <w:t xml:space="preserve"> | </w:t>
    </w:r>
    <w:r w:rsidRPr="00602CDD">
      <w:rPr>
        <w:color w:val="808080"/>
        <w:spacing w:val="60"/>
      </w:rPr>
      <w:t>Page</w:t>
    </w:r>
  </w:p>
  <w:p w14:paraId="5EA87631" w14:textId="77777777" w:rsidR="004915C2" w:rsidRDefault="004915C2"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4915C2" w:rsidRDefault="004915C2" w:rsidP="00EB43D8">
      <w:pPr>
        <w:pStyle w:val="Norma"/>
      </w:pPr>
      <w:r>
        <w:separator/>
      </w:r>
    </w:p>
  </w:footnote>
  <w:footnote w:type="continuationSeparator" w:id="0">
    <w:p w14:paraId="5EA8762D" w14:textId="77777777" w:rsidR="004915C2" w:rsidRDefault="004915C2" w:rsidP="00EB43D8">
      <w:pPr>
        <w:pStyle w:val="Norma"/>
      </w:pPr>
      <w:r>
        <w:continuationSeparator/>
      </w:r>
    </w:p>
  </w:footnote>
  <w:footnote w:id="1">
    <w:p w14:paraId="3EAF1D4C" w14:textId="43F10271" w:rsidR="004915C2" w:rsidRDefault="004915C2" w:rsidP="00662EE1">
      <w:pPr>
        <w:pStyle w:val="FootnoteText"/>
      </w:pPr>
      <w:r>
        <w:rPr>
          <w:rStyle w:val="FootnoteReference"/>
        </w:rPr>
        <w:footnoteRef/>
      </w:r>
      <w:r>
        <w:t xml:space="preserve"> IPCC (2018), </w:t>
      </w:r>
      <w:r w:rsidRPr="00861E44">
        <w:rPr>
          <w:i/>
        </w:rPr>
        <w:t>Global Warming of 1.5</w:t>
      </w:r>
      <w:r w:rsidRPr="00861E44">
        <w:rPr>
          <w:i/>
          <w:vertAlign w:val="superscript"/>
        </w:rPr>
        <w:t>o</w:t>
      </w:r>
      <w:r w:rsidRPr="00861E44">
        <w:rPr>
          <w:i/>
        </w:rPr>
        <w:t>C</w:t>
      </w:r>
      <w:r>
        <w:t xml:space="preserve">, </w:t>
      </w:r>
      <w:hyperlink r:id="rId1" w:history="1">
        <w:r w:rsidRPr="00D455E9">
          <w:rPr>
            <w:rStyle w:val="Hyperlink"/>
          </w:rPr>
          <w:t>http://www.ipcc.ch/report/sr15/</w:t>
        </w:r>
      </w:hyperlink>
      <w:r>
        <w:t xml:space="preserve"> </w:t>
      </w:r>
    </w:p>
  </w:footnote>
  <w:footnote w:id="2">
    <w:p w14:paraId="5F03CA31" w14:textId="69D12CD5" w:rsidR="004915C2" w:rsidRDefault="004915C2" w:rsidP="00662EE1">
      <w:pPr>
        <w:pStyle w:val="FootnoteText"/>
      </w:pPr>
      <w:r>
        <w:rPr>
          <w:rStyle w:val="FootnoteReference"/>
        </w:rPr>
        <w:footnoteRef/>
      </w:r>
      <w:r>
        <w:t xml:space="preserve"> For a copy of the letter, please see: </w:t>
      </w:r>
      <w:hyperlink r:id="rId2" w:history="1">
        <w:r w:rsidRPr="000A38B8">
          <w:rPr>
            <w:rStyle w:val="Hyperlink"/>
          </w:rPr>
          <w:t>https://assets.publishing.service.gov.uk/government/uploads/system/uploads/attachment_data/file/748489/CCC_commission_for_Paris_Advice_-_Scot__UK.pdf</w:t>
        </w:r>
      </w:hyperlink>
      <w:r>
        <w:t xml:space="preserve"> </w:t>
      </w:r>
    </w:p>
  </w:footnote>
  <w:footnote w:id="3">
    <w:p w14:paraId="2F70B4FC" w14:textId="18B1C9B0" w:rsidR="004915C2" w:rsidRDefault="004915C2" w:rsidP="00662EE1">
      <w:pPr>
        <w:pStyle w:val="FootnoteText"/>
      </w:pPr>
      <w:r>
        <w:rPr>
          <w:rStyle w:val="FootnoteReference"/>
        </w:rPr>
        <w:footnoteRef/>
      </w:r>
      <w:r>
        <w:t xml:space="preserve"> Climate Change Act 2008, Section 1, </w:t>
      </w:r>
      <w:hyperlink r:id="rId3" w:history="1">
        <w:r w:rsidRPr="00656309">
          <w:rPr>
            <w:rStyle w:val="Hyperlink"/>
          </w:rPr>
          <w:t>https://www.legislation.gov.uk/ukpga/2008/27/section/1</w:t>
        </w:r>
      </w:hyperlink>
      <w:r>
        <w:t xml:space="preserve"> </w:t>
      </w:r>
    </w:p>
  </w:footnote>
  <w:footnote w:id="4">
    <w:p w14:paraId="3FA4633D" w14:textId="2C228D75" w:rsidR="004915C2" w:rsidRDefault="004915C2">
      <w:pPr>
        <w:pStyle w:val="FootnoteText"/>
      </w:pPr>
      <w:r>
        <w:rPr>
          <w:rStyle w:val="FootnoteReference"/>
        </w:rPr>
        <w:footnoteRef/>
      </w:r>
      <w:r>
        <w:t xml:space="preserve"> Figure drawn from our more recent report: CCC (2016), </w:t>
      </w:r>
      <w:r w:rsidRPr="00E655AE">
        <w:rPr>
          <w:i/>
        </w:rPr>
        <w:t>Next steps for UK heat policy</w:t>
      </w:r>
      <w:r>
        <w:rPr>
          <w:i/>
        </w:rPr>
        <w:t xml:space="preserve">, </w:t>
      </w:r>
      <w:hyperlink r:id="rId4" w:history="1">
        <w:r w:rsidRPr="00E655AE">
          <w:rPr>
            <w:rStyle w:val="Hyperlink"/>
          </w:rPr>
          <w:t>https://www.theccc.org.uk/wp-content/uploads/2016/10/Next-steps-for-UK-heat-policy-Committee-on-Climate-Change-October-2016.pdf</w:t>
        </w:r>
      </w:hyperlink>
      <w:r>
        <w:rPr>
          <w:i/>
        </w:rPr>
        <w:t xml:space="preserve"> </w:t>
      </w:r>
    </w:p>
  </w:footnote>
  <w:footnote w:id="5">
    <w:p w14:paraId="11DBF2B4" w14:textId="08154B58" w:rsidR="004915C2" w:rsidRDefault="004915C2" w:rsidP="00662EE1">
      <w:pPr>
        <w:pStyle w:val="FootnoteText"/>
      </w:pPr>
      <w:r>
        <w:rPr>
          <w:rStyle w:val="FootnoteReference"/>
        </w:rPr>
        <w:footnoteRef/>
      </w:r>
      <w:r>
        <w:t xml:space="preserve"> For further detail on the original approach taken, later updated for the 5</w:t>
      </w:r>
      <w:r w:rsidRPr="002E7ED9">
        <w:rPr>
          <w:vertAlign w:val="superscript"/>
        </w:rPr>
        <w:t>th</w:t>
      </w:r>
      <w:r>
        <w:t xml:space="preserve"> carbon budget, see Element Energy and Energy Saving Trust (2013), </w:t>
      </w:r>
      <w:r w:rsidRPr="00861E44">
        <w:rPr>
          <w:i/>
        </w:rPr>
        <w:t>Review of potential for carbon savings from residential energy efficiency</w:t>
      </w:r>
      <w:r w:rsidRPr="004752C9">
        <w:t xml:space="preserve">, </w:t>
      </w:r>
      <w:hyperlink r:id="rId5" w:history="1">
        <w:r w:rsidRPr="00721292">
          <w:rPr>
            <w:rStyle w:val="Hyperlink"/>
          </w:rPr>
          <w:t>https://www.theccc.org.uk/wp-content/uploads/2013/12/Review-of-potential-for-carbon-savings-from-residential-energy-efficiency-Final-report-A-160114.pdf</w:t>
        </w:r>
      </w:hyperlink>
      <w:r>
        <w:t xml:space="preserve"> </w:t>
      </w:r>
    </w:p>
  </w:footnote>
  <w:footnote w:id="6">
    <w:p w14:paraId="3DFA9DFC" w14:textId="62B1FE42" w:rsidR="004915C2" w:rsidRDefault="004915C2" w:rsidP="00662EE1">
      <w:pPr>
        <w:pStyle w:val="FootnoteText"/>
      </w:pPr>
      <w:r>
        <w:rPr>
          <w:rStyle w:val="FootnoteReference"/>
        </w:rPr>
        <w:footnoteRef/>
      </w:r>
      <w:r>
        <w:t xml:space="preserve"> For further detail see </w:t>
      </w:r>
      <w:r w:rsidR="004E6682">
        <w:t xml:space="preserve">Element Energy, </w:t>
      </w:r>
      <w:r>
        <w:t xml:space="preserve">Frontier Economics and Imperial College London (2015), </w:t>
      </w:r>
      <w:r w:rsidRPr="00861E44">
        <w:rPr>
          <w:i/>
        </w:rPr>
        <w:t>Research on district heating and local approaches to heat decarbonisation</w:t>
      </w:r>
      <w:r>
        <w:t xml:space="preserve">, </w:t>
      </w:r>
      <w:hyperlink r:id="rId6" w:history="1">
        <w:r w:rsidRPr="00721292">
          <w:rPr>
            <w:rStyle w:val="Hyperlink"/>
          </w:rPr>
          <w:t>https://www.theccc.org.uk/wp-content/uploads/2015/11/Element-Energy-for-CCC-Research-on-district-heating-and-local-approaches-to-heat-decarbonisation.pdf</w:t>
        </w:r>
      </w:hyperlink>
      <w:r>
        <w:t xml:space="preserve"> </w:t>
      </w:r>
    </w:p>
  </w:footnote>
  <w:footnote w:id="7">
    <w:p w14:paraId="528BA809" w14:textId="541D55CD" w:rsidR="004915C2" w:rsidRDefault="004915C2" w:rsidP="00662EE1">
      <w:pPr>
        <w:pStyle w:val="FootnoteText"/>
      </w:pPr>
      <w:r w:rsidRPr="000A38B8">
        <w:rPr>
          <w:rStyle w:val="FootnoteReference"/>
        </w:rPr>
        <w:footnoteRef/>
      </w:r>
      <w:r w:rsidRPr="000A38B8">
        <w:t xml:space="preserve"> In our </w:t>
      </w:r>
      <w:r>
        <w:t>C</w:t>
      </w:r>
      <w:r w:rsidRPr="000A38B8">
        <w:t xml:space="preserve">entral </w:t>
      </w:r>
      <w:r>
        <w:t>S</w:t>
      </w:r>
      <w:r w:rsidRPr="000A38B8">
        <w:t xml:space="preserve">cenario we include 5-15 </w:t>
      </w:r>
      <w:proofErr w:type="spellStart"/>
      <w:r w:rsidRPr="000A38B8">
        <w:t>TWh</w:t>
      </w:r>
      <w:proofErr w:type="spellEnd"/>
      <w:r w:rsidRPr="000A38B8">
        <w:t xml:space="preserve"> of biomass used in building-scale boilers in 2030 (</w:t>
      </w:r>
      <w:r>
        <w:t>including biomass boilers in around 0.3m homes)</w:t>
      </w:r>
      <w:r w:rsidRPr="000A38B8">
        <w:t xml:space="preserve">, and 11-27 </w:t>
      </w:r>
      <w:proofErr w:type="spellStart"/>
      <w:r w:rsidRPr="000A38B8">
        <w:t>TWh</w:t>
      </w:r>
      <w:proofErr w:type="spellEnd"/>
      <w:r w:rsidRPr="000A38B8">
        <w:t xml:space="preserve"> including biomass used in heat networks. To 2050, we include 13 </w:t>
      </w:r>
      <w:proofErr w:type="spellStart"/>
      <w:r w:rsidRPr="000A38B8">
        <w:t>TWh</w:t>
      </w:r>
      <w:proofErr w:type="spellEnd"/>
      <w:r w:rsidRPr="000A38B8">
        <w:t xml:space="preserve"> of local bioenergy sources for use in heat networks in our </w:t>
      </w:r>
      <w:r>
        <w:t>C</w:t>
      </w:r>
      <w:r w:rsidRPr="000A38B8">
        <w:t xml:space="preserve">entral </w:t>
      </w:r>
      <w:r>
        <w:t>S</w:t>
      </w:r>
      <w:r w:rsidRPr="000A38B8">
        <w:t>cenario</w:t>
      </w:r>
      <w:r>
        <w:t xml:space="preserve">, with a high end estimate of 59 </w:t>
      </w:r>
      <w:proofErr w:type="spellStart"/>
      <w:r>
        <w:t>TWh</w:t>
      </w:r>
      <w:proofErr w:type="spellEnd"/>
      <w:r w:rsidRPr="000A38B8">
        <w:t xml:space="preserve">. Use of biomass boilers in 2050 </w:t>
      </w:r>
      <w:r>
        <w:t xml:space="preserve">in our Central Scenario </w:t>
      </w:r>
      <w:r w:rsidRPr="000A38B8">
        <w:t xml:space="preserve">is significantly reduced to around </w:t>
      </w:r>
      <w:r>
        <w:t>25,000 homes,</w:t>
      </w:r>
      <w:r w:rsidRPr="000A38B8">
        <w:t xml:space="preserve"> assuming the need to divert bioenergy to other uses such as bio-CCS.</w:t>
      </w:r>
      <w:r>
        <w:t xml:space="preserve"> </w:t>
      </w:r>
    </w:p>
  </w:footnote>
  <w:footnote w:id="8">
    <w:p w14:paraId="52BA32CA" w14:textId="65C6520B" w:rsidR="004915C2" w:rsidRDefault="004915C2" w:rsidP="00662EE1">
      <w:pPr>
        <w:pStyle w:val="FootnoteText"/>
      </w:pPr>
      <w:r>
        <w:rPr>
          <w:rStyle w:val="FootnoteReference"/>
        </w:rPr>
        <w:footnoteRef/>
      </w:r>
      <w:r>
        <w:t xml:space="preserve"> Imperial College London (2016), </w:t>
      </w:r>
      <w:r w:rsidRPr="00861E44">
        <w:rPr>
          <w:i/>
        </w:rPr>
        <w:t>Analysis of alternative UK heat decarbonisation Pathways</w:t>
      </w:r>
      <w:r>
        <w:t xml:space="preserve">, </w:t>
      </w:r>
      <w:hyperlink r:id="rId7" w:history="1">
        <w:r w:rsidRPr="004210D6">
          <w:rPr>
            <w:rStyle w:val="Hyperlink"/>
          </w:rPr>
          <w:t>https://www.theccc.org.uk/publication/analysis-of-alternative-uk-heat-decarbonisation-pathways/</w:t>
        </w:r>
      </w:hyperlink>
      <w:r>
        <w:t xml:space="preserve"> </w:t>
      </w:r>
    </w:p>
  </w:footnote>
  <w:footnote w:id="9">
    <w:p w14:paraId="4C3B6133" w14:textId="37CF9CBB" w:rsidR="004915C2" w:rsidRDefault="004915C2" w:rsidP="00662EE1">
      <w:pPr>
        <w:pStyle w:val="FootnoteText"/>
      </w:pPr>
      <w:r>
        <w:rPr>
          <w:rStyle w:val="FootnoteReference"/>
        </w:rPr>
        <w:footnoteRef/>
      </w:r>
      <w:r>
        <w:t xml:space="preserve"> Updated classifications of non-standard cavity walls and lofts are included in Energy Saving Trust (2016),  </w:t>
      </w:r>
      <w:r w:rsidRPr="00861E44">
        <w:rPr>
          <w:i/>
        </w:rPr>
        <w:t>Quantification of non-standard cavity walls and lofts in Great Britain</w:t>
      </w:r>
      <w:r>
        <w:t xml:space="preserve">, </w:t>
      </w:r>
      <w:hyperlink r:id="rId8" w:history="1">
        <w:r w:rsidRPr="00705DDB">
          <w:rPr>
            <w:rStyle w:val="Hyperlink"/>
          </w:rPr>
          <w:t>https://assets.publishing.service.gov.uk/government/uploads/system/uploads/attachment_data/file/656865/160628_Non-standard_cavity_walls_and_lofts.pdf</w:t>
        </w:r>
      </w:hyperlink>
      <w:r>
        <w:t xml:space="preserve"> </w:t>
      </w:r>
    </w:p>
  </w:footnote>
  <w:footnote w:id="10">
    <w:p w14:paraId="0BFB7CA5" w14:textId="04716E12" w:rsidR="004915C2" w:rsidRDefault="004915C2" w:rsidP="00E655AE">
      <w:pPr>
        <w:keepNext/>
        <w:keepLines/>
      </w:pPr>
      <w:r>
        <w:rPr>
          <w:rStyle w:val="FootnoteReference"/>
        </w:rPr>
        <w:footnoteRef/>
      </w:r>
      <w:r>
        <w:t xml:space="preserve"> Including: BRE, Defra and EST (2008), </w:t>
      </w:r>
      <w:r w:rsidRPr="00861E44">
        <w:rPr>
          <w:rFonts w:asciiTheme="minorHAnsi" w:hAnsiTheme="minorHAnsi" w:cs="Arial"/>
          <w:i/>
        </w:rPr>
        <w:t>A study of Hard to Treat Homes using the English House Condition Survey, Part I: Dwelling and Household Characteristics of Hard to Treat Homes</w:t>
      </w:r>
      <w:r w:rsidRPr="000E5C2C">
        <w:rPr>
          <w:rFonts w:asciiTheme="minorHAnsi" w:hAnsiTheme="minorHAnsi" w:cs="Arial"/>
        </w:rPr>
        <w:t xml:space="preserve">, </w:t>
      </w:r>
      <w:hyperlink r:id="rId9" w:history="1">
        <w:r w:rsidRPr="000E5C2C">
          <w:rPr>
            <w:rStyle w:val="Hyperlink"/>
            <w:rFonts w:asciiTheme="minorHAnsi" w:hAnsiTheme="minorHAnsi" w:cs="Arial"/>
          </w:rPr>
          <w:t>https://www.bre.co.uk/filelibrary/pdf/rpts/Hard_to_Treat_Homes_Part_I.pdf</w:t>
        </w:r>
      </w:hyperlink>
      <w:r w:rsidRPr="00861E44">
        <w:rPr>
          <w:rStyle w:val="Hyperlink"/>
          <w:rFonts w:asciiTheme="minorHAnsi" w:hAnsiTheme="minorHAnsi" w:cs="Arial"/>
          <w:color w:val="auto"/>
          <w:u w:val="none"/>
        </w:rPr>
        <w:t xml:space="preserve">; </w:t>
      </w:r>
      <w:r>
        <w:rPr>
          <w:rStyle w:val="Hyperlink"/>
          <w:rFonts w:asciiTheme="minorHAnsi" w:hAnsiTheme="minorHAnsi" w:cs="Arial"/>
          <w:color w:val="auto"/>
          <w:u w:val="none"/>
        </w:rPr>
        <w:t xml:space="preserve">DCLG (2015), </w:t>
      </w:r>
      <w:r w:rsidRPr="00861E44">
        <w:rPr>
          <w:rFonts w:asciiTheme="minorHAnsi" w:hAnsiTheme="minorHAnsi" w:cs="Arial"/>
          <w:i/>
        </w:rPr>
        <w:t>English Housing Survey, Energy Efficiency of English Housing 2013</w:t>
      </w:r>
      <w:r w:rsidRPr="000E5C2C">
        <w:rPr>
          <w:rFonts w:asciiTheme="minorHAnsi" w:hAnsiTheme="minorHAnsi" w:cs="Arial"/>
        </w:rPr>
        <w:t xml:space="preserve">, </w:t>
      </w:r>
      <w:proofErr w:type="spellStart"/>
      <w:r w:rsidRPr="000E5C2C">
        <w:rPr>
          <w:rFonts w:asciiTheme="minorHAnsi" w:hAnsiTheme="minorHAnsi" w:cs="Arial"/>
        </w:rPr>
        <w:t>ch</w:t>
      </w:r>
      <w:proofErr w:type="spellEnd"/>
      <w:r w:rsidRPr="000E5C2C">
        <w:rPr>
          <w:rFonts w:asciiTheme="minorHAnsi" w:hAnsiTheme="minorHAnsi" w:cs="Arial"/>
        </w:rPr>
        <w:t xml:space="preserve"> 3: </w:t>
      </w:r>
      <w:hyperlink r:id="rId10" w:history="1">
        <w:r w:rsidRPr="000E5C2C">
          <w:rPr>
            <w:rStyle w:val="Hyperlink"/>
            <w:rFonts w:asciiTheme="minorHAnsi" w:hAnsiTheme="minorHAnsi" w:cs="Arial"/>
          </w:rPr>
          <w:t>https://assets.publishing.service.gov.uk/government/uploads/system/uploads/attachment_data/file/445440/EHS_Energy_efficiency_of_English_housing_2013.pdf</w:t>
        </w:r>
      </w:hyperlink>
      <w:r w:rsidRPr="00861E44">
        <w:rPr>
          <w:rStyle w:val="Hyperlink"/>
          <w:rFonts w:asciiTheme="minorHAnsi" w:hAnsiTheme="minorHAnsi" w:cs="Arial"/>
          <w:color w:val="auto"/>
          <w:u w:val="none"/>
        </w:rPr>
        <w:t xml:space="preserve">; </w:t>
      </w:r>
      <w:r>
        <w:rPr>
          <w:rStyle w:val="Hyperlink"/>
          <w:rFonts w:asciiTheme="minorHAnsi" w:hAnsiTheme="minorHAnsi" w:cs="Arial"/>
          <w:color w:val="auto"/>
          <w:u w:val="none"/>
        </w:rPr>
        <w:t xml:space="preserve">Climate Xchange (2014), </w:t>
      </w:r>
      <w:r w:rsidRPr="00861E44">
        <w:rPr>
          <w:rFonts w:asciiTheme="minorHAnsi" w:hAnsiTheme="minorHAnsi" w:cs="Arial"/>
          <w:i/>
        </w:rPr>
        <w:t>Home energy efficiency – review of evidence on attitudes and behaviours</w:t>
      </w:r>
      <w:r w:rsidRPr="000E5C2C">
        <w:rPr>
          <w:rFonts w:asciiTheme="minorHAnsi" w:hAnsiTheme="minorHAnsi" w:cs="Arial"/>
        </w:rPr>
        <w:t xml:space="preserve">, </w:t>
      </w:r>
      <w:hyperlink r:id="rId11" w:history="1">
        <w:r w:rsidRPr="000E5C2C">
          <w:rPr>
            <w:rStyle w:val="Hyperlink"/>
            <w:rFonts w:asciiTheme="minorHAnsi" w:hAnsiTheme="minorHAnsi" w:cs="Arial"/>
          </w:rPr>
          <w:t>https://www.climatexchange.org.uk/media/1844/cxc_brief_home_energy_efficiency_review_-_full_report.pdf</w:t>
        </w:r>
      </w:hyperlink>
      <w:r w:rsidRPr="000E5C2C">
        <w:rPr>
          <w:rFonts w:asciiTheme="minorHAnsi" w:hAnsiTheme="minorHAnsi" w:cs="Arial"/>
        </w:rPr>
        <w:t xml:space="preserve"> </w:t>
      </w:r>
    </w:p>
  </w:footnote>
  <w:footnote w:id="11">
    <w:p w14:paraId="49E97299" w14:textId="728D0DF7" w:rsidR="004915C2" w:rsidRDefault="004915C2" w:rsidP="00662EE1">
      <w:pPr>
        <w:pStyle w:val="FootnoteText"/>
      </w:pPr>
      <w:r>
        <w:rPr>
          <w:rStyle w:val="FootnoteReference"/>
        </w:rPr>
        <w:footnoteRef/>
      </w:r>
      <w:r>
        <w:t xml:space="preserve"> CCC (2015) </w:t>
      </w:r>
      <w:r w:rsidRPr="00E655AE">
        <w:rPr>
          <w:i/>
        </w:rPr>
        <w:t>Sectoral scenarios for the Fifth Carbon Budget, Technical report</w:t>
      </w:r>
      <w:r>
        <w:t xml:space="preserve">, and Element Energy and Energy Saving Trust (2013), </w:t>
      </w:r>
      <w:r w:rsidRPr="00861E44">
        <w:rPr>
          <w:i/>
        </w:rPr>
        <w:t>Review of potential for carbon savings from residential energy efficiency</w:t>
      </w:r>
    </w:p>
  </w:footnote>
  <w:footnote w:id="12">
    <w:p w14:paraId="1BDE3B50" w14:textId="6AA60159" w:rsidR="004915C2" w:rsidRDefault="004915C2" w:rsidP="00662EE1">
      <w:pPr>
        <w:pStyle w:val="FootnoteText"/>
      </w:pPr>
      <w:r>
        <w:rPr>
          <w:rStyle w:val="FootnoteReference"/>
        </w:rPr>
        <w:footnoteRef/>
      </w:r>
      <w:r>
        <w:t xml:space="preserve"> See: </w:t>
      </w:r>
      <w:hyperlink r:id="rId12" w:history="1">
        <w:r w:rsidRPr="00705DDB">
          <w:rPr>
            <w:rStyle w:val="Hyperlink"/>
          </w:rPr>
          <w:t>https://www.gov.uk/government/collections/buildings-energy-efficiency-technical-research</w:t>
        </w:r>
      </w:hyperlink>
      <w:r>
        <w:t xml:space="preserve"> </w:t>
      </w:r>
    </w:p>
  </w:footnote>
  <w:footnote w:id="13">
    <w:p w14:paraId="37963CD6" w14:textId="285DBF2F" w:rsidR="004915C2" w:rsidRDefault="004915C2" w:rsidP="00662EE1">
      <w:pPr>
        <w:pStyle w:val="FootnoteText"/>
      </w:pPr>
      <w:r>
        <w:rPr>
          <w:rStyle w:val="FootnoteReference"/>
        </w:rPr>
        <w:footnoteRef/>
      </w:r>
      <w:r>
        <w:t xml:space="preserve"> See: </w:t>
      </w:r>
      <w:hyperlink r:id="rId13" w:history="1">
        <w:r w:rsidRPr="003C192F">
          <w:rPr>
            <w:rStyle w:val="Hyperlink"/>
            <w:rFonts w:asciiTheme="minorHAnsi" w:hAnsiTheme="minorHAnsi" w:cs="Arial"/>
          </w:rPr>
          <w:t>https://www.gov.uk/government/collections/buildings-energy-efficiency-technical-research</w:t>
        </w:r>
      </w:hyperlink>
      <w:r>
        <w:rPr>
          <w:rStyle w:val="Hyperlink"/>
          <w:rFonts w:ascii="Arial" w:hAnsi="Arial" w:cs="Arial"/>
        </w:rPr>
        <w:t xml:space="preserve"> </w:t>
      </w:r>
    </w:p>
  </w:footnote>
  <w:footnote w:id="14">
    <w:p w14:paraId="19A8B03E" w14:textId="77777777" w:rsidR="004915C2" w:rsidRDefault="004915C2" w:rsidP="00662EE1">
      <w:pPr>
        <w:pStyle w:val="FootnoteText"/>
      </w:pPr>
      <w:r>
        <w:rPr>
          <w:rStyle w:val="FootnoteReference"/>
        </w:rPr>
        <w:footnoteRef/>
      </w:r>
      <w:r>
        <w:t xml:space="preserve"> For instance, insulating one component of a property, whilst leaving other areas uninsulated, may lead to higher levels of heat loss through uninsulated areas, limiting the overall benefits of the individual insulation measure.  </w:t>
      </w:r>
    </w:p>
  </w:footnote>
  <w:footnote w:id="15">
    <w:p w14:paraId="777DED79" w14:textId="2EF210D4" w:rsidR="004915C2" w:rsidRDefault="004915C2" w:rsidP="00662EE1">
      <w:pPr>
        <w:pStyle w:val="FootnoteText"/>
      </w:pPr>
      <w:r>
        <w:rPr>
          <w:rStyle w:val="FootnoteReference"/>
        </w:rPr>
        <w:footnoteRef/>
      </w:r>
      <w:r>
        <w:t xml:space="preserve"> For instance, EPC band C is frequently quoted as being consistent with the insulation level necessary to support heat pump deployment. However, there appears to be limited detailed evidence to support this</w:t>
      </w:r>
      <w:r w:rsidR="007C43C0">
        <w:t>.</w:t>
      </w:r>
    </w:p>
  </w:footnote>
  <w:footnote w:id="16">
    <w:p w14:paraId="350C2894" w14:textId="585BCFB0" w:rsidR="004915C2" w:rsidRDefault="004915C2" w:rsidP="00662EE1">
      <w:pPr>
        <w:pStyle w:val="FootnoteText"/>
      </w:pPr>
      <w:r>
        <w:rPr>
          <w:rStyle w:val="FootnoteReference"/>
        </w:rPr>
        <w:footnoteRef/>
      </w:r>
      <w:r>
        <w:t xml:space="preserve"> CCC (2015), </w:t>
      </w:r>
      <w:r w:rsidRPr="00861E44">
        <w:rPr>
          <w:i/>
        </w:rPr>
        <w:t>Sectoral scenarios for the Fifth Carbon Budget</w:t>
      </w:r>
      <w:r>
        <w:t xml:space="preserve">, </w:t>
      </w:r>
      <w:hyperlink r:id="rId14" w:history="1">
        <w:r w:rsidRPr="00705DDB">
          <w:rPr>
            <w:rStyle w:val="Hyperlink"/>
          </w:rPr>
          <w:t>https://www.theccc.org.uk/wp-content/uploads/2015/11/Sectoral-scenarios-for-the-fifth-carbon-budget-Committee-on-Climate-Change.pdf</w:t>
        </w:r>
      </w:hyperlink>
      <w:r>
        <w:t xml:space="preserve"> </w:t>
      </w:r>
    </w:p>
  </w:footnote>
  <w:footnote w:id="17">
    <w:p w14:paraId="71C217D0" w14:textId="207EA489" w:rsidR="004915C2" w:rsidRDefault="004915C2">
      <w:pPr>
        <w:pStyle w:val="FootnoteText"/>
      </w:pPr>
      <w:r>
        <w:rPr>
          <w:rStyle w:val="FootnoteReference"/>
        </w:rPr>
        <w:footnoteRef/>
      </w:r>
      <w:r>
        <w:t xml:space="preserve"> </w:t>
      </w:r>
      <w:r w:rsidRPr="00E655AE">
        <w:t>This approach is intended to acknowledge the potential role of Greenhouse Gas Removal technologies, to the extent they represent a cost-effective alternative to abating a small volume of residual emissions from ‘hard to decarbonise’ homes.</w:t>
      </w:r>
    </w:p>
  </w:footnote>
  <w:footnote w:id="18">
    <w:p w14:paraId="003E3D0A" w14:textId="77777777" w:rsidR="004915C2" w:rsidRDefault="004915C2" w:rsidP="00662EE1">
      <w:pPr>
        <w:pStyle w:val="FootnoteText"/>
      </w:pPr>
      <w:r>
        <w:rPr>
          <w:rStyle w:val="FootnoteReference"/>
        </w:rPr>
        <w:footnoteRef/>
      </w:r>
      <w:r>
        <w:t xml:space="preserve"> In some cases data gaps may require analysis to be extrapolated for some regions of the UK. </w:t>
      </w:r>
    </w:p>
  </w:footnote>
  <w:footnote w:id="19">
    <w:p w14:paraId="6EB86B04" w14:textId="41B132FF" w:rsidR="004915C2" w:rsidRDefault="004915C2" w:rsidP="00662EE1">
      <w:pPr>
        <w:pStyle w:val="FootnoteText"/>
      </w:pPr>
      <w:r>
        <w:rPr>
          <w:rStyle w:val="FootnoteReference"/>
        </w:rPr>
        <w:footnoteRef/>
      </w:r>
      <w:r>
        <w:t xml:space="preserve"> For the fifth carbon budget analysis, central assumptions in this area used carbon prices of £46/tCO</w:t>
      </w:r>
      <w:r w:rsidRPr="00FA2108">
        <w:rPr>
          <w:vertAlign w:val="subscript"/>
        </w:rPr>
        <w:t>2</w:t>
      </w:r>
      <w:r>
        <w:t xml:space="preserve"> in 2015, rising to £78/tCO</w:t>
      </w:r>
      <w:r w:rsidRPr="003C192F">
        <w:rPr>
          <w:vertAlign w:val="subscript"/>
        </w:rPr>
        <w:t>2</w:t>
      </w:r>
      <w:r>
        <w:t xml:space="preserve"> by 2030, and £333/tCO</w:t>
      </w:r>
      <w:r w:rsidRPr="003C192F">
        <w:rPr>
          <w:vertAlign w:val="subscript"/>
        </w:rPr>
        <w:t>2</w:t>
      </w:r>
      <w:r>
        <w:t xml:space="preserve"> by 2050. </w:t>
      </w:r>
      <w:r w:rsidR="00AC0CC1">
        <w:t xml:space="preserve">Further information on the analysis can be provided. NB </w:t>
      </w:r>
      <w:r>
        <w:t>The number of insulation measures deemed socially cost-effective against these carbon prices is expected to change with any updates to techno-economic assumptions associated with measures. Some associated updates to the central scenario may therefore be required.</w:t>
      </w:r>
    </w:p>
  </w:footnote>
  <w:footnote w:id="20">
    <w:p w14:paraId="33EE761C" w14:textId="32895820" w:rsidR="004915C2" w:rsidRDefault="004915C2" w:rsidP="00662EE1">
      <w:pPr>
        <w:pStyle w:val="FootnoteText"/>
      </w:pPr>
      <w:r>
        <w:rPr>
          <w:rStyle w:val="FootnoteReference"/>
        </w:rPr>
        <w:footnoteRef/>
      </w:r>
      <w:r>
        <w:t xml:space="preserve"> In addition to the one million solid walled homes which were found to be cost-effective to insulate by 2030, our central scenario to 2030 also included solid wall insulation for a further one million homes in fuel poverty. Even where cost-effective, solid wall homes can pose challenges due to other practical considerations. e.g. ‘space-take’ associated with internal solid wall insulation, or heritage considerations inhibiting use of external insulation.  </w:t>
      </w:r>
    </w:p>
  </w:footnote>
  <w:footnote w:id="21">
    <w:p w14:paraId="45954A07" w14:textId="01EBF133" w:rsidR="004915C2" w:rsidRDefault="004915C2">
      <w:pPr>
        <w:pStyle w:val="FootnoteText"/>
      </w:pPr>
      <w:r>
        <w:rPr>
          <w:rStyle w:val="FootnoteReference"/>
        </w:rPr>
        <w:footnoteRef/>
      </w:r>
      <w:r>
        <w:t xml:space="preserve"> For this variant, it is envisaged other measures would be relied upon to drive decarbonisation. This may include the use of thin solid wall insulation for instance. </w:t>
      </w:r>
    </w:p>
  </w:footnote>
  <w:footnote w:id="22">
    <w:p w14:paraId="325D3A3E" w14:textId="1C14F816" w:rsidR="004915C2" w:rsidRDefault="004915C2" w:rsidP="00662EE1">
      <w:pPr>
        <w:pStyle w:val="FootnoteText"/>
      </w:pPr>
      <w:r>
        <w:rPr>
          <w:rStyle w:val="FootnoteReference"/>
        </w:rPr>
        <w:footnoteRef/>
      </w:r>
      <w:r>
        <w:t xml:space="preserve"> Element Energy and Energy Saving Trust (2013), </w:t>
      </w:r>
      <w:r w:rsidRPr="00861E44">
        <w:rPr>
          <w:i/>
        </w:rPr>
        <w:t xml:space="preserve">Review of potential for carbon savings from residential energy efficiency </w:t>
      </w:r>
    </w:p>
  </w:footnote>
  <w:footnote w:id="23">
    <w:p w14:paraId="3D90389C" w14:textId="6174120D" w:rsidR="004915C2" w:rsidRDefault="004915C2" w:rsidP="00662EE1">
      <w:pPr>
        <w:pStyle w:val="FootnoteText"/>
      </w:pPr>
      <w:r>
        <w:rPr>
          <w:rStyle w:val="FootnoteReference"/>
        </w:rPr>
        <w:footnoteRef/>
      </w:r>
      <w:r>
        <w:t xml:space="preserve"> </w:t>
      </w:r>
      <w:r w:rsidR="004E6682">
        <w:t xml:space="preserve">Element Energy, </w:t>
      </w:r>
      <w:r>
        <w:t xml:space="preserve">Frontier Economics and Imperial College London (2015), </w:t>
      </w:r>
      <w:r w:rsidRPr="00861E44">
        <w:rPr>
          <w:i/>
        </w:rPr>
        <w:t xml:space="preserve">Research on district heating and local approaches to heat decarbonisation </w:t>
      </w:r>
    </w:p>
  </w:footnote>
  <w:footnote w:id="24">
    <w:p w14:paraId="60D89B93" w14:textId="77777777" w:rsidR="004915C2" w:rsidRPr="000A38B8" w:rsidRDefault="004915C2" w:rsidP="00662EE1">
      <w:pPr>
        <w:rPr>
          <w:i/>
          <w:iCs/>
        </w:rPr>
      </w:pPr>
      <w:r>
        <w:rPr>
          <w:rStyle w:val="FootnoteReference"/>
        </w:rPr>
        <w:footnoteRef/>
      </w:r>
      <w:r>
        <w:t xml:space="preserve"> </w:t>
      </w:r>
      <w:r w:rsidRPr="000A38B8">
        <w:t xml:space="preserve">Our </w:t>
      </w:r>
      <w:r>
        <w:t>analysis indicates that r</w:t>
      </w:r>
      <w:r w:rsidRPr="000A38B8">
        <w:rPr>
          <w:iCs/>
        </w:rPr>
        <w:t>esistive heating generally represents a more costly route to decarbonising relative to heat pumps. This is due to the lower efficiency of the technology, resulting in greater energy use, higher bills and higher system costs.</w:t>
      </w:r>
      <w:r>
        <w:rPr>
          <w:iCs/>
        </w:rPr>
        <w:t xml:space="preserve"> However, we are interested in understanding the extent to which there could be niche roles, for instance in combination with other technologies for some homes.</w:t>
      </w:r>
    </w:p>
  </w:footnote>
  <w:footnote w:id="25">
    <w:p w14:paraId="70D54D9C" w14:textId="77777777" w:rsidR="004915C2" w:rsidRDefault="004915C2" w:rsidP="00662EE1">
      <w:pPr>
        <w:pStyle w:val="FootnoteText"/>
      </w:pPr>
      <w:r>
        <w:rPr>
          <w:rStyle w:val="FootnoteReference"/>
        </w:rPr>
        <w:footnoteRef/>
      </w:r>
      <w:r>
        <w:t xml:space="preserve"> We expect to be able to provide rebuild costs for new homes built to current, or more ambitious standards. </w:t>
      </w:r>
    </w:p>
  </w:footnote>
  <w:footnote w:id="26">
    <w:p w14:paraId="420F5980" w14:textId="77777777" w:rsidR="004915C2" w:rsidRDefault="004915C2" w:rsidP="00662EE1">
      <w:pPr>
        <w:pStyle w:val="FootnoteText"/>
      </w:pPr>
      <w:r>
        <w:rPr>
          <w:rStyle w:val="FootnoteReference"/>
        </w:rPr>
        <w:footnoteRef/>
      </w:r>
      <w:r>
        <w:t xml:space="preserve"> Including limitations on the use of biomass heating in homes</w:t>
      </w:r>
    </w:p>
  </w:footnote>
  <w:footnote w:id="27">
    <w:p w14:paraId="3C7AFE43" w14:textId="177C7321" w:rsidR="004915C2" w:rsidRDefault="004915C2">
      <w:pPr>
        <w:pStyle w:val="FootnoteText"/>
      </w:pPr>
      <w:r>
        <w:rPr>
          <w:rStyle w:val="FootnoteReference"/>
        </w:rPr>
        <w:footnoteRef/>
      </w:r>
      <w:r>
        <w:t xml:space="preserve"> For this variant, it is envisaged other measures would be relied upon to drive decarbonisation. This may include the use of thin solid wall insulation.</w:t>
      </w:r>
    </w:p>
  </w:footnote>
  <w:footnote w:id="28">
    <w:p w14:paraId="61E958D7" w14:textId="573F7616" w:rsidR="004915C2" w:rsidRDefault="004915C2" w:rsidP="00662EE1">
      <w:pPr>
        <w:pStyle w:val="FootnoteText"/>
      </w:pPr>
      <w:r>
        <w:rPr>
          <w:rStyle w:val="FootnoteReference"/>
        </w:rPr>
        <w:footnoteRef/>
      </w:r>
      <w:r>
        <w:t xml:space="preserve"> CCC (2016), Fifth Carbon Budget Dataset, </w:t>
      </w:r>
      <w:hyperlink r:id="rId15" w:history="1">
        <w:r w:rsidRPr="000A537F">
          <w:rPr>
            <w:rStyle w:val="Hyperlink"/>
          </w:rPr>
          <w:t>https://www.theccc.org.uk/publication/fifth-carbon-budget-dataset/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4915C2" w:rsidRDefault="004915C2"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F77"/>
    <w:multiLevelType w:val="hybridMultilevel"/>
    <w:tmpl w:val="CF544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631E3"/>
    <w:multiLevelType w:val="hybridMultilevel"/>
    <w:tmpl w:val="02586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B65696"/>
    <w:multiLevelType w:val="hybridMultilevel"/>
    <w:tmpl w:val="E034D58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19A33BCF"/>
    <w:multiLevelType w:val="hybridMultilevel"/>
    <w:tmpl w:val="60AAC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38668F"/>
    <w:multiLevelType w:val="hybridMultilevel"/>
    <w:tmpl w:val="8FF2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85937"/>
    <w:multiLevelType w:val="hybridMultilevel"/>
    <w:tmpl w:val="F648E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A16DBF"/>
    <w:multiLevelType w:val="hybridMultilevel"/>
    <w:tmpl w:val="24F2D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B08B4"/>
    <w:multiLevelType w:val="hybridMultilevel"/>
    <w:tmpl w:val="4D1ECDD4"/>
    <w:lvl w:ilvl="0" w:tplc="5F164B68">
      <w:start w:val="1"/>
      <w:numFmt w:val="upp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4A3F0B"/>
    <w:multiLevelType w:val="hybridMultilevel"/>
    <w:tmpl w:val="9D84741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45162B39"/>
    <w:multiLevelType w:val="hybridMultilevel"/>
    <w:tmpl w:val="CAEC4FB8"/>
    <w:lvl w:ilvl="0" w:tplc="AE9E54B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7B10B72"/>
    <w:multiLevelType w:val="hybridMultilevel"/>
    <w:tmpl w:val="A8F08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6E23F1"/>
    <w:multiLevelType w:val="hybridMultilevel"/>
    <w:tmpl w:val="4F4EB97A"/>
    <w:lvl w:ilvl="0" w:tplc="A0102E38">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EA977AC"/>
    <w:multiLevelType w:val="hybridMultilevel"/>
    <w:tmpl w:val="9F2A9960"/>
    <w:lvl w:ilvl="0" w:tplc="CB0E851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9B6A81"/>
    <w:multiLevelType w:val="hybridMultilevel"/>
    <w:tmpl w:val="5BB22E6E"/>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5" w15:restartNumberingAfterBreak="0">
    <w:nsid w:val="56B82AD3"/>
    <w:multiLevelType w:val="hybridMultilevel"/>
    <w:tmpl w:val="14CC529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6" w15:restartNumberingAfterBreak="0">
    <w:nsid w:val="5A6E6F00"/>
    <w:multiLevelType w:val="hybridMultilevel"/>
    <w:tmpl w:val="5204CC70"/>
    <w:lvl w:ilvl="0" w:tplc="08090015">
      <w:start w:val="1"/>
      <w:numFmt w:val="upperLetter"/>
      <w:lvlText w:val="%1."/>
      <w:lvlJc w:val="left"/>
      <w:pPr>
        <w:ind w:left="720" w:hanging="360"/>
      </w:p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DE2FA9"/>
    <w:multiLevelType w:val="hybridMultilevel"/>
    <w:tmpl w:val="25440108"/>
    <w:lvl w:ilvl="0" w:tplc="08090013">
      <w:start w:val="1"/>
      <w:numFmt w:val="upperRoman"/>
      <w:lvlText w:val="%1."/>
      <w:lvlJc w:val="righ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8" w15:restartNumberingAfterBreak="0">
    <w:nsid w:val="5FFA5706"/>
    <w:multiLevelType w:val="hybridMultilevel"/>
    <w:tmpl w:val="A13C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A068D"/>
    <w:multiLevelType w:val="hybridMultilevel"/>
    <w:tmpl w:val="D9BE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D0770"/>
    <w:multiLevelType w:val="hybridMultilevel"/>
    <w:tmpl w:val="8E525E2E"/>
    <w:lvl w:ilvl="0" w:tplc="D728BDF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236A02"/>
    <w:multiLevelType w:val="hybridMultilevel"/>
    <w:tmpl w:val="3FE8380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2" w15:restartNumberingAfterBreak="0">
    <w:nsid w:val="74246D1F"/>
    <w:multiLevelType w:val="hybridMultilevel"/>
    <w:tmpl w:val="0CEAAD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B87F07"/>
    <w:multiLevelType w:val="hybridMultilevel"/>
    <w:tmpl w:val="B7362CE8"/>
    <w:lvl w:ilvl="0" w:tplc="4A5C32D2">
      <w:start w:val="1"/>
      <w:numFmt w:val="bullet"/>
      <w:pStyle w:val="BoxSub-sub-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0"/>
  </w:num>
  <w:num w:numId="2">
    <w:abstractNumId w:val="9"/>
  </w:num>
  <w:num w:numId="3">
    <w:abstractNumId w:val="12"/>
  </w:num>
  <w:num w:numId="4">
    <w:abstractNumId w:val="13"/>
  </w:num>
  <w:num w:numId="5">
    <w:abstractNumId w:val="19"/>
  </w:num>
  <w:num w:numId="6">
    <w:abstractNumId w:val="6"/>
  </w:num>
  <w:num w:numId="7">
    <w:abstractNumId w:val="23"/>
  </w:num>
  <w:num w:numId="8">
    <w:abstractNumId w:val="11"/>
  </w:num>
  <w:num w:numId="9">
    <w:abstractNumId w:val="16"/>
  </w:num>
  <w:num w:numId="10">
    <w:abstractNumId w:val="17"/>
  </w:num>
  <w:num w:numId="11">
    <w:abstractNumId w:val="7"/>
  </w:num>
  <w:num w:numId="12">
    <w:abstractNumId w:val="15"/>
  </w:num>
  <w:num w:numId="13">
    <w:abstractNumId w:val="8"/>
  </w:num>
  <w:num w:numId="14">
    <w:abstractNumId w:val="21"/>
  </w:num>
  <w:num w:numId="15">
    <w:abstractNumId w:val="20"/>
  </w:num>
  <w:num w:numId="16">
    <w:abstractNumId w:val="0"/>
  </w:num>
  <w:num w:numId="17">
    <w:abstractNumId w:val="1"/>
  </w:num>
  <w:num w:numId="18">
    <w:abstractNumId w:val="3"/>
  </w:num>
  <w:num w:numId="19">
    <w:abstractNumId w:val="4"/>
  </w:num>
  <w:num w:numId="20">
    <w:abstractNumId w:val="18"/>
  </w:num>
  <w:num w:numId="21">
    <w:abstractNumId w:val="22"/>
  </w:num>
  <w:num w:numId="22">
    <w:abstractNumId w:val="2"/>
  </w:num>
  <w:num w:numId="23">
    <w:abstractNumId w:val="5"/>
  </w:num>
  <w:num w:numId="2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505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0AAF"/>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3916"/>
    <w:rsid w:val="000442CA"/>
    <w:rsid w:val="0004691B"/>
    <w:rsid w:val="00046E46"/>
    <w:rsid w:val="000514E1"/>
    <w:rsid w:val="00051571"/>
    <w:rsid w:val="000529AA"/>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914"/>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16B"/>
    <w:rsid w:val="000C54E5"/>
    <w:rsid w:val="000C55C9"/>
    <w:rsid w:val="000C5627"/>
    <w:rsid w:val="000C607C"/>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694"/>
    <w:rsid w:val="000F3F72"/>
    <w:rsid w:val="000F46F0"/>
    <w:rsid w:val="000F4AE9"/>
    <w:rsid w:val="000F4EBE"/>
    <w:rsid w:val="000F51FC"/>
    <w:rsid w:val="000F5782"/>
    <w:rsid w:val="000F5CEF"/>
    <w:rsid w:val="000F5D88"/>
    <w:rsid w:val="000F5EFB"/>
    <w:rsid w:val="000F62F4"/>
    <w:rsid w:val="000F647F"/>
    <w:rsid w:val="000F6E18"/>
    <w:rsid w:val="001004BF"/>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C90"/>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AFE"/>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909"/>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2EED"/>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6C4A"/>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57CAF"/>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3B74"/>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AF"/>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2454"/>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4C6D"/>
    <w:rsid w:val="00386582"/>
    <w:rsid w:val="003874FF"/>
    <w:rsid w:val="00390503"/>
    <w:rsid w:val="003911FA"/>
    <w:rsid w:val="00391C9C"/>
    <w:rsid w:val="00392A3E"/>
    <w:rsid w:val="00393117"/>
    <w:rsid w:val="00393D1B"/>
    <w:rsid w:val="00396844"/>
    <w:rsid w:val="00396C1F"/>
    <w:rsid w:val="003976BC"/>
    <w:rsid w:val="00397841"/>
    <w:rsid w:val="003A1EC8"/>
    <w:rsid w:val="003A2016"/>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58B"/>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6269"/>
    <w:rsid w:val="003F7DF5"/>
    <w:rsid w:val="00400003"/>
    <w:rsid w:val="00400CBF"/>
    <w:rsid w:val="004013BF"/>
    <w:rsid w:val="0040149D"/>
    <w:rsid w:val="00401BCC"/>
    <w:rsid w:val="00401ED6"/>
    <w:rsid w:val="00404798"/>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0B5"/>
    <w:rsid w:val="00432353"/>
    <w:rsid w:val="00432CCE"/>
    <w:rsid w:val="00432EDF"/>
    <w:rsid w:val="004335BC"/>
    <w:rsid w:val="004339BE"/>
    <w:rsid w:val="004345D4"/>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3CEC"/>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15C2"/>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3CF3"/>
    <w:rsid w:val="004B40EE"/>
    <w:rsid w:val="004B5652"/>
    <w:rsid w:val="004B5CDC"/>
    <w:rsid w:val="004B602B"/>
    <w:rsid w:val="004B7B6A"/>
    <w:rsid w:val="004C001D"/>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6682"/>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1DA1"/>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6811"/>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6EF4"/>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7FC"/>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1C0A"/>
    <w:rsid w:val="005F264F"/>
    <w:rsid w:val="005F2DA2"/>
    <w:rsid w:val="005F325F"/>
    <w:rsid w:val="005F3FD5"/>
    <w:rsid w:val="005F409A"/>
    <w:rsid w:val="005F5CC7"/>
    <w:rsid w:val="005F62B2"/>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3E75"/>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04A2"/>
    <w:rsid w:val="006512B5"/>
    <w:rsid w:val="00651573"/>
    <w:rsid w:val="006524F0"/>
    <w:rsid w:val="00652A7A"/>
    <w:rsid w:val="006533B6"/>
    <w:rsid w:val="00653670"/>
    <w:rsid w:val="00653EAF"/>
    <w:rsid w:val="0065482B"/>
    <w:rsid w:val="006551AA"/>
    <w:rsid w:val="006553BC"/>
    <w:rsid w:val="00656425"/>
    <w:rsid w:val="0065688B"/>
    <w:rsid w:val="00656D4A"/>
    <w:rsid w:val="00657354"/>
    <w:rsid w:val="00657D2F"/>
    <w:rsid w:val="006611F4"/>
    <w:rsid w:val="00661B49"/>
    <w:rsid w:val="00662000"/>
    <w:rsid w:val="00662990"/>
    <w:rsid w:val="00662EE1"/>
    <w:rsid w:val="00663F77"/>
    <w:rsid w:val="00665049"/>
    <w:rsid w:val="0066506D"/>
    <w:rsid w:val="00665153"/>
    <w:rsid w:val="00665593"/>
    <w:rsid w:val="006660E1"/>
    <w:rsid w:val="00666133"/>
    <w:rsid w:val="00666381"/>
    <w:rsid w:val="00666B4E"/>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4D97"/>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367"/>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C0"/>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1961"/>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1E44"/>
    <w:rsid w:val="00862B23"/>
    <w:rsid w:val="00863724"/>
    <w:rsid w:val="00863A52"/>
    <w:rsid w:val="00863D4F"/>
    <w:rsid w:val="00864B45"/>
    <w:rsid w:val="00864E69"/>
    <w:rsid w:val="00866B38"/>
    <w:rsid w:val="00866EC8"/>
    <w:rsid w:val="0087007A"/>
    <w:rsid w:val="008713F1"/>
    <w:rsid w:val="00871742"/>
    <w:rsid w:val="0087177D"/>
    <w:rsid w:val="008717A6"/>
    <w:rsid w:val="0087279D"/>
    <w:rsid w:val="00872AB4"/>
    <w:rsid w:val="00874231"/>
    <w:rsid w:val="00874A97"/>
    <w:rsid w:val="008763C9"/>
    <w:rsid w:val="0087767F"/>
    <w:rsid w:val="00877829"/>
    <w:rsid w:val="0088086D"/>
    <w:rsid w:val="00881417"/>
    <w:rsid w:val="008814A2"/>
    <w:rsid w:val="008827BF"/>
    <w:rsid w:val="00884DF5"/>
    <w:rsid w:val="00885287"/>
    <w:rsid w:val="008853A4"/>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5BDA"/>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129"/>
    <w:rsid w:val="008D666A"/>
    <w:rsid w:val="008D67E2"/>
    <w:rsid w:val="008D77E4"/>
    <w:rsid w:val="008D7CCD"/>
    <w:rsid w:val="008D7F58"/>
    <w:rsid w:val="008E01E3"/>
    <w:rsid w:val="008E0585"/>
    <w:rsid w:val="008E1081"/>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3079"/>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639"/>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674"/>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5B41"/>
    <w:rsid w:val="0095616F"/>
    <w:rsid w:val="00956423"/>
    <w:rsid w:val="00956BBC"/>
    <w:rsid w:val="0096045F"/>
    <w:rsid w:val="0096082B"/>
    <w:rsid w:val="0096099B"/>
    <w:rsid w:val="00960D10"/>
    <w:rsid w:val="00961AC9"/>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2592"/>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2E4B"/>
    <w:rsid w:val="00A734C2"/>
    <w:rsid w:val="00A739A4"/>
    <w:rsid w:val="00A745D6"/>
    <w:rsid w:val="00A75172"/>
    <w:rsid w:val="00A7530E"/>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CC1"/>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72E"/>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9CD"/>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AAD"/>
    <w:rsid w:val="00B83EFA"/>
    <w:rsid w:val="00B845C6"/>
    <w:rsid w:val="00B84DC6"/>
    <w:rsid w:val="00B84F01"/>
    <w:rsid w:val="00B8517D"/>
    <w:rsid w:val="00B869A2"/>
    <w:rsid w:val="00B9050B"/>
    <w:rsid w:val="00B90700"/>
    <w:rsid w:val="00B91A7F"/>
    <w:rsid w:val="00B924A3"/>
    <w:rsid w:val="00B92587"/>
    <w:rsid w:val="00B925A6"/>
    <w:rsid w:val="00B93244"/>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3531"/>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878"/>
    <w:rsid w:val="00C47B8C"/>
    <w:rsid w:val="00C47E6C"/>
    <w:rsid w:val="00C50210"/>
    <w:rsid w:val="00C505C7"/>
    <w:rsid w:val="00C50A5D"/>
    <w:rsid w:val="00C51457"/>
    <w:rsid w:val="00C5187A"/>
    <w:rsid w:val="00C52742"/>
    <w:rsid w:val="00C53091"/>
    <w:rsid w:val="00C53C6B"/>
    <w:rsid w:val="00C5521E"/>
    <w:rsid w:val="00C557B4"/>
    <w:rsid w:val="00C55E72"/>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CC9"/>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C78B3"/>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1CB1"/>
    <w:rsid w:val="00D13EC9"/>
    <w:rsid w:val="00D14D94"/>
    <w:rsid w:val="00D15051"/>
    <w:rsid w:val="00D158F6"/>
    <w:rsid w:val="00D1643B"/>
    <w:rsid w:val="00D173F8"/>
    <w:rsid w:val="00D17496"/>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0AC6"/>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BFB"/>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5EFD"/>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33D"/>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DA5"/>
    <w:rsid w:val="00E16EC2"/>
    <w:rsid w:val="00E16FFD"/>
    <w:rsid w:val="00E1730E"/>
    <w:rsid w:val="00E1757E"/>
    <w:rsid w:val="00E1791B"/>
    <w:rsid w:val="00E17AE3"/>
    <w:rsid w:val="00E17B48"/>
    <w:rsid w:val="00E17CDF"/>
    <w:rsid w:val="00E201F4"/>
    <w:rsid w:val="00E2024F"/>
    <w:rsid w:val="00E214CC"/>
    <w:rsid w:val="00E21D0E"/>
    <w:rsid w:val="00E2336E"/>
    <w:rsid w:val="00E237E9"/>
    <w:rsid w:val="00E242F7"/>
    <w:rsid w:val="00E24528"/>
    <w:rsid w:val="00E2462B"/>
    <w:rsid w:val="00E250E1"/>
    <w:rsid w:val="00E266FD"/>
    <w:rsid w:val="00E30618"/>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56D3A"/>
    <w:rsid w:val="00E60A9A"/>
    <w:rsid w:val="00E61AB5"/>
    <w:rsid w:val="00E633D7"/>
    <w:rsid w:val="00E635FA"/>
    <w:rsid w:val="00E64350"/>
    <w:rsid w:val="00E65009"/>
    <w:rsid w:val="00E655AE"/>
    <w:rsid w:val="00E66740"/>
    <w:rsid w:val="00E66BF7"/>
    <w:rsid w:val="00E67630"/>
    <w:rsid w:val="00E67A37"/>
    <w:rsid w:val="00E71947"/>
    <w:rsid w:val="00E72065"/>
    <w:rsid w:val="00E72DB1"/>
    <w:rsid w:val="00E72F95"/>
    <w:rsid w:val="00E7340D"/>
    <w:rsid w:val="00E73B6C"/>
    <w:rsid w:val="00E73BE3"/>
    <w:rsid w:val="00E75377"/>
    <w:rsid w:val="00E76DF5"/>
    <w:rsid w:val="00E81277"/>
    <w:rsid w:val="00E8150F"/>
    <w:rsid w:val="00E819AB"/>
    <w:rsid w:val="00E827C9"/>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4B0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B4A"/>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013"/>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0F3FC7D7-667B-4DA3-91E2-5415FDEB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customStyle="1" w:styleId="Norma1">
    <w:name w:val="Norma1"/>
    <w:qFormat/>
    <w:rsid w:val="00662EE1"/>
    <w:pPr>
      <w:widowControl w:val="0"/>
      <w:overflowPunct w:val="0"/>
      <w:autoSpaceDE w:val="0"/>
      <w:autoSpaceDN w:val="0"/>
      <w:adjustRightInd w:val="0"/>
      <w:textAlignment w:val="baseline"/>
    </w:pPr>
    <w:rPr>
      <w:rFonts w:ascii="Arial" w:eastAsia="Times New Roman" w:hAnsi="Arial" w:cs="Mangal"/>
      <w:sz w:val="22"/>
      <w:szCs w:val="22"/>
    </w:rPr>
  </w:style>
  <w:style w:type="paragraph" w:styleId="BodyText">
    <w:name w:val="Body Text"/>
    <w:basedOn w:val="Normal"/>
    <w:link w:val="BodyTextChar"/>
    <w:rsid w:val="00662EE1"/>
    <w:pPr>
      <w:jc w:val="both"/>
    </w:pPr>
    <w:rPr>
      <w:rFonts w:ascii="Verdana" w:eastAsia="Times New Roman" w:hAnsi="Verdana"/>
      <w:lang w:eastAsia="en-US"/>
    </w:rPr>
  </w:style>
  <w:style w:type="character" w:customStyle="1" w:styleId="BodyTextChar">
    <w:name w:val="Body Text Char"/>
    <w:basedOn w:val="DefaultParagraphFont"/>
    <w:link w:val="BodyText"/>
    <w:rsid w:val="00662EE1"/>
    <w:rPr>
      <w:rFonts w:ascii="Verdana" w:eastAsia="Times New Roman" w:hAnsi="Verdana"/>
      <w:lang w:eastAsia="en-US"/>
    </w:rPr>
  </w:style>
  <w:style w:type="paragraph" w:styleId="NormalWeb">
    <w:name w:val="Normal (Web)"/>
    <w:basedOn w:val="Normal"/>
    <w:uiPriority w:val="99"/>
    <w:unhideWhenUsed/>
    <w:rsid w:val="00662EE1"/>
    <w:pPr>
      <w:spacing w:before="100" w:beforeAutospacing="1" w:after="100" w:afterAutospacing="1"/>
    </w:pPr>
    <w:rPr>
      <w:rFonts w:ascii="Times New Roman" w:eastAsia="Times New Roman" w:hAnsi="Times New Roman"/>
      <w:sz w:val="24"/>
      <w:szCs w:val="24"/>
    </w:rPr>
  </w:style>
  <w:style w:type="character" w:styleId="SubtleEmphasis">
    <w:name w:val="Subtle Emphasis"/>
    <w:basedOn w:val="DefaultParagraphFont"/>
    <w:uiPriority w:val="19"/>
    <w:qFormat/>
    <w:rsid w:val="00662EE1"/>
    <w:rPr>
      <w:i/>
      <w:iCs/>
      <w:color w:val="404040" w:themeColor="text1" w:themeTint="BF"/>
    </w:rPr>
  </w:style>
  <w:style w:type="paragraph" w:customStyle="1" w:styleId="BoxBody">
    <w:name w:val="Box Body"/>
    <w:basedOn w:val="Normal"/>
    <w:link w:val="BoxBodyChar"/>
    <w:uiPriority w:val="3"/>
    <w:qFormat/>
    <w:rsid w:val="00662EE1"/>
    <w:pPr>
      <w:spacing w:after="120"/>
    </w:pPr>
    <w:rPr>
      <w:rFonts w:ascii="Myriad Pro" w:eastAsia="Times New Roman" w:hAnsi="Myriad Pro"/>
      <w:sz w:val="22"/>
      <w:szCs w:val="24"/>
      <w:lang w:eastAsia="en-US"/>
    </w:rPr>
  </w:style>
  <w:style w:type="character" w:customStyle="1" w:styleId="BoxBodyChar">
    <w:name w:val="Box Body Char"/>
    <w:link w:val="BoxBody"/>
    <w:uiPriority w:val="3"/>
    <w:rsid w:val="00662EE1"/>
    <w:rPr>
      <w:rFonts w:ascii="Myriad Pro" w:eastAsia="Times New Roman" w:hAnsi="Myriad Pro"/>
      <w:sz w:val="22"/>
      <w:szCs w:val="24"/>
      <w:lang w:eastAsia="en-US"/>
    </w:rPr>
  </w:style>
  <w:style w:type="paragraph" w:customStyle="1" w:styleId="BoxFootnote">
    <w:name w:val="Box Footnote"/>
    <w:basedOn w:val="BoxBody"/>
    <w:link w:val="BoxFootnoteChar"/>
    <w:uiPriority w:val="3"/>
    <w:qFormat/>
    <w:rsid w:val="00662EE1"/>
    <w:pPr>
      <w:spacing w:after="0"/>
    </w:pPr>
    <w:rPr>
      <w:sz w:val="20"/>
    </w:rPr>
  </w:style>
  <w:style w:type="paragraph" w:customStyle="1" w:styleId="FigureHeading">
    <w:name w:val="Figure Heading"/>
    <w:basedOn w:val="Normal"/>
    <w:next w:val="Normal"/>
    <w:link w:val="FigureHeadingChar"/>
    <w:uiPriority w:val="3"/>
    <w:qFormat/>
    <w:rsid w:val="00662EE1"/>
    <w:rPr>
      <w:rFonts w:ascii="Myriad Pro" w:eastAsia="Times New Roman" w:hAnsi="Myriad Pro"/>
      <w:color w:val="FFFFFF"/>
      <w:sz w:val="22"/>
      <w:szCs w:val="24"/>
      <w:lang w:eastAsia="en-US"/>
    </w:rPr>
  </w:style>
  <w:style w:type="character" w:customStyle="1" w:styleId="BoxFootnoteChar">
    <w:name w:val="Box Footnote Char"/>
    <w:link w:val="BoxFootnote"/>
    <w:uiPriority w:val="3"/>
    <w:rsid w:val="00662EE1"/>
    <w:rPr>
      <w:rFonts w:ascii="Myriad Pro" w:eastAsia="Times New Roman" w:hAnsi="Myriad Pro"/>
      <w:szCs w:val="24"/>
      <w:lang w:eastAsia="en-US"/>
    </w:rPr>
  </w:style>
  <w:style w:type="character" w:customStyle="1" w:styleId="FigureHeadingChar">
    <w:name w:val="Figure Heading Char"/>
    <w:link w:val="FigureHeading"/>
    <w:uiPriority w:val="3"/>
    <w:rsid w:val="00662EE1"/>
    <w:rPr>
      <w:rFonts w:ascii="Myriad Pro" w:eastAsia="Times New Roman" w:hAnsi="Myriad Pro"/>
      <w:color w:val="FFFFFF"/>
      <w:sz w:val="22"/>
      <w:szCs w:val="24"/>
      <w:lang w:eastAsia="en-US"/>
    </w:rPr>
  </w:style>
  <w:style w:type="character" w:customStyle="1" w:styleId="Boxfootnotebold">
    <w:name w:val="Box footnote bold"/>
    <w:uiPriority w:val="3"/>
    <w:rsid w:val="00662EE1"/>
    <w:rPr>
      <w:rFonts w:ascii="Myriad Pro" w:hAnsi="Myriad Pro"/>
      <w:b/>
      <w:sz w:val="20"/>
      <w:szCs w:val="24"/>
      <w:lang w:eastAsia="en-US"/>
    </w:rPr>
  </w:style>
  <w:style w:type="character" w:customStyle="1" w:styleId="BoxFigureTableheadingbold">
    <w:name w:val="Box Figure Table heading bold"/>
    <w:uiPriority w:val="3"/>
    <w:rsid w:val="00662EE1"/>
    <w:rPr>
      <w:rFonts w:ascii="Myriad Pro" w:hAnsi="Myriad Pro"/>
      <w:b/>
      <w:color w:val="FFFFFF"/>
      <w:sz w:val="22"/>
      <w:szCs w:val="24"/>
      <w:lang w:eastAsia="en-US"/>
    </w:rPr>
  </w:style>
  <w:style w:type="paragraph" w:customStyle="1" w:styleId="TableHeading">
    <w:name w:val="Table Heading"/>
    <w:basedOn w:val="Normal"/>
    <w:next w:val="Normal"/>
    <w:link w:val="TableHeadingChar"/>
    <w:uiPriority w:val="3"/>
    <w:qFormat/>
    <w:rsid w:val="00662EE1"/>
    <w:rPr>
      <w:rFonts w:ascii="Myriad Pro" w:eastAsia="Times New Roman" w:hAnsi="Myriad Pro"/>
      <w:color w:val="FFFFFF"/>
      <w:sz w:val="22"/>
      <w:szCs w:val="24"/>
      <w:lang w:eastAsia="en-US"/>
    </w:rPr>
  </w:style>
  <w:style w:type="character" w:customStyle="1" w:styleId="TableHeadingChar">
    <w:name w:val="Table Heading Char"/>
    <w:link w:val="TableHeading"/>
    <w:uiPriority w:val="3"/>
    <w:rsid w:val="00662EE1"/>
    <w:rPr>
      <w:rFonts w:ascii="Myriad Pro" w:eastAsia="Times New Roman" w:hAnsi="Myriad Pro"/>
      <w:color w:val="FFFFFF"/>
      <w:sz w:val="22"/>
      <w:szCs w:val="24"/>
      <w:lang w:eastAsia="en-US"/>
    </w:rPr>
  </w:style>
  <w:style w:type="paragraph" w:customStyle="1" w:styleId="BoxBodyCentre">
    <w:name w:val="Box Body Centre"/>
    <w:basedOn w:val="BoxBody"/>
    <w:uiPriority w:val="3"/>
    <w:qFormat/>
    <w:rsid w:val="00662EE1"/>
    <w:pPr>
      <w:jc w:val="center"/>
    </w:pPr>
  </w:style>
  <w:style w:type="character" w:customStyle="1" w:styleId="Boxbold">
    <w:name w:val="Box bold"/>
    <w:uiPriority w:val="3"/>
    <w:rsid w:val="00662EE1"/>
    <w:rPr>
      <w:b/>
    </w:rPr>
  </w:style>
  <w:style w:type="paragraph" w:customStyle="1" w:styleId="BoxHeading">
    <w:name w:val="Box Heading"/>
    <w:basedOn w:val="Normal"/>
    <w:next w:val="Normal"/>
    <w:link w:val="BoxHeadingChar"/>
    <w:uiPriority w:val="3"/>
    <w:qFormat/>
    <w:rsid w:val="00662EE1"/>
    <w:rPr>
      <w:rFonts w:ascii="Myriad Pro" w:eastAsia="Times New Roman" w:hAnsi="Myriad Pro"/>
      <w:color w:val="FFFFFF"/>
      <w:sz w:val="22"/>
      <w:szCs w:val="24"/>
      <w:lang w:eastAsia="en-US"/>
    </w:rPr>
  </w:style>
  <w:style w:type="character" w:customStyle="1" w:styleId="BoxHeadingChar">
    <w:name w:val="Box Heading Char"/>
    <w:link w:val="BoxHeading"/>
    <w:uiPriority w:val="3"/>
    <w:rsid w:val="00662EE1"/>
    <w:rPr>
      <w:rFonts w:ascii="Myriad Pro" w:eastAsia="Times New Roman" w:hAnsi="Myriad Pro"/>
      <w:color w:val="FFFFFF"/>
      <w:sz w:val="22"/>
      <w:szCs w:val="24"/>
      <w:lang w:eastAsia="en-US"/>
    </w:rPr>
  </w:style>
  <w:style w:type="paragraph" w:customStyle="1" w:styleId="BoxSub-sub-bullet">
    <w:name w:val="Box Sub-sub-bullet"/>
    <w:basedOn w:val="Normal"/>
    <w:uiPriority w:val="3"/>
    <w:rsid w:val="00662EE1"/>
    <w:pPr>
      <w:numPr>
        <w:numId w:val="7"/>
      </w:numPr>
      <w:spacing w:after="120"/>
      <w:ind w:left="1134"/>
    </w:pPr>
    <w:rPr>
      <w:rFonts w:ascii="Myriad Pro" w:eastAsia="Times New Roman" w:hAnsi="Myriad Pro"/>
      <w:sz w:val="22"/>
      <w:szCs w:val="24"/>
      <w:lang w:eastAsia="en-US"/>
    </w:rPr>
  </w:style>
  <w:style w:type="character" w:styleId="FollowedHyperlink">
    <w:name w:val="FollowedHyperlink"/>
    <w:basedOn w:val="DefaultParagraphFont"/>
    <w:uiPriority w:val="99"/>
    <w:semiHidden/>
    <w:unhideWhenUsed/>
    <w:rsid w:val="00662EE1"/>
    <w:rPr>
      <w:color w:val="800080" w:themeColor="followedHyperlink"/>
      <w:u w:val="single"/>
    </w:rPr>
  </w:style>
  <w:style w:type="character" w:styleId="EndnoteReference">
    <w:name w:val="endnote reference"/>
    <w:basedOn w:val="DefaultParagraphFont"/>
    <w:uiPriority w:val="99"/>
    <w:semiHidden/>
    <w:unhideWhenUsed/>
    <w:rsid w:val="005F1C0A"/>
    <w:rPr>
      <w:vertAlign w:val="superscript"/>
    </w:rPr>
  </w:style>
  <w:style w:type="paragraph" w:styleId="TOC4">
    <w:name w:val="toc 4"/>
    <w:basedOn w:val="Normal"/>
    <w:next w:val="Normal"/>
    <w:autoRedefine/>
    <w:uiPriority w:val="39"/>
    <w:unhideWhenUsed/>
    <w:rsid w:val="005F1C0A"/>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88066220">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theccc.org.uk/wp-content/uploads/2016/10/Next-steps-for-UK-heat-policy-Committee-on-Climate-Change-October-2016.pdf" TargetMode="External"/><Relationship Id="rId26" Type="http://schemas.openxmlformats.org/officeDocument/2006/relationships/hyperlink" Target="https://www.climatexchange.org.uk/media/1844/cxc_brief_home_energy_efficiency_review_-_full_report.pdf" TargetMode="External"/><Relationship Id="rId3" Type="http://schemas.openxmlformats.org/officeDocument/2006/relationships/customXml" Target="../customXml/item3.xml"/><Relationship Id="rId21" Type="http://schemas.openxmlformats.org/officeDocument/2006/relationships/hyperlink" Target="https://www.bre.co.uk/filelibrary/pdf/rpts/Hard_to_Treat_Homes_Part_I.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theccc.org.uk/wp-content/uploads/2016/10/UK-climate-action-following-the-Paris-Agreement-Committee-on-Climate-Change-October-2016.pdf" TargetMode="External"/><Relationship Id="rId25" Type="http://schemas.openxmlformats.org/officeDocument/2006/relationships/hyperlink" Target="https://assets.publishing.service.gov.uk/government/uploads/system/uploads/attachment_data/file/445440/EHS_Energy_efficiency_of_English_housing_2013.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heccc.org.uk/wp-content/uploads/2015/11/Sectoral-scenarios-for-the-fifth-carbon-budget-Committee-on-Climate-Change.pdf" TargetMode="External"/><Relationship Id="rId20" Type="http://schemas.openxmlformats.org/officeDocument/2006/relationships/hyperlink" Target="https://www.theccc.org.uk/publication/analysis-of-alternative-uk-heat-decarbonisation-pathways/" TargetMode="External"/><Relationship Id="rId29" Type="http://schemas.openxmlformats.org/officeDocument/2006/relationships/hyperlink" Target="https://www.gov.uk/government/collections/buildings-energy-efficiency-technical-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reports/" TargetMode="External"/><Relationship Id="rId24" Type="http://schemas.openxmlformats.org/officeDocument/2006/relationships/hyperlink" Target="https://www.ukace.org/wp-content/uploads/2012/11/77948-EEPH-DELIVERY-TOOLS-Revised-for-web.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heccc.org.uk/wp-content/uploads/2013/12/Review-of-potential-for-carbon-savings-from-residential-energy-efficiency-Final-report-A-160114.pdf" TargetMode="External"/><Relationship Id="rId23" Type="http://schemas.openxmlformats.org/officeDocument/2006/relationships/hyperlink" Target="https://www.changeworks.org.uk/sites/default/files/Energy_Heritage.pdf" TargetMode="External"/><Relationship Id="rId28" Type="http://schemas.openxmlformats.org/officeDocument/2006/relationships/hyperlink" Target="https://assets.publishing.service.gov.uk/government/uploads/system/uploads/attachment_data/file/656866/BEIS_Update_of_Domestic_Cost_Assumptions_031017.pdf" TargetMode="External"/><Relationship Id="rId10" Type="http://schemas.openxmlformats.org/officeDocument/2006/relationships/endnotes" Target="endnotes.xml"/><Relationship Id="rId19" Type="http://schemas.openxmlformats.org/officeDocument/2006/relationships/hyperlink" Target="https://www.theccc.org.uk/wp-content/uploads/2017/01/Annex-2-Heat-in-UK-Buildings-Today-Committee-on-Climate-Change-October-2016.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ccc.org.uk/wp-content/uploads/2012/04/CCC_IAS_Tech-Rep_2050Target_April2012.pdf" TargetMode="External"/><Relationship Id="rId22" Type="http://schemas.openxmlformats.org/officeDocument/2006/relationships/hyperlink" Target="https://www.bre.co.uk/filelibrary/pdf/rpts/HTT_part_II_Final.pdf" TargetMode="External"/><Relationship Id="rId27" Type="http://schemas.openxmlformats.org/officeDocument/2006/relationships/hyperlink" Target="https://assets.publishing.service.gov.uk/government/uploads/system/uploads/attachment_data/file/445440/EHS_Energy_efficiency_of_English_housing_2013.pdf"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56865/160628_Non-standard_cavity_walls_and_lofts.pdf" TargetMode="External"/><Relationship Id="rId13" Type="http://schemas.openxmlformats.org/officeDocument/2006/relationships/hyperlink" Target="https://www.gov.uk/government/collections/buildings-energy-efficiency-technical-research" TargetMode="External"/><Relationship Id="rId3" Type="http://schemas.openxmlformats.org/officeDocument/2006/relationships/hyperlink" Target="https://www.legislation.gov.uk/ukpga/2008/27/section/1" TargetMode="External"/><Relationship Id="rId7" Type="http://schemas.openxmlformats.org/officeDocument/2006/relationships/hyperlink" Target="https://www.theccc.org.uk/publication/analysis-of-alternative-uk-heat-decarbonisation-pathways/" TargetMode="External"/><Relationship Id="rId12" Type="http://schemas.openxmlformats.org/officeDocument/2006/relationships/hyperlink" Target="https://www.gov.uk/government/collections/buildings-energy-efficiency-technical-research" TargetMode="External"/><Relationship Id="rId2" Type="http://schemas.openxmlformats.org/officeDocument/2006/relationships/hyperlink" Target="https://assets.publishing.service.gov.uk/government/uploads/system/uploads/attachment_data/file/748489/CCC_commission_for_Paris_Advice_-_Scot__UK.pdf" TargetMode="External"/><Relationship Id="rId1" Type="http://schemas.openxmlformats.org/officeDocument/2006/relationships/hyperlink" Target="http://www.ipcc.ch/report/sr15/" TargetMode="External"/><Relationship Id="rId6" Type="http://schemas.openxmlformats.org/officeDocument/2006/relationships/hyperlink" Target="https://www.theccc.org.uk/wp-content/uploads/2015/11/Element-Energy-for-CCC-Research-on-district-heating-and-local-approaches-to-heat-decarbonisation.pdf" TargetMode="External"/><Relationship Id="rId11" Type="http://schemas.openxmlformats.org/officeDocument/2006/relationships/hyperlink" Target="https://www.climatexchange.org.uk/media/1844/cxc_brief_home_energy_efficiency_review_-_full_report.pdf" TargetMode="External"/><Relationship Id="rId5" Type="http://schemas.openxmlformats.org/officeDocument/2006/relationships/hyperlink" Target="https://www.theccc.org.uk/wp-content/uploads/2013/12/Review-of-potential-for-carbon-savings-from-residential-energy-efficiency-Final-report-A-160114.pdf" TargetMode="External"/><Relationship Id="rId15" Type="http://schemas.openxmlformats.org/officeDocument/2006/relationships/hyperlink" Target="https://www.theccc.org.uk/publication/fifth-carbon-budget-dataset/" TargetMode="External"/><Relationship Id="rId10" Type="http://schemas.openxmlformats.org/officeDocument/2006/relationships/hyperlink" Target="https://assets.publishing.service.gov.uk/government/uploads/system/uploads/attachment_data/file/445440/EHS_Energy_efficiency_of_English_housing_2013.pdf" TargetMode="External"/><Relationship Id="rId4" Type="http://schemas.openxmlformats.org/officeDocument/2006/relationships/hyperlink" Target="https://www.theccc.org.uk/wp-content/uploads/2016/10/Next-steps-for-UK-heat-policy-Committee-on-Climate-Change-October-2016.pdf" TargetMode="External"/><Relationship Id="rId9" Type="http://schemas.openxmlformats.org/officeDocument/2006/relationships/hyperlink" Target="https://www.bre.co.uk/filelibrary/pdf/rpts/Hard_to_Treat_Homes_Part_I.pdf" TargetMode="External"/><Relationship Id="rId14" Type="http://schemas.openxmlformats.org/officeDocument/2006/relationships/hyperlink" Target="https://www.theccc.org.uk/wp-content/uploads/2015/11/Sectoral-scenarios-for-the-fifth-carbon-budget-Committee-on-Climate-Chang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purl.org/dc/elements/1.1/"/>
    <ds:schemaRef ds:uri="http://purl.org/dc/terms/"/>
    <ds:schemaRef ds:uri="http://schemas.microsoft.com/sharepoint/v3"/>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C1C82-1975-4D9E-9821-4711C949E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8501</Words>
  <Characters>48460</Characters>
  <Application>Microsoft Office Word</Application>
  <DocSecurity>4</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Taylor, Sean</cp:lastModifiedBy>
  <cp:revision>2</cp:revision>
  <cp:lastPrinted>2015-02-09T14:25:00Z</cp:lastPrinted>
  <dcterms:created xsi:type="dcterms:W3CDTF">2018-11-21T09:27:00Z</dcterms:created>
  <dcterms:modified xsi:type="dcterms:W3CDTF">2018-11-21T09:27:00Z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