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06E42ECF" w:rsidR="00A57128" w:rsidRPr="007E0083" w:rsidRDefault="00A57128" w:rsidP="00EE71A2">
      <w:pPr>
        <w:pStyle w:val="Heading1"/>
      </w:pPr>
      <w:r w:rsidRPr="007E0083">
        <w:t>Title:</w:t>
      </w:r>
      <w:r w:rsidR="000406E3">
        <w:t xml:space="preserve"> Evaluation of FE college mergers</w:t>
      </w:r>
    </w:p>
    <w:p w14:paraId="2B434E3D" w14:textId="125499D4" w:rsidR="00A57128" w:rsidRPr="007E0083" w:rsidRDefault="00A57128" w:rsidP="00A57128">
      <w:pPr>
        <w:rPr>
          <w:b/>
        </w:rPr>
      </w:pPr>
      <w:r w:rsidRPr="007E0083">
        <w:rPr>
          <w:b/>
        </w:rPr>
        <w:t xml:space="preserve">Project reference: </w:t>
      </w:r>
      <w:r w:rsidR="000406E3">
        <w:rPr>
          <w:b/>
        </w:rPr>
        <w:t>2018069</w:t>
      </w:r>
    </w:p>
    <w:p w14:paraId="501D40E4" w14:textId="665463F4" w:rsidR="00A57128" w:rsidRPr="007E0083" w:rsidRDefault="00A57128" w:rsidP="00A57128">
      <w:pPr>
        <w:rPr>
          <w:b/>
        </w:rPr>
      </w:pPr>
      <w:r w:rsidRPr="009432B4">
        <w:rPr>
          <w:b/>
        </w:rPr>
        <w:t>Deadline for expressions of interest:</w:t>
      </w:r>
      <w:r w:rsidR="007A7220">
        <w:rPr>
          <w:b/>
        </w:rPr>
        <w:t xml:space="preserve"> 12</w:t>
      </w:r>
      <w:r w:rsidR="00145184" w:rsidRPr="009432B4">
        <w:rPr>
          <w:b/>
          <w:vertAlign w:val="superscript"/>
        </w:rPr>
        <w:t>th</w:t>
      </w:r>
      <w:r w:rsidR="00145184" w:rsidRPr="009432B4">
        <w:rPr>
          <w:b/>
        </w:rPr>
        <w:t xml:space="preserve"> November</w:t>
      </w:r>
      <w:r w:rsidR="00145184">
        <w:rPr>
          <w:b/>
        </w:rPr>
        <w:t xml:space="preserve"> 2018</w:t>
      </w:r>
      <w:r w:rsidR="000406E3">
        <w:rPr>
          <w:b/>
        </w:rPr>
        <w:t xml:space="preserve"> </w:t>
      </w:r>
    </w:p>
    <w:p w14:paraId="0CFBF484" w14:textId="184FA1CF" w:rsidR="00A57128" w:rsidRPr="001F2CE2" w:rsidRDefault="00A57128" w:rsidP="001F2CE2">
      <w:pPr>
        <w:pStyle w:val="Heading2"/>
      </w:pPr>
      <w:r w:rsidRPr="001F2CE2">
        <w:t>Summary</w:t>
      </w:r>
    </w:p>
    <w:p w14:paraId="730B6C88" w14:textId="1AEBAB29" w:rsidR="00A57128" w:rsidRDefault="00A57128" w:rsidP="00A57128">
      <w:r w:rsidRPr="003E05F9">
        <w:rPr>
          <w:szCs w:val="22"/>
        </w:rPr>
        <w:t>Expressions of interest are sought</w:t>
      </w:r>
      <w:r>
        <w:rPr>
          <w:szCs w:val="22"/>
        </w:rPr>
        <w:t xml:space="preserve"> to</w:t>
      </w:r>
      <w:r w:rsidR="0072688E">
        <w:rPr>
          <w:szCs w:val="22"/>
        </w:rPr>
        <w:t xml:space="preserve"> quantitatively assess the performance of Further Education (FE) merged colleges against pre-merger performance and overall </w:t>
      </w:r>
      <w:r w:rsidR="007F523F">
        <w:rPr>
          <w:szCs w:val="22"/>
        </w:rPr>
        <w:t xml:space="preserve">FE college </w:t>
      </w:r>
      <w:r w:rsidR="0072688E">
        <w:rPr>
          <w:szCs w:val="22"/>
        </w:rPr>
        <w:t>sector performance. This will contribute to our overall evidence base on mergers and help to inform future</w:t>
      </w:r>
      <w:r w:rsidR="007F523F">
        <w:rPr>
          <w:szCs w:val="22"/>
        </w:rPr>
        <w:t xml:space="preserve"> policy </w:t>
      </w:r>
      <w:r w:rsidR="0072688E">
        <w:rPr>
          <w:szCs w:val="22"/>
        </w:rPr>
        <w:t>decisions by the DfE and ESFA.</w:t>
      </w:r>
    </w:p>
    <w:p w14:paraId="0BF9ADD3" w14:textId="1A5D6761" w:rsidR="00A57128" w:rsidRDefault="00A57128" w:rsidP="001F2CE2">
      <w:pPr>
        <w:pStyle w:val="Heading2"/>
      </w:pPr>
      <w:r>
        <w:t>Background</w:t>
      </w:r>
    </w:p>
    <w:p w14:paraId="20A3EB66" w14:textId="0D6B6D58" w:rsidR="0072688E" w:rsidRDefault="0072688E" w:rsidP="0072688E">
      <w:pPr>
        <w:jc w:val="both"/>
        <w:rPr>
          <w:rFonts w:cs="Arial"/>
          <w:szCs w:val="22"/>
        </w:rPr>
      </w:pPr>
      <w:r w:rsidRPr="0072688E">
        <w:rPr>
          <w:rFonts w:cs="Arial"/>
          <w:szCs w:val="22"/>
        </w:rPr>
        <w:t>Since 1993, there have been 153 college mergers in England (</w:t>
      </w:r>
      <w:hyperlink r:id="rId14" w:history="1">
        <w:r w:rsidRPr="0072688E">
          <w:rPr>
            <w:rStyle w:val="Hyperlink"/>
            <w:rFonts w:cs="Arial"/>
            <w:sz w:val="22"/>
            <w:szCs w:val="22"/>
          </w:rPr>
          <w:t>AoC, April 2018</w:t>
        </w:r>
      </w:hyperlink>
      <w:r w:rsidRPr="0072688E">
        <w:rPr>
          <w:rFonts w:cs="Arial"/>
          <w:szCs w:val="22"/>
        </w:rPr>
        <w:t xml:space="preserve">). The numbers of mergers has recently grown (40 mergers in 2016 and 2017) as the Government’s </w:t>
      </w:r>
      <w:hyperlink r:id="rId15" w:history="1">
        <w:r w:rsidRPr="0072688E">
          <w:rPr>
            <w:rStyle w:val="Hyperlink"/>
            <w:rFonts w:cs="Arial"/>
            <w:sz w:val="22"/>
            <w:szCs w:val="22"/>
          </w:rPr>
          <w:t>post-16 education Area Review programme</w:t>
        </w:r>
      </w:hyperlink>
      <w:r w:rsidRPr="0072688E">
        <w:rPr>
          <w:rStyle w:val="Hyperlink"/>
          <w:rFonts w:cs="Arial"/>
          <w:sz w:val="22"/>
          <w:szCs w:val="22"/>
        </w:rPr>
        <w:t xml:space="preserve"> </w:t>
      </w:r>
      <w:r w:rsidRPr="0072688E">
        <w:rPr>
          <w:rFonts w:cs="Arial"/>
          <w:szCs w:val="22"/>
        </w:rPr>
        <w:t>sought to</w:t>
      </w:r>
      <w:r w:rsidR="009432B4">
        <w:rPr>
          <w:rFonts w:cs="Arial"/>
          <w:szCs w:val="22"/>
        </w:rPr>
        <w:t xml:space="preserve"> deliver</w:t>
      </w:r>
      <w:r w:rsidRPr="0072688E">
        <w:rPr>
          <w:rFonts w:cs="Arial"/>
          <w:szCs w:val="22"/>
        </w:rPr>
        <w:t xml:space="preserve"> </w:t>
      </w:r>
      <w:r w:rsidR="009432B4" w:rsidRPr="0072688E">
        <w:rPr>
          <w:rFonts w:cs="Arial"/>
          <w:szCs w:val="22"/>
        </w:rPr>
        <w:t>more resilient</w:t>
      </w:r>
      <w:r w:rsidR="009432B4">
        <w:rPr>
          <w:rFonts w:cs="Arial"/>
          <w:szCs w:val="22"/>
        </w:rPr>
        <w:t>, financially viable</w:t>
      </w:r>
      <w:r w:rsidR="009432B4" w:rsidRPr="0072688E">
        <w:rPr>
          <w:rFonts w:cs="Arial"/>
          <w:szCs w:val="22"/>
        </w:rPr>
        <w:t xml:space="preserve"> and efficient providers</w:t>
      </w:r>
      <w:r w:rsidR="009432B4">
        <w:rPr>
          <w:rFonts w:cs="Arial"/>
          <w:color w:val="000000"/>
        </w:rPr>
        <w:t xml:space="preserve"> through restructuring</w:t>
      </w:r>
      <w:r w:rsidR="00CE4AC8">
        <w:rPr>
          <w:rFonts w:cs="Arial"/>
          <w:color w:val="000000"/>
        </w:rPr>
        <w:t>.</w:t>
      </w:r>
    </w:p>
    <w:p w14:paraId="594A0C68" w14:textId="16FD5F97" w:rsidR="0072688E" w:rsidRDefault="0072688E" w:rsidP="0072688E">
      <w:pPr>
        <w:jc w:val="both"/>
        <w:rPr>
          <w:rFonts w:cs="Arial"/>
          <w:szCs w:val="22"/>
        </w:rPr>
      </w:pPr>
      <w:r>
        <w:rPr>
          <w:rFonts w:cs="Arial"/>
          <w:szCs w:val="22"/>
        </w:rPr>
        <w:t>T</w:t>
      </w:r>
      <w:r w:rsidRPr="0072688E">
        <w:rPr>
          <w:rFonts w:cs="Arial"/>
          <w:szCs w:val="22"/>
        </w:rPr>
        <w:t>he ESFA collects annual data on colleges’ financial health, and</w:t>
      </w:r>
      <w:r w:rsidR="004B008F">
        <w:rPr>
          <w:rFonts w:cs="Arial"/>
          <w:szCs w:val="22"/>
        </w:rPr>
        <w:t xml:space="preserve"> combined with </w:t>
      </w:r>
      <w:r w:rsidR="00E6645E">
        <w:rPr>
          <w:rFonts w:cs="Arial"/>
          <w:szCs w:val="22"/>
        </w:rPr>
        <w:t>data on</w:t>
      </w:r>
      <w:r w:rsidR="009432B4">
        <w:rPr>
          <w:rFonts w:cs="Arial"/>
          <w:szCs w:val="22"/>
        </w:rPr>
        <w:t xml:space="preserve"> provider</w:t>
      </w:r>
      <w:r w:rsidR="00E6645E">
        <w:rPr>
          <w:rFonts w:cs="Arial"/>
          <w:szCs w:val="22"/>
        </w:rPr>
        <w:t xml:space="preserve"> quality (e.g. </w:t>
      </w:r>
      <w:r w:rsidR="004B008F">
        <w:rPr>
          <w:rFonts w:cs="Arial"/>
          <w:szCs w:val="22"/>
        </w:rPr>
        <w:t>Ofsted</w:t>
      </w:r>
      <w:r w:rsidR="00E6645E">
        <w:rPr>
          <w:rFonts w:cs="Arial"/>
          <w:szCs w:val="22"/>
        </w:rPr>
        <w:t>)</w:t>
      </w:r>
      <w:r w:rsidR="004B008F">
        <w:rPr>
          <w:rFonts w:cs="Arial"/>
          <w:szCs w:val="22"/>
        </w:rPr>
        <w:t>,</w:t>
      </w:r>
      <w:r w:rsidRPr="0072688E">
        <w:rPr>
          <w:rFonts w:cs="Arial"/>
          <w:szCs w:val="22"/>
        </w:rPr>
        <w:t xml:space="preserve"> we thus have a good opportunity to conduct an in-depth and comprehensive study of how effective mergers are in improving college financial and educational performance.</w:t>
      </w:r>
    </w:p>
    <w:p w14:paraId="15370730" w14:textId="62365094" w:rsidR="0072688E" w:rsidRPr="0072688E" w:rsidRDefault="0072688E" w:rsidP="0072688E">
      <w:pPr>
        <w:jc w:val="both"/>
        <w:rPr>
          <w:rFonts w:cs="Arial"/>
          <w:szCs w:val="22"/>
        </w:rPr>
      </w:pPr>
      <w:r>
        <w:rPr>
          <w:rFonts w:cs="Arial"/>
        </w:rPr>
        <w:t xml:space="preserve">A more informed understanding of the extent to which merged colleges are more resilient and sustainable (than they otherwise would have been) would allow for better restructuring of the college sector in the future. It would also contribute towards an assessment of the value for money of </w:t>
      </w:r>
      <w:r w:rsidR="009432B4">
        <w:rPr>
          <w:rFonts w:cs="Arial"/>
        </w:rPr>
        <w:t xml:space="preserve">college </w:t>
      </w:r>
      <w:r>
        <w:rPr>
          <w:rFonts w:cs="Arial"/>
        </w:rPr>
        <w:t>mergers.</w:t>
      </w:r>
    </w:p>
    <w:p w14:paraId="2DA3BB87" w14:textId="08E7A3EF" w:rsidR="00A57128" w:rsidRDefault="00A57128" w:rsidP="001F2CE2">
      <w:pPr>
        <w:pStyle w:val="Heading2"/>
      </w:pPr>
      <w:r w:rsidRPr="003E05F9">
        <w:lastRenderedPageBreak/>
        <w:t>Evaluation aims</w:t>
      </w:r>
    </w:p>
    <w:p w14:paraId="385E869F" w14:textId="77777777" w:rsidR="0072688E" w:rsidRDefault="0072688E" w:rsidP="0072688E">
      <w:pPr>
        <w:pStyle w:val="Heading2"/>
        <w:rPr>
          <w:b w:val="0"/>
          <w:color w:val="auto"/>
          <w:sz w:val="22"/>
          <w:szCs w:val="24"/>
        </w:rPr>
      </w:pPr>
      <w:r w:rsidRPr="0072688E">
        <w:rPr>
          <w:b w:val="0"/>
          <w:color w:val="auto"/>
          <w:sz w:val="22"/>
          <w:szCs w:val="24"/>
        </w:rPr>
        <w:t>The main questions that this research will focus on are:</w:t>
      </w:r>
    </w:p>
    <w:p w14:paraId="4F97E17C" w14:textId="30DB6A8C" w:rsidR="0072688E" w:rsidRDefault="0072688E" w:rsidP="0072688E">
      <w:pPr>
        <w:pStyle w:val="Heading2"/>
        <w:numPr>
          <w:ilvl w:val="0"/>
          <w:numId w:val="19"/>
        </w:numPr>
        <w:rPr>
          <w:b w:val="0"/>
          <w:color w:val="auto"/>
          <w:sz w:val="22"/>
          <w:szCs w:val="24"/>
        </w:rPr>
      </w:pPr>
      <w:r w:rsidRPr="0072688E">
        <w:rPr>
          <w:b w:val="0"/>
          <w:color w:val="auto"/>
          <w:sz w:val="22"/>
          <w:szCs w:val="24"/>
        </w:rPr>
        <w:t>How have merged colleges performed</w:t>
      </w:r>
      <w:r w:rsidR="004B008F">
        <w:rPr>
          <w:b w:val="0"/>
          <w:color w:val="auto"/>
          <w:sz w:val="22"/>
          <w:szCs w:val="24"/>
        </w:rPr>
        <w:t xml:space="preserve"> (in terms of financial performance and </w:t>
      </w:r>
      <w:r w:rsidR="00E6645E">
        <w:rPr>
          <w:b w:val="0"/>
          <w:color w:val="auto"/>
          <w:sz w:val="22"/>
          <w:szCs w:val="24"/>
        </w:rPr>
        <w:t>quality</w:t>
      </w:r>
      <w:r w:rsidR="004B008F">
        <w:rPr>
          <w:b w:val="0"/>
          <w:color w:val="auto"/>
          <w:sz w:val="22"/>
          <w:szCs w:val="24"/>
        </w:rPr>
        <w:t>)</w:t>
      </w:r>
      <w:r w:rsidRPr="0072688E">
        <w:rPr>
          <w:b w:val="0"/>
          <w:color w:val="auto"/>
          <w:sz w:val="22"/>
          <w:szCs w:val="24"/>
        </w:rPr>
        <w:t xml:space="preserve"> over the past 10 years compared to the overall sector?</w:t>
      </w:r>
    </w:p>
    <w:p w14:paraId="42649D73" w14:textId="32A82BC8" w:rsidR="0072688E" w:rsidRDefault="0072688E" w:rsidP="0072688E">
      <w:pPr>
        <w:pStyle w:val="Heading2"/>
        <w:numPr>
          <w:ilvl w:val="0"/>
          <w:numId w:val="19"/>
        </w:numPr>
        <w:rPr>
          <w:b w:val="0"/>
          <w:color w:val="auto"/>
          <w:sz w:val="22"/>
          <w:szCs w:val="24"/>
        </w:rPr>
      </w:pPr>
      <w:r w:rsidRPr="0072688E">
        <w:rPr>
          <w:b w:val="0"/>
          <w:color w:val="auto"/>
          <w:sz w:val="22"/>
          <w:szCs w:val="24"/>
        </w:rPr>
        <w:t xml:space="preserve">Are merged colleges more </w:t>
      </w:r>
      <w:r w:rsidR="004B008F">
        <w:rPr>
          <w:b w:val="0"/>
          <w:color w:val="auto"/>
          <w:sz w:val="22"/>
          <w:szCs w:val="24"/>
        </w:rPr>
        <w:t xml:space="preserve">financially </w:t>
      </w:r>
      <w:r w:rsidRPr="0072688E">
        <w:rPr>
          <w:b w:val="0"/>
          <w:color w:val="auto"/>
          <w:sz w:val="22"/>
          <w:szCs w:val="24"/>
        </w:rPr>
        <w:t>resilient and sustainable than they would otherwise have been?</w:t>
      </w:r>
    </w:p>
    <w:p w14:paraId="4D6CA630" w14:textId="77777777" w:rsidR="0072688E" w:rsidRDefault="0072688E" w:rsidP="0072688E">
      <w:pPr>
        <w:pStyle w:val="Heading2"/>
        <w:numPr>
          <w:ilvl w:val="0"/>
          <w:numId w:val="19"/>
        </w:numPr>
        <w:rPr>
          <w:b w:val="0"/>
          <w:color w:val="auto"/>
          <w:sz w:val="22"/>
          <w:szCs w:val="24"/>
        </w:rPr>
      </w:pPr>
      <w:r w:rsidRPr="0072688E">
        <w:rPr>
          <w:b w:val="0"/>
          <w:color w:val="auto"/>
          <w:sz w:val="22"/>
          <w:szCs w:val="24"/>
        </w:rPr>
        <w:t>How are specific aspects of a college’s performance (such as operating performance, debt ratio, operating costs and/or Ofsted grade) affected by merging?</w:t>
      </w:r>
    </w:p>
    <w:p w14:paraId="7416EEDD" w14:textId="01043370" w:rsidR="0072688E" w:rsidRDefault="0072688E" w:rsidP="0072688E">
      <w:pPr>
        <w:pStyle w:val="Heading2"/>
        <w:numPr>
          <w:ilvl w:val="0"/>
          <w:numId w:val="19"/>
        </w:numPr>
        <w:rPr>
          <w:b w:val="0"/>
          <w:color w:val="auto"/>
          <w:sz w:val="22"/>
          <w:szCs w:val="24"/>
        </w:rPr>
      </w:pPr>
      <w:r w:rsidRPr="0072688E">
        <w:rPr>
          <w:b w:val="0"/>
          <w:color w:val="auto"/>
          <w:sz w:val="22"/>
          <w:szCs w:val="24"/>
        </w:rPr>
        <w:t xml:space="preserve">What is the overall cost effectiveness of mergers to the </w:t>
      </w:r>
      <w:r w:rsidR="00E02AA9">
        <w:rPr>
          <w:b w:val="0"/>
          <w:color w:val="auto"/>
          <w:sz w:val="22"/>
          <w:szCs w:val="24"/>
        </w:rPr>
        <w:t xml:space="preserve">FE </w:t>
      </w:r>
      <w:r w:rsidRPr="0072688E">
        <w:rPr>
          <w:b w:val="0"/>
          <w:color w:val="auto"/>
          <w:sz w:val="22"/>
          <w:szCs w:val="24"/>
        </w:rPr>
        <w:t>sector?</w:t>
      </w:r>
    </w:p>
    <w:p w14:paraId="0E6B3F4B" w14:textId="6CF0FC96" w:rsidR="004A600B" w:rsidRPr="0072688E" w:rsidRDefault="004A600B" w:rsidP="0072688E">
      <w:pPr>
        <w:pStyle w:val="Heading2"/>
        <w:rPr>
          <w:b w:val="0"/>
          <w:color w:val="auto"/>
          <w:sz w:val="22"/>
          <w:szCs w:val="24"/>
        </w:rPr>
      </w:pPr>
      <w:r>
        <w:t>Methodology</w:t>
      </w:r>
    </w:p>
    <w:p w14:paraId="29AAD9CD" w14:textId="61D46742" w:rsidR="00FE7026" w:rsidRDefault="00FD5685" w:rsidP="00FE7026">
      <w:pPr>
        <w:pStyle w:val="Heading4"/>
        <w:rPr>
          <w:b w:val="0"/>
          <w:bCs w:val="0"/>
          <w:color w:val="auto"/>
          <w:sz w:val="22"/>
          <w:szCs w:val="24"/>
        </w:rPr>
      </w:pPr>
      <w:r w:rsidRPr="00FD5685">
        <w:rPr>
          <w:b w:val="0"/>
          <w:bCs w:val="0"/>
          <w:color w:val="auto"/>
          <w:sz w:val="22"/>
          <w:szCs w:val="24"/>
        </w:rPr>
        <w:t xml:space="preserve">This project requires the use of </w:t>
      </w:r>
      <w:r>
        <w:rPr>
          <w:b w:val="0"/>
          <w:bCs w:val="0"/>
          <w:color w:val="auto"/>
          <w:sz w:val="22"/>
          <w:szCs w:val="24"/>
        </w:rPr>
        <w:t>econometric analysis</w:t>
      </w:r>
      <w:r w:rsidRPr="00FD5685">
        <w:rPr>
          <w:b w:val="0"/>
          <w:bCs w:val="0"/>
          <w:color w:val="auto"/>
          <w:sz w:val="22"/>
          <w:szCs w:val="24"/>
        </w:rPr>
        <w:t xml:space="preserve"> to </w:t>
      </w:r>
      <w:r w:rsidR="00FE7026" w:rsidRPr="00FE7026">
        <w:rPr>
          <w:b w:val="0"/>
          <w:bCs w:val="0"/>
          <w:color w:val="auto"/>
          <w:sz w:val="22"/>
          <w:szCs w:val="24"/>
        </w:rPr>
        <w:t>assess the performance of all college mergers</w:t>
      </w:r>
      <w:r>
        <w:rPr>
          <w:b w:val="0"/>
          <w:bCs w:val="0"/>
          <w:color w:val="auto"/>
          <w:sz w:val="22"/>
          <w:szCs w:val="24"/>
        </w:rPr>
        <w:t>. The</w:t>
      </w:r>
      <w:r w:rsidR="00FE7026" w:rsidRPr="00FE7026">
        <w:rPr>
          <w:b w:val="0"/>
          <w:bCs w:val="0"/>
          <w:color w:val="auto"/>
          <w:sz w:val="22"/>
          <w:szCs w:val="24"/>
        </w:rPr>
        <w:t xml:space="preserve"> econometric approach </w:t>
      </w:r>
      <w:r>
        <w:rPr>
          <w:b w:val="0"/>
          <w:bCs w:val="0"/>
          <w:color w:val="auto"/>
          <w:sz w:val="22"/>
          <w:szCs w:val="24"/>
        </w:rPr>
        <w:t>should</w:t>
      </w:r>
      <w:r w:rsidR="00FE7026" w:rsidRPr="00FE7026">
        <w:rPr>
          <w:b w:val="0"/>
          <w:bCs w:val="0"/>
          <w:color w:val="auto"/>
          <w:sz w:val="22"/>
          <w:szCs w:val="24"/>
        </w:rPr>
        <w:t xml:space="preserve"> isolate the impact of merging on a college’s performance from other factors affecting college performance (</w:t>
      </w:r>
      <w:r w:rsidR="008B0B89">
        <w:rPr>
          <w:b w:val="0"/>
          <w:bCs w:val="0"/>
          <w:color w:val="auto"/>
          <w:sz w:val="22"/>
          <w:szCs w:val="24"/>
        </w:rPr>
        <w:t>e.g. local economy, college learner numbers</w:t>
      </w:r>
      <w:r w:rsidR="00FE7026" w:rsidRPr="00FE7026">
        <w:rPr>
          <w:b w:val="0"/>
          <w:bCs w:val="0"/>
          <w:color w:val="auto"/>
          <w:sz w:val="22"/>
          <w:szCs w:val="24"/>
        </w:rPr>
        <w:t xml:space="preserve">, etc.). </w:t>
      </w:r>
    </w:p>
    <w:p w14:paraId="7496E6B5" w14:textId="729D70D8" w:rsidR="00FE7026" w:rsidRPr="00FE7026" w:rsidRDefault="00FE7026" w:rsidP="00FE7026">
      <w:pPr>
        <w:pStyle w:val="Heading4"/>
        <w:rPr>
          <w:b w:val="0"/>
          <w:bCs w:val="0"/>
          <w:color w:val="auto"/>
          <w:sz w:val="22"/>
          <w:szCs w:val="24"/>
        </w:rPr>
      </w:pPr>
      <w:r w:rsidRPr="00FE7026">
        <w:rPr>
          <w:b w:val="0"/>
          <w:bCs w:val="0"/>
          <w:color w:val="auto"/>
          <w:sz w:val="22"/>
          <w:szCs w:val="24"/>
        </w:rPr>
        <w:t>The contractor should consider the effect of merging on various aspects of college resilience and sustainability</w:t>
      </w:r>
      <w:r w:rsidR="009432B4">
        <w:rPr>
          <w:b w:val="0"/>
          <w:bCs w:val="0"/>
          <w:color w:val="auto"/>
          <w:sz w:val="22"/>
          <w:szCs w:val="24"/>
        </w:rPr>
        <w:t>. For example, the contractor may look at:</w:t>
      </w:r>
    </w:p>
    <w:p w14:paraId="5C1DA0B1" w14:textId="77777777" w:rsidR="00FE7026" w:rsidRPr="00FE7026" w:rsidRDefault="00FE7026" w:rsidP="00FE7026">
      <w:pPr>
        <w:pStyle w:val="Heading4"/>
        <w:numPr>
          <w:ilvl w:val="0"/>
          <w:numId w:val="20"/>
        </w:numPr>
        <w:rPr>
          <w:b w:val="0"/>
          <w:bCs w:val="0"/>
          <w:color w:val="auto"/>
          <w:sz w:val="22"/>
          <w:szCs w:val="24"/>
        </w:rPr>
      </w:pPr>
      <w:r w:rsidRPr="00FE7026">
        <w:rPr>
          <w:b w:val="0"/>
          <w:bCs w:val="0"/>
          <w:color w:val="auto"/>
          <w:sz w:val="22"/>
          <w:szCs w:val="24"/>
        </w:rPr>
        <w:t>Current ratio</w:t>
      </w:r>
    </w:p>
    <w:p w14:paraId="77AA98B7" w14:textId="77777777" w:rsidR="00FE7026" w:rsidRPr="00FE7026" w:rsidRDefault="00FE7026" w:rsidP="00FE7026">
      <w:pPr>
        <w:pStyle w:val="Heading4"/>
        <w:numPr>
          <w:ilvl w:val="0"/>
          <w:numId w:val="20"/>
        </w:numPr>
        <w:rPr>
          <w:b w:val="0"/>
          <w:bCs w:val="0"/>
          <w:color w:val="auto"/>
          <w:sz w:val="22"/>
          <w:szCs w:val="24"/>
        </w:rPr>
      </w:pPr>
      <w:r w:rsidRPr="00FE7026">
        <w:rPr>
          <w:b w:val="0"/>
          <w:bCs w:val="0"/>
          <w:color w:val="auto"/>
          <w:sz w:val="22"/>
          <w:szCs w:val="24"/>
        </w:rPr>
        <w:t>Operating performance</w:t>
      </w:r>
    </w:p>
    <w:p w14:paraId="66B18C54" w14:textId="77777777" w:rsidR="00FE7026" w:rsidRPr="00FE7026" w:rsidRDefault="00FE7026" w:rsidP="00FE7026">
      <w:pPr>
        <w:pStyle w:val="Heading4"/>
        <w:numPr>
          <w:ilvl w:val="0"/>
          <w:numId w:val="20"/>
        </w:numPr>
        <w:rPr>
          <w:b w:val="0"/>
          <w:bCs w:val="0"/>
          <w:color w:val="auto"/>
          <w:sz w:val="22"/>
          <w:szCs w:val="24"/>
        </w:rPr>
      </w:pPr>
      <w:r w:rsidRPr="00FE7026">
        <w:rPr>
          <w:b w:val="0"/>
          <w:bCs w:val="0"/>
          <w:color w:val="auto"/>
          <w:sz w:val="22"/>
          <w:szCs w:val="24"/>
        </w:rPr>
        <w:t xml:space="preserve">Operating costs (e.g. staff costs) as a % of income </w:t>
      </w:r>
    </w:p>
    <w:p w14:paraId="4461696D" w14:textId="77777777" w:rsidR="00FE7026" w:rsidRPr="00FE7026" w:rsidRDefault="00FE7026" w:rsidP="00FE7026">
      <w:pPr>
        <w:pStyle w:val="Heading4"/>
        <w:numPr>
          <w:ilvl w:val="0"/>
          <w:numId w:val="20"/>
        </w:numPr>
        <w:rPr>
          <w:b w:val="0"/>
          <w:bCs w:val="0"/>
          <w:color w:val="auto"/>
          <w:sz w:val="22"/>
          <w:szCs w:val="24"/>
        </w:rPr>
      </w:pPr>
      <w:r w:rsidRPr="00FE7026">
        <w:rPr>
          <w:b w:val="0"/>
          <w:bCs w:val="0"/>
          <w:color w:val="auto"/>
          <w:sz w:val="22"/>
          <w:szCs w:val="24"/>
        </w:rPr>
        <w:t>Leadership and governance (e.g. Ofsted grade, or turnover rate of principle/FD/Chair)</w:t>
      </w:r>
    </w:p>
    <w:p w14:paraId="68165E8D" w14:textId="6B2EDBCB" w:rsidR="00FE7026" w:rsidRPr="00FE7026" w:rsidRDefault="00E6645E" w:rsidP="00FE7026">
      <w:pPr>
        <w:pStyle w:val="Heading4"/>
        <w:numPr>
          <w:ilvl w:val="0"/>
          <w:numId w:val="20"/>
        </w:numPr>
        <w:rPr>
          <w:b w:val="0"/>
          <w:bCs w:val="0"/>
          <w:color w:val="auto"/>
          <w:sz w:val="22"/>
          <w:szCs w:val="24"/>
        </w:rPr>
      </w:pPr>
      <w:r>
        <w:rPr>
          <w:b w:val="0"/>
          <w:bCs w:val="0"/>
          <w:color w:val="auto"/>
          <w:sz w:val="22"/>
          <w:szCs w:val="24"/>
        </w:rPr>
        <w:t>Quality (e.g. o</w:t>
      </w:r>
      <w:r w:rsidR="00FE7026" w:rsidRPr="00FE7026">
        <w:rPr>
          <w:b w:val="0"/>
          <w:bCs w:val="0"/>
          <w:color w:val="auto"/>
          <w:sz w:val="22"/>
          <w:szCs w:val="24"/>
        </w:rPr>
        <w:t>verall Ofsted grade</w:t>
      </w:r>
      <w:r>
        <w:rPr>
          <w:b w:val="0"/>
          <w:bCs w:val="0"/>
          <w:color w:val="auto"/>
          <w:sz w:val="22"/>
          <w:szCs w:val="24"/>
        </w:rPr>
        <w:t>)</w:t>
      </w:r>
    </w:p>
    <w:p w14:paraId="3D362CE7" w14:textId="77777777" w:rsidR="00FE7026" w:rsidRPr="00FE7026" w:rsidRDefault="00FE7026" w:rsidP="00FE7026">
      <w:pPr>
        <w:pStyle w:val="Heading4"/>
        <w:numPr>
          <w:ilvl w:val="0"/>
          <w:numId w:val="20"/>
        </w:numPr>
        <w:rPr>
          <w:b w:val="0"/>
          <w:bCs w:val="0"/>
          <w:color w:val="auto"/>
          <w:sz w:val="22"/>
          <w:szCs w:val="24"/>
        </w:rPr>
      </w:pPr>
      <w:r w:rsidRPr="00FE7026">
        <w:rPr>
          <w:b w:val="0"/>
          <w:bCs w:val="0"/>
          <w:color w:val="auto"/>
          <w:sz w:val="22"/>
          <w:szCs w:val="24"/>
        </w:rPr>
        <w:t>Debt as a % of income</w:t>
      </w:r>
    </w:p>
    <w:p w14:paraId="6622AD29" w14:textId="6AAD4E9B" w:rsidR="00FE7026" w:rsidRDefault="00FE7026" w:rsidP="00FE7026">
      <w:pPr>
        <w:pStyle w:val="Heading4"/>
        <w:rPr>
          <w:b w:val="0"/>
          <w:bCs w:val="0"/>
          <w:color w:val="auto"/>
          <w:sz w:val="22"/>
          <w:szCs w:val="24"/>
        </w:rPr>
      </w:pPr>
      <w:r>
        <w:rPr>
          <w:b w:val="0"/>
          <w:bCs w:val="0"/>
          <w:color w:val="auto"/>
          <w:sz w:val="22"/>
          <w:szCs w:val="24"/>
        </w:rPr>
        <w:t>The</w:t>
      </w:r>
      <w:r w:rsidRPr="00FE7026">
        <w:rPr>
          <w:b w:val="0"/>
          <w:bCs w:val="0"/>
          <w:color w:val="auto"/>
          <w:sz w:val="22"/>
          <w:szCs w:val="24"/>
        </w:rPr>
        <w:t xml:space="preserve"> contractor may have further ideas about how </w:t>
      </w:r>
      <w:r w:rsidR="009432B4">
        <w:rPr>
          <w:b w:val="0"/>
          <w:bCs w:val="0"/>
          <w:color w:val="auto"/>
          <w:sz w:val="22"/>
          <w:szCs w:val="24"/>
        </w:rPr>
        <w:t>a</w:t>
      </w:r>
      <w:r w:rsidRPr="00FE7026">
        <w:rPr>
          <w:b w:val="0"/>
          <w:bCs w:val="0"/>
          <w:color w:val="auto"/>
          <w:sz w:val="22"/>
          <w:szCs w:val="24"/>
        </w:rPr>
        <w:t>nalysis can help to deliver the objectives of the project.</w:t>
      </w:r>
    </w:p>
    <w:p w14:paraId="338BA33A" w14:textId="77777777" w:rsidR="00FE7026" w:rsidRPr="0062183E" w:rsidRDefault="00FE7026" w:rsidP="00FE7026">
      <w:pPr>
        <w:jc w:val="both"/>
        <w:rPr>
          <w:rFonts w:cs="Arial"/>
        </w:rPr>
      </w:pPr>
      <w:r w:rsidRPr="0062183E">
        <w:rPr>
          <w:rFonts w:cs="Arial"/>
        </w:rPr>
        <w:t>There are a number of key challenges in this analysis.</w:t>
      </w:r>
    </w:p>
    <w:p w14:paraId="0F01C848" w14:textId="102CAEEB" w:rsidR="00FE7026" w:rsidRPr="0062183E" w:rsidRDefault="009432B4" w:rsidP="00FE7026">
      <w:pPr>
        <w:pStyle w:val="ListParagraph"/>
        <w:numPr>
          <w:ilvl w:val="0"/>
          <w:numId w:val="21"/>
        </w:numPr>
        <w:spacing w:after="160" w:line="259" w:lineRule="auto"/>
        <w:jc w:val="both"/>
        <w:rPr>
          <w:rFonts w:cs="Arial"/>
        </w:rPr>
      </w:pPr>
      <w:r>
        <w:rPr>
          <w:rFonts w:cs="Arial"/>
        </w:rPr>
        <w:lastRenderedPageBreak/>
        <w:t xml:space="preserve">Data: bringing comprehensive </w:t>
      </w:r>
      <w:r w:rsidR="00FE7026" w:rsidRPr="0062183E">
        <w:rPr>
          <w:rFonts w:cs="Arial"/>
        </w:rPr>
        <w:t>financial and educational data together across a number of years and identifying college mergers</w:t>
      </w:r>
      <w:r w:rsidR="009F67F1">
        <w:rPr>
          <w:rFonts w:cs="Arial"/>
        </w:rPr>
        <w:t>.</w:t>
      </w:r>
    </w:p>
    <w:p w14:paraId="526D2E53" w14:textId="1C7DBBC5" w:rsidR="00FE7026" w:rsidRPr="0062183E" w:rsidRDefault="00FE7026" w:rsidP="00FE7026">
      <w:pPr>
        <w:pStyle w:val="ListParagraph"/>
        <w:numPr>
          <w:ilvl w:val="0"/>
          <w:numId w:val="21"/>
        </w:numPr>
        <w:spacing w:after="160" w:line="259" w:lineRule="auto"/>
        <w:jc w:val="both"/>
        <w:rPr>
          <w:rFonts w:cs="Arial"/>
        </w:rPr>
      </w:pPr>
      <w:r w:rsidRPr="0062183E">
        <w:rPr>
          <w:rFonts w:cs="Arial"/>
        </w:rPr>
        <w:t>Selection issues: the colleges that are merging are not randomly selected, meaning that the sample is not fully</w:t>
      </w:r>
      <w:r w:rsidR="00E02AA9">
        <w:rPr>
          <w:rFonts w:cs="Arial"/>
        </w:rPr>
        <w:t xml:space="preserve"> representative of all colleges</w:t>
      </w:r>
      <w:r w:rsidRPr="0062183E">
        <w:rPr>
          <w:rFonts w:cs="Arial"/>
        </w:rPr>
        <w:t xml:space="preserve">. Therefore, the analysis will need to resolve any endogeneity </w:t>
      </w:r>
      <w:r w:rsidR="00E02AA9">
        <w:rPr>
          <w:rFonts w:cs="Arial"/>
        </w:rPr>
        <w:t>issues</w:t>
      </w:r>
      <w:r w:rsidRPr="0062183E">
        <w:rPr>
          <w:rFonts w:cs="Arial"/>
        </w:rPr>
        <w:t xml:space="preserve">. In addition to this, mergers receive additional funding: any financial support from Government to facilitate mergers </w:t>
      </w:r>
      <w:r w:rsidR="00E02AA9">
        <w:rPr>
          <w:rFonts w:cs="Arial"/>
        </w:rPr>
        <w:t>should</w:t>
      </w:r>
      <w:r w:rsidRPr="0062183E">
        <w:rPr>
          <w:rFonts w:cs="Arial"/>
        </w:rPr>
        <w:t xml:space="preserve"> be identified and accounted for in the analysis.</w:t>
      </w:r>
    </w:p>
    <w:p w14:paraId="163AC7BF" w14:textId="7FEA7743" w:rsidR="00FE7026" w:rsidRDefault="00FE7026" w:rsidP="00FE7026">
      <w:pPr>
        <w:pStyle w:val="ListParagraph"/>
        <w:numPr>
          <w:ilvl w:val="0"/>
          <w:numId w:val="21"/>
        </w:numPr>
        <w:spacing w:after="160" w:line="259" w:lineRule="auto"/>
        <w:jc w:val="both"/>
        <w:rPr>
          <w:rFonts w:cs="Arial"/>
        </w:rPr>
      </w:pPr>
      <w:r w:rsidRPr="0062183E">
        <w:rPr>
          <w:rFonts w:cs="Arial"/>
        </w:rPr>
        <w:t>Establishing a counterfactual: due to the many (some unknown) factors likely affecting college fina</w:t>
      </w:r>
      <w:r w:rsidR="009F67F1">
        <w:rPr>
          <w:rFonts w:cs="Arial"/>
        </w:rPr>
        <w:t xml:space="preserve">ncial health, it may </w:t>
      </w:r>
      <w:r w:rsidRPr="0062183E">
        <w:rPr>
          <w:rFonts w:cs="Arial"/>
        </w:rPr>
        <w:t>be difficult to develop an accurate estimate of what would have happened in the absence of the intervention (i.e. the merger)</w:t>
      </w:r>
    </w:p>
    <w:p w14:paraId="0A2FA442" w14:textId="230C3B68" w:rsidR="00FE7026" w:rsidRPr="00FE7026" w:rsidRDefault="00FE7026" w:rsidP="00FE7026">
      <w:pPr>
        <w:spacing w:line="259" w:lineRule="auto"/>
        <w:jc w:val="both"/>
        <w:rPr>
          <w:rFonts w:cs="Arial"/>
        </w:rPr>
      </w:pPr>
      <w:r>
        <w:rPr>
          <w:rFonts w:cs="Arial"/>
        </w:rPr>
        <w:t>We would welcome thoughts and ideas for methods to overcome these challenges.</w:t>
      </w:r>
    </w:p>
    <w:p w14:paraId="0F720F60" w14:textId="6A278B59" w:rsidR="002B6D93" w:rsidRDefault="00E02AA9" w:rsidP="001F2CE2">
      <w:pPr>
        <w:pStyle w:val="Heading4"/>
      </w:pPr>
      <w:r>
        <w:t>Data</w:t>
      </w:r>
    </w:p>
    <w:p w14:paraId="5D36E69F" w14:textId="341064DF" w:rsidR="00E02AA9" w:rsidRPr="00FE7026" w:rsidRDefault="00E02AA9" w:rsidP="00E02AA9">
      <w:pPr>
        <w:pStyle w:val="Heading4"/>
        <w:rPr>
          <w:b w:val="0"/>
          <w:bCs w:val="0"/>
          <w:color w:val="auto"/>
          <w:sz w:val="22"/>
          <w:szCs w:val="24"/>
        </w:rPr>
      </w:pPr>
      <w:r>
        <w:rPr>
          <w:b w:val="0"/>
          <w:bCs w:val="0"/>
          <w:color w:val="auto"/>
          <w:sz w:val="22"/>
          <w:szCs w:val="24"/>
        </w:rPr>
        <w:t>The Department will provide the contractor with college accounts and Ofsted</w:t>
      </w:r>
      <w:r w:rsidRPr="00FE7026">
        <w:rPr>
          <w:b w:val="0"/>
          <w:bCs w:val="0"/>
          <w:color w:val="auto"/>
          <w:sz w:val="22"/>
          <w:szCs w:val="24"/>
        </w:rPr>
        <w:t xml:space="preserve"> data that</w:t>
      </w:r>
      <w:r>
        <w:rPr>
          <w:b w:val="0"/>
          <w:bCs w:val="0"/>
          <w:color w:val="auto"/>
          <w:sz w:val="22"/>
          <w:szCs w:val="24"/>
        </w:rPr>
        <w:t xml:space="preserve"> dates back to 2007/08. This </w:t>
      </w:r>
      <w:r w:rsidRPr="00FE7026">
        <w:rPr>
          <w:b w:val="0"/>
          <w:bCs w:val="0"/>
          <w:color w:val="auto"/>
          <w:sz w:val="22"/>
          <w:szCs w:val="24"/>
        </w:rPr>
        <w:t>would offer analysis of 86 mergers – 35 of which have five years of data, and 16 of</w:t>
      </w:r>
      <w:r>
        <w:rPr>
          <w:b w:val="0"/>
          <w:bCs w:val="0"/>
          <w:color w:val="auto"/>
          <w:sz w:val="22"/>
          <w:szCs w:val="24"/>
        </w:rPr>
        <w:t xml:space="preserve"> w</w:t>
      </w:r>
      <w:r w:rsidRPr="00FE7026">
        <w:rPr>
          <w:b w:val="0"/>
          <w:bCs w:val="0"/>
          <w:color w:val="auto"/>
          <w:sz w:val="22"/>
          <w:szCs w:val="24"/>
        </w:rPr>
        <w:t xml:space="preserve">hich have ten years of data. </w:t>
      </w:r>
      <w:r w:rsidR="008B0B89">
        <w:rPr>
          <w:b w:val="0"/>
          <w:bCs w:val="0"/>
          <w:color w:val="auto"/>
          <w:sz w:val="22"/>
          <w:szCs w:val="24"/>
        </w:rPr>
        <w:t>However,</w:t>
      </w:r>
      <w:r>
        <w:rPr>
          <w:b w:val="0"/>
          <w:bCs w:val="0"/>
          <w:color w:val="auto"/>
          <w:sz w:val="22"/>
          <w:szCs w:val="24"/>
        </w:rPr>
        <w:t xml:space="preserve"> additional data </w:t>
      </w:r>
      <w:r w:rsidR="008B0B89">
        <w:rPr>
          <w:b w:val="0"/>
          <w:bCs w:val="0"/>
          <w:color w:val="auto"/>
          <w:sz w:val="22"/>
          <w:szCs w:val="24"/>
        </w:rPr>
        <w:t xml:space="preserve">is likely to be </w:t>
      </w:r>
      <w:r>
        <w:rPr>
          <w:b w:val="0"/>
          <w:bCs w:val="0"/>
          <w:color w:val="auto"/>
          <w:sz w:val="22"/>
          <w:szCs w:val="24"/>
        </w:rPr>
        <w:t>required</w:t>
      </w:r>
      <w:r w:rsidR="008B0B89">
        <w:rPr>
          <w:b w:val="0"/>
          <w:bCs w:val="0"/>
          <w:color w:val="auto"/>
          <w:sz w:val="22"/>
          <w:szCs w:val="24"/>
        </w:rPr>
        <w:t xml:space="preserve"> (e.g. college learner numbers, and data on the local economy), and this should be sourced</w:t>
      </w:r>
      <w:r>
        <w:rPr>
          <w:b w:val="0"/>
          <w:bCs w:val="0"/>
          <w:color w:val="auto"/>
          <w:sz w:val="22"/>
          <w:szCs w:val="24"/>
        </w:rPr>
        <w:t xml:space="preserve"> by the contractor.</w:t>
      </w:r>
    </w:p>
    <w:p w14:paraId="2B27147C" w14:textId="3ED423F1" w:rsidR="00FE7026" w:rsidRPr="00FE7026" w:rsidRDefault="00FE7026" w:rsidP="00E02AA9">
      <w:pPr>
        <w:pStyle w:val="Heading4"/>
        <w:rPr>
          <w:b w:val="0"/>
          <w:bCs w:val="0"/>
          <w:color w:val="auto"/>
          <w:sz w:val="22"/>
          <w:szCs w:val="24"/>
        </w:rPr>
      </w:pPr>
      <w:r w:rsidRPr="00FE7026">
        <w:rPr>
          <w:b w:val="0"/>
          <w:bCs w:val="0"/>
          <w:color w:val="auto"/>
          <w:sz w:val="22"/>
          <w:szCs w:val="24"/>
        </w:rPr>
        <w:t>The initial quantitative analysis should focus on data from 2007/08 onwards and this should provide us with sufficient findings. However, it is important to note that if the analysis demonstrates proof of concept of their methodology, and we think it would benefit from a larger sample, then we will consider trying to obtain pre-2007 data. The contractor should provide information on what types of findings could be obtained from a larger sample.</w:t>
      </w:r>
    </w:p>
    <w:p w14:paraId="502BE6FA" w14:textId="3DFF7B54" w:rsidR="004A600B" w:rsidRDefault="004A600B" w:rsidP="001F2CE2">
      <w:pPr>
        <w:pStyle w:val="Heading2"/>
      </w:pPr>
      <w:r>
        <w:t>Timing</w:t>
      </w:r>
    </w:p>
    <w:p w14:paraId="6DB3DA3D" w14:textId="4F6F1F1E" w:rsidR="007E0083" w:rsidRPr="007E0083" w:rsidRDefault="00F95C43" w:rsidP="007E0083">
      <w:pPr>
        <w:pStyle w:val="ListParagraph"/>
        <w:numPr>
          <w:ilvl w:val="0"/>
          <w:numId w:val="18"/>
        </w:numPr>
      </w:pPr>
      <w:r>
        <w:t>12</w:t>
      </w:r>
      <w:r w:rsidR="00AC4D14" w:rsidRPr="00AC4D14">
        <w:rPr>
          <w:vertAlign w:val="superscript"/>
        </w:rPr>
        <w:t>th</w:t>
      </w:r>
      <w:r w:rsidR="00AC4D14">
        <w:t xml:space="preserve"> November 2018 – Deadline for EOIs</w:t>
      </w:r>
    </w:p>
    <w:p w14:paraId="26D67C36" w14:textId="43652C3C" w:rsidR="00AC4D14" w:rsidRDefault="00AC4D14" w:rsidP="00AC4D14">
      <w:pPr>
        <w:pStyle w:val="ListParagraph"/>
        <w:numPr>
          <w:ilvl w:val="0"/>
          <w:numId w:val="18"/>
        </w:numPr>
      </w:pPr>
      <w:r>
        <w:t>16</w:t>
      </w:r>
      <w:r w:rsidRPr="00AC4D14">
        <w:rPr>
          <w:vertAlign w:val="superscript"/>
        </w:rPr>
        <w:t>th</w:t>
      </w:r>
      <w:r>
        <w:t xml:space="preserve"> November 2018 – ITTs issued</w:t>
      </w:r>
    </w:p>
    <w:p w14:paraId="0D67FB23" w14:textId="64228142" w:rsidR="00AC4D14" w:rsidRPr="00453CA4" w:rsidRDefault="00AC4D14" w:rsidP="00AC4D14">
      <w:pPr>
        <w:pStyle w:val="ListParagraph"/>
        <w:numPr>
          <w:ilvl w:val="0"/>
          <w:numId w:val="18"/>
        </w:numPr>
      </w:pPr>
      <w:r>
        <w:t>30</w:t>
      </w:r>
      <w:r w:rsidRPr="00AC4D14">
        <w:rPr>
          <w:vertAlign w:val="superscript"/>
        </w:rPr>
        <w:t>th</w:t>
      </w:r>
      <w:r>
        <w:t xml:space="preserve"> November 2018 – Deadline for ITTs</w:t>
      </w:r>
    </w:p>
    <w:p w14:paraId="691A272F" w14:textId="67486791" w:rsidR="00AC4D14" w:rsidRPr="00453CA4" w:rsidRDefault="00AC4D14" w:rsidP="00AC4D14">
      <w:pPr>
        <w:pStyle w:val="ListParagraph"/>
        <w:numPr>
          <w:ilvl w:val="0"/>
          <w:numId w:val="18"/>
        </w:numPr>
      </w:pPr>
      <w:r>
        <w:t>7</w:t>
      </w:r>
      <w:r w:rsidRPr="00AC4D14">
        <w:rPr>
          <w:vertAlign w:val="superscript"/>
        </w:rPr>
        <w:t>th</w:t>
      </w:r>
      <w:r>
        <w:t xml:space="preserve"> December</w:t>
      </w:r>
      <w:r w:rsidRPr="00453CA4">
        <w:t xml:space="preserve"> 2018 – Award contractor</w:t>
      </w:r>
    </w:p>
    <w:p w14:paraId="2B5E1C21" w14:textId="487BB909" w:rsidR="00AC4D14" w:rsidRPr="00453CA4" w:rsidRDefault="00AC4D14" w:rsidP="00AC4D14">
      <w:pPr>
        <w:pStyle w:val="ListParagraph"/>
        <w:numPr>
          <w:ilvl w:val="0"/>
          <w:numId w:val="18"/>
        </w:numPr>
      </w:pPr>
      <w:r>
        <w:t>February 2019</w:t>
      </w:r>
      <w:r w:rsidRPr="00453CA4">
        <w:t xml:space="preserve"> – Initial findings</w:t>
      </w:r>
    </w:p>
    <w:p w14:paraId="5469E099" w14:textId="013B5061" w:rsidR="00AC4D14" w:rsidRPr="00453CA4" w:rsidRDefault="00AC4D14" w:rsidP="00AC4D14">
      <w:pPr>
        <w:pStyle w:val="ListParagraph"/>
        <w:numPr>
          <w:ilvl w:val="0"/>
          <w:numId w:val="18"/>
        </w:numPr>
      </w:pPr>
      <w:r>
        <w:t>March 20</w:t>
      </w:r>
      <w:bookmarkStart w:id="0" w:name="_GoBack"/>
      <w:bookmarkEnd w:id="0"/>
      <w:r>
        <w:t>19</w:t>
      </w:r>
      <w:r w:rsidRPr="00453CA4">
        <w:t xml:space="preserve"> </w:t>
      </w:r>
      <w:r>
        <w:t>–</w:t>
      </w:r>
      <w:r w:rsidRPr="00453CA4">
        <w:t xml:space="preserve"> Interim report  </w:t>
      </w:r>
    </w:p>
    <w:p w14:paraId="7CDA39C6" w14:textId="17341A3A" w:rsidR="00AC4D14" w:rsidRPr="007E0083" w:rsidRDefault="00AC4D14" w:rsidP="00AC4D14">
      <w:pPr>
        <w:pStyle w:val="ListParagraph"/>
        <w:numPr>
          <w:ilvl w:val="0"/>
          <w:numId w:val="18"/>
        </w:numPr>
      </w:pPr>
      <w:r>
        <w:t>April 2019</w:t>
      </w:r>
      <w:r w:rsidRPr="00453CA4">
        <w:t xml:space="preserve"> – Detailed</w:t>
      </w:r>
      <w:r>
        <w:t xml:space="preserve"> Final draft report and presented to Department </w:t>
      </w:r>
    </w:p>
    <w:p w14:paraId="0D2B2C65" w14:textId="41DF3DE1" w:rsidR="004A600B" w:rsidRPr="004A600B" w:rsidRDefault="004A600B" w:rsidP="007E0083">
      <w:pPr>
        <w:pStyle w:val="Heading2"/>
      </w:pPr>
      <w:r w:rsidRPr="004A600B">
        <w:t>Assessment criteria</w:t>
      </w:r>
    </w:p>
    <w:p w14:paraId="1179890A" w14:textId="77777777" w:rsidR="00145184" w:rsidRDefault="00145184" w:rsidP="00145184">
      <w:r>
        <w:t>Expressions of interest must demonstrate:</w:t>
      </w:r>
    </w:p>
    <w:p w14:paraId="7E8AECCA" w14:textId="36F5AF7C" w:rsidR="00145184" w:rsidRPr="00F22FDE" w:rsidRDefault="00145184" w:rsidP="00145184">
      <w:pPr>
        <w:pStyle w:val="ListParagraph"/>
        <w:numPr>
          <w:ilvl w:val="0"/>
          <w:numId w:val="18"/>
        </w:numPr>
      </w:pPr>
      <w:r>
        <w:t>An understanding of the further education sector gained through policy relevant robust analysis and research</w:t>
      </w:r>
    </w:p>
    <w:p w14:paraId="32AB0F60" w14:textId="32791DF9" w:rsidR="00145184" w:rsidRDefault="00145184" w:rsidP="00145184">
      <w:pPr>
        <w:pStyle w:val="ListParagraph"/>
        <w:numPr>
          <w:ilvl w:val="0"/>
          <w:numId w:val="18"/>
        </w:numPr>
      </w:pPr>
      <w:r w:rsidRPr="00F22FDE">
        <w:t xml:space="preserve">Expertise in </w:t>
      </w:r>
      <w:r>
        <w:t>and previous experience of econometric modelling</w:t>
      </w:r>
    </w:p>
    <w:p w14:paraId="67799171" w14:textId="2BF7B74B" w:rsidR="00145184" w:rsidRPr="00F22FDE" w:rsidRDefault="00145184" w:rsidP="00145184">
      <w:pPr>
        <w:pStyle w:val="ListParagraph"/>
        <w:numPr>
          <w:ilvl w:val="0"/>
          <w:numId w:val="18"/>
        </w:numPr>
      </w:pPr>
      <w:r w:rsidRPr="00F22FDE">
        <w:t xml:space="preserve">Expertise in </w:t>
      </w:r>
      <w:r>
        <w:t>presenting complex analysis in an accessible way for a wide range of stakeholders with an interest in FE college mergers</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8DB3E2" w:themeFill="text2" w:themeFillTint="66"/>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7A7220">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8DB3E2" w:themeFill="text2" w:themeFillTint="66"/>
            <w:tcMar>
              <w:top w:w="0" w:type="dxa"/>
              <w:left w:w="108" w:type="dxa"/>
              <w:bottom w:w="0" w:type="dxa"/>
              <w:right w:w="108" w:type="dxa"/>
            </w:tcMar>
            <w:hideMark/>
          </w:tcPr>
          <w:p w14:paraId="3F9169D6" w14:textId="3E3EDEDD" w:rsidR="00915C18" w:rsidRDefault="00915C18" w:rsidP="00915C18">
            <w:pPr>
              <w:spacing w:before="160"/>
              <w:rPr>
                <w:b/>
                <w:bCs/>
                <w:sz w:val="28"/>
                <w:szCs w:val="20"/>
              </w:rPr>
            </w:pPr>
            <w:r w:rsidRPr="00915C18">
              <w:rPr>
                <w:b/>
                <w:bCs/>
                <w:sz w:val="28"/>
                <w:szCs w:val="20"/>
              </w:rPr>
              <w:lastRenderedPageBreak/>
              <w:t>Closing date for EOIs:</w:t>
            </w:r>
            <w:r w:rsidR="00AC4D14">
              <w:rPr>
                <w:b/>
                <w:bCs/>
                <w:sz w:val="28"/>
                <w:szCs w:val="20"/>
              </w:rPr>
              <w:t xml:space="preserve"> </w:t>
            </w:r>
            <w:r w:rsidR="00D643B7">
              <w:rPr>
                <w:b/>
                <w:bCs/>
                <w:sz w:val="28"/>
                <w:szCs w:val="20"/>
              </w:rPr>
              <w:t>1</w:t>
            </w:r>
            <w:r w:rsidR="007A7220">
              <w:rPr>
                <w:b/>
                <w:bCs/>
                <w:sz w:val="28"/>
                <w:szCs w:val="20"/>
              </w:rPr>
              <w:t>2</w:t>
            </w:r>
            <w:r w:rsidR="00AC4D14" w:rsidRPr="00AC4D14">
              <w:rPr>
                <w:b/>
                <w:bCs/>
                <w:sz w:val="28"/>
                <w:szCs w:val="20"/>
                <w:vertAlign w:val="superscript"/>
              </w:rPr>
              <w:t>th</w:t>
            </w:r>
            <w:r w:rsidR="00803E6B">
              <w:rPr>
                <w:b/>
                <w:bCs/>
                <w:sz w:val="28"/>
                <w:szCs w:val="20"/>
              </w:rPr>
              <w:t xml:space="preserve"> November 2018</w:t>
            </w:r>
          </w:p>
          <w:p w14:paraId="5178F3E6" w14:textId="401E3B84" w:rsidR="00A85EBD" w:rsidRDefault="00915C18" w:rsidP="007519C2">
            <w:pPr>
              <w:rPr>
                <w:rFonts w:ascii="Calibri" w:hAnsi="Calibri"/>
              </w:rPr>
            </w:pPr>
            <w:r w:rsidRPr="00915C18">
              <w:rPr>
                <w:b/>
                <w:bCs/>
                <w:sz w:val="28"/>
                <w:szCs w:val="20"/>
              </w:rPr>
              <w:t>Send your EOI form to:</w:t>
            </w:r>
            <w:r w:rsidR="00AC4D14">
              <w:rPr>
                <w:b/>
                <w:bCs/>
                <w:sz w:val="28"/>
                <w:szCs w:val="20"/>
              </w:rPr>
              <w:t xml:space="preserve"> </w:t>
            </w:r>
            <w:hyperlink r:id="rId16" w:history="1">
              <w:r w:rsidR="00AC4D14" w:rsidRPr="00D6356A">
                <w:rPr>
                  <w:rStyle w:val="Hyperlink"/>
                  <w:b/>
                  <w:bCs/>
                  <w:sz w:val="28"/>
                  <w:szCs w:val="20"/>
                </w:rPr>
                <w:t>eleanor.adamiw@education.gov.uk</w:t>
              </w:r>
            </w:hyperlink>
            <w:r w:rsidR="00AC4D14">
              <w:rPr>
                <w:b/>
                <w:bCs/>
                <w:sz w:val="28"/>
                <w:szCs w:val="20"/>
              </w:rPr>
              <w:t xml:space="preserve"> </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7"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3F1A1A1A" w:rsidR="005D3B59" w:rsidRPr="00531385" w:rsidRDefault="00C2496D" w:rsidP="005D3B59">
      <w:r w:rsidRPr="00995398">
        <w:t>©</w:t>
      </w:r>
      <w:r w:rsidR="005D3B59" w:rsidRPr="005D3B59">
        <w:t xml:space="preserve"> </w:t>
      </w:r>
      <w:r w:rsidR="00EE71A2">
        <w:t xml:space="preserve">Crown copyright </w:t>
      </w:r>
      <w:r w:rsidR="009F67F1">
        <w:t>2018</w:t>
      </w:r>
    </w:p>
    <w:sectPr w:rsidR="005D3B59" w:rsidRPr="00531385" w:rsidSect="00622501">
      <w:footerReference w:type="default" r:id="rId18"/>
      <w:footerReference w:type="first" r:id="rId19"/>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D11353" w:rsidRDefault="00D11353" w:rsidP="002B6D93">
      <w:r>
        <w:separator/>
      </w:r>
    </w:p>
    <w:p w14:paraId="6B8BFEEC" w14:textId="77777777" w:rsidR="00D11353" w:rsidRDefault="00D11353"/>
  </w:endnote>
  <w:endnote w:type="continuationSeparator" w:id="0">
    <w:p w14:paraId="73D94432" w14:textId="77777777" w:rsidR="00D11353" w:rsidRDefault="00D11353" w:rsidP="002B6D93">
      <w:r>
        <w:continuationSeparator/>
      </w:r>
    </w:p>
    <w:p w14:paraId="711A391B" w14:textId="77777777" w:rsidR="00D11353" w:rsidRDefault="00D1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00853417"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95C43">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63A8048B" w:rsidR="00DA0AD5" w:rsidRPr="006E6ADB" w:rsidRDefault="00DA0AD5" w:rsidP="004A3626">
    <w:pPr>
      <w:tabs>
        <w:tab w:val="left" w:pos="7088"/>
      </w:tabs>
      <w:spacing w:before="240"/>
      <w:rPr>
        <w:szCs w:val="20"/>
      </w:rPr>
    </w:pPr>
    <w:r w:rsidRPr="006E6ADB">
      <w:rPr>
        <w:szCs w:val="20"/>
      </w:rPr>
      <w:tab/>
      <w:t xml:space="preserve">Published: </w:t>
    </w:r>
    <w:r>
      <w:rPr>
        <w:szCs w:val="20"/>
      </w:rPr>
      <w:t>[Month]</w:t>
    </w:r>
    <w:r w:rsidR="00F85AA7">
      <w:rPr>
        <w:szCs w:val="20"/>
      </w:rPr>
      <w:t xml:space="preserve"> </w:t>
    </w:r>
    <w:r>
      <w:rPr>
        <w:szCs w:val="20"/>
      </w:rPr>
      <w:t>201[X]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D11353" w:rsidRDefault="00D11353" w:rsidP="002B6D93">
      <w:r>
        <w:separator/>
      </w:r>
    </w:p>
    <w:p w14:paraId="14F04B7F" w14:textId="77777777" w:rsidR="00D11353" w:rsidRDefault="00D11353"/>
  </w:footnote>
  <w:footnote w:type="continuationSeparator" w:id="0">
    <w:p w14:paraId="7BBE84F1" w14:textId="77777777" w:rsidR="00D11353" w:rsidRDefault="00D11353" w:rsidP="002B6D93">
      <w:r>
        <w:continuationSeparator/>
      </w:r>
    </w:p>
    <w:p w14:paraId="56FF0337" w14:textId="77777777" w:rsidR="00D11353" w:rsidRDefault="00D1135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A832D50"/>
    <w:multiLevelType w:val="multilevel"/>
    <w:tmpl w:val="2580E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7218B9"/>
    <w:multiLevelType w:val="hybridMultilevel"/>
    <w:tmpl w:val="6B30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97D3329"/>
    <w:multiLevelType w:val="hybridMultilevel"/>
    <w:tmpl w:val="BF187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D80D52"/>
    <w:multiLevelType w:val="hybridMultilevel"/>
    <w:tmpl w:val="5B8EEC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6"/>
  </w:num>
  <w:num w:numId="3">
    <w:abstractNumId w:val="15"/>
  </w:num>
  <w:num w:numId="4">
    <w:abstractNumId w:val="11"/>
  </w:num>
  <w:num w:numId="5">
    <w:abstractNumId w:val="7"/>
  </w:num>
  <w:num w:numId="6">
    <w:abstractNumId w:val="13"/>
  </w:num>
  <w:num w:numId="7">
    <w:abstractNumId w:val="3"/>
  </w:num>
  <w:num w:numId="8">
    <w:abstractNumId w:val="1"/>
  </w:num>
  <w:num w:numId="9">
    <w:abstractNumId w:val="0"/>
  </w:num>
  <w:num w:numId="10">
    <w:abstractNumId w:val="14"/>
  </w:num>
  <w:num w:numId="11">
    <w:abstractNumId w:val="13"/>
  </w:num>
  <w:num w:numId="12">
    <w:abstractNumId w:val="18"/>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9"/>
  </w:num>
  <w:num w:numId="18">
    <w:abstractNumId w:val="12"/>
  </w:num>
  <w:num w:numId="19">
    <w:abstractNumId w:val="19"/>
  </w:num>
  <w:num w:numId="20">
    <w:abstractNumId w:val="10"/>
  </w:num>
  <w:num w:numId="21">
    <w:abstractNumId w:val="17"/>
  </w:num>
  <w:num w:numId="2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843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06E3"/>
    <w:rsid w:val="000442BD"/>
    <w:rsid w:val="00057100"/>
    <w:rsid w:val="00065E86"/>
    <w:rsid w:val="00066B1C"/>
    <w:rsid w:val="000720CD"/>
    <w:rsid w:val="00083A73"/>
    <w:rsid w:val="00094338"/>
    <w:rsid w:val="000A10F4"/>
    <w:rsid w:val="000B3DE0"/>
    <w:rsid w:val="000D1D30"/>
    <w:rsid w:val="000D4433"/>
    <w:rsid w:val="000E3350"/>
    <w:rsid w:val="000F73F3"/>
    <w:rsid w:val="00103E77"/>
    <w:rsid w:val="0011494F"/>
    <w:rsid w:val="00121C6C"/>
    <w:rsid w:val="001264D9"/>
    <w:rsid w:val="001272A9"/>
    <w:rsid w:val="00133075"/>
    <w:rsid w:val="00145184"/>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75C5"/>
    <w:rsid w:val="002639B5"/>
    <w:rsid w:val="0027231C"/>
    <w:rsid w:val="0027252F"/>
    <w:rsid w:val="002839B5"/>
    <w:rsid w:val="00287788"/>
    <w:rsid w:val="002A28F7"/>
    <w:rsid w:val="002A3153"/>
    <w:rsid w:val="002A5858"/>
    <w:rsid w:val="002B6D93"/>
    <w:rsid w:val="002C34D4"/>
    <w:rsid w:val="002C3AA4"/>
    <w:rsid w:val="002E463F"/>
    <w:rsid w:val="002E4E9A"/>
    <w:rsid w:val="002E508B"/>
    <w:rsid w:val="002E5F9F"/>
    <w:rsid w:val="002E7849"/>
    <w:rsid w:val="002F7128"/>
    <w:rsid w:val="00300F99"/>
    <w:rsid w:val="00342F8B"/>
    <w:rsid w:val="00361752"/>
    <w:rsid w:val="00374981"/>
    <w:rsid w:val="003810D8"/>
    <w:rsid w:val="003853A4"/>
    <w:rsid w:val="0039725F"/>
    <w:rsid w:val="003A1CC2"/>
    <w:rsid w:val="003C60B5"/>
    <w:rsid w:val="003D1EFE"/>
    <w:rsid w:val="003E1329"/>
    <w:rsid w:val="003E3ED2"/>
    <w:rsid w:val="00400E1D"/>
    <w:rsid w:val="00403D1C"/>
    <w:rsid w:val="004070D3"/>
    <w:rsid w:val="004216FF"/>
    <w:rsid w:val="004242C5"/>
    <w:rsid w:val="004339FB"/>
    <w:rsid w:val="004509BE"/>
    <w:rsid w:val="00456560"/>
    <w:rsid w:val="00470223"/>
    <w:rsid w:val="004866AD"/>
    <w:rsid w:val="004A3626"/>
    <w:rsid w:val="004A3E98"/>
    <w:rsid w:val="004A600B"/>
    <w:rsid w:val="004B008F"/>
    <w:rsid w:val="004B08AC"/>
    <w:rsid w:val="004C5600"/>
    <w:rsid w:val="004D13A3"/>
    <w:rsid w:val="004D73C6"/>
    <w:rsid w:val="004E5405"/>
    <w:rsid w:val="004E6CD9"/>
    <w:rsid w:val="004F20E3"/>
    <w:rsid w:val="004F211A"/>
    <w:rsid w:val="004F3159"/>
    <w:rsid w:val="004F4AEF"/>
    <w:rsid w:val="005247AD"/>
    <w:rsid w:val="005360B7"/>
    <w:rsid w:val="00536E0B"/>
    <w:rsid w:val="00552F8B"/>
    <w:rsid w:val="005535E5"/>
    <w:rsid w:val="0056045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688E"/>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A7220"/>
    <w:rsid w:val="007B3CFE"/>
    <w:rsid w:val="007C19E4"/>
    <w:rsid w:val="007C41A5"/>
    <w:rsid w:val="007C58BE"/>
    <w:rsid w:val="007D080B"/>
    <w:rsid w:val="007E0083"/>
    <w:rsid w:val="007E38D1"/>
    <w:rsid w:val="007F523F"/>
    <w:rsid w:val="00803E6B"/>
    <w:rsid w:val="00814CCF"/>
    <w:rsid w:val="00816E77"/>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B89"/>
    <w:rsid w:val="008B0C03"/>
    <w:rsid w:val="008B0DD1"/>
    <w:rsid w:val="008B427B"/>
    <w:rsid w:val="008B6009"/>
    <w:rsid w:val="008C46DC"/>
    <w:rsid w:val="008C623D"/>
    <w:rsid w:val="008D15AA"/>
    <w:rsid w:val="008D6968"/>
    <w:rsid w:val="008E3F07"/>
    <w:rsid w:val="008E5F36"/>
    <w:rsid w:val="008F2757"/>
    <w:rsid w:val="008F2E4F"/>
    <w:rsid w:val="008F7436"/>
    <w:rsid w:val="009055E4"/>
    <w:rsid w:val="00915C18"/>
    <w:rsid w:val="00917E9C"/>
    <w:rsid w:val="00926A3C"/>
    <w:rsid w:val="0093027C"/>
    <w:rsid w:val="0094189B"/>
    <w:rsid w:val="009432B4"/>
    <w:rsid w:val="00951C56"/>
    <w:rsid w:val="0095599F"/>
    <w:rsid w:val="0096424B"/>
    <w:rsid w:val="009701C8"/>
    <w:rsid w:val="00971237"/>
    <w:rsid w:val="00972EFD"/>
    <w:rsid w:val="00986616"/>
    <w:rsid w:val="00995398"/>
    <w:rsid w:val="009B32FA"/>
    <w:rsid w:val="009C2C02"/>
    <w:rsid w:val="009C73CF"/>
    <w:rsid w:val="009E00AE"/>
    <w:rsid w:val="009E09D3"/>
    <w:rsid w:val="009E6E74"/>
    <w:rsid w:val="009E7EE1"/>
    <w:rsid w:val="009E7F32"/>
    <w:rsid w:val="009F67F1"/>
    <w:rsid w:val="00A0541C"/>
    <w:rsid w:val="00A248DB"/>
    <w:rsid w:val="00A30BA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A3484"/>
    <w:rsid w:val="00AA7E7B"/>
    <w:rsid w:val="00AB6D0F"/>
    <w:rsid w:val="00AB7858"/>
    <w:rsid w:val="00AC4D14"/>
    <w:rsid w:val="00AC61A6"/>
    <w:rsid w:val="00AD1BE5"/>
    <w:rsid w:val="00AD1DD2"/>
    <w:rsid w:val="00AD2062"/>
    <w:rsid w:val="00AD2F1D"/>
    <w:rsid w:val="00AE1E46"/>
    <w:rsid w:val="00AE4296"/>
    <w:rsid w:val="00AF0989"/>
    <w:rsid w:val="00AF2191"/>
    <w:rsid w:val="00AF785C"/>
    <w:rsid w:val="00B336AF"/>
    <w:rsid w:val="00B3498C"/>
    <w:rsid w:val="00B43CAD"/>
    <w:rsid w:val="00B53333"/>
    <w:rsid w:val="00B55A49"/>
    <w:rsid w:val="00B64265"/>
    <w:rsid w:val="00B67F76"/>
    <w:rsid w:val="00B70EFF"/>
    <w:rsid w:val="00B7558C"/>
    <w:rsid w:val="00B818C3"/>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4AC8"/>
    <w:rsid w:val="00CE7906"/>
    <w:rsid w:val="00CF0E19"/>
    <w:rsid w:val="00D11353"/>
    <w:rsid w:val="00D27D9B"/>
    <w:rsid w:val="00D376DB"/>
    <w:rsid w:val="00D408A5"/>
    <w:rsid w:val="00D40DE9"/>
    <w:rsid w:val="00D41212"/>
    <w:rsid w:val="00D42B45"/>
    <w:rsid w:val="00D57EE0"/>
    <w:rsid w:val="00D643B7"/>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02AA9"/>
    <w:rsid w:val="00E1702C"/>
    <w:rsid w:val="00E20B43"/>
    <w:rsid w:val="00E22EE8"/>
    <w:rsid w:val="00E23ABB"/>
    <w:rsid w:val="00E23E99"/>
    <w:rsid w:val="00E3093A"/>
    <w:rsid w:val="00E33078"/>
    <w:rsid w:val="00E335AB"/>
    <w:rsid w:val="00E33AB6"/>
    <w:rsid w:val="00E4012C"/>
    <w:rsid w:val="00E42A8F"/>
    <w:rsid w:val="00E5223F"/>
    <w:rsid w:val="00E534F0"/>
    <w:rsid w:val="00E6645E"/>
    <w:rsid w:val="00E66B4F"/>
    <w:rsid w:val="00E741D5"/>
    <w:rsid w:val="00E74474"/>
    <w:rsid w:val="00E87A6A"/>
    <w:rsid w:val="00E9232A"/>
    <w:rsid w:val="00EA4D1B"/>
    <w:rsid w:val="00EB1D11"/>
    <w:rsid w:val="00EC3DC1"/>
    <w:rsid w:val="00ED2F1C"/>
    <w:rsid w:val="00ED3D05"/>
    <w:rsid w:val="00EE64AE"/>
    <w:rsid w:val="00EE71A2"/>
    <w:rsid w:val="00F06445"/>
    <w:rsid w:val="00F07114"/>
    <w:rsid w:val="00F206A7"/>
    <w:rsid w:val="00F3105E"/>
    <w:rsid w:val="00F41591"/>
    <w:rsid w:val="00F41A63"/>
    <w:rsid w:val="00F45BEB"/>
    <w:rsid w:val="00F54523"/>
    <w:rsid w:val="00F54B50"/>
    <w:rsid w:val="00F84544"/>
    <w:rsid w:val="00F85AA7"/>
    <w:rsid w:val="00F954FA"/>
    <w:rsid w:val="00F95B1F"/>
    <w:rsid w:val="00F95C43"/>
    <w:rsid w:val="00FA05B2"/>
    <w:rsid w:val="00FA68A7"/>
    <w:rsid w:val="00FC0C51"/>
    <w:rsid w:val="00FC2B3C"/>
    <w:rsid w:val="00FD1CD8"/>
    <w:rsid w:val="00FD5685"/>
    <w:rsid w:val="00FE1B88"/>
    <w:rsid w:val="00FE7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677002417">
      <w:bodyDiv w:val="1"/>
      <w:marLeft w:val="0"/>
      <w:marRight w:val="0"/>
      <w:marTop w:val="0"/>
      <w:marBottom w:val="0"/>
      <w:divBdr>
        <w:top w:val="none" w:sz="0" w:space="0" w:color="auto"/>
        <w:left w:val="none" w:sz="0" w:space="0" w:color="auto"/>
        <w:bottom w:val="none" w:sz="0" w:space="0" w:color="auto"/>
        <w:right w:val="none" w:sz="0" w:space="0" w:color="auto"/>
      </w:divBdr>
      <w:divsChild>
        <w:div w:id="1372456966">
          <w:marLeft w:val="0"/>
          <w:marRight w:val="0"/>
          <w:marTop w:val="0"/>
          <w:marBottom w:val="0"/>
          <w:divBdr>
            <w:top w:val="none" w:sz="0" w:space="0" w:color="auto"/>
            <w:left w:val="none" w:sz="0" w:space="0" w:color="auto"/>
            <w:bottom w:val="none" w:sz="0" w:space="0" w:color="auto"/>
            <w:right w:val="none" w:sz="0" w:space="0" w:color="auto"/>
          </w:divBdr>
          <w:divsChild>
            <w:div w:id="2139300872">
              <w:marLeft w:val="0"/>
              <w:marRight w:val="0"/>
              <w:marTop w:val="0"/>
              <w:marBottom w:val="0"/>
              <w:divBdr>
                <w:top w:val="none" w:sz="0" w:space="0" w:color="auto"/>
                <w:left w:val="none" w:sz="0" w:space="0" w:color="auto"/>
                <w:bottom w:val="none" w:sz="0" w:space="0" w:color="auto"/>
                <w:right w:val="none" w:sz="0" w:space="0" w:color="auto"/>
              </w:divBdr>
              <w:divsChild>
                <w:div w:id="683947011">
                  <w:marLeft w:val="0"/>
                  <w:marRight w:val="0"/>
                  <w:marTop w:val="0"/>
                  <w:marBottom w:val="0"/>
                  <w:divBdr>
                    <w:top w:val="none" w:sz="0" w:space="0" w:color="auto"/>
                    <w:left w:val="none" w:sz="0" w:space="0" w:color="auto"/>
                    <w:bottom w:val="none" w:sz="0" w:space="0" w:color="auto"/>
                    <w:right w:val="none" w:sz="0" w:space="0" w:color="auto"/>
                  </w:divBdr>
                  <w:divsChild>
                    <w:div w:id="767847599">
                      <w:marLeft w:val="0"/>
                      <w:marRight w:val="0"/>
                      <w:marTop w:val="0"/>
                      <w:marBottom w:val="0"/>
                      <w:divBdr>
                        <w:top w:val="none" w:sz="0" w:space="0" w:color="auto"/>
                        <w:left w:val="none" w:sz="0" w:space="0" w:color="auto"/>
                        <w:bottom w:val="none" w:sz="0" w:space="0" w:color="auto"/>
                        <w:right w:val="none" w:sz="0" w:space="0" w:color="auto"/>
                      </w:divBdr>
                      <w:divsChild>
                        <w:div w:id="411463806">
                          <w:marLeft w:val="0"/>
                          <w:marRight w:val="0"/>
                          <w:marTop w:val="0"/>
                          <w:marBottom w:val="0"/>
                          <w:divBdr>
                            <w:top w:val="none" w:sz="0" w:space="0" w:color="auto"/>
                            <w:left w:val="none" w:sz="0" w:space="0" w:color="auto"/>
                            <w:bottom w:val="none" w:sz="0" w:space="0" w:color="auto"/>
                            <w:right w:val="none" w:sz="0" w:space="0" w:color="auto"/>
                          </w:divBdr>
                          <w:divsChild>
                            <w:div w:id="535891569">
                              <w:marLeft w:val="0"/>
                              <w:marRight w:val="225"/>
                              <w:marTop w:val="0"/>
                              <w:marBottom w:val="0"/>
                              <w:divBdr>
                                <w:top w:val="none" w:sz="0" w:space="0" w:color="auto"/>
                                <w:left w:val="none" w:sz="0" w:space="0" w:color="auto"/>
                                <w:bottom w:val="none" w:sz="0" w:space="0" w:color="auto"/>
                                <w:right w:val="none" w:sz="0" w:space="0" w:color="auto"/>
                              </w:divBdr>
                              <w:divsChild>
                                <w:div w:id="1562667233">
                                  <w:marLeft w:val="0"/>
                                  <w:marRight w:val="0"/>
                                  <w:marTop w:val="0"/>
                                  <w:marBottom w:val="0"/>
                                  <w:divBdr>
                                    <w:top w:val="none" w:sz="0" w:space="0" w:color="auto"/>
                                    <w:left w:val="none" w:sz="0" w:space="0" w:color="auto"/>
                                    <w:bottom w:val="none" w:sz="0" w:space="0" w:color="auto"/>
                                    <w:right w:val="none" w:sz="0" w:space="0" w:color="auto"/>
                                  </w:divBdr>
                                  <w:divsChild>
                                    <w:div w:id="1407418016">
                                      <w:marLeft w:val="0"/>
                                      <w:marRight w:val="0"/>
                                      <w:marTop w:val="0"/>
                                      <w:marBottom w:val="0"/>
                                      <w:divBdr>
                                        <w:top w:val="none" w:sz="0" w:space="0" w:color="auto"/>
                                        <w:left w:val="none" w:sz="0" w:space="0" w:color="auto"/>
                                        <w:bottom w:val="none" w:sz="0" w:space="0" w:color="auto"/>
                                        <w:right w:val="none" w:sz="0" w:space="0" w:color="auto"/>
                                      </w:divBdr>
                                      <w:divsChild>
                                        <w:div w:id="171065250">
                                          <w:marLeft w:val="0"/>
                                          <w:marRight w:val="0"/>
                                          <w:marTop w:val="0"/>
                                          <w:marBottom w:val="0"/>
                                          <w:divBdr>
                                            <w:top w:val="none" w:sz="0" w:space="0" w:color="auto"/>
                                            <w:left w:val="none" w:sz="0" w:space="0" w:color="auto"/>
                                            <w:bottom w:val="none" w:sz="0" w:space="0" w:color="auto"/>
                                            <w:right w:val="none" w:sz="0" w:space="0" w:color="auto"/>
                                          </w:divBdr>
                                          <w:divsChild>
                                            <w:div w:id="48439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eoi-guide" TargetMode="External"/><Relationship Id="rId2" Type="http://schemas.openxmlformats.org/officeDocument/2006/relationships/customXml" Target="../customXml/item2.xml"/><Relationship Id="rId16" Type="http://schemas.openxmlformats.org/officeDocument/2006/relationships/hyperlink" Target="mailto:eleanor.adamiw@educatio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446516/BIS-15-433-reviewing-post-16-education-policy.pdf"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oc.co.uk/sites/default/files/College%20Mergers%20List%201993%20to%202018%20updated%2017%20April%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DCE39-AB92-4048-BD16-472514B227E0}">
  <ds:schemaRefs>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purl.org/dc/elements/1.1/"/>
    <ds:schemaRef ds:uri="1d8741c7-de4e-4a2d-a0c7-324270fb0e97"/>
    <ds:schemaRef ds:uri="65c01043-0666-442f-acb7-2528b588859a"/>
    <ds:schemaRef ds:uri="ad312983-9933-4586-87ae-0dd55f2c5b7f"/>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6.xml><?xml version="1.0" encoding="utf-8"?>
<ds:datastoreItem xmlns:ds="http://schemas.openxmlformats.org/officeDocument/2006/customXml" ds:itemID="{B789AA09-DA8F-4D1E-AF43-5CD313B48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6319</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ADAMIW, Eleanor</cp:lastModifiedBy>
  <cp:revision>9</cp:revision>
  <cp:lastPrinted>2013-07-11T10:35:00Z</cp:lastPrinted>
  <dcterms:created xsi:type="dcterms:W3CDTF">2018-10-25T14:25:00Z</dcterms:created>
  <dcterms:modified xsi:type="dcterms:W3CDTF">2018-10-29T10:02:00Z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