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9F08" w14:textId="77777777" w:rsidR="000D6679" w:rsidRDefault="00B24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14:paraId="3EC3F50F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7E9D23B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D708A42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1174F134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4E5608AB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55976B7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2D02FB9E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67B9D22" w14:textId="77777777" w:rsidR="000D6679" w:rsidRDefault="00B249DA">
      <w:pPr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2F481F28" w14:textId="77777777" w:rsidR="000D6679" w:rsidRDefault="000D6679">
      <w:pPr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14:paraId="034CCCF7" w14:textId="77777777">
        <w:trPr>
          <w:trHeight w:val="341"/>
        </w:trPr>
        <w:tc>
          <w:tcPr>
            <w:tcW w:w="1413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A65" w14:textId="77777777" w:rsidR="000D6679" w:rsidRDefault="00B249DA">
            <w:pPr>
              <w:numPr>
                <w:ilvl w:val="0"/>
                <w:numId w:val="1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ED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14:paraId="2A53722F" w14:textId="77777777">
        <w:trPr>
          <w:trHeight w:val="611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9B1" w14:textId="77777777" w:rsidR="000D6679" w:rsidRDefault="00B249DA">
            <w:pPr>
              <w:numPr>
                <w:ilvl w:val="0"/>
                <w:numId w:val="2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A5A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9C1161" w14:textId="3A249A5B" w:rsidR="000D6679" w:rsidRDefault="00C048B9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Lodge Hill, Dowles Brook, Bewdley, DY12 2LY</w:t>
            </w:r>
          </w:p>
        </w:tc>
      </w:tr>
      <w:tr w:rsidR="000D6679" w14:paraId="65554ECB" w14:textId="77777777" w:rsidTr="00EF0CAF">
        <w:trPr>
          <w:trHeight w:val="30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489" w14:textId="77777777" w:rsidR="000D6679" w:rsidRDefault="00B249DA">
            <w:pPr>
              <w:numPr>
                <w:ilvl w:val="0"/>
                <w:numId w:val="3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B15" w14:textId="18A9B77A" w:rsidR="000D6679" w:rsidRDefault="006969B7" w:rsidP="006969B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="002B5665"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6BFDCC1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FDA" w14:textId="77777777" w:rsidR="000D6679" w:rsidRDefault="00B249DA">
            <w:pPr>
              <w:numPr>
                <w:ilvl w:val="0"/>
                <w:numId w:val="4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DC92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14:paraId="5CD2A6B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5317A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14:paraId="06026A84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A597" w14:textId="77777777" w:rsidR="000D6679" w:rsidRDefault="00B249DA">
            <w:pPr>
              <w:numPr>
                <w:ilvl w:val="0"/>
                <w:numId w:val="5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64A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7C0F297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B7A3E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Unless the context otherwise requires,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capitalised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expressions used in this Order have the same meanings as in the terms and conditions.  </w:t>
            </w:r>
          </w:p>
          <w:p w14:paraId="5C17FEA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0505D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7E67CC82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Order;</w:t>
            </w:r>
            <w:proofErr w:type="gramEnd"/>
          </w:p>
          <w:p w14:paraId="6F1D976D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14:paraId="5D4728B5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14:paraId="0DF1883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EB99" w14:textId="77777777" w:rsidR="000D6679" w:rsidRDefault="00B249DA">
            <w:pPr>
              <w:numPr>
                <w:ilvl w:val="0"/>
                <w:numId w:val="7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156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4C44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938E7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14:paraId="04CE3DAF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7721281B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14:paraId="35A33F83" w14:textId="77777777">
        <w:trPr>
          <w:trHeight w:val="966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11325CE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29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EB4B" w14:textId="77777777" w:rsidR="001D3C84" w:rsidRPr="001D3C84" w:rsidRDefault="001D3C84" w:rsidP="001D3C84">
            <w:pPr>
              <w:rPr>
                <w:rFonts w:ascii="Arial" w:hAnsi="Arial" w:cs="Arial"/>
                <w:sz w:val="18"/>
                <w:szCs w:val="18"/>
              </w:rPr>
            </w:pPr>
            <w:r w:rsidRPr="001D3C84">
              <w:rPr>
                <w:rFonts w:ascii="Arial" w:hAnsi="Arial" w:cs="Arial"/>
                <w:sz w:val="18"/>
                <w:szCs w:val="18"/>
              </w:rPr>
              <w:t xml:space="preserve">We are looking to purchase a Mini Excavator with conventional </w:t>
            </w:r>
            <w:proofErr w:type="spellStart"/>
            <w:r w:rsidRPr="001D3C84">
              <w:rPr>
                <w:rFonts w:ascii="Arial" w:hAnsi="Arial" w:cs="Arial"/>
                <w:sz w:val="18"/>
                <w:szCs w:val="18"/>
              </w:rPr>
              <w:t>Tailswing</w:t>
            </w:r>
            <w:proofErr w:type="spellEnd"/>
            <w:r w:rsidRPr="001D3C84">
              <w:rPr>
                <w:rFonts w:ascii="Arial" w:hAnsi="Arial" w:cs="Arial"/>
                <w:sz w:val="18"/>
                <w:szCs w:val="18"/>
              </w:rPr>
              <w:t xml:space="preserve">, Operating at 2775kg, Cab Build c/w Heater, Max digging reach 4850mm, Double acting pipework, Rotation circuit pipework, Hose Burst Check Valves, Hydraulic Quick Hitch, Amber Beacon, Green Seat Belt Beacon, Quick release couplings, Radio, Built in </w:t>
            </w:r>
            <w:proofErr w:type="spellStart"/>
            <w:r w:rsidRPr="001D3C84">
              <w:rPr>
                <w:rFonts w:ascii="Arial" w:hAnsi="Arial" w:cs="Arial"/>
                <w:sz w:val="18"/>
                <w:szCs w:val="18"/>
              </w:rPr>
              <w:t>immobiliser</w:t>
            </w:r>
            <w:proofErr w:type="spellEnd"/>
            <w:r w:rsidRPr="001D3C84">
              <w:rPr>
                <w:rFonts w:ascii="Arial" w:hAnsi="Arial" w:cs="Arial"/>
                <w:sz w:val="18"/>
                <w:szCs w:val="18"/>
              </w:rPr>
              <w:t xml:space="preserve">, 12” Bucket with blade, 24” Bucket with Blade, 42” Ditch, Clearing Bucket with blade, Front Screen Guard, Case Drain, Bio oil, TG16 PRO - SR5 &amp; GR55 Rigid Rotator Log grab, Ifor </w:t>
            </w:r>
            <w:proofErr w:type="spellStart"/>
            <w:r w:rsidRPr="001D3C84">
              <w:rPr>
                <w:rFonts w:ascii="Arial" w:hAnsi="Arial" w:cs="Arial"/>
                <w:sz w:val="18"/>
                <w:szCs w:val="18"/>
              </w:rPr>
              <w:t>williams</w:t>
            </w:r>
            <w:proofErr w:type="spellEnd"/>
            <w:r w:rsidRPr="001D3C84">
              <w:rPr>
                <w:rFonts w:ascii="Arial" w:hAnsi="Arial" w:cs="Arial"/>
                <w:sz w:val="18"/>
                <w:szCs w:val="18"/>
              </w:rPr>
              <w:t xml:space="preserve"> GH1054 trailer, LED lights, spare wheel, 5 year warrantee</w:t>
            </w:r>
          </w:p>
          <w:p w14:paraId="333092BC" w14:textId="77777777" w:rsidR="00CA746D" w:rsidRDefault="00CA746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B007" w14:textId="3695FDA6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Goods are to be Delivered in accordance with the following instructions:</w:t>
            </w:r>
          </w:p>
          <w:p w14:paraId="6CA7FC85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F5D73" w14:textId="47C4D1E8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0" w:name="_DV_C14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Delivery Address</w:t>
            </w:r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Lodge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Hill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Dowles Brook, Bewdley,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DY12 2LY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2E00C43E" w14:textId="24593B43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</w:t>
            </w:r>
            <w:proofErr w:type="gramStart"/>
            <w:r w:rsidR="004F14B7">
              <w:rPr>
                <w:rFonts w:ascii="Arial" w:eastAsia="Arial" w:hAnsi="Arial" w:cs="Arial"/>
                <w:color w:val="000000"/>
                <w:sz w:val="18"/>
                <w:szCs w:val="18"/>
              </w:rPr>
              <w:t>ESSAY.CLUBBING.WATCHES</w:t>
            </w:r>
            <w:proofErr w:type="gramEnd"/>
          </w:p>
          <w:p w14:paraId="6E75529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8BD63" w14:textId="77777777" w:rsidR="000D6679" w:rsidRDefault="000D6679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E365DAC" w14:textId="77777777" w:rsidR="000D6679" w:rsidRDefault="000D6679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B4801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293DE68" w14:textId="77777777">
        <w:trPr>
          <w:trHeight w:val="383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44C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FDC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70A3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bookmarkStart w:id="1" w:name="_DV_C144"/>
            <w:bookmarkStart w:id="2" w:name="_Ref377110627"/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 w:rsidRPr="00455837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1"/>
            <w:bookmarkEnd w:id="2"/>
          </w:p>
        </w:tc>
      </w:tr>
      <w:tr w:rsidR="000D6679" w14:paraId="578AEC2A" w14:textId="77777777">
        <w:trPr>
          <w:trHeight w:val="69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04E" w14:textId="77777777" w:rsidR="000D6679" w:rsidRDefault="00B249DA">
            <w:pPr>
              <w:numPr>
                <w:ilvl w:val="0"/>
                <w:numId w:val="8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6D7" w14:textId="75B7CECC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572B87DA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DABB" w14:textId="77777777" w:rsidR="000D6679" w:rsidRDefault="00B249DA">
            <w:pPr>
              <w:numPr>
                <w:ilvl w:val="0"/>
                <w:numId w:val="9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95CD" w14:textId="77777777" w:rsidR="000D6679" w:rsidRDefault="000D6679" w:rsidP="00ED1962">
            <w:pPr>
              <w:spacing w:before="120" w:after="120"/>
              <w:ind w:right="9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BEF0FE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0BE" w14:textId="77777777" w:rsidR="000D6679" w:rsidRDefault="00B249DA">
            <w:pPr>
              <w:numPr>
                <w:ilvl w:val="0"/>
                <w:numId w:val="10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7E1B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14:paraId="4028868F" w14:textId="77777777" w:rsidR="000D6679" w:rsidRDefault="000D6679">
            <w:pPr>
              <w:ind w:right="3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0D6679" w14:paraId="79F9BF67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2055" w14:textId="77777777" w:rsidR="000D6679" w:rsidRDefault="00B249DA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Ref99635482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6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31A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655D8B4F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B63AC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5AA23C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D2" w14:textId="77777777" w:rsidR="000D6679" w:rsidRDefault="00B249DA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7C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[A sum equal to £5,000,000].</w:t>
            </w:r>
          </w:p>
          <w:p w14:paraId="5AB2B5A8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EFCD7E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EAB1DFC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0391A4B3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A2A" w14:textId="77777777" w:rsidR="000D6679" w:rsidRDefault="00B249DA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Customer’s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4D6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4A75C71" w14:textId="1335CA5C" w:rsidR="000D6679" w:rsidRDefault="004F14B7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George Vyvyan</w:t>
            </w:r>
          </w:p>
          <w:p w14:paraId="37F95864" w14:textId="329FC572" w:rsidR="004F14B7" w:rsidRDefault="00457F8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4F14B7" w:rsidRPr="00AC2D52">
                <w:rPr>
                  <w:rStyle w:val="Hyperlink"/>
                  <w:rFonts w:ascii="Arial" w:hAnsi="Arial" w:cs="Arial"/>
                  <w:sz w:val="18"/>
                  <w:szCs w:val="18"/>
                </w:rPr>
                <w:t>George.vyvyan@naturalengland.org.uk</w:t>
              </w:r>
            </w:hyperlink>
          </w:p>
          <w:p w14:paraId="239208AF" w14:textId="0923A839" w:rsidR="000D6679" w:rsidRPr="004F14B7" w:rsidRDefault="00457F8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/>
          </w:p>
          <w:p w14:paraId="3463ECCE" w14:textId="0A0C5B3C" w:rsidR="000D6679" w:rsidRDefault="0075111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01299 400686</w:t>
            </w:r>
          </w:p>
          <w:p w14:paraId="78805C65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658C6B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14:paraId="25C8DD48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DE91A" w14:textId="1BF16C11" w:rsidR="000D6679" w:rsidRPr="00904671" w:rsidRDefault="001D3C8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Tom Simpson</w:t>
            </w:r>
          </w:p>
          <w:p w14:paraId="4D444B08" w14:textId="628055A0" w:rsidR="000D6679" w:rsidRPr="00904671" w:rsidRDefault="00457F81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10" w:history="1">
              <w:r w:rsidR="001D3C84" w:rsidRPr="00904671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Tom.Simpson@naturalengland.org.uk</w:t>
              </w:r>
            </w:hyperlink>
          </w:p>
          <w:p w14:paraId="4FFF61C6" w14:textId="5B148F4C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904671"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1299 400686</w:t>
            </w:r>
          </w:p>
          <w:p w14:paraId="1356CA0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71547BBF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09F3" w14:textId="77777777" w:rsidR="000D6679" w:rsidRDefault="00B249DA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Contractor’s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51F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8982F53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87385" w14:textId="0AED7C9A" w:rsidR="000D6679" w:rsidRPr="007443F9" w:rsidRDefault="000D6679" w:rsidP="007443F9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14:paraId="1ACC7C79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4B3" w14:textId="77777777" w:rsidR="000D6679" w:rsidRDefault="00B249DA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59AC" w14:textId="32D116CA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Customer has chosen Option 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] in respect of intellectual property rights provisions for the Agreement as set out in the terms and conditions.</w:t>
            </w:r>
          </w:p>
          <w:p w14:paraId="247102B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82CBA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14:paraId="235ED37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F285" w14:textId="77777777" w:rsidR="000D6679" w:rsidRDefault="00B249DA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Ref111474711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9383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  <w:p w14:paraId="7F02CF18" w14:textId="77777777" w:rsidR="000D6679" w:rsidRDefault="000D6679">
            <w:pPr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FC900" w14:textId="77777777" w:rsidR="000D6679" w:rsidRDefault="000D6679">
            <w:pPr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BC3009D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C370" w14:textId="77777777" w:rsidR="000D6679" w:rsidRDefault="00B249DA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4"/>
              <w:gridCol w:w="3665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1705F4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14:paraId="6F04EEFA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B50DD2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3A8943A3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14:paraId="3EF48B9F" w14:textId="408B9CE9" w:rsidR="000D6679" w:rsidRDefault="00751110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George Vyvyan</w:t>
                  </w:r>
                </w:p>
                <w:p w14:paraId="469D3092" w14:textId="1F6BCF6D" w:rsidR="000D6679" w:rsidRDefault="00751110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Lodge Hill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Dowles Brook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</w:p>
                <w:p w14:paraId="175D3AC4" w14:textId="22B05D04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Bewdley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Worcestershire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DY12 2LY</w:t>
                  </w:r>
                </w:p>
                <w:p w14:paraId="6EA42FF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BD2055B" w14:textId="1F3DB6B0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Attention: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Wyre Forest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National </w:t>
                  </w:r>
                  <w:r w:rsidR="001D3C8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ature </w:t>
                  </w:r>
                </w:p>
                <w:p w14:paraId="3324450F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reserves manager. </w:t>
                  </w:r>
                </w:p>
                <w:p w14:paraId="117A117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FDB55D" w14:textId="158F4804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Email: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George.Vyvyan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@naturalengland.org.uk</w:t>
                  </w:r>
                </w:p>
                <w:p w14:paraId="2A23792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DEC2BE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E96F1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D658" w14:textId="0CF1A3C3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14:paraId="6DBDE5E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92AADF5" w14:textId="12B0BF52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EB815E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A420" w14:textId="77777777" w:rsidR="000D6679" w:rsidRDefault="000D6679">
                  <w:pPr>
                    <w:rPr>
                      <w:color w:val="000000"/>
                    </w:rPr>
                  </w:pPr>
                </w:p>
              </w:tc>
            </w:tr>
          </w:tbl>
          <w:p w14:paraId="6DDB93D3" w14:textId="77777777" w:rsidR="000D6679" w:rsidRDefault="000D6679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14:paraId="6D4D56DF" w14:textId="77777777">
        <w:trPr>
          <w:trHeight w:val="1750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D5C" w14:textId="77777777" w:rsidR="000D6679" w:rsidRDefault="00B249DA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0" w:name="_Ref9963561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10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B6DC05A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14:paraId="5C78EC93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6189FD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9B9C0AC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509B4E8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206E123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9BE3521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29FD9CC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AB6E097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4D2CE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0648256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458008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668B1F93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A0B" w14:textId="77777777" w:rsidR="000D6679" w:rsidRDefault="00B249DA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Ref9963562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AA86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14:paraId="40C0D16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576CD" w14:textId="3AA9318B" w:rsidR="000D6679" w:rsidRDefault="00B249DA" w:rsidP="00EF0CAF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</w:t>
            </w:r>
            <w:proofErr w:type="gramStart"/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are:</w:t>
            </w:r>
            <w:proofErr w:type="gramEnd"/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EF0CAF"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14:paraId="608B5EDA" w14:textId="77777777" w:rsidR="000D6679" w:rsidRDefault="000D6679">
            <w:pPr>
              <w:pStyle w:val="Heading2"/>
              <w:keepLines w:val="0"/>
              <w:spacing w:before="0"/>
              <w:ind w:left="709"/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14:paraId="5DC2BCDE" w14:textId="2020C571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r:id="rId11" w:history="1">
              <w:r w:rsidR="007F671E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12D46B2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FEDEA" w14:textId="6B32C290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hyperlink r:id="rId12" w:history="1">
              <w:r w:rsidR="00EB2E82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35F72B0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3ACA04" w14:textId="17B7FE35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r:id="rId13" w:history="1">
              <w:r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3B79B5"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64DBCF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5184AA" w14:textId="6EF3A45F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r:id="rId14" w:history="1">
              <w:r w:rsidR="005E5EA1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2F0DA8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B6052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99DF161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8ED" w14:textId="77777777" w:rsidR="000D6679" w:rsidRDefault="00B249DA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Ref11145639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Special Terms</w:t>
            </w:r>
            <w:bookmarkEnd w:id="1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8C81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5C0E6C35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EFC5" w14:textId="77777777" w:rsidR="000D6679" w:rsidRDefault="00B249DA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7FC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2E04A0E3" w14:textId="77777777">
        <w:tc>
          <w:tcPr>
            <w:tcW w:w="1413" w:type="pc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090B" w14:textId="77777777" w:rsidR="000D6679" w:rsidRDefault="00B249DA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20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further data protection provisions contained within Annex 4 of the terms and conditions are applicable to this Agreement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indicated below:</w:t>
            </w:r>
          </w:p>
          <w:p w14:paraId="39CF97E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6C02445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029CF1DF" w14:textId="77777777" w:rsidR="000D6679" w:rsidRDefault="000D6679"/>
    <w:p w14:paraId="59F79D7A" w14:textId="77777777" w:rsidR="000D6679" w:rsidRDefault="000D6679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446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878" w14:textId="77777777" w:rsidR="000D6679" w:rsidRDefault="00B249DA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81F6B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278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</w:p>
          <w:p w14:paraId="0AFAA944" w14:textId="0F89E47D" w:rsidR="000D6679" w:rsidRPr="00B249DA" w:rsidRDefault="000D6679">
            <w:pPr>
              <w:rPr>
                <w:color w:val="000000"/>
              </w:rPr>
            </w:pPr>
          </w:p>
          <w:p w14:paraId="4D3C4B47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D96" w14:textId="3A3F467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210" w14:textId="6A66E1F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</w:p>
          <w:p w14:paraId="752E4A19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9C91" w14:textId="3E6E7A2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0514" w14:textId="5A9DE5F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AD40" w14:textId="380F4FA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36F6A7A" w14:textId="77777777" w:rsidR="000D6679" w:rsidRDefault="00B249DA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54CEA6" w14:textId="77777777" w:rsidR="000D6679" w:rsidRDefault="000D6679"/>
    <w:p w14:paraId="14886FA1" w14:textId="77777777" w:rsidR="000D6679" w:rsidRDefault="00B249DA">
      <w:pPr>
        <w:jc w:val="center"/>
      </w:pPr>
      <w:r>
        <w:rPr>
          <w:b/>
          <w:bCs/>
        </w:rPr>
        <w:t>Appendix 1: Terms and Conditions</w:t>
      </w:r>
    </w:p>
    <w:p w14:paraId="512F253D" w14:textId="77777777" w:rsidR="000D6679" w:rsidRDefault="00B249DA">
      <w:r>
        <w:t xml:space="preserve"> </w:t>
      </w:r>
    </w:p>
    <w:p w14:paraId="18B48661" w14:textId="77777777" w:rsidR="000D6679" w:rsidRDefault="00B249DA">
      <w:r>
        <w:rPr>
          <w:rFonts w:ascii="Arial" w:eastAsia="Arial" w:hAnsi="Arial" w:cs="Arial"/>
        </w:rPr>
        <w:t>The Customer’s Standard Good &amp; Services Terms and Conditions which can be located on the</w:t>
      </w:r>
      <w:r>
        <w:rPr>
          <w:rFonts w:ascii="Arial" w:eastAsia="Arial" w:hAnsi="Arial" w:cs="Arial"/>
          <w:b/>
          <w:bCs/>
        </w:rPr>
        <w:t xml:space="preserve"> </w:t>
      </w:r>
      <w:hyperlink r:id="rId15" w:history="1">
        <w:r>
          <w:rPr>
            <w:rFonts w:ascii="Arial" w:eastAsia="Arial" w:hAnsi="Arial" w:cs="Arial"/>
            <w:color w:val="0563C1"/>
            <w:u w:val="single" w:color="0563C1"/>
          </w:rPr>
          <w:t>Natural England Website</w:t>
        </w:r>
      </w:hyperlink>
      <w:r>
        <w:rPr>
          <w:rFonts w:ascii="Arial" w:eastAsia="Arial" w:hAnsi="Arial" w:cs="Arial"/>
          <w:b/>
          <w:bCs/>
          <w:color w:val="D9262E"/>
        </w:rPr>
        <w:t xml:space="preserve"> </w:t>
      </w:r>
      <w:r>
        <w:rPr>
          <w:rFonts w:ascii="Arial" w:eastAsia="Arial" w:hAnsi="Arial" w:cs="Arial"/>
        </w:rPr>
        <w:t>and which are called ‘Standard Goods &amp; Services Terms and Conditions’</w:t>
      </w:r>
    </w:p>
    <w:p w14:paraId="6093FC52" w14:textId="77777777" w:rsidR="000D6679" w:rsidRDefault="00B249DA">
      <w:r>
        <w:br w:type="page"/>
      </w:r>
    </w:p>
    <w:p w14:paraId="2843C1C3" w14:textId="77777777" w:rsidR="000D6679" w:rsidRDefault="00B249DA">
      <w:pPr>
        <w:jc w:val="center"/>
      </w:pPr>
      <w:r>
        <w:rPr>
          <w:b/>
          <w:bCs/>
        </w:rPr>
        <w:lastRenderedPageBreak/>
        <w:t xml:space="preserve">Appendix 2: Specification/Description </w:t>
      </w:r>
    </w:p>
    <w:p w14:paraId="4A6D25DD" w14:textId="77777777" w:rsidR="000D6679" w:rsidRDefault="000D6679">
      <w:pPr>
        <w:jc w:val="center"/>
        <w:rPr>
          <w:b/>
          <w:bCs/>
        </w:rPr>
      </w:pPr>
    </w:p>
    <w:p w14:paraId="585268D3" w14:textId="77777777" w:rsidR="000D6679" w:rsidRDefault="00B249DA">
      <w:r>
        <w:br w:type="page"/>
      </w:r>
    </w:p>
    <w:p w14:paraId="6C8C42D0" w14:textId="77777777" w:rsidR="000D6679" w:rsidRDefault="00B249DA">
      <w:pPr>
        <w:jc w:val="center"/>
      </w:pPr>
      <w:r>
        <w:rPr>
          <w:b/>
          <w:bCs/>
        </w:rPr>
        <w:lastRenderedPageBreak/>
        <w:t>Appendix 3: Charges</w:t>
      </w:r>
    </w:p>
    <w:p w14:paraId="5BEC0F6F" w14:textId="77777777" w:rsidR="000D6679" w:rsidRDefault="000D6679">
      <w:pPr>
        <w:jc w:val="center"/>
        <w:rPr>
          <w:b/>
          <w:bCs/>
        </w:rPr>
      </w:pPr>
    </w:p>
    <w:p w14:paraId="0A19087E" w14:textId="77777777" w:rsidR="000D6679" w:rsidRDefault="00B249DA">
      <w:r>
        <w:br w:type="page"/>
      </w:r>
    </w:p>
    <w:p w14:paraId="7D678437" w14:textId="77777777" w:rsidR="000D6679" w:rsidRDefault="00B249DA">
      <w:pPr>
        <w:jc w:val="center"/>
      </w:pPr>
      <w:r>
        <w:rPr>
          <w:b/>
          <w:bCs/>
        </w:rPr>
        <w:lastRenderedPageBreak/>
        <w:t>Appendix 4: Processing Personal Data</w:t>
      </w:r>
    </w:p>
    <w:p w14:paraId="074825E6" w14:textId="77777777" w:rsidR="000D6679" w:rsidRDefault="000D6679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hRule="exact" w:val="168"/>
        </w:trPr>
        <w:tc>
          <w:tcPr>
            <w:tcW w:w="3246" w:type="dxa"/>
            <w:vMerge w:val="restart"/>
            <w:tcBorders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C07" w14:textId="77777777" w:rsidR="000D6679" w:rsidRDefault="000D6679">
            <w:pPr>
              <w:spacing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B09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hRule="exact" w:val="120"/>
        </w:trPr>
        <w:tc>
          <w:tcPr>
            <w:tcW w:w="0" w:type="auto"/>
            <w:vMerge/>
            <w:tcBorders>
              <w:right w:val="single" w:sz="5" w:space="0" w:color="000000"/>
            </w:tcBorders>
            <w:vAlign w:val="center"/>
            <w:hideMark/>
          </w:tcPr>
          <w:p w14:paraId="281E4780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BD03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73C4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  <w:hideMark/>
          </w:tcPr>
          <w:p w14:paraId="5079F7E0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9E6D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14:paraId="5E2AADB6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71176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7287D" w14:textId="77777777" w:rsidR="000D6679" w:rsidRDefault="00B249DA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Description of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F2B0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D26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9A7E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A0B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8AB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60FBA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08E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E024" w14:textId="77777777" w:rsidR="000D6679" w:rsidRDefault="00B249DA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A18A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C4D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4E1CC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7E76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4F1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0B70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E25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0D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14:paraId="52FF88B1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2BDDDF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793F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1F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2940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795455" w14:textId="77777777" w:rsidR="000D6679" w:rsidRDefault="000D6679">
      <w:pPr>
        <w:rPr>
          <w:b/>
          <w:bCs/>
        </w:rPr>
      </w:pPr>
    </w:p>
    <w:p w14:paraId="34A53877" w14:textId="77777777" w:rsidR="000D6679" w:rsidRDefault="000D6679">
      <w:pPr>
        <w:rPr>
          <w:b/>
          <w:bCs/>
        </w:rPr>
      </w:pPr>
    </w:p>
    <w:sectPr w:rsidR="000D6679">
      <w:footerReference w:type="default" r:id="rId16"/>
      <w:pgSz w:w="11906" w:h="16838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60F30" w14:textId="77777777" w:rsidR="00FC6D4B" w:rsidRDefault="00FC6D4B">
      <w:r>
        <w:separator/>
      </w:r>
    </w:p>
  </w:endnote>
  <w:endnote w:type="continuationSeparator" w:id="0">
    <w:p w14:paraId="16BBE89A" w14:textId="77777777" w:rsidR="00FC6D4B" w:rsidRDefault="00FC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21EC" w14:textId="77777777" w:rsidR="000D6679" w:rsidRDefault="00B249DA">
    <w:r>
      <w:rPr>
        <w:rFonts w:ascii="Arial" w:eastAsia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C727" w14:textId="77777777" w:rsidR="00FC6D4B" w:rsidRDefault="00FC6D4B">
      <w:r>
        <w:separator/>
      </w:r>
    </w:p>
  </w:footnote>
  <w:footnote w:type="continuationSeparator" w:id="0">
    <w:p w14:paraId="0950F8CE" w14:textId="77777777" w:rsidR="00FC6D4B" w:rsidRDefault="00FC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135873"/>
    <w:rsid w:val="001D3C84"/>
    <w:rsid w:val="001F56E9"/>
    <w:rsid w:val="002A5C45"/>
    <w:rsid w:val="002A60CA"/>
    <w:rsid w:val="002B5665"/>
    <w:rsid w:val="002F0DA8"/>
    <w:rsid w:val="00383676"/>
    <w:rsid w:val="003B79B5"/>
    <w:rsid w:val="00422557"/>
    <w:rsid w:val="00455837"/>
    <w:rsid w:val="00457F81"/>
    <w:rsid w:val="004F14B7"/>
    <w:rsid w:val="005E53A4"/>
    <w:rsid w:val="005E5EA1"/>
    <w:rsid w:val="006969B7"/>
    <w:rsid w:val="006C46F8"/>
    <w:rsid w:val="007443F9"/>
    <w:rsid w:val="00751110"/>
    <w:rsid w:val="00791550"/>
    <w:rsid w:val="007F671E"/>
    <w:rsid w:val="00814D3D"/>
    <w:rsid w:val="00904671"/>
    <w:rsid w:val="00940643"/>
    <w:rsid w:val="00971C82"/>
    <w:rsid w:val="00981DD3"/>
    <w:rsid w:val="00A043F9"/>
    <w:rsid w:val="00A51EC9"/>
    <w:rsid w:val="00AE3050"/>
    <w:rsid w:val="00AF0D3F"/>
    <w:rsid w:val="00B249DA"/>
    <w:rsid w:val="00B920DD"/>
    <w:rsid w:val="00BA53EC"/>
    <w:rsid w:val="00BB2964"/>
    <w:rsid w:val="00C048B9"/>
    <w:rsid w:val="00C053D0"/>
    <w:rsid w:val="00C40597"/>
    <w:rsid w:val="00CA746D"/>
    <w:rsid w:val="00DC477D"/>
    <w:rsid w:val="00EB2E82"/>
    <w:rsid w:val="00ED1962"/>
    <w:rsid w:val="00EF0CAF"/>
    <w:rsid w:val="00FC6D4B"/>
    <w:rsid w:val="00FD0B9D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vyvyan@naturalengland.org.uk" TargetMode="External"/><Relationship Id="rId13" Type="http://schemas.openxmlformats.org/officeDocument/2006/relationships/hyperlink" Target="https://defra.sharepoint.com/sites/NEIntranet/SitePages/Equality,-diversity-and-inclusion.aspx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ssets.publishing.service.gov.uk/government/uploads/system/uploads/attachment_data/file/1163536/Supplier_Code_of_Conduct_v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ra.sharepoint.com/:w:/t/Team460/EWA-YRNKHLFKjVtsP0PieuEBMe1WUC-aVCADbu_FvNpLv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hyperlink" Target="mailto:Tom.Simpson@naturalengland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rry.tucker@naturalengland.org.uk" TargetMode="External"/><Relationship Id="rId14"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w:rsidR="0000290D" w:rsidRDefault="00AD0245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290D"/>
    <w:rsid w:val="0028772D"/>
    <w:rsid w:val="004539B5"/>
    <w:rsid w:val="006C46F8"/>
    <w:rsid w:val="007B2909"/>
    <w:rsid w:val="00971C82"/>
    <w:rsid w:val="009E3775"/>
    <w:rsid w:val="00A043F9"/>
    <w:rsid w:val="00AD0245"/>
    <w:rsid w:val="00B920DD"/>
    <w:rsid w:val="00DC477D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956</Words>
  <Characters>5454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Pritchard</dc:creator>
  <cp:lastModifiedBy>Butt, Ruqayya</cp:lastModifiedBy>
  <cp:revision>2</cp:revision>
  <dcterms:created xsi:type="dcterms:W3CDTF">2024-10-01T13:02:00Z</dcterms:created>
  <dcterms:modified xsi:type="dcterms:W3CDTF">2024-10-01T13:02:00Z</dcterms:modified>
</cp:coreProperties>
</file>