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E73C" w14:textId="00B9FF85" w:rsidR="00137F19" w:rsidRPr="00D60D91" w:rsidRDefault="00137F19">
      <w:pPr>
        <w:rPr>
          <w:rFonts w:ascii="Arial" w:hAnsi="Arial" w:cs="Arial"/>
          <w:b/>
          <w:sz w:val="28"/>
        </w:rPr>
      </w:pPr>
      <w:bookmarkStart w:id="0" w:name="_GoBack"/>
      <w:bookmarkEnd w:id="0"/>
      <w:r w:rsidRPr="00D60D91">
        <w:rPr>
          <w:rFonts w:ascii="Arial" w:hAnsi="Arial" w:cs="Arial"/>
          <w:b/>
          <w:sz w:val="28"/>
        </w:rPr>
        <w:t>DLMC</w:t>
      </w:r>
      <w:r w:rsidR="00D60D91" w:rsidRPr="00D60D91">
        <w:rPr>
          <w:rFonts w:ascii="Arial" w:hAnsi="Arial" w:cs="Arial"/>
          <w:b/>
          <w:sz w:val="28"/>
        </w:rPr>
        <w:t xml:space="preserve"> Procurement </w:t>
      </w:r>
      <w:r w:rsidRPr="00D60D91">
        <w:rPr>
          <w:rFonts w:ascii="Arial" w:hAnsi="Arial" w:cs="Arial"/>
          <w:b/>
          <w:sz w:val="28"/>
        </w:rPr>
        <w:t>Evaluation Strategy &amp; Criteria</w:t>
      </w:r>
      <w:r w:rsidR="009B6ADE">
        <w:rPr>
          <w:rFonts w:ascii="Arial" w:hAnsi="Arial" w:cs="Arial"/>
          <w:b/>
          <w:sz w:val="28"/>
        </w:rPr>
        <w:t xml:space="preserve"> </w:t>
      </w:r>
    </w:p>
    <w:p w14:paraId="0D07416D" w14:textId="529899CE" w:rsidR="009B6ADE" w:rsidRPr="006331D4" w:rsidRDefault="009B6ADE" w:rsidP="009B6ADE">
      <w:pPr>
        <w:pStyle w:val="ListParagraph"/>
        <w:numPr>
          <w:ilvl w:val="0"/>
          <w:numId w:val="3"/>
        </w:numPr>
        <w:rPr>
          <w:rFonts w:ascii="Arial" w:hAnsi="Arial" w:cs="Arial"/>
          <w:b/>
        </w:rPr>
      </w:pPr>
      <w:r w:rsidRPr="006331D4">
        <w:rPr>
          <w:rFonts w:ascii="Arial" w:hAnsi="Arial" w:cs="Arial"/>
          <w:b/>
        </w:rPr>
        <w:t>INTRODU</w:t>
      </w:r>
      <w:r w:rsidR="00765206" w:rsidRPr="006331D4">
        <w:rPr>
          <w:rFonts w:ascii="Arial" w:hAnsi="Arial" w:cs="Arial"/>
          <w:b/>
        </w:rPr>
        <w:t>C</w:t>
      </w:r>
      <w:r w:rsidRPr="006331D4">
        <w:rPr>
          <w:rFonts w:ascii="Arial" w:hAnsi="Arial" w:cs="Arial"/>
          <w:b/>
        </w:rPr>
        <w:t xml:space="preserve">TION </w:t>
      </w:r>
    </w:p>
    <w:p w14:paraId="4BF681D3" w14:textId="77777777" w:rsidR="009B6ADE" w:rsidRPr="009B6ADE" w:rsidRDefault="009B6ADE" w:rsidP="009B6ADE">
      <w:pPr>
        <w:pStyle w:val="ListParagraph"/>
        <w:ind w:left="360"/>
        <w:rPr>
          <w:rFonts w:ascii="Arial" w:hAnsi="Arial" w:cs="Arial"/>
        </w:rPr>
      </w:pPr>
    </w:p>
    <w:p w14:paraId="0A15E819" w14:textId="204C8DF2" w:rsidR="009B6ADE" w:rsidRDefault="009B6ADE" w:rsidP="009B6ADE">
      <w:pPr>
        <w:pStyle w:val="ListParagraph"/>
        <w:numPr>
          <w:ilvl w:val="1"/>
          <w:numId w:val="3"/>
        </w:numPr>
        <w:rPr>
          <w:rFonts w:ascii="Arial" w:hAnsi="Arial" w:cs="Arial"/>
        </w:rPr>
      </w:pPr>
      <w:r>
        <w:rPr>
          <w:rFonts w:ascii="Arial" w:hAnsi="Arial" w:cs="Arial"/>
        </w:rPr>
        <w:t>Structure of this Document</w:t>
      </w:r>
    </w:p>
    <w:p w14:paraId="613DC036" w14:textId="77777777" w:rsidR="00765206" w:rsidRDefault="00765206" w:rsidP="00765206">
      <w:pPr>
        <w:pStyle w:val="ListParagraph"/>
        <w:ind w:left="792"/>
        <w:rPr>
          <w:rFonts w:ascii="Arial" w:hAnsi="Arial" w:cs="Arial"/>
        </w:rPr>
      </w:pPr>
    </w:p>
    <w:p w14:paraId="33EE3363" w14:textId="1504E9C7" w:rsidR="009B6ADE" w:rsidRDefault="009B6ADE" w:rsidP="009B6ADE">
      <w:pPr>
        <w:pStyle w:val="ListParagraph"/>
        <w:numPr>
          <w:ilvl w:val="2"/>
          <w:numId w:val="3"/>
        </w:numPr>
        <w:rPr>
          <w:rFonts w:ascii="Arial" w:hAnsi="Arial" w:cs="Arial"/>
        </w:rPr>
      </w:pPr>
      <w:r>
        <w:rPr>
          <w:rFonts w:ascii="Arial" w:hAnsi="Arial" w:cs="Arial"/>
        </w:rPr>
        <w:t xml:space="preserve">This document consists of </w:t>
      </w:r>
      <w:r w:rsidR="00771046">
        <w:rPr>
          <w:rFonts w:ascii="Arial" w:hAnsi="Arial" w:cs="Arial"/>
        </w:rPr>
        <w:t>the</w:t>
      </w:r>
      <w:r>
        <w:rPr>
          <w:rFonts w:ascii="Arial" w:hAnsi="Arial" w:cs="Arial"/>
        </w:rPr>
        <w:t xml:space="preserve"> following sections:</w:t>
      </w:r>
    </w:p>
    <w:p w14:paraId="1903C17E" w14:textId="77777777" w:rsidR="00765206" w:rsidRDefault="00765206" w:rsidP="00765206">
      <w:pPr>
        <w:pStyle w:val="ListParagraph"/>
        <w:ind w:left="1224"/>
        <w:rPr>
          <w:rFonts w:ascii="Arial" w:hAnsi="Arial" w:cs="Arial"/>
        </w:rPr>
      </w:pPr>
    </w:p>
    <w:p w14:paraId="5C5DFF99" w14:textId="06E785FE" w:rsidR="009B6ADE" w:rsidRDefault="009B6ADE" w:rsidP="009B6ADE">
      <w:pPr>
        <w:pStyle w:val="ListParagraph"/>
        <w:numPr>
          <w:ilvl w:val="3"/>
          <w:numId w:val="3"/>
        </w:numPr>
        <w:rPr>
          <w:rFonts w:ascii="Arial" w:hAnsi="Arial" w:cs="Arial"/>
        </w:rPr>
      </w:pPr>
      <w:r>
        <w:rPr>
          <w:rFonts w:ascii="Arial" w:hAnsi="Arial" w:cs="Arial"/>
        </w:rPr>
        <w:t>Section 1: Introduction and Purpose</w:t>
      </w:r>
    </w:p>
    <w:p w14:paraId="3E9C5BE0" w14:textId="79FD6200" w:rsidR="009B6ADE" w:rsidRDefault="009B6ADE" w:rsidP="009B6ADE">
      <w:pPr>
        <w:pStyle w:val="ListParagraph"/>
        <w:numPr>
          <w:ilvl w:val="3"/>
          <w:numId w:val="3"/>
        </w:numPr>
        <w:rPr>
          <w:rFonts w:ascii="Arial" w:hAnsi="Arial" w:cs="Arial"/>
        </w:rPr>
      </w:pPr>
      <w:r>
        <w:rPr>
          <w:rFonts w:ascii="Arial" w:hAnsi="Arial" w:cs="Arial"/>
        </w:rPr>
        <w:t>Section 2: Award Criteria for Alpha Phase</w:t>
      </w:r>
    </w:p>
    <w:p w14:paraId="08A597A9" w14:textId="3C877FAF" w:rsidR="009B6ADE" w:rsidRDefault="009B6ADE" w:rsidP="009B6ADE">
      <w:pPr>
        <w:pStyle w:val="ListParagraph"/>
        <w:numPr>
          <w:ilvl w:val="3"/>
          <w:numId w:val="3"/>
        </w:numPr>
        <w:rPr>
          <w:rFonts w:ascii="Arial" w:hAnsi="Arial" w:cs="Arial"/>
        </w:rPr>
      </w:pPr>
      <w:r>
        <w:rPr>
          <w:rFonts w:ascii="Arial" w:hAnsi="Arial" w:cs="Arial"/>
        </w:rPr>
        <w:t>Section 3: Award Criteria for Beta Phase</w:t>
      </w:r>
    </w:p>
    <w:p w14:paraId="4562013E" w14:textId="0E98C49B" w:rsidR="009B6ADE" w:rsidRDefault="009B6ADE" w:rsidP="009B6ADE">
      <w:pPr>
        <w:pStyle w:val="ListParagraph"/>
        <w:numPr>
          <w:ilvl w:val="3"/>
          <w:numId w:val="3"/>
        </w:numPr>
        <w:rPr>
          <w:rFonts w:ascii="Arial" w:hAnsi="Arial" w:cs="Arial"/>
        </w:rPr>
      </w:pPr>
      <w:r>
        <w:rPr>
          <w:rFonts w:ascii="Arial" w:hAnsi="Arial" w:cs="Arial"/>
        </w:rPr>
        <w:t>Section 4: Evaluation Process, Roles and Responsibilities</w:t>
      </w:r>
    </w:p>
    <w:p w14:paraId="2DCF83FD" w14:textId="77777777" w:rsidR="009B6ADE" w:rsidRDefault="009B6ADE" w:rsidP="009B6ADE">
      <w:pPr>
        <w:pStyle w:val="ListParagraph"/>
        <w:ind w:left="1728"/>
        <w:rPr>
          <w:rFonts w:ascii="Arial" w:hAnsi="Arial" w:cs="Arial"/>
        </w:rPr>
      </w:pPr>
    </w:p>
    <w:p w14:paraId="58B05067" w14:textId="198D3516" w:rsidR="009B6ADE" w:rsidRDefault="009B6ADE" w:rsidP="009B6ADE">
      <w:pPr>
        <w:pStyle w:val="ListParagraph"/>
        <w:numPr>
          <w:ilvl w:val="1"/>
          <w:numId w:val="3"/>
        </w:numPr>
        <w:rPr>
          <w:rFonts w:ascii="Arial" w:hAnsi="Arial" w:cs="Arial"/>
        </w:rPr>
      </w:pPr>
      <w:r>
        <w:rPr>
          <w:rFonts w:ascii="Arial" w:hAnsi="Arial" w:cs="Arial"/>
        </w:rPr>
        <w:t>Purpose</w:t>
      </w:r>
    </w:p>
    <w:p w14:paraId="4022CB80" w14:textId="77777777" w:rsidR="00765206" w:rsidRDefault="00765206" w:rsidP="00765206">
      <w:pPr>
        <w:pStyle w:val="ListParagraph"/>
        <w:ind w:left="792"/>
        <w:rPr>
          <w:rFonts w:ascii="Arial" w:hAnsi="Arial" w:cs="Arial"/>
        </w:rPr>
      </w:pPr>
    </w:p>
    <w:p w14:paraId="593A475C" w14:textId="371D2647" w:rsidR="009B6ADE" w:rsidRDefault="009B6ADE" w:rsidP="009B6ADE">
      <w:pPr>
        <w:pStyle w:val="ListParagraph"/>
        <w:numPr>
          <w:ilvl w:val="2"/>
          <w:numId w:val="3"/>
        </w:numPr>
        <w:rPr>
          <w:rFonts w:ascii="Arial" w:hAnsi="Arial" w:cs="Arial"/>
        </w:rPr>
      </w:pPr>
      <w:r>
        <w:rPr>
          <w:rFonts w:ascii="Arial" w:hAnsi="Arial" w:cs="Arial"/>
        </w:rPr>
        <w:t>The purpose of this document is to explain to Bidders involved in the DLMC Procurement (the “Procurement”) the evaluation strategy and criteri</w:t>
      </w:r>
      <w:r w:rsidR="00765206">
        <w:rPr>
          <w:rFonts w:ascii="Arial" w:hAnsi="Arial" w:cs="Arial"/>
        </w:rPr>
        <w:t>a</w:t>
      </w:r>
      <w:r>
        <w:rPr>
          <w:rFonts w:ascii="Arial" w:hAnsi="Arial" w:cs="Arial"/>
        </w:rPr>
        <w:t xml:space="preserve"> to be used to asses</w:t>
      </w:r>
      <w:r w:rsidR="00765206">
        <w:rPr>
          <w:rFonts w:ascii="Arial" w:hAnsi="Arial" w:cs="Arial"/>
        </w:rPr>
        <w:t>s</w:t>
      </w:r>
      <w:r>
        <w:rPr>
          <w:rFonts w:ascii="Arial" w:hAnsi="Arial" w:cs="Arial"/>
        </w:rPr>
        <w:t xml:space="preserve"> each bid.</w:t>
      </w:r>
    </w:p>
    <w:p w14:paraId="06316A03" w14:textId="77777777" w:rsidR="009B6ADE" w:rsidRDefault="009B6ADE" w:rsidP="009B6ADE">
      <w:pPr>
        <w:pStyle w:val="ListParagraph"/>
        <w:ind w:left="1224"/>
        <w:rPr>
          <w:rFonts w:ascii="Arial" w:hAnsi="Arial" w:cs="Arial"/>
        </w:rPr>
      </w:pPr>
    </w:p>
    <w:p w14:paraId="03238EFE" w14:textId="05EDD70B" w:rsidR="009B6ADE" w:rsidRDefault="009B6ADE" w:rsidP="009B6ADE">
      <w:pPr>
        <w:pStyle w:val="ListParagraph"/>
        <w:numPr>
          <w:ilvl w:val="1"/>
          <w:numId w:val="3"/>
        </w:numPr>
        <w:rPr>
          <w:rFonts w:ascii="Arial" w:hAnsi="Arial" w:cs="Arial"/>
        </w:rPr>
      </w:pPr>
      <w:r>
        <w:rPr>
          <w:rFonts w:ascii="Arial" w:hAnsi="Arial" w:cs="Arial"/>
        </w:rPr>
        <w:t>Approach</w:t>
      </w:r>
    </w:p>
    <w:p w14:paraId="11E5C758" w14:textId="77777777" w:rsidR="00765206" w:rsidRDefault="00765206" w:rsidP="00765206">
      <w:pPr>
        <w:pStyle w:val="ListParagraph"/>
        <w:ind w:left="792"/>
        <w:rPr>
          <w:rFonts w:ascii="Arial" w:hAnsi="Arial" w:cs="Arial"/>
        </w:rPr>
      </w:pPr>
    </w:p>
    <w:p w14:paraId="0E10D97E" w14:textId="77777777" w:rsidR="00765206" w:rsidRDefault="009B6ADE" w:rsidP="009B6ADE">
      <w:pPr>
        <w:pStyle w:val="ListParagraph"/>
        <w:numPr>
          <w:ilvl w:val="2"/>
          <w:numId w:val="3"/>
        </w:numPr>
        <w:rPr>
          <w:rFonts w:ascii="Arial" w:hAnsi="Arial" w:cs="Arial"/>
        </w:rPr>
      </w:pPr>
      <w:r>
        <w:rPr>
          <w:rFonts w:ascii="Arial" w:hAnsi="Arial" w:cs="Arial"/>
        </w:rPr>
        <w:t xml:space="preserve">A number of contracts will be awarded in accordance with the Award Criteria detailed at Section 2.  </w:t>
      </w:r>
    </w:p>
    <w:p w14:paraId="06D259CC" w14:textId="77777777" w:rsidR="00765206" w:rsidRDefault="00765206" w:rsidP="00765206">
      <w:pPr>
        <w:pStyle w:val="ListParagraph"/>
        <w:ind w:left="1224"/>
        <w:rPr>
          <w:rFonts w:ascii="Arial" w:hAnsi="Arial" w:cs="Arial"/>
        </w:rPr>
      </w:pPr>
    </w:p>
    <w:p w14:paraId="73A61E6F" w14:textId="1E360ECF" w:rsidR="00765206" w:rsidRDefault="00765206" w:rsidP="009B6ADE">
      <w:pPr>
        <w:pStyle w:val="ListParagraph"/>
        <w:numPr>
          <w:ilvl w:val="2"/>
          <w:numId w:val="3"/>
        </w:numPr>
        <w:rPr>
          <w:rFonts w:ascii="Arial" w:hAnsi="Arial" w:cs="Arial"/>
        </w:rPr>
      </w:pPr>
      <w:r>
        <w:rPr>
          <w:rFonts w:ascii="Arial" w:hAnsi="Arial" w:cs="Arial"/>
        </w:rPr>
        <w:t>The licences and technical support delivered by these contracts will ena</w:t>
      </w:r>
      <w:r w:rsidR="00EE5D93">
        <w:rPr>
          <w:rFonts w:ascii="Arial" w:hAnsi="Arial" w:cs="Arial"/>
        </w:rPr>
        <w:t>ble the Authority</w:t>
      </w:r>
      <w:r w:rsidR="002B5E51">
        <w:rPr>
          <w:rFonts w:ascii="Arial" w:hAnsi="Arial" w:cs="Arial"/>
        </w:rPr>
        <w:t xml:space="preserve"> to assess </w:t>
      </w:r>
      <w:r w:rsidR="004B5ABB">
        <w:rPr>
          <w:rFonts w:ascii="Arial" w:hAnsi="Arial" w:cs="Arial"/>
        </w:rPr>
        <w:t>Commercial off the Shelf (</w:t>
      </w:r>
      <w:r>
        <w:rPr>
          <w:rFonts w:ascii="Arial" w:hAnsi="Arial" w:cs="Arial"/>
        </w:rPr>
        <w:t>COTS</w:t>
      </w:r>
      <w:r w:rsidR="004B5ABB">
        <w:rPr>
          <w:rFonts w:ascii="Arial" w:hAnsi="Arial" w:cs="Arial"/>
        </w:rPr>
        <w:t xml:space="preserve">) </w:t>
      </w:r>
      <w:r>
        <w:rPr>
          <w:rFonts w:ascii="Arial" w:hAnsi="Arial" w:cs="Arial"/>
        </w:rPr>
        <w:t xml:space="preserve">software products that </w:t>
      </w:r>
      <w:r w:rsidR="00D355B7">
        <w:rPr>
          <w:rFonts w:ascii="Arial" w:hAnsi="Arial" w:cs="Arial"/>
        </w:rPr>
        <w:t>can</w:t>
      </w:r>
      <w:r>
        <w:rPr>
          <w:rFonts w:ascii="Arial" w:hAnsi="Arial" w:cs="Arial"/>
        </w:rPr>
        <w:t xml:space="preserve"> meet the overarching DLMC requirement (the ‘Alpha Phase’).</w:t>
      </w:r>
      <w:r w:rsidR="00B54308">
        <w:rPr>
          <w:rFonts w:ascii="Arial" w:hAnsi="Arial" w:cs="Arial"/>
        </w:rPr>
        <w:t xml:space="preserve"> </w:t>
      </w:r>
    </w:p>
    <w:p w14:paraId="2358BAD3" w14:textId="77777777" w:rsidR="00765206" w:rsidRPr="00765206" w:rsidRDefault="00765206" w:rsidP="00765206">
      <w:pPr>
        <w:pStyle w:val="ListParagraph"/>
        <w:rPr>
          <w:rFonts w:ascii="Arial" w:hAnsi="Arial" w:cs="Arial"/>
        </w:rPr>
      </w:pPr>
    </w:p>
    <w:p w14:paraId="141B184D" w14:textId="5FBCFF01" w:rsidR="00765206" w:rsidRDefault="00765206" w:rsidP="009B6ADE">
      <w:pPr>
        <w:pStyle w:val="ListParagraph"/>
        <w:numPr>
          <w:ilvl w:val="2"/>
          <w:numId w:val="3"/>
        </w:numPr>
        <w:rPr>
          <w:rFonts w:ascii="Arial" w:hAnsi="Arial" w:cs="Arial"/>
        </w:rPr>
      </w:pPr>
      <w:r>
        <w:rPr>
          <w:rFonts w:ascii="Arial" w:hAnsi="Arial" w:cs="Arial"/>
        </w:rPr>
        <w:t>The contracts will include options to extend licences and technical support</w:t>
      </w:r>
      <w:r w:rsidR="004F3B9F">
        <w:rPr>
          <w:rFonts w:ascii="Arial" w:hAnsi="Arial" w:cs="Arial"/>
        </w:rPr>
        <w:t xml:space="preserve"> for </w:t>
      </w:r>
      <w:r w:rsidR="00D355B7">
        <w:rPr>
          <w:rFonts w:ascii="Arial" w:hAnsi="Arial" w:cs="Arial"/>
        </w:rPr>
        <w:t xml:space="preserve">the selected </w:t>
      </w:r>
      <w:r>
        <w:rPr>
          <w:rFonts w:ascii="Arial" w:hAnsi="Arial" w:cs="Arial"/>
        </w:rPr>
        <w:t>COTS software products</w:t>
      </w:r>
      <w:r w:rsidR="008F700B">
        <w:rPr>
          <w:rFonts w:ascii="Arial" w:hAnsi="Arial" w:cs="Arial"/>
        </w:rPr>
        <w:t xml:space="preserve"> </w:t>
      </w:r>
      <w:r w:rsidR="00D355B7">
        <w:rPr>
          <w:rFonts w:ascii="Arial" w:hAnsi="Arial" w:cs="Arial"/>
        </w:rPr>
        <w:t>that wi</w:t>
      </w:r>
      <w:r w:rsidR="008F700B">
        <w:rPr>
          <w:rFonts w:ascii="Arial" w:hAnsi="Arial" w:cs="Arial"/>
        </w:rPr>
        <w:t xml:space="preserve">ll </w:t>
      </w:r>
      <w:r>
        <w:rPr>
          <w:rFonts w:ascii="Arial" w:hAnsi="Arial" w:cs="Arial"/>
        </w:rPr>
        <w:t xml:space="preserve">enable the Authority to </w:t>
      </w:r>
      <w:r w:rsidR="008F700B">
        <w:rPr>
          <w:rFonts w:ascii="Arial" w:hAnsi="Arial" w:cs="Arial"/>
        </w:rPr>
        <w:t xml:space="preserve">run a ‘Beta Phase’ which will </w:t>
      </w:r>
      <w:r>
        <w:rPr>
          <w:rFonts w:ascii="Arial" w:hAnsi="Arial" w:cs="Arial"/>
        </w:rPr>
        <w:t>configure the software and immediate surrounding infrastructure</w:t>
      </w:r>
      <w:r w:rsidR="008F700B">
        <w:rPr>
          <w:rFonts w:ascii="Arial" w:hAnsi="Arial" w:cs="Arial"/>
        </w:rPr>
        <w:t xml:space="preserve"> </w:t>
      </w:r>
      <w:r w:rsidR="00F437E8">
        <w:rPr>
          <w:rFonts w:ascii="Arial" w:hAnsi="Arial" w:cs="Arial"/>
        </w:rPr>
        <w:t xml:space="preserve">to bring it </w:t>
      </w:r>
      <w:r>
        <w:rPr>
          <w:rFonts w:ascii="Arial" w:hAnsi="Arial" w:cs="Arial"/>
        </w:rPr>
        <w:t>to an operation</w:t>
      </w:r>
      <w:r w:rsidR="00F437E8">
        <w:rPr>
          <w:rFonts w:ascii="Arial" w:hAnsi="Arial" w:cs="Arial"/>
        </w:rPr>
        <w:t>al</w:t>
      </w:r>
      <w:r>
        <w:rPr>
          <w:rFonts w:ascii="Arial" w:hAnsi="Arial" w:cs="Arial"/>
        </w:rPr>
        <w:t xml:space="preserve"> state.  </w:t>
      </w:r>
      <w:r w:rsidR="00BB77AC">
        <w:rPr>
          <w:rFonts w:ascii="Arial" w:hAnsi="Arial" w:cs="Arial"/>
        </w:rPr>
        <w:t xml:space="preserve">If the Authority decides to exercise options </w:t>
      </w:r>
      <w:r w:rsidR="00D355B7">
        <w:rPr>
          <w:rFonts w:ascii="Arial" w:hAnsi="Arial" w:cs="Arial"/>
        </w:rPr>
        <w:t xml:space="preserve">for any given COTS software product </w:t>
      </w:r>
      <w:r w:rsidR="00BB77AC">
        <w:rPr>
          <w:rFonts w:ascii="Arial" w:hAnsi="Arial" w:cs="Arial"/>
        </w:rPr>
        <w:t>then the</w:t>
      </w:r>
      <w:r>
        <w:rPr>
          <w:rFonts w:ascii="Arial" w:hAnsi="Arial" w:cs="Arial"/>
        </w:rPr>
        <w:t xml:space="preserve"> options to be exercised will be determined in accordance with the </w:t>
      </w:r>
      <w:r w:rsidR="00B54308">
        <w:rPr>
          <w:rFonts w:ascii="Arial" w:hAnsi="Arial" w:cs="Arial"/>
        </w:rPr>
        <w:t>criteria detailed at Section 3.</w:t>
      </w:r>
    </w:p>
    <w:p w14:paraId="419B648C" w14:textId="77777777" w:rsidR="00765206" w:rsidRPr="00765206" w:rsidRDefault="00765206" w:rsidP="00765206">
      <w:pPr>
        <w:pStyle w:val="ListParagraph"/>
        <w:rPr>
          <w:rFonts w:ascii="Arial" w:hAnsi="Arial" w:cs="Arial"/>
        </w:rPr>
      </w:pPr>
    </w:p>
    <w:p w14:paraId="54863DD6" w14:textId="1FDCD46C" w:rsidR="00F437E8" w:rsidRDefault="00765206" w:rsidP="00765206">
      <w:pPr>
        <w:pStyle w:val="ListParagraph"/>
        <w:numPr>
          <w:ilvl w:val="2"/>
          <w:numId w:val="3"/>
        </w:numPr>
        <w:rPr>
          <w:rFonts w:ascii="Arial" w:hAnsi="Arial" w:cs="Arial"/>
        </w:rPr>
      </w:pPr>
      <w:r>
        <w:rPr>
          <w:rFonts w:ascii="Arial" w:hAnsi="Arial" w:cs="Arial"/>
        </w:rPr>
        <w:t>The Authority reserves the right not to exercis</w:t>
      </w:r>
      <w:r w:rsidR="004F3B9F">
        <w:rPr>
          <w:rFonts w:ascii="Arial" w:hAnsi="Arial" w:cs="Arial"/>
        </w:rPr>
        <w:t xml:space="preserve">e any or all of the Beta Phase </w:t>
      </w:r>
      <w:r w:rsidR="00610A14">
        <w:rPr>
          <w:rFonts w:ascii="Arial" w:hAnsi="Arial" w:cs="Arial"/>
        </w:rPr>
        <w:t xml:space="preserve">product </w:t>
      </w:r>
      <w:r w:rsidR="004F3B9F">
        <w:rPr>
          <w:rFonts w:ascii="Arial" w:hAnsi="Arial" w:cs="Arial"/>
        </w:rPr>
        <w:t>o</w:t>
      </w:r>
      <w:r>
        <w:rPr>
          <w:rFonts w:ascii="Arial" w:hAnsi="Arial" w:cs="Arial"/>
        </w:rPr>
        <w:t>ptions</w:t>
      </w:r>
      <w:r w:rsidR="00476379">
        <w:rPr>
          <w:rFonts w:ascii="Arial" w:hAnsi="Arial" w:cs="Arial"/>
        </w:rPr>
        <w:t>.</w:t>
      </w:r>
    </w:p>
    <w:p w14:paraId="00355622" w14:textId="77777777" w:rsidR="008944BC" w:rsidRPr="008944BC" w:rsidRDefault="008944BC" w:rsidP="008944BC">
      <w:pPr>
        <w:pStyle w:val="ListParagraph"/>
        <w:rPr>
          <w:rFonts w:ascii="Arial" w:hAnsi="Arial" w:cs="Arial"/>
        </w:rPr>
      </w:pPr>
    </w:p>
    <w:p w14:paraId="5F133DC3" w14:textId="4680E01D" w:rsidR="008944BC" w:rsidRDefault="008944BC" w:rsidP="008944BC">
      <w:pPr>
        <w:pStyle w:val="ListParagraph"/>
        <w:numPr>
          <w:ilvl w:val="1"/>
          <w:numId w:val="3"/>
        </w:numPr>
        <w:rPr>
          <w:rFonts w:ascii="Arial" w:hAnsi="Arial" w:cs="Arial"/>
        </w:rPr>
      </w:pPr>
      <w:r>
        <w:rPr>
          <w:rFonts w:ascii="Arial" w:hAnsi="Arial" w:cs="Arial"/>
        </w:rPr>
        <w:t>Definitions</w:t>
      </w:r>
    </w:p>
    <w:p w14:paraId="3F858CE5" w14:textId="77777777" w:rsidR="008944BC" w:rsidRDefault="008944BC" w:rsidP="008944BC">
      <w:pPr>
        <w:pStyle w:val="ListParagraph"/>
        <w:ind w:left="432"/>
        <w:rPr>
          <w:rFonts w:ascii="Arial" w:hAnsi="Arial" w:cs="Arial"/>
        </w:rPr>
      </w:pPr>
    </w:p>
    <w:p w14:paraId="017AFBDF" w14:textId="77075472" w:rsidR="008944BC" w:rsidRDefault="008944BC" w:rsidP="008944BC">
      <w:pPr>
        <w:pStyle w:val="ListParagraph"/>
        <w:numPr>
          <w:ilvl w:val="2"/>
          <w:numId w:val="3"/>
        </w:numPr>
        <w:rPr>
          <w:rFonts w:ascii="Arial" w:hAnsi="Arial" w:cs="Arial"/>
        </w:rPr>
      </w:pPr>
      <w:r>
        <w:rPr>
          <w:rFonts w:ascii="Arial" w:hAnsi="Arial" w:cs="Arial"/>
        </w:rPr>
        <w:t>For the purposes of the Procurement the following definitions shall be used;</w:t>
      </w:r>
    </w:p>
    <w:p w14:paraId="72711389" w14:textId="77777777" w:rsidR="008944BC" w:rsidRDefault="008944BC" w:rsidP="008944BC">
      <w:pPr>
        <w:pStyle w:val="ListParagraph"/>
        <w:ind w:left="1224"/>
        <w:rPr>
          <w:rFonts w:ascii="Arial" w:hAnsi="Arial" w:cs="Arial"/>
        </w:rPr>
      </w:pPr>
    </w:p>
    <w:p w14:paraId="59229B97" w14:textId="0B6E4438" w:rsidR="008944BC" w:rsidRDefault="008944BC" w:rsidP="008944BC">
      <w:pPr>
        <w:pStyle w:val="ListParagraph"/>
        <w:numPr>
          <w:ilvl w:val="3"/>
          <w:numId w:val="3"/>
        </w:numPr>
        <w:rPr>
          <w:rFonts w:ascii="Arial" w:hAnsi="Arial" w:cs="Arial"/>
        </w:rPr>
      </w:pPr>
      <w:r w:rsidRPr="008944BC">
        <w:rPr>
          <w:rFonts w:ascii="Arial" w:hAnsi="Arial" w:cs="Arial"/>
        </w:rPr>
        <w:t xml:space="preserve">Modular Software Product: Is a software product that has been designed using techniques that separate the functionality of a program into independent, interchangeable modules, such that each contains everything necessary to execute only one aspect of the desired </w:t>
      </w:r>
      <w:r w:rsidR="00487CA1">
        <w:rPr>
          <w:rFonts w:ascii="Arial" w:hAnsi="Arial" w:cs="Arial"/>
        </w:rPr>
        <w:t xml:space="preserve">DLMC </w:t>
      </w:r>
      <w:r w:rsidRPr="008944BC">
        <w:rPr>
          <w:rFonts w:ascii="Arial" w:hAnsi="Arial" w:cs="Arial"/>
        </w:rPr>
        <w:lastRenderedPageBreak/>
        <w:t>functionality.</w:t>
      </w:r>
      <w:r w:rsidR="00487CA1">
        <w:rPr>
          <w:rFonts w:ascii="Arial" w:hAnsi="Arial" w:cs="Arial"/>
        </w:rPr>
        <w:t xml:space="preserve"> Modules </w:t>
      </w:r>
      <w:r w:rsidR="00F1198A">
        <w:rPr>
          <w:rFonts w:ascii="Arial" w:hAnsi="Arial" w:cs="Arial"/>
        </w:rPr>
        <w:t>will</w:t>
      </w:r>
      <w:r w:rsidR="00487CA1">
        <w:rPr>
          <w:rFonts w:ascii="Arial" w:hAnsi="Arial" w:cs="Arial"/>
        </w:rPr>
        <w:t xml:space="preserve"> be priced separately for the purposes of responding to the ITT.</w:t>
      </w:r>
    </w:p>
    <w:p w14:paraId="6F3F85FC" w14:textId="77777777" w:rsidR="008944BC" w:rsidRPr="008944BC" w:rsidRDefault="008944BC" w:rsidP="008944BC">
      <w:pPr>
        <w:pStyle w:val="ListParagraph"/>
        <w:ind w:left="1728"/>
        <w:rPr>
          <w:rFonts w:ascii="Arial" w:hAnsi="Arial" w:cs="Arial"/>
        </w:rPr>
      </w:pPr>
    </w:p>
    <w:p w14:paraId="1FB7CEA4" w14:textId="0387EDE7" w:rsidR="008944BC" w:rsidRPr="008944BC" w:rsidRDefault="008944BC" w:rsidP="008944BC">
      <w:pPr>
        <w:pStyle w:val="ListParagraph"/>
        <w:numPr>
          <w:ilvl w:val="3"/>
          <w:numId w:val="3"/>
        </w:numPr>
        <w:rPr>
          <w:rFonts w:ascii="Arial" w:hAnsi="Arial" w:cs="Arial"/>
        </w:rPr>
      </w:pPr>
      <w:r w:rsidRPr="008944BC">
        <w:rPr>
          <w:rFonts w:ascii="Arial" w:hAnsi="Arial" w:cs="Arial"/>
        </w:rPr>
        <w:t>Non-Modular Software Product: Is a software product that has been designed using techniques that offers low re-usability and interoperability of modules making the product monolithic in structure and in flexibility of the functionality it provides.</w:t>
      </w:r>
      <w:r w:rsidR="00487CA1">
        <w:rPr>
          <w:rFonts w:ascii="Arial" w:hAnsi="Arial" w:cs="Arial"/>
        </w:rPr>
        <w:t xml:space="preserve"> The price of the product cannot be split between functional requirements for the purposes of responding to the ITT. </w:t>
      </w:r>
    </w:p>
    <w:p w14:paraId="21F33C39" w14:textId="77777777" w:rsidR="00F437E8" w:rsidRDefault="00F437E8" w:rsidP="00F437E8">
      <w:pPr>
        <w:pStyle w:val="ListParagraph"/>
        <w:rPr>
          <w:rFonts w:ascii="Arial" w:hAnsi="Arial" w:cs="Arial"/>
        </w:rPr>
      </w:pPr>
    </w:p>
    <w:p w14:paraId="7F5F58D1" w14:textId="77777777" w:rsidR="00891ACE" w:rsidRDefault="00891ACE" w:rsidP="00F437E8">
      <w:pPr>
        <w:pStyle w:val="ListParagraph"/>
        <w:rPr>
          <w:rFonts w:ascii="Arial" w:hAnsi="Arial" w:cs="Arial"/>
        </w:rPr>
      </w:pPr>
    </w:p>
    <w:p w14:paraId="7303F607" w14:textId="77777777" w:rsidR="008944BC" w:rsidRDefault="008944BC" w:rsidP="00F437E8">
      <w:pPr>
        <w:pStyle w:val="ListParagraph"/>
        <w:rPr>
          <w:rFonts w:ascii="Arial" w:hAnsi="Arial" w:cs="Arial"/>
        </w:rPr>
      </w:pPr>
    </w:p>
    <w:p w14:paraId="7A025084" w14:textId="77777777" w:rsidR="008944BC" w:rsidRDefault="008944BC" w:rsidP="00F437E8">
      <w:pPr>
        <w:pStyle w:val="ListParagraph"/>
        <w:rPr>
          <w:rFonts w:ascii="Arial" w:hAnsi="Arial" w:cs="Arial"/>
        </w:rPr>
      </w:pPr>
    </w:p>
    <w:p w14:paraId="45D7E066" w14:textId="77777777" w:rsidR="008944BC" w:rsidRDefault="008944BC" w:rsidP="00F437E8">
      <w:pPr>
        <w:pStyle w:val="ListParagraph"/>
        <w:rPr>
          <w:rFonts w:ascii="Arial" w:hAnsi="Arial" w:cs="Arial"/>
        </w:rPr>
      </w:pPr>
    </w:p>
    <w:p w14:paraId="05C87A0E" w14:textId="77777777" w:rsidR="008944BC" w:rsidRDefault="008944BC" w:rsidP="00F437E8">
      <w:pPr>
        <w:pStyle w:val="ListParagraph"/>
        <w:rPr>
          <w:rFonts w:ascii="Arial" w:hAnsi="Arial" w:cs="Arial"/>
        </w:rPr>
      </w:pPr>
    </w:p>
    <w:p w14:paraId="76FF2C1F" w14:textId="77777777" w:rsidR="008944BC" w:rsidRDefault="008944BC" w:rsidP="00F437E8">
      <w:pPr>
        <w:pStyle w:val="ListParagraph"/>
        <w:rPr>
          <w:rFonts w:ascii="Arial" w:hAnsi="Arial" w:cs="Arial"/>
        </w:rPr>
      </w:pPr>
    </w:p>
    <w:p w14:paraId="364C9494" w14:textId="77777777" w:rsidR="008944BC" w:rsidRDefault="008944BC" w:rsidP="00F437E8">
      <w:pPr>
        <w:pStyle w:val="ListParagraph"/>
        <w:rPr>
          <w:rFonts w:ascii="Arial" w:hAnsi="Arial" w:cs="Arial"/>
        </w:rPr>
      </w:pPr>
    </w:p>
    <w:p w14:paraId="32ECBA39" w14:textId="77777777" w:rsidR="008944BC" w:rsidRDefault="008944BC" w:rsidP="00F437E8">
      <w:pPr>
        <w:pStyle w:val="ListParagraph"/>
        <w:rPr>
          <w:rFonts w:ascii="Arial" w:hAnsi="Arial" w:cs="Arial"/>
        </w:rPr>
      </w:pPr>
    </w:p>
    <w:p w14:paraId="3EB0E8FC" w14:textId="77777777" w:rsidR="008944BC" w:rsidRDefault="008944BC" w:rsidP="00F437E8">
      <w:pPr>
        <w:pStyle w:val="ListParagraph"/>
        <w:rPr>
          <w:rFonts w:ascii="Arial" w:hAnsi="Arial" w:cs="Arial"/>
        </w:rPr>
      </w:pPr>
    </w:p>
    <w:p w14:paraId="23E6E1F1" w14:textId="77777777" w:rsidR="008944BC" w:rsidRDefault="008944BC" w:rsidP="00F437E8">
      <w:pPr>
        <w:pStyle w:val="ListParagraph"/>
        <w:rPr>
          <w:rFonts w:ascii="Arial" w:hAnsi="Arial" w:cs="Arial"/>
        </w:rPr>
      </w:pPr>
    </w:p>
    <w:p w14:paraId="6B769E95" w14:textId="77777777" w:rsidR="008944BC" w:rsidRDefault="008944BC" w:rsidP="00F437E8">
      <w:pPr>
        <w:pStyle w:val="ListParagraph"/>
        <w:rPr>
          <w:rFonts w:ascii="Arial" w:hAnsi="Arial" w:cs="Arial"/>
        </w:rPr>
      </w:pPr>
    </w:p>
    <w:p w14:paraId="40AEB7A2" w14:textId="77777777" w:rsidR="008944BC" w:rsidRDefault="008944BC" w:rsidP="00F437E8">
      <w:pPr>
        <w:pStyle w:val="ListParagraph"/>
        <w:rPr>
          <w:rFonts w:ascii="Arial" w:hAnsi="Arial" w:cs="Arial"/>
        </w:rPr>
      </w:pPr>
    </w:p>
    <w:p w14:paraId="09C7A549" w14:textId="77777777" w:rsidR="008944BC" w:rsidRDefault="008944BC" w:rsidP="00F437E8">
      <w:pPr>
        <w:pStyle w:val="ListParagraph"/>
        <w:rPr>
          <w:rFonts w:ascii="Arial" w:hAnsi="Arial" w:cs="Arial"/>
        </w:rPr>
      </w:pPr>
    </w:p>
    <w:p w14:paraId="4B1C966B" w14:textId="77777777" w:rsidR="008944BC" w:rsidRDefault="008944BC" w:rsidP="00F437E8">
      <w:pPr>
        <w:pStyle w:val="ListParagraph"/>
        <w:rPr>
          <w:rFonts w:ascii="Arial" w:hAnsi="Arial" w:cs="Arial"/>
        </w:rPr>
      </w:pPr>
    </w:p>
    <w:p w14:paraId="22C369DA" w14:textId="77777777" w:rsidR="008944BC" w:rsidRDefault="008944BC" w:rsidP="00F437E8">
      <w:pPr>
        <w:pStyle w:val="ListParagraph"/>
        <w:rPr>
          <w:rFonts w:ascii="Arial" w:hAnsi="Arial" w:cs="Arial"/>
        </w:rPr>
      </w:pPr>
    </w:p>
    <w:p w14:paraId="3DC0A803" w14:textId="77777777" w:rsidR="008944BC" w:rsidRDefault="008944BC" w:rsidP="00F437E8">
      <w:pPr>
        <w:pStyle w:val="ListParagraph"/>
        <w:rPr>
          <w:rFonts w:ascii="Arial" w:hAnsi="Arial" w:cs="Arial"/>
        </w:rPr>
      </w:pPr>
    </w:p>
    <w:p w14:paraId="22FA506F" w14:textId="77777777" w:rsidR="008944BC" w:rsidRDefault="008944BC" w:rsidP="00F437E8">
      <w:pPr>
        <w:pStyle w:val="ListParagraph"/>
        <w:rPr>
          <w:rFonts w:ascii="Arial" w:hAnsi="Arial" w:cs="Arial"/>
        </w:rPr>
      </w:pPr>
    </w:p>
    <w:p w14:paraId="77EC87E4" w14:textId="77777777" w:rsidR="008944BC" w:rsidRDefault="008944BC" w:rsidP="00F437E8">
      <w:pPr>
        <w:pStyle w:val="ListParagraph"/>
        <w:rPr>
          <w:rFonts w:ascii="Arial" w:hAnsi="Arial" w:cs="Arial"/>
        </w:rPr>
      </w:pPr>
    </w:p>
    <w:p w14:paraId="4826204D" w14:textId="77777777" w:rsidR="008944BC" w:rsidRDefault="008944BC" w:rsidP="00F437E8">
      <w:pPr>
        <w:pStyle w:val="ListParagraph"/>
        <w:rPr>
          <w:rFonts w:ascii="Arial" w:hAnsi="Arial" w:cs="Arial"/>
        </w:rPr>
      </w:pPr>
    </w:p>
    <w:p w14:paraId="79B20828" w14:textId="77777777" w:rsidR="008944BC" w:rsidRDefault="008944BC" w:rsidP="00F437E8">
      <w:pPr>
        <w:pStyle w:val="ListParagraph"/>
        <w:rPr>
          <w:rFonts w:ascii="Arial" w:hAnsi="Arial" w:cs="Arial"/>
        </w:rPr>
      </w:pPr>
    </w:p>
    <w:p w14:paraId="3DEFCCBC" w14:textId="77777777" w:rsidR="008944BC" w:rsidRDefault="008944BC" w:rsidP="00F437E8">
      <w:pPr>
        <w:pStyle w:val="ListParagraph"/>
        <w:rPr>
          <w:rFonts w:ascii="Arial" w:hAnsi="Arial" w:cs="Arial"/>
        </w:rPr>
      </w:pPr>
    </w:p>
    <w:p w14:paraId="338E18D9" w14:textId="77777777" w:rsidR="008944BC" w:rsidRDefault="008944BC" w:rsidP="00F437E8">
      <w:pPr>
        <w:pStyle w:val="ListParagraph"/>
        <w:rPr>
          <w:rFonts w:ascii="Arial" w:hAnsi="Arial" w:cs="Arial"/>
        </w:rPr>
      </w:pPr>
    </w:p>
    <w:p w14:paraId="6D5BFA6C" w14:textId="77777777" w:rsidR="008944BC" w:rsidRDefault="008944BC" w:rsidP="00F437E8">
      <w:pPr>
        <w:pStyle w:val="ListParagraph"/>
        <w:rPr>
          <w:rFonts w:ascii="Arial" w:hAnsi="Arial" w:cs="Arial"/>
        </w:rPr>
      </w:pPr>
    </w:p>
    <w:p w14:paraId="7CA2E6E9" w14:textId="77777777" w:rsidR="008944BC" w:rsidRDefault="008944BC" w:rsidP="00F437E8">
      <w:pPr>
        <w:pStyle w:val="ListParagraph"/>
        <w:rPr>
          <w:rFonts w:ascii="Arial" w:hAnsi="Arial" w:cs="Arial"/>
        </w:rPr>
      </w:pPr>
    </w:p>
    <w:p w14:paraId="10816538" w14:textId="77777777" w:rsidR="008944BC" w:rsidRDefault="008944BC" w:rsidP="00F437E8">
      <w:pPr>
        <w:pStyle w:val="ListParagraph"/>
        <w:rPr>
          <w:rFonts w:ascii="Arial" w:hAnsi="Arial" w:cs="Arial"/>
        </w:rPr>
      </w:pPr>
    </w:p>
    <w:p w14:paraId="4F14D076" w14:textId="77777777" w:rsidR="008944BC" w:rsidRDefault="008944BC" w:rsidP="00F437E8">
      <w:pPr>
        <w:pStyle w:val="ListParagraph"/>
        <w:rPr>
          <w:rFonts w:ascii="Arial" w:hAnsi="Arial" w:cs="Arial"/>
        </w:rPr>
      </w:pPr>
    </w:p>
    <w:p w14:paraId="6C8E24C4" w14:textId="77777777" w:rsidR="008944BC" w:rsidRDefault="008944BC" w:rsidP="00F437E8">
      <w:pPr>
        <w:pStyle w:val="ListParagraph"/>
        <w:rPr>
          <w:rFonts w:ascii="Arial" w:hAnsi="Arial" w:cs="Arial"/>
        </w:rPr>
      </w:pPr>
    </w:p>
    <w:p w14:paraId="2425749B" w14:textId="77777777" w:rsidR="008944BC" w:rsidRDefault="008944BC" w:rsidP="00F437E8">
      <w:pPr>
        <w:pStyle w:val="ListParagraph"/>
        <w:rPr>
          <w:rFonts w:ascii="Arial" w:hAnsi="Arial" w:cs="Arial"/>
        </w:rPr>
      </w:pPr>
    </w:p>
    <w:p w14:paraId="4BF72C75" w14:textId="77777777" w:rsidR="008944BC" w:rsidRDefault="008944BC" w:rsidP="00F437E8">
      <w:pPr>
        <w:pStyle w:val="ListParagraph"/>
        <w:rPr>
          <w:rFonts w:ascii="Arial" w:hAnsi="Arial" w:cs="Arial"/>
        </w:rPr>
      </w:pPr>
    </w:p>
    <w:p w14:paraId="64716FA6" w14:textId="77777777" w:rsidR="008944BC" w:rsidRDefault="008944BC" w:rsidP="00F437E8">
      <w:pPr>
        <w:pStyle w:val="ListParagraph"/>
        <w:rPr>
          <w:rFonts w:ascii="Arial" w:hAnsi="Arial" w:cs="Arial"/>
        </w:rPr>
      </w:pPr>
    </w:p>
    <w:p w14:paraId="6ED529C4" w14:textId="77777777" w:rsidR="008944BC" w:rsidRDefault="008944BC" w:rsidP="00F437E8">
      <w:pPr>
        <w:pStyle w:val="ListParagraph"/>
        <w:rPr>
          <w:rFonts w:ascii="Arial" w:hAnsi="Arial" w:cs="Arial"/>
        </w:rPr>
      </w:pPr>
    </w:p>
    <w:p w14:paraId="02B024B7" w14:textId="77777777" w:rsidR="008944BC" w:rsidRDefault="008944BC" w:rsidP="00F437E8">
      <w:pPr>
        <w:pStyle w:val="ListParagraph"/>
        <w:rPr>
          <w:rFonts w:ascii="Arial" w:hAnsi="Arial" w:cs="Arial"/>
        </w:rPr>
      </w:pPr>
    </w:p>
    <w:p w14:paraId="3A7D3229" w14:textId="77777777" w:rsidR="008944BC" w:rsidRDefault="008944BC" w:rsidP="00F437E8">
      <w:pPr>
        <w:pStyle w:val="ListParagraph"/>
        <w:rPr>
          <w:rFonts w:ascii="Arial" w:hAnsi="Arial" w:cs="Arial"/>
        </w:rPr>
      </w:pPr>
    </w:p>
    <w:p w14:paraId="67AF62DD" w14:textId="77777777" w:rsidR="008944BC" w:rsidRDefault="008944BC" w:rsidP="00F437E8">
      <w:pPr>
        <w:pStyle w:val="ListParagraph"/>
        <w:rPr>
          <w:rFonts w:ascii="Arial" w:hAnsi="Arial" w:cs="Arial"/>
        </w:rPr>
      </w:pPr>
    </w:p>
    <w:p w14:paraId="4E709AD1" w14:textId="77777777" w:rsidR="008944BC" w:rsidRDefault="008944BC" w:rsidP="00F437E8">
      <w:pPr>
        <w:pStyle w:val="ListParagraph"/>
        <w:rPr>
          <w:rFonts w:ascii="Arial" w:hAnsi="Arial" w:cs="Arial"/>
        </w:rPr>
      </w:pPr>
    </w:p>
    <w:p w14:paraId="50F0184B" w14:textId="77777777" w:rsidR="008944BC" w:rsidRDefault="008944BC" w:rsidP="00F437E8">
      <w:pPr>
        <w:pStyle w:val="ListParagraph"/>
        <w:rPr>
          <w:rFonts w:ascii="Arial" w:hAnsi="Arial" w:cs="Arial"/>
        </w:rPr>
      </w:pPr>
    </w:p>
    <w:p w14:paraId="47FC9DD9" w14:textId="77777777" w:rsidR="00D674FE" w:rsidRDefault="00D674FE" w:rsidP="00F437E8">
      <w:pPr>
        <w:pStyle w:val="ListParagraph"/>
        <w:rPr>
          <w:rFonts w:ascii="Arial" w:hAnsi="Arial" w:cs="Arial"/>
        </w:rPr>
      </w:pPr>
    </w:p>
    <w:p w14:paraId="41405743" w14:textId="77777777" w:rsidR="00D674FE" w:rsidRDefault="00D674FE" w:rsidP="00F437E8">
      <w:pPr>
        <w:pStyle w:val="ListParagraph"/>
        <w:rPr>
          <w:rFonts w:ascii="Arial" w:hAnsi="Arial" w:cs="Arial"/>
        </w:rPr>
      </w:pPr>
    </w:p>
    <w:p w14:paraId="5C607F7A" w14:textId="77777777" w:rsidR="00D674FE" w:rsidRDefault="00D674FE" w:rsidP="00F437E8">
      <w:pPr>
        <w:pStyle w:val="ListParagraph"/>
        <w:rPr>
          <w:rFonts w:ascii="Arial" w:hAnsi="Arial" w:cs="Arial"/>
        </w:rPr>
      </w:pPr>
    </w:p>
    <w:p w14:paraId="2E244150" w14:textId="77777777" w:rsidR="008374BA" w:rsidRPr="006331D4" w:rsidRDefault="00F437E8" w:rsidP="00F437E8">
      <w:pPr>
        <w:pStyle w:val="ListParagraph"/>
        <w:numPr>
          <w:ilvl w:val="0"/>
          <w:numId w:val="3"/>
        </w:numPr>
        <w:rPr>
          <w:rFonts w:ascii="Arial" w:hAnsi="Arial" w:cs="Arial"/>
          <w:b/>
        </w:rPr>
      </w:pPr>
      <w:r w:rsidRPr="006331D4">
        <w:rPr>
          <w:rFonts w:ascii="Arial" w:hAnsi="Arial" w:cs="Arial"/>
          <w:b/>
        </w:rPr>
        <w:lastRenderedPageBreak/>
        <w:t>AWARD CRITERIA FOR ALPHA PHASE CONTRACTS</w:t>
      </w:r>
    </w:p>
    <w:p w14:paraId="73B0231D" w14:textId="77777777" w:rsidR="008374BA" w:rsidRDefault="008374BA" w:rsidP="008374BA">
      <w:pPr>
        <w:pStyle w:val="ListParagraph"/>
        <w:ind w:left="360"/>
        <w:rPr>
          <w:rFonts w:ascii="Arial" w:hAnsi="Arial" w:cs="Arial"/>
        </w:rPr>
      </w:pPr>
    </w:p>
    <w:p w14:paraId="43FDC16D" w14:textId="663B1455" w:rsidR="00DE3CA0" w:rsidRDefault="00C159E2" w:rsidP="008374BA">
      <w:pPr>
        <w:pStyle w:val="ListParagraph"/>
        <w:numPr>
          <w:ilvl w:val="1"/>
          <w:numId w:val="3"/>
        </w:numPr>
        <w:rPr>
          <w:rFonts w:ascii="Arial" w:hAnsi="Arial" w:cs="Arial"/>
        </w:rPr>
      </w:pPr>
      <w:r>
        <w:rPr>
          <w:rFonts w:ascii="Arial" w:hAnsi="Arial" w:cs="Arial"/>
        </w:rPr>
        <w:t>In their tender response</w:t>
      </w:r>
      <w:r w:rsidR="00EF32D1">
        <w:rPr>
          <w:rFonts w:ascii="Arial" w:hAnsi="Arial" w:cs="Arial"/>
        </w:rPr>
        <w:t xml:space="preserve"> bidders</w:t>
      </w:r>
      <w:r w:rsidR="00771046" w:rsidRPr="0073292F">
        <w:rPr>
          <w:rFonts w:ascii="Arial" w:hAnsi="Arial" w:cs="Arial"/>
          <w:color w:val="FF0000"/>
        </w:rPr>
        <w:t xml:space="preserve"> </w:t>
      </w:r>
      <w:r w:rsidR="00771046" w:rsidRPr="00EF32D1">
        <w:rPr>
          <w:rFonts w:ascii="Arial" w:hAnsi="Arial" w:cs="Arial"/>
        </w:rPr>
        <w:t xml:space="preserve">are required to state which of the 29 Functional Requirements </w:t>
      </w:r>
      <w:r w:rsidR="00EF32D1" w:rsidRPr="00EF32D1">
        <w:rPr>
          <w:rFonts w:ascii="Arial" w:hAnsi="Arial" w:cs="Arial"/>
        </w:rPr>
        <w:t xml:space="preserve">(detailed in </w:t>
      </w:r>
      <w:r w:rsidR="008A3FD3">
        <w:rPr>
          <w:rFonts w:ascii="Arial" w:hAnsi="Arial" w:cs="Arial"/>
        </w:rPr>
        <w:t xml:space="preserve">Schedule of Requirements in </w:t>
      </w:r>
      <w:r w:rsidR="00EF32D1" w:rsidRPr="00891ACE">
        <w:rPr>
          <w:rFonts w:ascii="Arial" w:hAnsi="Arial" w:cs="Arial"/>
        </w:rPr>
        <w:t xml:space="preserve">Annex </w:t>
      </w:r>
      <w:r w:rsidR="00891ACE">
        <w:rPr>
          <w:rFonts w:ascii="Arial" w:hAnsi="Arial" w:cs="Arial"/>
        </w:rPr>
        <w:t>A</w:t>
      </w:r>
      <w:r w:rsidR="00EF32D1" w:rsidRPr="00EF32D1">
        <w:rPr>
          <w:rFonts w:ascii="Arial" w:hAnsi="Arial" w:cs="Arial"/>
        </w:rPr>
        <w:t xml:space="preserve">) </w:t>
      </w:r>
      <w:r w:rsidR="00771046" w:rsidRPr="00EF32D1">
        <w:rPr>
          <w:rFonts w:ascii="Arial" w:hAnsi="Arial" w:cs="Arial"/>
        </w:rPr>
        <w:t>they are bidding against and what product</w:t>
      </w:r>
      <w:r w:rsidR="00F1198A">
        <w:rPr>
          <w:rFonts w:ascii="Arial" w:hAnsi="Arial" w:cs="Arial"/>
        </w:rPr>
        <w:t xml:space="preserve"> and price </w:t>
      </w:r>
      <w:r w:rsidR="00771046" w:rsidRPr="00EF32D1">
        <w:rPr>
          <w:rFonts w:ascii="Arial" w:hAnsi="Arial" w:cs="Arial"/>
        </w:rPr>
        <w:t>they are offering for each Functional Requirement bid against.</w:t>
      </w:r>
      <w:r w:rsidR="00F1198A">
        <w:rPr>
          <w:rFonts w:ascii="Arial" w:hAnsi="Arial" w:cs="Arial"/>
        </w:rPr>
        <w:t xml:space="preserve"> </w:t>
      </w:r>
      <w:r w:rsidRPr="00EF32D1">
        <w:rPr>
          <w:rFonts w:ascii="Arial" w:hAnsi="Arial" w:cs="Arial"/>
        </w:rPr>
        <w:t xml:space="preserve">Bids </w:t>
      </w:r>
      <w:r>
        <w:rPr>
          <w:rFonts w:ascii="Arial" w:hAnsi="Arial" w:cs="Arial"/>
        </w:rPr>
        <w:t>will be mapped to a decision matrix to expose the extent of coverage a bidder has offered against the total functional set. This is illustrated in figure 1.</w:t>
      </w:r>
    </w:p>
    <w:p w14:paraId="4432CAB8" w14:textId="77777777" w:rsidR="008F772F" w:rsidRDefault="008F772F" w:rsidP="008F772F">
      <w:pPr>
        <w:pStyle w:val="ListParagraph"/>
        <w:ind w:left="432"/>
        <w:rPr>
          <w:rFonts w:ascii="Arial" w:hAnsi="Arial" w:cs="Arial"/>
        </w:rPr>
      </w:pPr>
    </w:p>
    <w:p w14:paraId="6F77E13F" w14:textId="03318C2C" w:rsidR="008F772F" w:rsidRDefault="008F772F" w:rsidP="008374BA">
      <w:pPr>
        <w:pStyle w:val="ListParagraph"/>
        <w:numPr>
          <w:ilvl w:val="1"/>
          <w:numId w:val="3"/>
        </w:numPr>
        <w:rPr>
          <w:rFonts w:ascii="Arial" w:hAnsi="Arial" w:cs="Arial"/>
        </w:rPr>
      </w:pPr>
      <w:r>
        <w:rPr>
          <w:rFonts w:ascii="Arial" w:hAnsi="Arial" w:cs="Arial"/>
        </w:rPr>
        <w:t>The Authority shall only consider Products bid against each Functional Requirement that are modular in build.</w:t>
      </w:r>
      <w:r w:rsidR="00F04AD3">
        <w:rPr>
          <w:rFonts w:ascii="Arial" w:hAnsi="Arial" w:cs="Arial"/>
        </w:rPr>
        <w:t xml:space="preserve"> Where only one Product bid has been received against a Functional Requirement then the Authority shall consider either</w:t>
      </w:r>
      <w:r w:rsidR="00B1789F">
        <w:rPr>
          <w:rFonts w:ascii="Arial" w:hAnsi="Arial" w:cs="Arial"/>
        </w:rPr>
        <w:t xml:space="preserve"> modular or</w:t>
      </w:r>
      <w:r w:rsidR="00F04AD3">
        <w:rPr>
          <w:rFonts w:ascii="Arial" w:hAnsi="Arial" w:cs="Arial"/>
        </w:rPr>
        <w:t xml:space="preserve"> non-modular build product</w:t>
      </w:r>
      <w:r w:rsidR="00606874">
        <w:rPr>
          <w:rFonts w:ascii="Arial" w:hAnsi="Arial" w:cs="Arial"/>
        </w:rPr>
        <w:t>s</w:t>
      </w:r>
      <w:r w:rsidR="00AB3F14">
        <w:rPr>
          <w:rFonts w:ascii="Arial" w:hAnsi="Arial" w:cs="Arial"/>
        </w:rPr>
        <w:t xml:space="preserve"> however the additional functionality given by the non-modular product will be treated as redundant</w:t>
      </w:r>
      <w:r w:rsidR="00F04AD3">
        <w:rPr>
          <w:rFonts w:ascii="Arial" w:hAnsi="Arial" w:cs="Arial"/>
        </w:rPr>
        <w:t>.</w:t>
      </w:r>
      <w:r>
        <w:rPr>
          <w:rFonts w:ascii="Arial" w:hAnsi="Arial" w:cs="Arial"/>
        </w:rPr>
        <w:t xml:space="preserve"> </w:t>
      </w:r>
    </w:p>
    <w:p w14:paraId="582BA8EC" w14:textId="77777777" w:rsidR="00CF7877" w:rsidRDefault="00CF7877" w:rsidP="00CF7877">
      <w:pPr>
        <w:pStyle w:val="ListParagraph"/>
        <w:ind w:left="792"/>
        <w:rPr>
          <w:rFonts w:ascii="Arial" w:hAnsi="Arial" w:cs="Arial"/>
        </w:rPr>
      </w:pPr>
    </w:p>
    <w:p w14:paraId="2C97D74E" w14:textId="0CF5FBD0" w:rsidR="00CF7877" w:rsidRDefault="00CF7877" w:rsidP="008374BA">
      <w:pPr>
        <w:pStyle w:val="ListParagraph"/>
        <w:numPr>
          <w:ilvl w:val="1"/>
          <w:numId w:val="3"/>
        </w:numPr>
        <w:rPr>
          <w:rFonts w:ascii="Arial" w:hAnsi="Arial" w:cs="Arial"/>
        </w:rPr>
      </w:pPr>
      <w:r>
        <w:rPr>
          <w:rFonts w:ascii="Arial" w:hAnsi="Arial" w:cs="Arial"/>
        </w:rPr>
        <w:t>All examples listed in the following figures are for illustrative purposes only. The actual criteria and weighting values are detailed in</w:t>
      </w:r>
      <w:r w:rsidR="00D2727B">
        <w:rPr>
          <w:rFonts w:ascii="Arial" w:hAnsi="Arial" w:cs="Arial"/>
        </w:rPr>
        <w:t xml:space="preserve"> the tables and in</w:t>
      </w:r>
      <w:r>
        <w:rPr>
          <w:rFonts w:ascii="Arial" w:hAnsi="Arial" w:cs="Arial"/>
        </w:rPr>
        <w:t xml:space="preserve"> </w:t>
      </w:r>
      <w:r w:rsidR="00D2727B">
        <w:rPr>
          <w:rFonts w:ascii="Arial" w:hAnsi="Arial" w:cs="Arial"/>
        </w:rPr>
        <w:t>Annex A to Schedule 5 of the Contract</w:t>
      </w:r>
      <w:r w:rsidRPr="00891ACE">
        <w:rPr>
          <w:rFonts w:ascii="Arial" w:hAnsi="Arial" w:cs="Arial"/>
        </w:rPr>
        <w:t>.</w:t>
      </w:r>
    </w:p>
    <w:p w14:paraId="06A08A34" w14:textId="77777777" w:rsidR="00C159E2" w:rsidRDefault="00C159E2" w:rsidP="00C159E2">
      <w:pPr>
        <w:pStyle w:val="ListParagraph"/>
        <w:ind w:left="792"/>
        <w:rPr>
          <w:rFonts w:ascii="Arial" w:hAnsi="Arial" w:cs="Arial"/>
        </w:rPr>
      </w:pPr>
    </w:p>
    <w:p w14:paraId="25C5EDC0" w14:textId="3357BDEA" w:rsidR="00C159E2" w:rsidRDefault="00C159E2" w:rsidP="00C159E2">
      <w:pPr>
        <w:rPr>
          <w:rFonts w:ascii="Arial" w:hAnsi="Arial" w:cs="Arial"/>
        </w:rPr>
      </w:pPr>
      <w:r w:rsidRPr="00C159E2">
        <w:rPr>
          <w:noProof/>
          <w:lang w:eastAsia="en-GB"/>
        </w:rPr>
        <w:drawing>
          <wp:inline distT="0" distB="0" distL="0" distR="0" wp14:anchorId="4C369708" wp14:editId="1461CA74">
            <wp:extent cx="5731510" cy="1386322"/>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386322"/>
                    </a:xfrm>
                    <a:prstGeom prst="rect">
                      <a:avLst/>
                    </a:prstGeom>
                    <a:noFill/>
                    <a:ln>
                      <a:noFill/>
                    </a:ln>
                  </pic:spPr>
                </pic:pic>
              </a:graphicData>
            </a:graphic>
          </wp:inline>
        </w:drawing>
      </w:r>
    </w:p>
    <w:p w14:paraId="2B3AB2D1" w14:textId="1938113D" w:rsidR="00C159E2" w:rsidRPr="006331D4" w:rsidRDefault="00C159E2" w:rsidP="00C159E2">
      <w:pPr>
        <w:jc w:val="center"/>
        <w:rPr>
          <w:rFonts w:ascii="Arial" w:hAnsi="Arial" w:cs="Arial"/>
          <w:b/>
        </w:rPr>
      </w:pPr>
      <w:r>
        <w:rPr>
          <w:rFonts w:ascii="Arial" w:hAnsi="Arial" w:cs="Arial"/>
          <w:b/>
        </w:rPr>
        <w:t>Figure</w:t>
      </w:r>
      <w:r w:rsidRPr="006331D4">
        <w:rPr>
          <w:rFonts w:ascii="Arial" w:hAnsi="Arial" w:cs="Arial"/>
          <w:b/>
        </w:rPr>
        <w:t xml:space="preserve"> 1</w:t>
      </w:r>
      <w:r w:rsidR="00F776D2">
        <w:rPr>
          <w:rFonts w:ascii="Arial" w:hAnsi="Arial" w:cs="Arial"/>
          <w:b/>
        </w:rPr>
        <w:t xml:space="preserve"> </w:t>
      </w:r>
    </w:p>
    <w:p w14:paraId="282BF24F" w14:textId="77777777" w:rsidR="00F836A2" w:rsidRDefault="00F836A2" w:rsidP="00F836A2">
      <w:pPr>
        <w:pStyle w:val="ListParagraph"/>
        <w:ind w:left="360"/>
        <w:rPr>
          <w:rFonts w:ascii="Arial" w:hAnsi="Arial" w:cs="Arial"/>
        </w:rPr>
      </w:pPr>
    </w:p>
    <w:p w14:paraId="38FB7D9E" w14:textId="68DF7B49" w:rsidR="00F836A2" w:rsidRDefault="00F836A2" w:rsidP="00F836A2">
      <w:pPr>
        <w:pStyle w:val="ListParagraph"/>
        <w:numPr>
          <w:ilvl w:val="1"/>
          <w:numId w:val="3"/>
        </w:numPr>
        <w:rPr>
          <w:rFonts w:ascii="Arial" w:hAnsi="Arial" w:cs="Arial"/>
        </w:rPr>
      </w:pPr>
      <w:r>
        <w:rPr>
          <w:rFonts w:ascii="Arial" w:hAnsi="Arial" w:cs="Arial"/>
        </w:rPr>
        <w:t xml:space="preserve">Bids will be scored against the Functional Requirements </w:t>
      </w:r>
      <w:r w:rsidR="002A2C15">
        <w:rPr>
          <w:rFonts w:ascii="Arial" w:hAnsi="Arial" w:cs="Arial"/>
        </w:rPr>
        <w:t>as detailed in Annex A to Schedule 5 of the Contract</w:t>
      </w:r>
      <w:r w:rsidR="00063A91">
        <w:rPr>
          <w:rFonts w:ascii="Arial" w:hAnsi="Arial" w:cs="Arial"/>
        </w:rPr>
        <w:t xml:space="preserve"> </w:t>
      </w:r>
      <w:r>
        <w:rPr>
          <w:rFonts w:ascii="Arial" w:hAnsi="Arial" w:cs="Arial"/>
        </w:rPr>
        <w:t xml:space="preserve">using the marking scheme detailed at </w:t>
      </w:r>
      <w:r w:rsidR="00D2727B">
        <w:rPr>
          <w:rFonts w:ascii="Arial" w:hAnsi="Arial" w:cs="Arial"/>
        </w:rPr>
        <w:t>Table 2</w:t>
      </w:r>
      <w:r>
        <w:rPr>
          <w:rFonts w:ascii="Arial" w:hAnsi="Arial" w:cs="Arial"/>
        </w:rPr>
        <w:t xml:space="preserve">. </w:t>
      </w:r>
      <w:r w:rsidR="008A3FD3">
        <w:rPr>
          <w:rFonts w:ascii="Arial" w:hAnsi="Arial" w:cs="Arial"/>
        </w:rPr>
        <w:t>Figure 2 illustrates.</w:t>
      </w:r>
      <w:r w:rsidR="00063A91">
        <w:rPr>
          <w:rFonts w:ascii="Arial" w:hAnsi="Arial" w:cs="Arial"/>
        </w:rPr>
        <w:t xml:space="preserve"> </w:t>
      </w:r>
    </w:p>
    <w:p w14:paraId="0AAECEA2" w14:textId="77777777" w:rsidR="00EF32D1" w:rsidRPr="00EF32D1" w:rsidRDefault="00EF32D1" w:rsidP="00EF32D1">
      <w:pPr>
        <w:pStyle w:val="ListParagraph"/>
        <w:ind w:left="792"/>
        <w:rPr>
          <w:rFonts w:ascii="Arial" w:hAnsi="Arial" w:cs="Arial"/>
        </w:rPr>
      </w:pPr>
    </w:p>
    <w:p w14:paraId="6F39C72F" w14:textId="1B990461" w:rsidR="00EF32D1" w:rsidRPr="0073292F" w:rsidRDefault="00EF32D1" w:rsidP="00EF32D1">
      <w:pPr>
        <w:pStyle w:val="ListParagraph"/>
        <w:numPr>
          <w:ilvl w:val="1"/>
          <w:numId w:val="3"/>
        </w:numPr>
        <w:rPr>
          <w:rFonts w:ascii="Arial" w:hAnsi="Arial" w:cs="Arial"/>
          <w:color w:val="FF0000"/>
        </w:rPr>
      </w:pPr>
      <w:r w:rsidRPr="00EF32D1">
        <w:rPr>
          <w:rFonts w:ascii="Arial" w:hAnsi="Arial" w:cs="Arial"/>
        </w:rPr>
        <w:t>Where any product bid against a Funct</w:t>
      </w:r>
      <w:r w:rsidR="008A3FD3">
        <w:rPr>
          <w:rFonts w:ascii="Arial" w:hAnsi="Arial" w:cs="Arial"/>
        </w:rPr>
        <w:t xml:space="preserve">ional Requirement is awarded an </w:t>
      </w:r>
      <w:r w:rsidRPr="00EF32D1">
        <w:rPr>
          <w:rFonts w:ascii="Arial" w:hAnsi="Arial" w:cs="Arial"/>
        </w:rPr>
        <w:t>“</w:t>
      </w:r>
      <w:r w:rsidR="00E63FDB">
        <w:rPr>
          <w:rFonts w:ascii="Arial" w:hAnsi="Arial" w:cs="Arial"/>
        </w:rPr>
        <w:t>Unacceptable”</w:t>
      </w:r>
      <w:r w:rsidRPr="00EF32D1">
        <w:rPr>
          <w:rFonts w:ascii="Arial" w:hAnsi="Arial" w:cs="Arial"/>
        </w:rPr>
        <w:t xml:space="preserve"> score (a score of 2 or less) then the product will be deemed technically non-compliant and eliminated from further consideration for that functional requirement. This does not mean that the product is eliminated from consideration for other Functional requirements</w:t>
      </w:r>
      <w:r w:rsidR="008A3FD3">
        <w:rPr>
          <w:rFonts w:ascii="Arial" w:hAnsi="Arial" w:cs="Arial"/>
          <w:color w:val="FF0000"/>
        </w:rPr>
        <w:t>.</w:t>
      </w:r>
    </w:p>
    <w:p w14:paraId="6BBE9925" w14:textId="77777777" w:rsidR="00824872" w:rsidRDefault="00824872" w:rsidP="00824872">
      <w:pPr>
        <w:pStyle w:val="ListParagraph"/>
        <w:ind w:left="792"/>
        <w:rPr>
          <w:rFonts w:ascii="Arial" w:hAnsi="Arial" w:cs="Arial"/>
        </w:rPr>
      </w:pPr>
    </w:p>
    <w:p w14:paraId="60898FC3" w14:textId="77777777" w:rsidR="00D2727B" w:rsidRDefault="00D2727B" w:rsidP="00824872">
      <w:pPr>
        <w:pStyle w:val="ListParagraph"/>
        <w:ind w:left="792"/>
        <w:rPr>
          <w:rFonts w:ascii="Arial" w:hAnsi="Arial" w:cs="Arial"/>
        </w:rPr>
      </w:pPr>
    </w:p>
    <w:p w14:paraId="353E99F2" w14:textId="20F6B3A7" w:rsidR="00C159E2" w:rsidRDefault="00824872" w:rsidP="00C159E2">
      <w:pPr>
        <w:rPr>
          <w:rFonts w:ascii="Arial" w:hAnsi="Arial" w:cs="Arial"/>
        </w:rPr>
      </w:pPr>
      <w:r w:rsidRPr="00824872">
        <w:rPr>
          <w:noProof/>
          <w:lang w:eastAsia="en-GB"/>
        </w:rPr>
        <w:lastRenderedPageBreak/>
        <w:drawing>
          <wp:inline distT="0" distB="0" distL="0" distR="0" wp14:anchorId="1CE4E146" wp14:editId="683BE6E8">
            <wp:extent cx="5731510" cy="1386322"/>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386322"/>
                    </a:xfrm>
                    <a:prstGeom prst="rect">
                      <a:avLst/>
                    </a:prstGeom>
                    <a:noFill/>
                    <a:ln>
                      <a:noFill/>
                    </a:ln>
                  </pic:spPr>
                </pic:pic>
              </a:graphicData>
            </a:graphic>
          </wp:inline>
        </w:drawing>
      </w:r>
    </w:p>
    <w:p w14:paraId="396D72FE" w14:textId="4B806F3B" w:rsidR="00824872" w:rsidRDefault="00824872" w:rsidP="00824872">
      <w:pPr>
        <w:jc w:val="center"/>
        <w:rPr>
          <w:rFonts w:ascii="Arial" w:hAnsi="Arial" w:cs="Arial"/>
          <w:b/>
        </w:rPr>
      </w:pPr>
      <w:r>
        <w:rPr>
          <w:rFonts w:ascii="Arial" w:hAnsi="Arial" w:cs="Arial"/>
          <w:b/>
        </w:rPr>
        <w:t>Figure</w:t>
      </w:r>
      <w:r w:rsidRPr="006331D4">
        <w:rPr>
          <w:rFonts w:ascii="Arial" w:hAnsi="Arial" w:cs="Arial"/>
          <w:b/>
        </w:rPr>
        <w:t xml:space="preserve"> </w:t>
      </w:r>
      <w:r>
        <w:rPr>
          <w:rFonts w:ascii="Arial" w:hAnsi="Arial" w:cs="Arial"/>
          <w:b/>
        </w:rPr>
        <w:t>2</w:t>
      </w:r>
      <w:r w:rsidR="00F776D2">
        <w:rPr>
          <w:rFonts w:ascii="Arial" w:hAnsi="Arial" w:cs="Arial"/>
          <w:b/>
        </w:rPr>
        <w:t xml:space="preserve"> </w:t>
      </w:r>
    </w:p>
    <w:p w14:paraId="7B925F49" w14:textId="77777777" w:rsidR="00E766F8" w:rsidRDefault="00E766F8" w:rsidP="00E766F8">
      <w:pPr>
        <w:pStyle w:val="ListParagraph"/>
        <w:ind w:left="432"/>
        <w:rPr>
          <w:rFonts w:ascii="Arial" w:hAnsi="Arial" w:cs="Arial"/>
        </w:rPr>
      </w:pPr>
    </w:p>
    <w:p w14:paraId="78ACF462" w14:textId="00C9AE79" w:rsidR="00824872" w:rsidRDefault="00824872" w:rsidP="00824872">
      <w:pPr>
        <w:pStyle w:val="ListParagraph"/>
        <w:numPr>
          <w:ilvl w:val="1"/>
          <w:numId w:val="3"/>
        </w:numPr>
        <w:rPr>
          <w:rFonts w:ascii="Arial" w:hAnsi="Arial" w:cs="Arial"/>
        </w:rPr>
      </w:pPr>
      <w:r>
        <w:rPr>
          <w:rFonts w:ascii="Arial" w:hAnsi="Arial" w:cs="Arial"/>
        </w:rPr>
        <w:t xml:space="preserve">Bids will be scored against the System Requirements as detailed in </w:t>
      </w:r>
      <w:r w:rsidR="002A2C15">
        <w:rPr>
          <w:rFonts w:ascii="Arial" w:hAnsi="Arial" w:cs="Arial"/>
        </w:rPr>
        <w:t xml:space="preserve">Annex A to Schedule 5 of the Contract </w:t>
      </w:r>
      <w:r>
        <w:rPr>
          <w:rFonts w:ascii="Arial" w:hAnsi="Arial" w:cs="Arial"/>
        </w:rPr>
        <w:t xml:space="preserve">using the marking scheme detailed at </w:t>
      </w:r>
      <w:r w:rsidR="00D2727B">
        <w:rPr>
          <w:rFonts w:ascii="Arial" w:hAnsi="Arial" w:cs="Arial"/>
        </w:rPr>
        <w:t>Table 2</w:t>
      </w:r>
      <w:r>
        <w:rPr>
          <w:rFonts w:ascii="Arial" w:hAnsi="Arial" w:cs="Arial"/>
        </w:rPr>
        <w:t>. Figure 3 illustrates.</w:t>
      </w:r>
      <w:r w:rsidR="00063A91">
        <w:rPr>
          <w:rFonts w:ascii="Arial" w:hAnsi="Arial" w:cs="Arial"/>
        </w:rPr>
        <w:t xml:space="preserve"> Each System Requirements has an equal weighting.</w:t>
      </w:r>
    </w:p>
    <w:p w14:paraId="4A0C4996" w14:textId="77777777" w:rsidR="00C25417" w:rsidRDefault="00C25417" w:rsidP="00C25417">
      <w:pPr>
        <w:pStyle w:val="ListParagraph"/>
        <w:ind w:left="792"/>
        <w:rPr>
          <w:rFonts w:ascii="Arial" w:hAnsi="Arial" w:cs="Arial"/>
        </w:rPr>
      </w:pPr>
    </w:p>
    <w:p w14:paraId="024B2BFF" w14:textId="4C370B3B" w:rsidR="00C25417" w:rsidRPr="00AF2814" w:rsidRDefault="00C25417" w:rsidP="00C25417">
      <w:pPr>
        <w:pStyle w:val="ListParagraph"/>
        <w:numPr>
          <w:ilvl w:val="1"/>
          <w:numId w:val="3"/>
        </w:numPr>
        <w:rPr>
          <w:rFonts w:ascii="Arial" w:hAnsi="Arial" w:cs="Arial"/>
        </w:rPr>
      </w:pPr>
      <w:r>
        <w:rPr>
          <w:rFonts w:ascii="Arial" w:hAnsi="Arial" w:cs="Arial"/>
        </w:rPr>
        <w:t xml:space="preserve">System Requirements are not uniformly applicable to all Functional Requirements.  An applicability matrix is detailed </w:t>
      </w:r>
      <w:r w:rsidR="002A2C15">
        <w:rPr>
          <w:rFonts w:ascii="Arial" w:hAnsi="Arial" w:cs="Arial"/>
        </w:rPr>
        <w:t xml:space="preserve">at Appendix 1 </w:t>
      </w:r>
      <w:r>
        <w:rPr>
          <w:rFonts w:ascii="Arial" w:hAnsi="Arial" w:cs="Arial"/>
        </w:rPr>
        <w:t>which maps the relationship between the two sets of requirements. All Non Functional Requirements are uniformly applicable to all Functional Requirements.</w:t>
      </w:r>
    </w:p>
    <w:p w14:paraId="48F6FCB3" w14:textId="77777777" w:rsidR="00C25417" w:rsidRDefault="00C25417" w:rsidP="00C25417">
      <w:pPr>
        <w:pStyle w:val="ListParagraph"/>
        <w:ind w:left="360"/>
        <w:rPr>
          <w:rFonts w:ascii="Arial" w:hAnsi="Arial" w:cs="Arial"/>
        </w:rPr>
      </w:pPr>
    </w:p>
    <w:p w14:paraId="3DA49F6C" w14:textId="17F905F3" w:rsidR="00C159E2" w:rsidRDefault="00CF7877" w:rsidP="00C159E2">
      <w:pPr>
        <w:rPr>
          <w:rFonts w:ascii="Arial" w:hAnsi="Arial" w:cs="Arial"/>
        </w:rPr>
      </w:pPr>
      <w:r w:rsidRPr="00CF7877">
        <w:rPr>
          <w:noProof/>
          <w:lang w:eastAsia="en-GB"/>
        </w:rPr>
        <w:drawing>
          <wp:inline distT="0" distB="0" distL="0" distR="0" wp14:anchorId="3D1A059C" wp14:editId="44F7AD72">
            <wp:extent cx="5731510" cy="3992413"/>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992413"/>
                    </a:xfrm>
                    <a:prstGeom prst="rect">
                      <a:avLst/>
                    </a:prstGeom>
                    <a:noFill/>
                    <a:ln>
                      <a:noFill/>
                    </a:ln>
                  </pic:spPr>
                </pic:pic>
              </a:graphicData>
            </a:graphic>
          </wp:inline>
        </w:drawing>
      </w:r>
    </w:p>
    <w:p w14:paraId="1CB110C9" w14:textId="508612F5" w:rsidR="009365CF" w:rsidRPr="006331D4" w:rsidRDefault="009365CF" w:rsidP="009365CF">
      <w:pPr>
        <w:jc w:val="center"/>
        <w:rPr>
          <w:rFonts w:ascii="Arial" w:hAnsi="Arial" w:cs="Arial"/>
          <w:b/>
        </w:rPr>
      </w:pPr>
      <w:r>
        <w:rPr>
          <w:rFonts w:ascii="Arial" w:hAnsi="Arial" w:cs="Arial"/>
          <w:b/>
        </w:rPr>
        <w:t>Figure</w:t>
      </w:r>
      <w:r w:rsidRPr="006331D4">
        <w:rPr>
          <w:rFonts w:ascii="Arial" w:hAnsi="Arial" w:cs="Arial"/>
          <w:b/>
        </w:rPr>
        <w:t xml:space="preserve"> </w:t>
      </w:r>
      <w:r>
        <w:rPr>
          <w:rFonts w:ascii="Arial" w:hAnsi="Arial" w:cs="Arial"/>
          <w:b/>
        </w:rPr>
        <w:t>3</w:t>
      </w:r>
      <w:r w:rsidR="00CF7877">
        <w:rPr>
          <w:rFonts w:ascii="Arial" w:hAnsi="Arial" w:cs="Arial"/>
          <w:b/>
        </w:rPr>
        <w:t xml:space="preserve"> </w:t>
      </w:r>
    </w:p>
    <w:p w14:paraId="74585F1B" w14:textId="77777777" w:rsidR="009365CF" w:rsidRDefault="009365CF" w:rsidP="00C159E2">
      <w:pPr>
        <w:rPr>
          <w:rFonts w:ascii="Arial" w:hAnsi="Arial" w:cs="Arial"/>
        </w:rPr>
      </w:pPr>
    </w:p>
    <w:p w14:paraId="65091EC4" w14:textId="6C1BD308" w:rsidR="009365CF" w:rsidRDefault="009365CF" w:rsidP="009365CF">
      <w:pPr>
        <w:pStyle w:val="ListParagraph"/>
        <w:numPr>
          <w:ilvl w:val="1"/>
          <w:numId w:val="3"/>
        </w:numPr>
        <w:rPr>
          <w:rFonts w:ascii="Arial" w:hAnsi="Arial" w:cs="Arial"/>
        </w:rPr>
      </w:pPr>
      <w:r>
        <w:rPr>
          <w:rFonts w:ascii="Arial" w:hAnsi="Arial" w:cs="Arial"/>
        </w:rPr>
        <w:lastRenderedPageBreak/>
        <w:t xml:space="preserve">Bids will be scored against the Non Functional Requirements as detailed </w:t>
      </w:r>
      <w:r w:rsidR="002A2C15">
        <w:rPr>
          <w:rFonts w:ascii="Arial" w:hAnsi="Arial" w:cs="Arial"/>
        </w:rPr>
        <w:t xml:space="preserve">in Annex A to Schedule 5 of the Contract </w:t>
      </w:r>
      <w:r>
        <w:rPr>
          <w:rFonts w:ascii="Arial" w:hAnsi="Arial" w:cs="Arial"/>
        </w:rPr>
        <w:t xml:space="preserve">using the marking scheme detailed at </w:t>
      </w:r>
      <w:r w:rsidR="00D2727B">
        <w:rPr>
          <w:rFonts w:ascii="Arial" w:hAnsi="Arial" w:cs="Arial"/>
        </w:rPr>
        <w:t>Table 2</w:t>
      </w:r>
      <w:r>
        <w:rPr>
          <w:rFonts w:ascii="Arial" w:hAnsi="Arial" w:cs="Arial"/>
        </w:rPr>
        <w:t>. Figure 4 illustrates.</w:t>
      </w:r>
    </w:p>
    <w:p w14:paraId="16ED283B" w14:textId="06561755" w:rsidR="009365CF" w:rsidRDefault="00CF7877" w:rsidP="00C159E2">
      <w:pPr>
        <w:rPr>
          <w:rFonts w:ascii="Arial" w:hAnsi="Arial" w:cs="Arial"/>
        </w:rPr>
      </w:pPr>
      <w:r w:rsidRPr="00CF7877">
        <w:rPr>
          <w:noProof/>
          <w:lang w:eastAsia="en-GB"/>
        </w:rPr>
        <w:drawing>
          <wp:inline distT="0" distB="0" distL="0" distR="0" wp14:anchorId="111079E5" wp14:editId="0AD378E6">
            <wp:extent cx="5731510" cy="447774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477742"/>
                    </a:xfrm>
                    <a:prstGeom prst="rect">
                      <a:avLst/>
                    </a:prstGeom>
                    <a:noFill/>
                    <a:ln>
                      <a:noFill/>
                    </a:ln>
                  </pic:spPr>
                </pic:pic>
              </a:graphicData>
            </a:graphic>
          </wp:inline>
        </w:drawing>
      </w:r>
    </w:p>
    <w:p w14:paraId="4A8DDBB6" w14:textId="0CB52081" w:rsidR="009365CF" w:rsidRDefault="009365CF" w:rsidP="009365CF">
      <w:pPr>
        <w:jc w:val="center"/>
        <w:rPr>
          <w:rFonts w:ascii="Arial" w:hAnsi="Arial" w:cs="Arial"/>
          <w:b/>
        </w:rPr>
      </w:pPr>
      <w:r>
        <w:rPr>
          <w:rFonts w:ascii="Arial" w:hAnsi="Arial" w:cs="Arial"/>
          <w:b/>
        </w:rPr>
        <w:t>Figure</w:t>
      </w:r>
      <w:r w:rsidRPr="006331D4">
        <w:rPr>
          <w:rFonts w:ascii="Arial" w:hAnsi="Arial" w:cs="Arial"/>
          <w:b/>
        </w:rPr>
        <w:t xml:space="preserve"> </w:t>
      </w:r>
      <w:r>
        <w:rPr>
          <w:rFonts w:ascii="Arial" w:hAnsi="Arial" w:cs="Arial"/>
          <w:b/>
        </w:rPr>
        <w:t>4</w:t>
      </w:r>
      <w:r w:rsidR="00CF7877">
        <w:rPr>
          <w:rFonts w:ascii="Arial" w:hAnsi="Arial" w:cs="Arial"/>
          <w:b/>
        </w:rPr>
        <w:t xml:space="preserve"> </w:t>
      </w:r>
    </w:p>
    <w:p w14:paraId="18132399" w14:textId="77777777" w:rsidR="0029675A" w:rsidRDefault="0029675A" w:rsidP="009365CF">
      <w:pPr>
        <w:jc w:val="center"/>
        <w:rPr>
          <w:rFonts w:ascii="Arial" w:hAnsi="Arial" w:cs="Arial"/>
          <w:b/>
        </w:rPr>
      </w:pPr>
    </w:p>
    <w:p w14:paraId="21AAC711" w14:textId="713C569B" w:rsidR="009365CF" w:rsidRDefault="009365CF" w:rsidP="009365CF">
      <w:pPr>
        <w:pStyle w:val="ListParagraph"/>
        <w:numPr>
          <w:ilvl w:val="1"/>
          <w:numId w:val="3"/>
        </w:numPr>
        <w:rPr>
          <w:rFonts w:ascii="Arial" w:hAnsi="Arial" w:cs="Arial"/>
        </w:rPr>
      </w:pPr>
      <w:r>
        <w:rPr>
          <w:rFonts w:ascii="Arial" w:hAnsi="Arial" w:cs="Arial"/>
        </w:rPr>
        <w:t xml:space="preserve">Scores will be added together to give </w:t>
      </w:r>
      <w:r w:rsidR="00105F36">
        <w:rPr>
          <w:rFonts w:ascii="Arial" w:hAnsi="Arial" w:cs="Arial"/>
        </w:rPr>
        <w:t>a technical score</w:t>
      </w:r>
      <w:r>
        <w:rPr>
          <w:rFonts w:ascii="Arial" w:hAnsi="Arial" w:cs="Arial"/>
        </w:rPr>
        <w:t xml:space="preserve"> for each functional </w:t>
      </w:r>
      <w:r w:rsidR="001B33A9">
        <w:rPr>
          <w:rFonts w:ascii="Arial" w:hAnsi="Arial" w:cs="Arial"/>
        </w:rPr>
        <w:t>area</w:t>
      </w:r>
      <w:r w:rsidR="0029675A">
        <w:rPr>
          <w:rFonts w:ascii="Arial" w:hAnsi="Arial" w:cs="Arial"/>
        </w:rPr>
        <w:t xml:space="preserve"> (Illustrated in Figure 5)</w:t>
      </w:r>
      <w:r w:rsidR="001B33A9">
        <w:rPr>
          <w:rFonts w:ascii="Arial" w:hAnsi="Arial" w:cs="Arial"/>
        </w:rPr>
        <w:t xml:space="preserve">. </w:t>
      </w:r>
      <w:r w:rsidR="0029675A">
        <w:rPr>
          <w:rFonts w:ascii="Arial" w:hAnsi="Arial" w:cs="Arial"/>
        </w:rPr>
        <w:t>The following weightings are used in this calculation;</w:t>
      </w:r>
    </w:p>
    <w:p w14:paraId="109A88F1" w14:textId="77777777" w:rsidR="0029675A" w:rsidRDefault="0029675A" w:rsidP="0029675A">
      <w:pPr>
        <w:pStyle w:val="ListParagraph"/>
        <w:ind w:left="792"/>
        <w:rPr>
          <w:rFonts w:ascii="Arial" w:hAnsi="Arial" w:cs="Arial"/>
        </w:rPr>
      </w:pPr>
    </w:p>
    <w:p w14:paraId="65D34173" w14:textId="4EC304BA" w:rsidR="0029675A" w:rsidRDefault="0029675A" w:rsidP="0029675A">
      <w:pPr>
        <w:pStyle w:val="ListParagraph"/>
        <w:numPr>
          <w:ilvl w:val="2"/>
          <w:numId w:val="3"/>
        </w:numPr>
        <w:rPr>
          <w:rFonts w:ascii="Arial" w:hAnsi="Arial" w:cs="Arial"/>
        </w:rPr>
      </w:pPr>
      <w:r>
        <w:rPr>
          <w:rFonts w:ascii="Arial" w:hAnsi="Arial" w:cs="Arial"/>
        </w:rPr>
        <w:t xml:space="preserve">Functional Requirements </w:t>
      </w:r>
      <w:r w:rsidR="005D78FC">
        <w:rPr>
          <w:rFonts w:ascii="Arial" w:hAnsi="Arial" w:cs="Arial"/>
        </w:rPr>
        <w:t>5</w:t>
      </w:r>
      <w:r>
        <w:rPr>
          <w:rFonts w:ascii="Arial" w:hAnsi="Arial" w:cs="Arial"/>
        </w:rPr>
        <w:t>0%</w:t>
      </w:r>
    </w:p>
    <w:p w14:paraId="587AC17F" w14:textId="50FA0C1E" w:rsidR="0029675A" w:rsidRDefault="0029675A" w:rsidP="0029675A">
      <w:pPr>
        <w:pStyle w:val="ListParagraph"/>
        <w:numPr>
          <w:ilvl w:val="2"/>
          <w:numId w:val="3"/>
        </w:numPr>
        <w:rPr>
          <w:rFonts w:ascii="Arial" w:hAnsi="Arial" w:cs="Arial"/>
        </w:rPr>
      </w:pPr>
      <w:r>
        <w:rPr>
          <w:rFonts w:ascii="Arial" w:hAnsi="Arial" w:cs="Arial"/>
        </w:rPr>
        <w:t xml:space="preserve">System Requirements </w:t>
      </w:r>
      <w:r w:rsidR="005D78FC">
        <w:rPr>
          <w:rFonts w:ascii="Arial" w:hAnsi="Arial" w:cs="Arial"/>
        </w:rPr>
        <w:t>2</w:t>
      </w:r>
      <w:r>
        <w:rPr>
          <w:rFonts w:ascii="Arial" w:hAnsi="Arial" w:cs="Arial"/>
        </w:rPr>
        <w:t>0%</w:t>
      </w:r>
    </w:p>
    <w:p w14:paraId="49B806BB" w14:textId="28F74E57" w:rsidR="0029675A" w:rsidRDefault="0029675A" w:rsidP="0029675A">
      <w:pPr>
        <w:pStyle w:val="ListParagraph"/>
        <w:numPr>
          <w:ilvl w:val="2"/>
          <w:numId w:val="3"/>
        </w:numPr>
        <w:rPr>
          <w:rFonts w:ascii="Arial" w:hAnsi="Arial" w:cs="Arial"/>
        </w:rPr>
      </w:pPr>
      <w:r>
        <w:rPr>
          <w:rFonts w:ascii="Arial" w:hAnsi="Arial" w:cs="Arial"/>
        </w:rPr>
        <w:t xml:space="preserve">Non-functional Requirements </w:t>
      </w:r>
      <w:r w:rsidR="005D78FC">
        <w:rPr>
          <w:rFonts w:ascii="Arial" w:hAnsi="Arial" w:cs="Arial"/>
        </w:rPr>
        <w:t>3</w:t>
      </w:r>
      <w:r>
        <w:rPr>
          <w:rFonts w:ascii="Arial" w:hAnsi="Arial" w:cs="Arial"/>
        </w:rPr>
        <w:t>0%</w:t>
      </w:r>
    </w:p>
    <w:p w14:paraId="185D096E" w14:textId="77777777" w:rsidR="00D2727B" w:rsidRPr="00D2727B" w:rsidRDefault="00D2727B" w:rsidP="00D2727B">
      <w:pPr>
        <w:rPr>
          <w:rFonts w:ascii="Arial" w:hAnsi="Arial" w:cs="Arial"/>
        </w:rPr>
      </w:pPr>
    </w:p>
    <w:p w14:paraId="7E57465D" w14:textId="3ED5D57C" w:rsidR="009365CF" w:rsidRDefault="005F653E" w:rsidP="00C159E2">
      <w:pPr>
        <w:rPr>
          <w:noProof/>
          <w:lang w:eastAsia="en-GB"/>
        </w:rPr>
      </w:pPr>
      <w:r w:rsidRPr="005F653E">
        <w:rPr>
          <w:noProof/>
          <w:lang w:eastAsia="en-GB"/>
        </w:rPr>
        <w:lastRenderedPageBreak/>
        <w:drawing>
          <wp:inline distT="0" distB="0" distL="0" distR="0" wp14:anchorId="4D5240AE" wp14:editId="7B1CFB62">
            <wp:extent cx="5731510" cy="150396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503960"/>
                    </a:xfrm>
                    <a:prstGeom prst="rect">
                      <a:avLst/>
                    </a:prstGeom>
                    <a:noFill/>
                    <a:ln>
                      <a:noFill/>
                    </a:ln>
                  </pic:spPr>
                </pic:pic>
              </a:graphicData>
            </a:graphic>
          </wp:inline>
        </w:drawing>
      </w:r>
    </w:p>
    <w:p w14:paraId="4FC2B7CD" w14:textId="33D4FB30" w:rsidR="001B33A9" w:rsidRPr="006331D4" w:rsidRDefault="001B33A9" w:rsidP="001B33A9">
      <w:pPr>
        <w:jc w:val="center"/>
        <w:rPr>
          <w:rFonts w:ascii="Arial" w:hAnsi="Arial" w:cs="Arial"/>
          <w:b/>
        </w:rPr>
      </w:pPr>
      <w:r>
        <w:rPr>
          <w:rFonts w:ascii="Arial" w:hAnsi="Arial" w:cs="Arial"/>
          <w:b/>
        </w:rPr>
        <w:t>Figure</w:t>
      </w:r>
      <w:r w:rsidRPr="006331D4">
        <w:rPr>
          <w:rFonts w:ascii="Arial" w:hAnsi="Arial" w:cs="Arial"/>
          <w:b/>
        </w:rPr>
        <w:t xml:space="preserve"> </w:t>
      </w:r>
      <w:r>
        <w:rPr>
          <w:rFonts w:ascii="Arial" w:hAnsi="Arial" w:cs="Arial"/>
          <w:b/>
        </w:rPr>
        <w:t>5</w:t>
      </w:r>
      <w:r w:rsidR="00F776D2">
        <w:rPr>
          <w:rFonts w:ascii="Arial" w:hAnsi="Arial" w:cs="Arial"/>
          <w:b/>
        </w:rPr>
        <w:t xml:space="preserve"> </w:t>
      </w:r>
    </w:p>
    <w:p w14:paraId="08C5AB4C" w14:textId="3F59DD72" w:rsidR="00105F36" w:rsidRDefault="00105F36" w:rsidP="00105F36">
      <w:pPr>
        <w:pStyle w:val="ListParagraph"/>
        <w:numPr>
          <w:ilvl w:val="1"/>
          <w:numId w:val="3"/>
        </w:numPr>
        <w:rPr>
          <w:rFonts w:ascii="Arial" w:hAnsi="Arial" w:cs="Arial"/>
        </w:rPr>
      </w:pPr>
      <w:r>
        <w:rPr>
          <w:rFonts w:ascii="Arial" w:hAnsi="Arial" w:cs="Arial"/>
        </w:rPr>
        <w:t xml:space="preserve">The technical score will then be converted into a technical percentage score to enable a MEAT evaluation based on a </w:t>
      </w:r>
      <w:r w:rsidR="00644FCA">
        <w:rPr>
          <w:rFonts w:ascii="Arial" w:hAnsi="Arial" w:cs="Arial"/>
        </w:rPr>
        <w:t>65</w:t>
      </w:r>
      <w:r>
        <w:rPr>
          <w:rFonts w:ascii="Arial" w:hAnsi="Arial" w:cs="Arial"/>
        </w:rPr>
        <w:t>/</w:t>
      </w:r>
      <w:r w:rsidR="00644FCA">
        <w:rPr>
          <w:rFonts w:ascii="Arial" w:hAnsi="Arial" w:cs="Arial"/>
        </w:rPr>
        <w:t>25/10</w:t>
      </w:r>
      <w:r>
        <w:rPr>
          <w:rFonts w:ascii="Arial" w:hAnsi="Arial" w:cs="Arial"/>
        </w:rPr>
        <w:t xml:space="preserve"> technical/price</w:t>
      </w:r>
      <w:r w:rsidR="00644FCA">
        <w:rPr>
          <w:rFonts w:ascii="Arial" w:hAnsi="Arial" w:cs="Arial"/>
        </w:rPr>
        <w:t>/commercial</w:t>
      </w:r>
      <w:r>
        <w:rPr>
          <w:rFonts w:ascii="Arial" w:hAnsi="Arial" w:cs="Arial"/>
        </w:rPr>
        <w:t xml:space="preserve"> split</w:t>
      </w:r>
      <w:r w:rsidR="00A02F71">
        <w:rPr>
          <w:rFonts w:ascii="Arial" w:hAnsi="Arial" w:cs="Arial"/>
        </w:rPr>
        <w:t xml:space="preserve"> (illustrated in Figure 6)</w:t>
      </w:r>
      <w:r>
        <w:rPr>
          <w:rFonts w:ascii="Arial" w:hAnsi="Arial" w:cs="Arial"/>
        </w:rPr>
        <w:t xml:space="preserve">. </w:t>
      </w:r>
      <w:r w:rsidR="00A02F71" w:rsidRPr="00B84415">
        <w:rPr>
          <w:rFonts w:ascii="Arial" w:hAnsi="Arial" w:cs="Arial"/>
        </w:rPr>
        <w:t xml:space="preserve">A technical score of </w:t>
      </w:r>
      <w:r w:rsidR="002A2C15">
        <w:rPr>
          <w:rFonts w:ascii="Arial" w:hAnsi="Arial" w:cs="Arial"/>
        </w:rPr>
        <w:t>70</w:t>
      </w:r>
      <w:r w:rsidR="00A02F71" w:rsidRPr="00B84415">
        <w:rPr>
          <w:rFonts w:ascii="Arial" w:hAnsi="Arial" w:cs="Arial"/>
        </w:rPr>
        <w:t xml:space="preserve"> is allocated to the best technically compliant tender and the technical scores of the other tenders is calculated using</w:t>
      </w:r>
      <w:r w:rsidR="00A02F71">
        <w:rPr>
          <w:rFonts w:ascii="Arial" w:hAnsi="Arial" w:cs="Arial"/>
        </w:rPr>
        <w:t xml:space="preserve"> a percentage difference method;</w:t>
      </w:r>
    </w:p>
    <w:p w14:paraId="691BA7BA" w14:textId="77777777" w:rsidR="00105F36" w:rsidRDefault="00105F36" w:rsidP="00105F36">
      <w:pPr>
        <w:pStyle w:val="ListParagraph"/>
        <w:ind w:left="1224"/>
        <w:rPr>
          <w:rFonts w:ascii="Arial" w:hAnsi="Arial" w:cs="Arial"/>
        </w:rPr>
      </w:pPr>
    </w:p>
    <w:p w14:paraId="64FE6AB4" w14:textId="3322402E" w:rsidR="00105F36" w:rsidRPr="005F653E" w:rsidRDefault="00105F36" w:rsidP="00105F36">
      <w:pPr>
        <w:pStyle w:val="ListParagraph"/>
        <w:ind w:left="360"/>
        <w:rPr>
          <w:rFonts w:ascii="Arial" w:eastAsiaTheme="minorEastAsia" w:hAnsi="Arial" w:cs="Arial"/>
        </w:rPr>
      </w:pPr>
      <m:oMathPara>
        <m:oMath>
          <m:r>
            <w:rPr>
              <w:rFonts w:ascii="Cambria Math" w:hAnsi="Cambria Math" w:cs="Arial"/>
            </w:rPr>
            <m:t>Technical Score=Total Available Marks ×</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 xml:space="preserve"> Technical Mark</m:t>
                  </m:r>
                </m:num>
                <m:den>
                  <m:r>
                    <w:rPr>
                      <w:rFonts w:ascii="Cambria Math" w:hAnsi="Cambria Math" w:cs="Arial"/>
                    </w:rPr>
                    <m:t>Highest Technical Mark</m:t>
                  </m:r>
                </m:den>
              </m:f>
            </m:e>
          </m:d>
        </m:oMath>
      </m:oMathPara>
    </w:p>
    <w:p w14:paraId="0F26FBAD" w14:textId="77777777" w:rsidR="005F653E" w:rsidRPr="00721A1C" w:rsidRDefault="005F653E" w:rsidP="00105F36">
      <w:pPr>
        <w:pStyle w:val="ListParagraph"/>
        <w:ind w:left="360"/>
        <w:rPr>
          <w:rFonts w:ascii="Arial" w:hAnsi="Arial" w:cs="Arial"/>
        </w:rPr>
      </w:pPr>
    </w:p>
    <w:p w14:paraId="56750BA4" w14:textId="5D737316" w:rsidR="00105F36" w:rsidRPr="007811BB" w:rsidRDefault="00526262" w:rsidP="00C159E2">
      <w:pPr>
        <w:rPr>
          <w:rFonts w:ascii="Arial" w:hAnsi="Arial" w:cs="Arial"/>
          <w:color w:val="FF0000"/>
        </w:rPr>
      </w:pPr>
      <w:r>
        <w:rPr>
          <w:noProof/>
          <w:lang w:eastAsia="en-GB"/>
        </w:rPr>
        <w:drawing>
          <wp:inline distT="0" distB="0" distL="0" distR="0" wp14:anchorId="3112F466" wp14:editId="68A653DC">
            <wp:extent cx="5731510" cy="1503680"/>
            <wp:effectExtent l="0" t="0" r="2540" b="127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503680"/>
                    </a:xfrm>
                    <a:prstGeom prst="rect">
                      <a:avLst/>
                    </a:prstGeom>
                    <a:noFill/>
                    <a:ln>
                      <a:noFill/>
                    </a:ln>
                  </pic:spPr>
                </pic:pic>
              </a:graphicData>
            </a:graphic>
          </wp:inline>
        </w:drawing>
      </w:r>
    </w:p>
    <w:p w14:paraId="5ED61D0D" w14:textId="4EDA40C7" w:rsidR="005F653E" w:rsidRPr="00331CC6" w:rsidRDefault="005F653E" w:rsidP="005F653E">
      <w:pPr>
        <w:jc w:val="center"/>
        <w:rPr>
          <w:rFonts w:ascii="Arial" w:hAnsi="Arial" w:cs="Arial"/>
          <w:b/>
        </w:rPr>
      </w:pPr>
      <w:r w:rsidRPr="00331CC6">
        <w:rPr>
          <w:rFonts w:ascii="Arial" w:hAnsi="Arial" w:cs="Arial"/>
          <w:b/>
        </w:rPr>
        <w:t xml:space="preserve">Figure 6 </w:t>
      </w:r>
    </w:p>
    <w:p w14:paraId="53282DE0" w14:textId="77777777" w:rsidR="00DF7738" w:rsidRDefault="00DF7738" w:rsidP="00DF7738">
      <w:pPr>
        <w:pStyle w:val="ListParagraph"/>
        <w:ind w:left="792"/>
        <w:rPr>
          <w:rFonts w:ascii="Arial" w:hAnsi="Arial" w:cs="Arial"/>
        </w:rPr>
      </w:pPr>
    </w:p>
    <w:p w14:paraId="3B1188CA" w14:textId="2B501CF3" w:rsidR="00A02F71" w:rsidRDefault="00A02F71" w:rsidP="00A02F71">
      <w:pPr>
        <w:pStyle w:val="ListParagraph"/>
        <w:numPr>
          <w:ilvl w:val="1"/>
          <w:numId w:val="3"/>
        </w:numPr>
        <w:rPr>
          <w:rFonts w:ascii="Arial" w:hAnsi="Arial" w:cs="Arial"/>
        </w:rPr>
      </w:pPr>
      <w:r>
        <w:rPr>
          <w:rFonts w:ascii="Arial" w:hAnsi="Arial" w:cs="Arial"/>
        </w:rPr>
        <w:t xml:space="preserve">Bids will be scored on price </w:t>
      </w:r>
      <w:r w:rsidR="00644FCA">
        <w:rPr>
          <w:rFonts w:ascii="Arial" w:hAnsi="Arial" w:cs="Arial"/>
        </w:rPr>
        <w:t>using the same methodology as technical scoring.</w:t>
      </w:r>
      <w:r>
        <w:rPr>
          <w:rFonts w:ascii="Arial" w:hAnsi="Arial" w:cs="Arial"/>
        </w:rPr>
        <w:t xml:space="preserve"> </w:t>
      </w:r>
      <w:r w:rsidR="00644FCA">
        <w:rPr>
          <w:rFonts w:ascii="Arial" w:hAnsi="Arial" w:cs="Arial"/>
        </w:rPr>
        <w:t>A</w:t>
      </w:r>
      <w:r>
        <w:rPr>
          <w:rFonts w:ascii="Arial" w:hAnsi="Arial" w:cs="Arial"/>
        </w:rPr>
        <w:t xml:space="preserve"> price score of </w:t>
      </w:r>
      <w:r w:rsidR="002A2C15">
        <w:rPr>
          <w:rFonts w:ascii="Arial" w:hAnsi="Arial" w:cs="Arial"/>
        </w:rPr>
        <w:t>30</w:t>
      </w:r>
      <w:r>
        <w:rPr>
          <w:rFonts w:ascii="Arial" w:hAnsi="Arial" w:cs="Arial"/>
        </w:rPr>
        <w:t xml:space="preserve"> </w:t>
      </w:r>
      <w:r w:rsidR="00644FCA">
        <w:rPr>
          <w:rFonts w:ascii="Arial" w:hAnsi="Arial" w:cs="Arial"/>
        </w:rPr>
        <w:t xml:space="preserve">will </w:t>
      </w:r>
      <w:r>
        <w:rPr>
          <w:rFonts w:ascii="Arial" w:hAnsi="Arial" w:cs="Arial"/>
        </w:rPr>
        <w:t xml:space="preserve">be allocated to the lowest priced </w:t>
      </w:r>
      <w:r w:rsidR="00AF2814">
        <w:rPr>
          <w:rFonts w:ascii="Arial" w:hAnsi="Arial" w:cs="Arial"/>
        </w:rPr>
        <w:t>tender</w:t>
      </w:r>
      <w:r>
        <w:rPr>
          <w:rFonts w:ascii="Arial" w:hAnsi="Arial" w:cs="Arial"/>
        </w:rPr>
        <w:t>. The price score of the other tenders is calculated using a percentage difference method;</w:t>
      </w:r>
    </w:p>
    <w:p w14:paraId="1958D329" w14:textId="5C293080" w:rsidR="00A02F71" w:rsidRDefault="00A02F71" w:rsidP="00C159E2">
      <w:pPr>
        <w:rPr>
          <w:rFonts w:ascii="Arial" w:hAnsi="Arial" w:cs="Arial"/>
        </w:rPr>
      </w:pPr>
      <m:oMathPara>
        <m:oMath>
          <m:r>
            <w:rPr>
              <w:rFonts w:ascii="Cambria Math" w:hAnsi="Cambria Math" w:cs="Arial"/>
            </w:rPr>
            <m:t>Pricing Score=Total Available Marks ×</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Lowest Priced Compliant Tender</m:t>
                  </m:r>
                </m:num>
                <m:den>
                  <m:r>
                    <w:rPr>
                      <w:rFonts w:ascii="Cambria Math" w:hAnsi="Cambria Math" w:cs="Arial"/>
                    </w:rPr>
                    <m:t>Tender Price</m:t>
                  </m:r>
                </m:den>
              </m:f>
            </m:e>
          </m:d>
        </m:oMath>
      </m:oMathPara>
    </w:p>
    <w:p w14:paraId="4A2868CA" w14:textId="77777777" w:rsidR="00644FCA" w:rsidRDefault="00644FCA" w:rsidP="00644FCA">
      <w:pPr>
        <w:pStyle w:val="ListParagraph"/>
        <w:ind w:left="792"/>
        <w:rPr>
          <w:rFonts w:ascii="Arial" w:hAnsi="Arial" w:cs="Arial"/>
        </w:rPr>
      </w:pPr>
    </w:p>
    <w:p w14:paraId="7F7FF761" w14:textId="0C06615E" w:rsidR="0029675A" w:rsidRDefault="0029675A" w:rsidP="004224FB">
      <w:pPr>
        <w:pStyle w:val="ListParagraph"/>
        <w:numPr>
          <w:ilvl w:val="1"/>
          <w:numId w:val="3"/>
        </w:numPr>
        <w:rPr>
          <w:rFonts w:ascii="Arial" w:hAnsi="Arial" w:cs="Arial"/>
        </w:rPr>
      </w:pPr>
      <w:r>
        <w:rPr>
          <w:rFonts w:ascii="Arial" w:hAnsi="Arial" w:cs="Arial"/>
        </w:rPr>
        <w:t>The technical</w:t>
      </w:r>
      <w:r w:rsidR="002A2C15">
        <w:rPr>
          <w:rFonts w:ascii="Arial" w:hAnsi="Arial" w:cs="Arial"/>
        </w:rPr>
        <w:t xml:space="preserve"> and</w:t>
      </w:r>
      <w:r>
        <w:rPr>
          <w:rFonts w:ascii="Arial" w:hAnsi="Arial" w:cs="Arial"/>
        </w:rPr>
        <w:t xml:space="preserve"> pricing scores are added together to give a total score that takes account of all award criteria. The successful tender</w:t>
      </w:r>
      <w:r w:rsidR="004224FB">
        <w:rPr>
          <w:rFonts w:ascii="Arial" w:hAnsi="Arial" w:cs="Arial"/>
        </w:rPr>
        <w:t xml:space="preserve">ers </w:t>
      </w:r>
      <w:r w:rsidR="007D4255">
        <w:rPr>
          <w:rFonts w:ascii="Arial" w:hAnsi="Arial" w:cs="Arial"/>
        </w:rPr>
        <w:t xml:space="preserve">will be the top </w:t>
      </w:r>
      <w:r w:rsidR="00644FCA">
        <w:rPr>
          <w:rFonts w:ascii="Arial" w:hAnsi="Arial" w:cs="Arial"/>
        </w:rPr>
        <w:t xml:space="preserve">scoring </w:t>
      </w:r>
      <w:r w:rsidR="007D4255">
        <w:rPr>
          <w:rFonts w:ascii="Arial" w:hAnsi="Arial" w:cs="Arial"/>
        </w:rPr>
        <w:t>product</w:t>
      </w:r>
      <w:r w:rsidR="008712BB">
        <w:rPr>
          <w:rFonts w:ascii="Arial" w:hAnsi="Arial" w:cs="Arial"/>
        </w:rPr>
        <w:t xml:space="preserve"> per functional area that are</w:t>
      </w:r>
      <w:r>
        <w:rPr>
          <w:rFonts w:ascii="Arial" w:hAnsi="Arial" w:cs="Arial"/>
        </w:rPr>
        <w:t xml:space="preserve"> classified as ‘commercially </w:t>
      </w:r>
      <w:r w:rsidR="00FF6264">
        <w:rPr>
          <w:rFonts w:ascii="Arial" w:hAnsi="Arial" w:cs="Arial"/>
        </w:rPr>
        <w:t xml:space="preserve">and </w:t>
      </w:r>
      <w:r w:rsidR="00771046">
        <w:rPr>
          <w:rFonts w:ascii="Arial" w:hAnsi="Arial" w:cs="Arial"/>
        </w:rPr>
        <w:t>technically</w:t>
      </w:r>
      <w:r w:rsidR="00FF6264">
        <w:rPr>
          <w:rFonts w:ascii="Arial" w:hAnsi="Arial" w:cs="Arial"/>
        </w:rPr>
        <w:t xml:space="preserve"> </w:t>
      </w:r>
      <w:r>
        <w:rPr>
          <w:rFonts w:ascii="Arial" w:hAnsi="Arial" w:cs="Arial"/>
        </w:rPr>
        <w:t>compliant’</w:t>
      </w:r>
      <w:r w:rsidR="00644FCA">
        <w:rPr>
          <w:rFonts w:ascii="Arial" w:hAnsi="Arial" w:cs="Arial"/>
        </w:rPr>
        <w:t xml:space="preserve"> and affordable</w:t>
      </w:r>
      <w:r>
        <w:rPr>
          <w:rFonts w:ascii="Arial" w:hAnsi="Arial" w:cs="Arial"/>
        </w:rPr>
        <w:t>.</w:t>
      </w:r>
      <w:r w:rsidR="008712BB">
        <w:rPr>
          <w:rFonts w:ascii="Arial" w:hAnsi="Arial" w:cs="Arial"/>
        </w:rPr>
        <w:t xml:space="preserve"> </w:t>
      </w:r>
      <w:r w:rsidR="00C84CB6" w:rsidRPr="00E71D81">
        <w:rPr>
          <w:rFonts w:ascii="Arial" w:hAnsi="Arial" w:cs="Arial"/>
        </w:rPr>
        <w:t xml:space="preserve">In the event that more than one bidder has the same winning score then contracts will be awarded to </w:t>
      </w:r>
      <w:r w:rsidR="00E71D81" w:rsidRPr="00E71D81">
        <w:rPr>
          <w:rFonts w:ascii="Arial" w:hAnsi="Arial" w:cs="Arial"/>
        </w:rPr>
        <w:t>the lowest priced bid</w:t>
      </w:r>
      <w:r w:rsidR="00C84CB6" w:rsidRPr="00E71D81">
        <w:rPr>
          <w:rFonts w:ascii="Arial" w:hAnsi="Arial" w:cs="Arial"/>
        </w:rPr>
        <w:t xml:space="preserve">. </w:t>
      </w:r>
    </w:p>
    <w:p w14:paraId="6270D14C" w14:textId="77777777" w:rsidR="00C25417" w:rsidRDefault="00C25417" w:rsidP="00C25417">
      <w:pPr>
        <w:pStyle w:val="ListParagraph"/>
        <w:ind w:left="792"/>
        <w:rPr>
          <w:rFonts w:ascii="Arial" w:hAnsi="Arial" w:cs="Arial"/>
        </w:rPr>
      </w:pPr>
    </w:p>
    <w:p w14:paraId="119B04A3" w14:textId="63CC0313" w:rsidR="008F700B" w:rsidRDefault="008F700B" w:rsidP="00A02F71">
      <w:pPr>
        <w:pStyle w:val="ListParagraph"/>
        <w:numPr>
          <w:ilvl w:val="1"/>
          <w:numId w:val="3"/>
        </w:numPr>
        <w:rPr>
          <w:rFonts w:ascii="Arial" w:hAnsi="Arial" w:cs="Arial"/>
        </w:rPr>
      </w:pPr>
      <w:r>
        <w:rPr>
          <w:rFonts w:ascii="Arial" w:hAnsi="Arial" w:cs="Arial"/>
        </w:rPr>
        <w:t xml:space="preserve">The Authority will review and score the information provided in the Tender Response against the award criteria detailed in </w:t>
      </w:r>
      <w:r w:rsidR="00D2727B">
        <w:rPr>
          <w:rFonts w:ascii="Arial" w:hAnsi="Arial" w:cs="Arial"/>
        </w:rPr>
        <w:t>Table 1</w:t>
      </w:r>
      <w:r>
        <w:rPr>
          <w:rFonts w:ascii="Arial" w:hAnsi="Arial" w:cs="Arial"/>
        </w:rPr>
        <w:t>.</w:t>
      </w:r>
      <w:r w:rsidR="009D599E">
        <w:rPr>
          <w:rFonts w:ascii="Arial" w:hAnsi="Arial" w:cs="Arial"/>
        </w:rPr>
        <w:t xml:space="preserve"> </w:t>
      </w:r>
    </w:p>
    <w:p w14:paraId="4D9A567E" w14:textId="77777777" w:rsidR="00243822" w:rsidRDefault="00243822" w:rsidP="00243822">
      <w:pPr>
        <w:pStyle w:val="ListParagraph"/>
        <w:ind w:left="432"/>
        <w:rPr>
          <w:rFonts w:ascii="Arial" w:hAnsi="Arial" w:cs="Arial"/>
        </w:rPr>
      </w:pPr>
    </w:p>
    <w:tbl>
      <w:tblPr>
        <w:tblStyle w:val="TableGrid"/>
        <w:tblW w:w="0" w:type="auto"/>
        <w:tblLook w:val="04A0" w:firstRow="1" w:lastRow="0" w:firstColumn="1" w:lastColumn="0" w:noHBand="0" w:noVBand="1"/>
      </w:tblPr>
      <w:tblGrid>
        <w:gridCol w:w="1848"/>
        <w:gridCol w:w="1121"/>
        <w:gridCol w:w="3474"/>
        <w:gridCol w:w="950"/>
        <w:gridCol w:w="1849"/>
      </w:tblGrid>
      <w:tr w:rsidR="0061447B" w14:paraId="53C8D137" w14:textId="77777777" w:rsidTr="0061447B">
        <w:trPr>
          <w:trHeight w:val="261"/>
        </w:trPr>
        <w:tc>
          <w:tcPr>
            <w:tcW w:w="1848" w:type="dxa"/>
            <w:shd w:val="pct25" w:color="auto" w:fill="auto"/>
          </w:tcPr>
          <w:p w14:paraId="70A0DFD4" w14:textId="2ACCF780" w:rsidR="0061447B" w:rsidRDefault="0061447B" w:rsidP="0061447B">
            <w:pPr>
              <w:rPr>
                <w:rFonts w:ascii="Arial" w:hAnsi="Arial" w:cs="Arial"/>
                <w:b/>
              </w:rPr>
            </w:pPr>
            <w:r>
              <w:rPr>
                <w:rFonts w:ascii="Arial" w:hAnsi="Arial" w:cs="Arial"/>
                <w:b/>
              </w:rPr>
              <w:t>Level 1</w:t>
            </w:r>
          </w:p>
        </w:tc>
        <w:tc>
          <w:tcPr>
            <w:tcW w:w="1121" w:type="dxa"/>
            <w:shd w:val="pct25" w:color="auto" w:fill="auto"/>
          </w:tcPr>
          <w:p w14:paraId="66B7C3DF" w14:textId="143FBF39" w:rsidR="0061447B" w:rsidRDefault="0061447B" w:rsidP="0061447B">
            <w:pPr>
              <w:rPr>
                <w:rFonts w:ascii="Arial" w:hAnsi="Arial" w:cs="Arial"/>
                <w:b/>
              </w:rPr>
            </w:pPr>
            <w:r>
              <w:rPr>
                <w:rFonts w:ascii="Arial" w:hAnsi="Arial" w:cs="Arial"/>
                <w:b/>
              </w:rPr>
              <w:t>Weight</w:t>
            </w:r>
          </w:p>
        </w:tc>
        <w:tc>
          <w:tcPr>
            <w:tcW w:w="3474" w:type="dxa"/>
            <w:shd w:val="pct25" w:color="auto" w:fill="auto"/>
          </w:tcPr>
          <w:p w14:paraId="32E22598" w14:textId="6C979963" w:rsidR="0061447B" w:rsidRDefault="0061447B" w:rsidP="0061447B">
            <w:pPr>
              <w:rPr>
                <w:rFonts w:ascii="Arial" w:hAnsi="Arial" w:cs="Arial"/>
                <w:b/>
              </w:rPr>
            </w:pPr>
            <w:r>
              <w:rPr>
                <w:rFonts w:ascii="Arial" w:hAnsi="Arial" w:cs="Arial"/>
                <w:b/>
              </w:rPr>
              <w:t>Level 2</w:t>
            </w:r>
          </w:p>
        </w:tc>
        <w:tc>
          <w:tcPr>
            <w:tcW w:w="950" w:type="dxa"/>
            <w:shd w:val="pct25" w:color="auto" w:fill="auto"/>
          </w:tcPr>
          <w:p w14:paraId="28C8FB0E" w14:textId="0EE46733" w:rsidR="0061447B" w:rsidRDefault="0061447B" w:rsidP="0061447B">
            <w:pPr>
              <w:rPr>
                <w:rFonts w:ascii="Arial" w:hAnsi="Arial" w:cs="Arial"/>
                <w:b/>
              </w:rPr>
            </w:pPr>
            <w:r>
              <w:rPr>
                <w:rFonts w:ascii="Arial" w:hAnsi="Arial" w:cs="Arial"/>
                <w:b/>
              </w:rPr>
              <w:t>Weight</w:t>
            </w:r>
          </w:p>
        </w:tc>
        <w:tc>
          <w:tcPr>
            <w:tcW w:w="1849" w:type="dxa"/>
            <w:shd w:val="pct25" w:color="auto" w:fill="auto"/>
          </w:tcPr>
          <w:p w14:paraId="415422D3" w14:textId="2D3FA743" w:rsidR="0061447B" w:rsidRDefault="0061447B" w:rsidP="0061447B">
            <w:pPr>
              <w:rPr>
                <w:rFonts w:ascii="Arial" w:hAnsi="Arial" w:cs="Arial"/>
                <w:b/>
              </w:rPr>
            </w:pPr>
            <w:r>
              <w:rPr>
                <w:rFonts w:ascii="Arial" w:hAnsi="Arial" w:cs="Arial"/>
                <w:b/>
              </w:rPr>
              <w:t>Level 3</w:t>
            </w:r>
          </w:p>
        </w:tc>
      </w:tr>
      <w:tr w:rsidR="0061447B" w14:paraId="1C8B33ED" w14:textId="77777777" w:rsidTr="0061447B">
        <w:tc>
          <w:tcPr>
            <w:tcW w:w="1848" w:type="dxa"/>
          </w:tcPr>
          <w:p w14:paraId="5A0F1FA4" w14:textId="1DCD32A0" w:rsidR="0061447B" w:rsidRPr="0061447B" w:rsidRDefault="0061447B" w:rsidP="0061447B">
            <w:pPr>
              <w:rPr>
                <w:rFonts w:ascii="Arial" w:hAnsi="Arial" w:cs="Arial"/>
              </w:rPr>
            </w:pPr>
            <w:r>
              <w:rPr>
                <w:rFonts w:ascii="Arial" w:hAnsi="Arial" w:cs="Arial"/>
              </w:rPr>
              <w:t>Technical</w:t>
            </w:r>
          </w:p>
        </w:tc>
        <w:tc>
          <w:tcPr>
            <w:tcW w:w="1121" w:type="dxa"/>
          </w:tcPr>
          <w:p w14:paraId="113DCFAA" w14:textId="21474645" w:rsidR="0061447B" w:rsidRPr="0061447B" w:rsidRDefault="002A2C15" w:rsidP="0061447B">
            <w:pPr>
              <w:rPr>
                <w:rFonts w:ascii="Arial" w:hAnsi="Arial" w:cs="Arial"/>
              </w:rPr>
            </w:pPr>
            <w:r>
              <w:rPr>
                <w:rFonts w:ascii="Arial" w:hAnsi="Arial" w:cs="Arial"/>
              </w:rPr>
              <w:t>70</w:t>
            </w:r>
            <w:r w:rsidR="0061447B">
              <w:rPr>
                <w:rFonts w:ascii="Arial" w:hAnsi="Arial" w:cs="Arial"/>
              </w:rPr>
              <w:t>%</w:t>
            </w:r>
          </w:p>
        </w:tc>
        <w:tc>
          <w:tcPr>
            <w:tcW w:w="3474" w:type="dxa"/>
          </w:tcPr>
          <w:p w14:paraId="0B54749E" w14:textId="7DFC22F6" w:rsidR="0061447B" w:rsidRPr="0061447B" w:rsidRDefault="0061447B" w:rsidP="0061447B">
            <w:pPr>
              <w:rPr>
                <w:rFonts w:ascii="Arial" w:hAnsi="Arial" w:cs="Arial"/>
              </w:rPr>
            </w:pPr>
            <w:r>
              <w:rPr>
                <w:rFonts w:ascii="Arial" w:hAnsi="Arial" w:cs="Arial"/>
              </w:rPr>
              <w:t>Functional Requirements</w:t>
            </w:r>
          </w:p>
        </w:tc>
        <w:tc>
          <w:tcPr>
            <w:tcW w:w="950" w:type="dxa"/>
          </w:tcPr>
          <w:p w14:paraId="420A8C4B" w14:textId="3463FB67" w:rsidR="0061447B" w:rsidRPr="0061447B" w:rsidRDefault="0061447B" w:rsidP="0061447B">
            <w:pPr>
              <w:rPr>
                <w:rFonts w:ascii="Arial" w:hAnsi="Arial" w:cs="Arial"/>
              </w:rPr>
            </w:pPr>
            <w:r>
              <w:rPr>
                <w:rFonts w:ascii="Arial" w:hAnsi="Arial" w:cs="Arial"/>
              </w:rPr>
              <w:t>50%</w:t>
            </w:r>
          </w:p>
        </w:tc>
        <w:tc>
          <w:tcPr>
            <w:tcW w:w="1849" w:type="dxa"/>
          </w:tcPr>
          <w:p w14:paraId="29B4EA3F" w14:textId="7E007001" w:rsidR="0061447B" w:rsidRPr="0061447B" w:rsidRDefault="0061447B" w:rsidP="0061447B">
            <w:pPr>
              <w:rPr>
                <w:rFonts w:ascii="Arial" w:hAnsi="Arial" w:cs="Arial"/>
              </w:rPr>
            </w:pPr>
            <w:r w:rsidRPr="0061447B">
              <w:rPr>
                <w:rFonts w:ascii="Arial" w:hAnsi="Arial" w:cs="Arial"/>
              </w:rPr>
              <w:t>See Annex A</w:t>
            </w:r>
          </w:p>
        </w:tc>
      </w:tr>
      <w:tr w:rsidR="0061447B" w14:paraId="1492334A" w14:textId="77777777" w:rsidTr="0061447B">
        <w:tc>
          <w:tcPr>
            <w:tcW w:w="1848" w:type="dxa"/>
          </w:tcPr>
          <w:p w14:paraId="2353D80D" w14:textId="77777777" w:rsidR="0061447B" w:rsidRPr="0061447B" w:rsidRDefault="0061447B" w:rsidP="0061447B">
            <w:pPr>
              <w:rPr>
                <w:rFonts w:ascii="Arial" w:hAnsi="Arial" w:cs="Arial"/>
              </w:rPr>
            </w:pPr>
          </w:p>
        </w:tc>
        <w:tc>
          <w:tcPr>
            <w:tcW w:w="1121" w:type="dxa"/>
          </w:tcPr>
          <w:p w14:paraId="6294331A" w14:textId="77777777" w:rsidR="0061447B" w:rsidRPr="0061447B" w:rsidRDefault="0061447B" w:rsidP="0061447B">
            <w:pPr>
              <w:rPr>
                <w:rFonts w:ascii="Arial" w:hAnsi="Arial" w:cs="Arial"/>
              </w:rPr>
            </w:pPr>
          </w:p>
        </w:tc>
        <w:tc>
          <w:tcPr>
            <w:tcW w:w="3474" w:type="dxa"/>
          </w:tcPr>
          <w:p w14:paraId="6A79581D" w14:textId="4CD62104" w:rsidR="0061447B" w:rsidRPr="0061447B" w:rsidRDefault="0061447B" w:rsidP="0061447B">
            <w:pPr>
              <w:rPr>
                <w:rFonts w:ascii="Arial" w:hAnsi="Arial" w:cs="Arial"/>
              </w:rPr>
            </w:pPr>
            <w:r>
              <w:rPr>
                <w:rFonts w:ascii="Arial" w:hAnsi="Arial" w:cs="Arial"/>
              </w:rPr>
              <w:t>System Requirements</w:t>
            </w:r>
          </w:p>
        </w:tc>
        <w:tc>
          <w:tcPr>
            <w:tcW w:w="950" w:type="dxa"/>
          </w:tcPr>
          <w:p w14:paraId="4C365169" w14:textId="7AB073AF" w:rsidR="0061447B" w:rsidRPr="0061447B" w:rsidRDefault="0061447B" w:rsidP="0061447B">
            <w:pPr>
              <w:rPr>
                <w:rFonts w:ascii="Arial" w:hAnsi="Arial" w:cs="Arial"/>
              </w:rPr>
            </w:pPr>
            <w:r>
              <w:rPr>
                <w:rFonts w:ascii="Arial" w:hAnsi="Arial" w:cs="Arial"/>
              </w:rPr>
              <w:t>20%</w:t>
            </w:r>
          </w:p>
        </w:tc>
        <w:tc>
          <w:tcPr>
            <w:tcW w:w="1849" w:type="dxa"/>
          </w:tcPr>
          <w:p w14:paraId="5ADE132B" w14:textId="71D5DF2E" w:rsidR="0061447B" w:rsidRPr="0061447B" w:rsidRDefault="0061447B" w:rsidP="0061447B">
            <w:pPr>
              <w:rPr>
                <w:rFonts w:ascii="Arial" w:hAnsi="Arial" w:cs="Arial"/>
              </w:rPr>
            </w:pPr>
            <w:r w:rsidRPr="0061447B">
              <w:rPr>
                <w:rFonts w:ascii="Arial" w:hAnsi="Arial" w:cs="Arial"/>
              </w:rPr>
              <w:t>See Annex A</w:t>
            </w:r>
          </w:p>
        </w:tc>
      </w:tr>
      <w:tr w:rsidR="0061447B" w14:paraId="004C1779" w14:textId="77777777" w:rsidTr="0061447B">
        <w:tc>
          <w:tcPr>
            <w:tcW w:w="1848" w:type="dxa"/>
          </w:tcPr>
          <w:p w14:paraId="47C6491E" w14:textId="77777777" w:rsidR="0061447B" w:rsidRPr="0061447B" w:rsidRDefault="0061447B" w:rsidP="0061447B">
            <w:pPr>
              <w:rPr>
                <w:rFonts w:ascii="Arial" w:hAnsi="Arial" w:cs="Arial"/>
              </w:rPr>
            </w:pPr>
          </w:p>
        </w:tc>
        <w:tc>
          <w:tcPr>
            <w:tcW w:w="1121" w:type="dxa"/>
          </w:tcPr>
          <w:p w14:paraId="1CEFD652" w14:textId="77777777" w:rsidR="0061447B" w:rsidRPr="0061447B" w:rsidRDefault="0061447B" w:rsidP="0061447B">
            <w:pPr>
              <w:rPr>
                <w:rFonts w:ascii="Arial" w:hAnsi="Arial" w:cs="Arial"/>
              </w:rPr>
            </w:pPr>
          </w:p>
        </w:tc>
        <w:tc>
          <w:tcPr>
            <w:tcW w:w="3474" w:type="dxa"/>
          </w:tcPr>
          <w:p w14:paraId="37FDDA23" w14:textId="4DBD74A3" w:rsidR="0061447B" w:rsidRPr="0061447B" w:rsidRDefault="0061447B" w:rsidP="0061447B">
            <w:pPr>
              <w:rPr>
                <w:rFonts w:ascii="Arial" w:hAnsi="Arial" w:cs="Arial"/>
              </w:rPr>
            </w:pPr>
            <w:r>
              <w:rPr>
                <w:rFonts w:ascii="Arial" w:hAnsi="Arial" w:cs="Arial"/>
              </w:rPr>
              <w:t>Non-Functional Requirements</w:t>
            </w:r>
          </w:p>
        </w:tc>
        <w:tc>
          <w:tcPr>
            <w:tcW w:w="950" w:type="dxa"/>
          </w:tcPr>
          <w:p w14:paraId="20A63C18" w14:textId="5E52F589" w:rsidR="0061447B" w:rsidRPr="0061447B" w:rsidRDefault="0061447B" w:rsidP="0061447B">
            <w:pPr>
              <w:rPr>
                <w:rFonts w:ascii="Arial" w:hAnsi="Arial" w:cs="Arial"/>
              </w:rPr>
            </w:pPr>
            <w:r>
              <w:rPr>
                <w:rFonts w:ascii="Arial" w:hAnsi="Arial" w:cs="Arial"/>
              </w:rPr>
              <w:t>30%</w:t>
            </w:r>
          </w:p>
        </w:tc>
        <w:tc>
          <w:tcPr>
            <w:tcW w:w="1849" w:type="dxa"/>
          </w:tcPr>
          <w:p w14:paraId="245C3438" w14:textId="34DFDB7A" w:rsidR="0061447B" w:rsidRPr="0061447B" w:rsidRDefault="0061447B" w:rsidP="0061447B">
            <w:pPr>
              <w:rPr>
                <w:rFonts w:ascii="Arial" w:hAnsi="Arial" w:cs="Arial"/>
              </w:rPr>
            </w:pPr>
            <w:r w:rsidRPr="0061447B">
              <w:rPr>
                <w:rFonts w:ascii="Arial" w:hAnsi="Arial" w:cs="Arial"/>
              </w:rPr>
              <w:t>See Annex A</w:t>
            </w:r>
          </w:p>
        </w:tc>
      </w:tr>
      <w:tr w:rsidR="0061447B" w14:paraId="7D081663" w14:textId="77777777" w:rsidTr="0061447B">
        <w:tc>
          <w:tcPr>
            <w:tcW w:w="1848" w:type="dxa"/>
          </w:tcPr>
          <w:p w14:paraId="022D293E" w14:textId="641BDDAB" w:rsidR="0061447B" w:rsidRPr="0061447B" w:rsidRDefault="0061447B" w:rsidP="0061447B">
            <w:pPr>
              <w:rPr>
                <w:rFonts w:ascii="Arial" w:hAnsi="Arial" w:cs="Arial"/>
              </w:rPr>
            </w:pPr>
            <w:r>
              <w:rPr>
                <w:rFonts w:ascii="Arial" w:hAnsi="Arial" w:cs="Arial"/>
              </w:rPr>
              <w:t>Price</w:t>
            </w:r>
          </w:p>
        </w:tc>
        <w:tc>
          <w:tcPr>
            <w:tcW w:w="1121" w:type="dxa"/>
          </w:tcPr>
          <w:p w14:paraId="1993F06A" w14:textId="1DA6350D" w:rsidR="0061447B" w:rsidRPr="0061447B" w:rsidRDefault="002A2C15" w:rsidP="0066671E">
            <w:pPr>
              <w:rPr>
                <w:rFonts w:ascii="Arial" w:hAnsi="Arial" w:cs="Arial"/>
              </w:rPr>
            </w:pPr>
            <w:r>
              <w:rPr>
                <w:rFonts w:ascii="Arial" w:hAnsi="Arial" w:cs="Arial"/>
              </w:rPr>
              <w:t>30</w:t>
            </w:r>
            <w:r w:rsidR="0061447B">
              <w:rPr>
                <w:rFonts w:ascii="Arial" w:hAnsi="Arial" w:cs="Arial"/>
              </w:rPr>
              <w:t>%</w:t>
            </w:r>
          </w:p>
        </w:tc>
        <w:tc>
          <w:tcPr>
            <w:tcW w:w="3474" w:type="dxa"/>
          </w:tcPr>
          <w:p w14:paraId="5B7ADFE5" w14:textId="7830776A" w:rsidR="0061447B" w:rsidRPr="0061447B" w:rsidRDefault="0061447B" w:rsidP="0061447B">
            <w:pPr>
              <w:rPr>
                <w:rFonts w:ascii="Arial" w:hAnsi="Arial" w:cs="Arial"/>
              </w:rPr>
            </w:pPr>
            <w:r>
              <w:rPr>
                <w:rFonts w:ascii="Arial" w:hAnsi="Arial" w:cs="Arial"/>
              </w:rPr>
              <w:t>NA</w:t>
            </w:r>
          </w:p>
        </w:tc>
        <w:tc>
          <w:tcPr>
            <w:tcW w:w="950" w:type="dxa"/>
          </w:tcPr>
          <w:p w14:paraId="13EC467F" w14:textId="2FA27771" w:rsidR="0061447B" w:rsidRPr="0061447B" w:rsidRDefault="0061447B" w:rsidP="0061447B">
            <w:pPr>
              <w:rPr>
                <w:rFonts w:ascii="Arial" w:hAnsi="Arial" w:cs="Arial"/>
              </w:rPr>
            </w:pPr>
            <w:r>
              <w:rPr>
                <w:rFonts w:ascii="Arial" w:hAnsi="Arial" w:cs="Arial"/>
              </w:rPr>
              <w:t>NA</w:t>
            </w:r>
          </w:p>
        </w:tc>
        <w:tc>
          <w:tcPr>
            <w:tcW w:w="1849" w:type="dxa"/>
          </w:tcPr>
          <w:p w14:paraId="6A594063" w14:textId="0AF3A33A" w:rsidR="0061447B" w:rsidRPr="0061447B" w:rsidRDefault="0061447B" w:rsidP="0061447B">
            <w:pPr>
              <w:rPr>
                <w:rFonts w:ascii="Arial" w:hAnsi="Arial" w:cs="Arial"/>
              </w:rPr>
            </w:pPr>
            <w:r w:rsidRPr="0061447B">
              <w:rPr>
                <w:rFonts w:ascii="Arial" w:hAnsi="Arial" w:cs="Arial"/>
              </w:rPr>
              <w:t>NA</w:t>
            </w:r>
          </w:p>
        </w:tc>
      </w:tr>
      <w:tr w:rsidR="0061447B" w14:paraId="33D91A26" w14:textId="77777777" w:rsidTr="0061447B">
        <w:tc>
          <w:tcPr>
            <w:tcW w:w="1848" w:type="dxa"/>
          </w:tcPr>
          <w:p w14:paraId="3A4FE0E8" w14:textId="1C13D625" w:rsidR="0061447B" w:rsidRPr="0061447B" w:rsidRDefault="0061447B" w:rsidP="0061447B">
            <w:pPr>
              <w:rPr>
                <w:rFonts w:ascii="Arial" w:hAnsi="Arial" w:cs="Arial"/>
              </w:rPr>
            </w:pPr>
            <w:r>
              <w:rPr>
                <w:rFonts w:ascii="Arial" w:hAnsi="Arial" w:cs="Arial"/>
              </w:rPr>
              <w:t>Commercial</w:t>
            </w:r>
          </w:p>
        </w:tc>
        <w:tc>
          <w:tcPr>
            <w:tcW w:w="1121" w:type="dxa"/>
          </w:tcPr>
          <w:p w14:paraId="2573F162" w14:textId="2FEF78A1" w:rsidR="0061447B" w:rsidRPr="0061447B" w:rsidRDefault="002A2C15" w:rsidP="0061447B">
            <w:pPr>
              <w:rPr>
                <w:rFonts w:ascii="Arial" w:hAnsi="Arial" w:cs="Arial"/>
              </w:rPr>
            </w:pPr>
            <w:r>
              <w:rPr>
                <w:rFonts w:ascii="Arial" w:hAnsi="Arial" w:cs="Arial"/>
              </w:rPr>
              <w:t>Pass/Fail</w:t>
            </w:r>
          </w:p>
        </w:tc>
        <w:tc>
          <w:tcPr>
            <w:tcW w:w="3474" w:type="dxa"/>
          </w:tcPr>
          <w:p w14:paraId="6C0012EB" w14:textId="7662146B" w:rsidR="0061447B" w:rsidRPr="0061447B" w:rsidRDefault="0061447B" w:rsidP="0061447B">
            <w:pPr>
              <w:rPr>
                <w:rFonts w:ascii="Arial" w:hAnsi="Arial" w:cs="Arial"/>
              </w:rPr>
            </w:pPr>
            <w:r>
              <w:rPr>
                <w:rFonts w:ascii="Arial" w:hAnsi="Arial" w:cs="Arial"/>
              </w:rPr>
              <w:t>NA</w:t>
            </w:r>
          </w:p>
        </w:tc>
        <w:tc>
          <w:tcPr>
            <w:tcW w:w="950" w:type="dxa"/>
          </w:tcPr>
          <w:p w14:paraId="59E2A4CD" w14:textId="06CCE865" w:rsidR="0061447B" w:rsidRPr="0061447B" w:rsidRDefault="0061447B" w:rsidP="0061447B">
            <w:pPr>
              <w:rPr>
                <w:rFonts w:ascii="Arial" w:hAnsi="Arial" w:cs="Arial"/>
              </w:rPr>
            </w:pPr>
            <w:r>
              <w:rPr>
                <w:rFonts w:ascii="Arial" w:hAnsi="Arial" w:cs="Arial"/>
              </w:rPr>
              <w:t>NA</w:t>
            </w:r>
          </w:p>
        </w:tc>
        <w:tc>
          <w:tcPr>
            <w:tcW w:w="1849" w:type="dxa"/>
          </w:tcPr>
          <w:p w14:paraId="66D927CF" w14:textId="3FC99B9F" w:rsidR="0061447B" w:rsidRPr="0061447B" w:rsidRDefault="0061447B" w:rsidP="0061447B">
            <w:pPr>
              <w:rPr>
                <w:rFonts w:ascii="Arial" w:hAnsi="Arial" w:cs="Arial"/>
              </w:rPr>
            </w:pPr>
            <w:r w:rsidRPr="0061447B">
              <w:rPr>
                <w:rFonts w:ascii="Arial" w:hAnsi="Arial" w:cs="Arial"/>
              </w:rPr>
              <w:t>NA</w:t>
            </w:r>
          </w:p>
        </w:tc>
      </w:tr>
    </w:tbl>
    <w:p w14:paraId="0D69AA88" w14:textId="77777777" w:rsidR="0061447B" w:rsidRDefault="0061447B" w:rsidP="0061447B">
      <w:pPr>
        <w:jc w:val="center"/>
        <w:rPr>
          <w:rFonts w:ascii="Arial" w:hAnsi="Arial" w:cs="Arial"/>
          <w:b/>
        </w:rPr>
      </w:pPr>
    </w:p>
    <w:p w14:paraId="39264D21" w14:textId="1861061A" w:rsidR="0061447B" w:rsidRDefault="00D2727B" w:rsidP="0061447B">
      <w:pPr>
        <w:jc w:val="center"/>
        <w:rPr>
          <w:rFonts w:ascii="Arial" w:hAnsi="Arial" w:cs="Arial"/>
          <w:b/>
        </w:rPr>
      </w:pPr>
      <w:r>
        <w:rPr>
          <w:rFonts w:ascii="Arial" w:hAnsi="Arial" w:cs="Arial"/>
          <w:b/>
        </w:rPr>
        <w:t>Table</w:t>
      </w:r>
      <w:r w:rsidR="0061447B" w:rsidRPr="006331D4">
        <w:rPr>
          <w:rFonts w:ascii="Arial" w:hAnsi="Arial" w:cs="Arial"/>
          <w:b/>
        </w:rPr>
        <w:t xml:space="preserve"> </w:t>
      </w:r>
      <w:r>
        <w:rPr>
          <w:rFonts w:ascii="Arial" w:hAnsi="Arial" w:cs="Arial"/>
          <w:b/>
        </w:rPr>
        <w:t>1.</w:t>
      </w:r>
    </w:p>
    <w:p w14:paraId="030DA3FB" w14:textId="22364B18" w:rsidR="008F700B" w:rsidRDefault="006331D4" w:rsidP="00A02F71">
      <w:pPr>
        <w:pStyle w:val="ListParagraph"/>
        <w:numPr>
          <w:ilvl w:val="1"/>
          <w:numId w:val="3"/>
        </w:numPr>
        <w:rPr>
          <w:rFonts w:ascii="Arial" w:hAnsi="Arial" w:cs="Arial"/>
        </w:rPr>
      </w:pPr>
      <w:r>
        <w:rPr>
          <w:rFonts w:ascii="Arial" w:hAnsi="Arial" w:cs="Arial"/>
        </w:rPr>
        <w:t xml:space="preserve">A single mark out of </w:t>
      </w:r>
      <w:r w:rsidR="009D57C4">
        <w:rPr>
          <w:rFonts w:ascii="Arial" w:hAnsi="Arial" w:cs="Arial"/>
        </w:rPr>
        <w:t>4</w:t>
      </w:r>
      <w:r w:rsidR="002415A1">
        <w:rPr>
          <w:rFonts w:ascii="Arial" w:hAnsi="Arial" w:cs="Arial"/>
        </w:rPr>
        <w:t xml:space="preserve"> will be awarded for each Technical Level 3 Criteri</w:t>
      </w:r>
      <w:r w:rsidR="00465B30">
        <w:rPr>
          <w:rFonts w:ascii="Arial" w:hAnsi="Arial" w:cs="Arial"/>
        </w:rPr>
        <w:t>a</w:t>
      </w:r>
      <w:r w:rsidR="002415A1">
        <w:rPr>
          <w:rFonts w:ascii="Arial" w:hAnsi="Arial" w:cs="Arial"/>
        </w:rPr>
        <w:t xml:space="preserve"> after evaluating the evidence supplied by the bidder. The marking scheme for awarding technic</w:t>
      </w:r>
      <w:r w:rsidR="009E53D6">
        <w:rPr>
          <w:rFonts w:ascii="Arial" w:hAnsi="Arial" w:cs="Arial"/>
        </w:rPr>
        <w:t>a</w:t>
      </w:r>
      <w:r w:rsidR="002415A1">
        <w:rPr>
          <w:rFonts w:ascii="Arial" w:hAnsi="Arial" w:cs="Arial"/>
        </w:rPr>
        <w:t xml:space="preserve">l marks is detailed in </w:t>
      </w:r>
      <w:r w:rsidR="00D2727B">
        <w:rPr>
          <w:rFonts w:ascii="Arial" w:hAnsi="Arial" w:cs="Arial"/>
        </w:rPr>
        <w:t>Table 2</w:t>
      </w:r>
      <w:r w:rsidR="002415A1">
        <w:rPr>
          <w:rFonts w:ascii="Arial" w:hAnsi="Arial" w:cs="Arial"/>
        </w:rPr>
        <w:t>.</w:t>
      </w:r>
      <w:r w:rsidR="00AF2814">
        <w:rPr>
          <w:rFonts w:ascii="Arial" w:hAnsi="Arial" w:cs="Arial"/>
        </w:rPr>
        <w:t xml:space="preserve"> </w:t>
      </w:r>
    </w:p>
    <w:tbl>
      <w:tblPr>
        <w:tblStyle w:val="TableGrid"/>
        <w:tblW w:w="0" w:type="auto"/>
        <w:tblInd w:w="959" w:type="dxa"/>
        <w:tblLook w:val="04A0" w:firstRow="1" w:lastRow="0" w:firstColumn="1" w:lastColumn="0" w:noHBand="0" w:noVBand="1"/>
      </w:tblPr>
      <w:tblGrid>
        <w:gridCol w:w="2121"/>
        <w:gridCol w:w="1423"/>
        <w:gridCol w:w="4252"/>
      </w:tblGrid>
      <w:tr w:rsidR="00E8039A" w:rsidRPr="0025226A" w14:paraId="0E5AB816" w14:textId="77777777" w:rsidTr="00A275A6">
        <w:tc>
          <w:tcPr>
            <w:tcW w:w="7796" w:type="dxa"/>
            <w:gridSpan w:val="3"/>
          </w:tcPr>
          <w:p w14:paraId="26A7CC70" w14:textId="5E7D2020" w:rsidR="00E8039A" w:rsidRPr="0025226A" w:rsidRDefault="00E8039A" w:rsidP="00A275A6">
            <w:pPr>
              <w:jc w:val="center"/>
              <w:rPr>
                <w:rFonts w:ascii="Arial" w:hAnsi="Arial" w:cs="Arial"/>
              </w:rPr>
            </w:pPr>
            <w:r w:rsidRPr="0025226A">
              <w:rPr>
                <w:rFonts w:ascii="Arial" w:hAnsi="Arial" w:cs="Arial"/>
              </w:rPr>
              <w:t>Standard Scoring Scheme</w:t>
            </w:r>
            <w:r w:rsidR="009E53D6">
              <w:rPr>
                <w:rFonts w:ascii="Arial" w:hAnsi="Arial" w:cs="Arial"/>
              </w:rPr>
              <w:t xml:space="preserve"> </w:t>
            </w:r>
          </w:p>
        </w:tc>
      </w:tr>
      <w:tr w:rsidR="00E8039A" w:rsidRPr="0025226A" w14:paraId="5D69D22D" w14:textId="77777777" w:rsidTr="00A275A6">
        <w:tc>
          <w:tcPr>
            <w:tcW w:w="2121" w:type="dxa"/>
          </w:tcPr>
          <w:p w14:paraId="4954DDD6" w14:textId="77777777" w:rsidR="00E8039A" w:rsidRPr="0025226A" w:rsidRDefault="00E8039A" w:rsidP="00713096">
            <w:pPr>
              <w:rPr>
                <w:rFonts w:ascii="Arial" w:hAnsi="Arial" w:cs="Arial"/>
              </w:rPr>
            </w:pPr>
            <w:r w:rsidRPr="0025226A">
              <w:rPr>
                <w:rFonts w:ascii="Arial" w:hAnsi="Arial" w:cs="Arial"/>
              </w:rPr>
              <w:t>Description</w:t>
            </w:r>
          </w:p>
        </w:tc>
        <w:tc>
          <w:tcPr>
            <w:tcW w:w="1423" w:type="dxa"/>
          </w:tcPr>
          <w:p w14:paraId="57CF3D46" w14:textId="77777777" w:rsidR="00E8039A" w:rsidRPr="0025226A" w:rsidRDefault="00E8039A" w:rsidP="00713096">
            <w:pPr>
              <w:jc w:val="center"/>
              <w:rPr>
                <w:rFonts w:ascii="Arial" w:hAnsi="Arial" w:cs="Arial"/>
              </w:rPr>
            </w:pPr>
            <w:r w:rsidRPr="0025226A">
              <w:rPr>
                <w:rFonts w:ascii="Arial" w:hAnsi="Arial" w:cs="Arial"/>
              </w:rPr>
              <w:t>Score</w:t>
            </w:r>
          </w:p>
        </w:tc>
        <w:tc>
          <w:tcPr>
            <w:tcW w:w="4252" w:type="dxa"/>
          </w:tcPr>
          <w:p w14:paraId="446E7ACD" w14:textId="77777777" w:rsidR="00E8039A" w:rsidRPr="0025226A" w:rsidRDefault="00E8039A" w:rsidP="00713096">
            <w:pPr>
              <w:rPr>
                <w:rFonts w:ascii="Arial" w:hAnsi="Arial" w:cs="Arial"/>
              </w:rPr>
            </w:pPr>
            <w:r w:rsidRPr="0025226A">
              <w:rPr>
                <w:rFonts w:ascii="Arial" w:hAnsi="Arial" w:cs="Arial"/>
              </w:rPr>
              <w:t>Typical Characteristics</w:t>
            </w:r>
          </w:p>
        </w:tc>
      </w:tr>
      <w:tr w:rsidR="00E8039A" w:rsidRPr="0025226A" w14:paraId="6C984CB6" w14:textId="77777777" w:rsidTr="00A275A6">
        <w:tc>
          <w:tcPr>
            <w:tcW w:w="2121" w:type="dxa"/>
          </w:tcPr>
          <w:p w14:paraId="3FB10208" w14:textId="1E02713C" w:rsidR="00E8039A" w:rsidRPr="00557B5F" w:rsidRDefault="002C144F" w:rsidP="00713096">
            <w:pPr>
              <w:rPr>
                <w:rFonts w:ascii="Arial" w:hAnsi="Arial" w:cs="Arial"/>
              </w:rPr>
            </w:pPr>
            <w:r w:rsidRPr="00557B5F">
              <w:rPr>
                <w:rFonts w:ascii="Arial" w:hAnsi="Arial" w:cs="Arial"/>
              </w:rPr>
              <w:t>No Evidence</w:t>
            </w:r>
          </w:p>
        </w:tc>
        <w:tc>
          <w:tcPr>
            <w:tcW w:w="1423" w:type="dxa"/>
          </w:tcPr>
          <w:p w14:paraId="04A7C626" w14:textId="77777777" w:rsidR="00E8039A" w:rsidRPr="00557B5F" w:rsidRDefault="00E8039A" w:rsidP="00713096">
            <w:pPr>
              <w:jc w:val="center"/>
              <w:rPr>
                <w:rFonts w:ascii="Arial" w:hAnsi="Arial" w:cs="Arial"/>
              </w:rPr>
            </w:pPr>
            <w:r w:rsidRPr="00557B5F">
              <w:rPr>
                <w:rFonts w:ascii="Arial" w:hAnsi="Arial" w:cs="Arial"/>
              </w:rPr>
              <w:t>0</w:t>
            </w:r>
          </w:p>
        </w:tc>
        <w:tc>
          <w:tcPr>
            <w:tcW w:w="4252" w:type="dxa"/>
          </w:tcPr>
          <w:p w14:paraId="33696018" w14:textId="6D68A212" w:rsidR="00E8039A" w:rsidRPr="00557B5F" w:rsidRDefault="002C144F" w:rsidP="00557B5F">
            <w:pPr>
              <w:rPr>
                <w:rFonts w:ascii="Arial" w:hAnsi="Arial" w:cs="Arial"/>
              </w:rPr>
            </w:pPr>
            <w:r w:rsidRPr="00557B5F">
              <w:rPr>
                <w:rFonts w:ascii="Arial" w:hAnsi="Arial" w:cs="Arial"/>
              </w:rPr>
              <w:t xml:space="preserve">No evidence that the product meets the </w:t>
            </w:r>
            <w:r w:rsidR="00557B5F">
              <w:rPr>
                <w:rFonts w:ascii="Arial" w:hAnsi="Arial" w:cs="Arial"/>
              </w:rPr>
              <w:t>criteria</w:t>
            </w:r>
            <w:r w:rsidRPr="00557B5F">
              <w:rPr>
                <w:rFonts w:ascii="Arial" w:hAnsi="Arial" w:cs="Arial"/>
              </w:rPr>
              <w:t>.</w:t>
            </w:r>
          </w:p>
        </w:tc>
      </w:tr>
      <w:tr w:rsidR="00E8039A" w:rsidRPr="0025226A" w14:paraId="0E459FAA" w14:textId="77777777" w:rsidTr="00A275A6">
        <w:tc>
          <w:tcPr>
            <w:tcW w:w="2121" w:type="dxa"/>
          </w:tcPr>
          <w:p w14:paraId="29C3D3B6" w14:textId="69ED3142" w:rsidR="00E8039A" w:rsidRPr="004D2018" w:rsidRDefault="002C144F" w:rsidP="00713096">
            <w:pPr>
              <w:rPr>
                <w:rFonts w:ascii="Arial" w:hAnsi="Arial" w:cs="Arial"/>
              </w:rPr>
            </w:pPr>
            <w:r w:rsidRPr="004D2018">
              <w:rPr>
                <w:rFonts w:ascii="Arial" w:hAnsi="Arial" w:cs="Arial"/>
              </w:rPr>
              <w:t>Poor</w:t>
            </w:r>
            <w:r w:rsidR="00B83CB0" w:rsidRPr="004D2018">
              <w:rPr>
                <w:rFonts w:ascii="Arial" w:hAnsi="Arial" w:cs="Arial"/>
              </w:rPr>
              <w:t xml:space="preserve"> </w:t>
            </w:r>
          </w:p>
        </w:tc>
        <w:tc>
          <w:tcPr>
            <w:tcW w:w="1423" w:type="dxa"/>
          </w:tcPr>
          <w:p w14:paraId="589DAEAE" w14:textId="77777777" w:rsidR="00E8039A" w:rsidRPr="004D2018" w:rsidRDefault="00E8039A" w:rsidP="00713096">
            <w:pPr>
              <w:jc w:val="center"/>
              <w:rPr>
                <w:rFonts w:ascii="Arial" w:hAnsi="Arial" w:cs="Arial"/>
              </w:rPr>
            </w:pPr>
            <w:r w:rsidRPr="004D2018">
              <w:rPr>
                <w:rFonts w:ascii="Arial" w:hAnsi="Arial" w:cs="Arial"/>
              </w:rPr>
              <w:t>1</w:t>
            </w:r>
          </w:p>
        </w:tc>
        <w:tc>
          <w:tcPr>
            <w:tcW w:w="4252" w:type="dxa"/>
          </w:tcPr>
          <w:p w14:paraId="34432094" w14:textId="19758A74" w:rsidR="00E8039A" w:rsidRPr="004D2018" w:rsidRDefault="00E8039A" w:rsidP="00557B5F">
            <w:pPr>
              <w:rPr>
                <w:rFonts w:ascii="Arial" w:hAnsi="Arial" w:cs="Arial"/>
              </w:rPr>
            </w:pPr>
            <w:r w:rsidRPr="004D2018">
              <w:rPr>
                <w:rFonts w:ascii="Arial" w:hAnsi="Arial" w:cs="Arial"/>
              </w:rPr>
              <w:t xml:space="preserve">A poor response which provides sparse </w:t>
            </w:r>
            <w:r w:rsidR="002C144F" w:rsidRPr="004D2018">
              <w:rPr>
                <w:rFonts w:ascii="Arial" w:hAnsi="Arial" w:cs="Arial"/>
              </w:rPr>
              <w:t xml:space="preserve">evidence that the product meets the </w:t>
            </w:r>
            <w:r w:rsidR="00557B5F" w:rsidRPr="004D2018">
              <w:rPr>
                <w:rFonts w:ascii="Arial" w:hAnsi="Arial" w:cs="Arial"/>
              </w:rPr>
              <w:t>criteria.</w:t>
            </w:r>
          </w:p>
        </w:tc>
      </w:tr>
      <w:tr w:rsidR="00E8039A" w:rsidRPr="0025226A" w14:paraId="57E85420" w14:textId="77777777" w:rsidTr="00A275A6">
        <w:tc>
          <w:tcPr>
            <w:tcW w:w="2121" w:type="dxa"/>
          </w:tcPr>
          <w:p w14:paraId="200B04B1" w14:textId="06905EC4" w:rsidR="00E8039A" w:rsidRPr="004D2018" w:rsidRDefault="002C144F" w:rsidP="00713096">
            <w:pPr>
              <w:rPr>
                <w:rFonts w:ascii="Arial" w:hAnsi="Arial" w:cs="Arial"/>
              </w:rPr>
            </w:pPr>
            <w:r w:rsidRPr="004D2018">
              <w:rPr>
                <w:rFonts w:ascii="Arial" w:hAnsi="Arial" w:cs="Arial"/>
              </w:rPr>
              <w:t>Unacceptable</w:t>
            </w:r>
          </w:p>
        </w:tc>
        <w:tc>
          <w:tcPr>
            <w:tcW w:w="1423" w:type="dxa"/>
          </w:tcPr>
          <w:p w14:paraId="61BFBC29" w14:textId="77777777" w:rsidR="00E8039A" w:rsidRPr="004D2018" w:rsidRDefault="00E8039A" w:rsidP="00713096">
            <w:pPr>
              <w:jc w:val="center"/>
              <w:rPr>
                <w:rFonts w:ascii="Arial" w:hAnsi="Arial" w:cs="Arial"/>
              </w:rPr>
            </w:pPr>
            <w:r w:rsidRPr="004D2018">
              <w:rPr>
                <w:rFonts w:ascii="Arial" w:hAnsi="Arial" w:cs="Arial"/>
              </w:rPr>
              <w:t>2</w:t>
            </w:r>
          </w:p>
        </w:tc>
        <w:tc>
          <w:tcPr>
            <w:tcW w:w="4252" w:type="dxa"/>
          </w:tcPr>
          <w:p w14:paraId="13A26423" w14:textId="73E2B84C" w:rsidR="00E8039A" w:rsidRPr="004D2018" w:rsidRDefault="00557B5F" w:rsidP="00557B5F">
            <w:pPr>
              <w:rPr>
                <w:rFonts w:ascii="Arial" w:hAnsi="Arial" w:cs="Arial"/>
              </w:rPr>
            </w:pPr>
            <w:r w:rsidRPr="004D2018">
              <w:rPr>
                <w:rFonts w:ascii="Arial" w:hAnsi="Arial" w:cs="Arial"/>
              </w:rPr>
              <w:t xml:space="preserve">There is some evidence of </w:t>
            </w:r>
            <w:r w:rsidR="004D2018">
              <w:rPr>
                <w:rFonts w:ascii="Arial" w:hAnsi="Arial" w:cs="Arial"/>
              </w:rPr>
              <w:t xml:space="preserve">the product </w:t>
            </w:r>
            <w:r w:rsidRPr="004D2018">
              <w:rPr>
                <w:rFonts w:ascii="Arial" w:hAnsi="Arial" w:cs="Arial"/>
              </w:rPr>
              <w:t>meeting the criteria but not enough to assure the product fully meets the criteria.</w:t>
            </w:r>
            <w:r w:rsidR="00E8039A" w:rsidRPr="004D2018">
              <w:rPr>
                <w:rFonts w:ascii="Arial" w:hAnsi="Arial" w:cs="Arial"/>
              </w:rPr>
              <w:t xml:space="preserve"> </w:t>
            </w:r>
          </w:p>
        </w:tc>
      </w:tr>
      <w:tr w:rsidR="00E8039A" w:rsidRPr="0025226A" w14:paraId="20AFCE56" w14:textId="77777777" w:rsidTr="00A275A6">
        <w:tc>
          <w:tcPr>
            <w:tcW w:w="2121" w:type="dxa"/>
          </w:tcPr>
          <w:p w14:paraId="06F03F6C" w14:textId="069CB934" w:rsidR="00E8039A" w:rsidRPr="0025226A" w:rsidRDefault="002C144F" w:rsidP="00713096">
            <w:pPr>
              <w:rPr>
                <w:rFonts w:ascii="Arial" w:hAnsi="Arial" w:cs="Arial"/>
              </w:rPr>
            </w:pPr>
            <w:r>
              <w:rPr>
                <w:rFonts w:ascii="Arial" w:hAnsi="Arial" w:cs="Arial"/>
              </w:rPr>
              <w:t>Acceptable</w:t>
            </w:r>
          </w:p>
        </w:tc>
        <w:tc>
          <w:tcPr>
            <w:tcW w:w="1423" w:type="dxa"/>
          </w:tcPr>
          <w:p w14:paraId="49BDC602" w14:textId="77777777" w:rsidR="00E8039A" w:rsidRPr="0025226A" w:rsidRDefault="00E8039A" w:rsidP="00713096">
            <w:pPr>
              <w:jc w:val="center"/>
              <w:rPr>
                <w:rFonts w:ascii="Arial" w:hAnsi="Arial" w:cs="Arial"/>
              </w:rPr>
            </w:pPr>
            <w:r w:rsidRPr="0025226A">
              <w:rPr>
                <w:rFonts w:ascii="Arial" w:hAnsi="Arial" w:cs="Arial"/>
              </w:rPr>
              <w:t>3</w:t>
            </w:r>
          </w:p>
        </w:tc>
        <w:tc>
          <w:tcPr>
            <w:tcW w:w="4252" w:type="dxa"/>
          </w:tcPr>
          <w:p w14:paraId="10622846" w14:textId="0A3C0EE8" w:rsidR="00E8039A" w:rsidRPr="0025226A" w:rsidRDefault="00557B5F" w:rsidP="004D2018">
            <w:pPr>
              <w:rPr>
                <w:rFonts w:ascii="Arial" w:hAnsi="Arial" w:cs="Arial"/>
              </w:rPr>
            </w:pPr>
            <w:r>
              <w:rPr>
                <w:rFonts w:ascii="Arial" w:hAnsi="Arial" w:cs="Arial"/>
              </w:rPr>
              <w:t>There is evidence of</w:t>
            </w:r>
            <w:r w:rsidR="004D2018">
              <w:rPr>
                <w:rFonts w:ascii="Arial" w:hAnsi="Arial" w:cs="Arial"/>
              </w:rPr>
              <w:t xml:space="preserve"> the product</w:t>
            </w:r>
            <w:r>
              <w:rPr>
                <w:rFonts w:ascii="Arial" w:hAnsi="Arial" w:cs="Arial"/>
              </w:rPr>
              <w:t xml:space="preserve"> </w:t>
            </w:r>
            <w:r w:rsidR="004D2018">
              <w:rPr>
                <w:rFonts w:ascii="Arial" w:hAnsi="Arial" w:cs="Arial"/>
              </w:rPr>
              <w:t xml:space="preserve">fully </w:t>
            </w:r>
            <w:r>
              <w:rPr>
                <w:rFonts w:ascii="Arial" w:hAnsi="Arial" w:cs="Arial"/>
              </w:rPr>
              <w:t xml:space="preserve">meeting </w:t>
            </w:r>
            <w:r w:rsidR="004D2018">
              <w:rPr>
                <w:rFonts w:ascii="Arial" w:hAnsi="Arial" w:cs="Arial"/>
              </w:rPr>
              <w:t>the</w:t>
            </w:r>
            <w:r>
              <w:rPr>
                <w:rFonts w:ascii="Arial" w:hAnsi="Arial" w:cs="Arial"/>
              </w:rPr>
              <w:t xml:space="preserve"> criteria.  </w:t>
            </w:r>
          </w:p>
        </w:tc>
      </w:tr>
      <w:tr w:rsidR="00E8039A" w:rsidRPr="0025226A" w14:paraId="3BE037A3" w14:textId="77777777" w:rsidTr="00A275A6">
        <w:tc>
          <w:tcPr>
            <w:tcW w:w="2121" w:type="dxa"/>
          </w:tcPr>
          <w:p w14:paraId="138B88F8" w14:textId="557B6CF4" w:rsidR="00E8039A" w:rsidRPr="0025226A" w:rsidRDefault="002C144F" w:rsidP="00713096">
            <w:pPr>
              <w:rPr>
                <w:rFonts w:ascii="Arial" w:hAnsi="Arial" w:cs="Arial"/>
              </w:rPr>
            </w:pPr>
            <w:r>
              <w:rPr>
                <w:rFonts w:ascii="Arial" w:hAnsi="Arial" w:cs="Arial"/>
              </w:rPr>
              <w:t>Good</w:t>
            </w:r>
          </w:p>
        </w:tc>
        <w:tc>
          <w:tcPr>
            <w:tcW w:w="1423" w:type="dxa"/>
          </w:tcPr>
          <w:p w14:paraId="6B124FC2" w14:textId="77777777" w:rsidR="00E8039A" w:rsidRPr="0025226A" w:rsidRDefault="00E8039A" w:rsidP="00713096">
            <w:pPr>
              <w:jc w:val="center"/>
              <w:rPr>
                <w:rFonts w:ascii="Arial" w:hAnsi="Arial" w:cs="Arial"/>
              </w:rPr>
            </w:pPr>
            <w:r w:rsidRPr="0025226A">
              <w:rPr>
                <w:rFonts w:ascii="Arial" w:hAnsi="Arial" w:cs="Arial"/>
              </w:rPr>
              <w:t>4</w:t>
            </w:r>
          </w:p>
        </w:tc>
        <w:tc>
          <w:tcPr>
            <w:tcW w:w="4252" w:type="dxa"/>
          </w:tcPr>
          <w:p w14:paraId="388AB220" w14:textId="7DF8E4F9" w:rsidR="00E8039A" w:rsidRPr="0025226A" w:rsidRDefault="004D2018" w:rsidP="00012B58">
            <w:pPr>
              <w:rPr>
                <w:rFonts w:ascii="Arial" w:hAnsi="Arial" w:cs="Arial"/>
              </w:rPr>
            </w:pPr>
            <w:r>
              <w:rPr>
                <w:rFonts w:ascii="Arial" w:hAnsi="Arial" w:cs="Arial"/>
              </w:rPr>
              <w:t xml:space="preserve">There is evidence of the product fully meeting the </w:t>
            </w:r>
            <w:r w:rsidR="00665CF5">
              <w:rPr>
                <w:rFonts w:ascii="Arial" w:hAnsi="Arial" w:cs="Arial"/>
              </w:rPr>
              <w:t xml:space="preserve">criteria </w:t>
            </w:r>
            <w:r w:rsidR="00012B58" w:rsidRPr="00012B58">
              <w:rPr>
                <w:rFonts w:ascii="Arial" w:hAnsi="Arial" w:cs="Arial"/>
              </w:rPr>
              <w:t>and</w:t>
            </w:r>
            <w:r w:rsidR="00012B58">
              <w:rPr>
                <w:rFonts w:ascii="Arial" w:hAnsi="Arial" w:cs="Arial"/>
              </w:rPr>
              <w:t xml:space="preserve"> it</w:t>
            </w:r>
            <w:r w:rsidR="00012B58" w:rsidRPr="00012B58">
              <w:rPr>
                <w:rFonts w:ascii="Arial" w:hAnsi="Arial" w:cs="Arial"/>
              </w:rPr>
              <w:t xml:space="preserve"> exceeds expectations</w:t>
            </w:r>
            <w:r w:rsidR="00012B58">
              <w:rPr>
                <w:rFonts w:ascii="Arial" w:hAnsi="Arial" w:cs="Arial"/>
              </w:rPr>
              <w:t xml:space="preserve"> with regards to that criteria.</w:t>
            </w:r>
          </w:p>
        </w:tc>
      </w:tr>
    </w:tbl>
    <w:p w14:paraId="4FCD16B9" w14:textId="77777777" w:rsidR="00C25417" w:rsidRDefault="00C25417" w:rsidP="00F836A2">
      <w:pPr>
        <w:jc w:val="center"/>
        <w:rPr>
          <w:rFonts w:ascii="Arial" w:hAnsi="Arial" w:cs="Arial"/>
          <w:b/>
        </w:rPr>
      </w:pPr>
    </w:p>
    <w:p w14:paraId="5CA1B468" w14:textId="099DF82C" w:rsidR="00F836A2" w:rsidRPr="006331D4" w:rsidRDefault="00D2727B" w:rsidP="00F836A2">
      <w:pPr>
        <w:jc w:val="center"/>
        <w:rPr>
          <w:rFonts w:ascii="Arial" w:hAnsi="Arial" w:cs="Arial"/>
          <w:b/>
        </w:rPr>
      </w:pPr>
      <w:r>
        <w:rPr>
          <w:rFonts w:ascii="Arial" w:hAnsi="Arial" w:cs="Arial"/>
          <w:b/>
        </w:rPr>
        <w:t>Table 2</w:t>
      </w:r>
    </w:p>
    <w:p w14:paraId="09ED8EA7" w14:textId="77777777" w:rsidR="00C25417" w:rsidRDefault="00C25417" w:rsidP="00FF6264">
      <w:pPr>
        <w:pStyle w:val="ListParagraph"/>
        <w:ind w:left="792"/>
        <w:rPr>
          <w:rFonts w:ascii="Arial" w:hAnsi="Arial" w:cs="Arial"/>
        </w:rPr>
      </w:pPr>
    </w:p>
    <w:p w14:paraId="611F5ADA" w14:textId="1C016DE2" w:rsidR="00FF6264" w:rsidRDefault="00FF6264" w:rsidP="00FF6264">
      <w:pPr>
        <w:pStyle w:val="ListParagraph"/>
        <w:numPr>
          <w:ilvl w:val="1"/>
          <w:numId w:val="3"/>
        </w:numPr>
        <w:rPr>
          <w:rFonts w:ascii="Arial" w:hAnsi="Arial" w:cs="Arial"/>
        </w:rPr>
      </w:pPr>
      <w:r>
        <w:rPr>
          <w:rFonts w:ascii="Arial" w:hAnsi="Arial" w:cs="Arial"/>
        </w:rPr>
        <w:t xml:space="preserve">Should </w:t>
      </w:r>
      <w:r w:rsidRPr="0025226A">
        <w:rPr>
          <w:rFonts w:ascii="Arial" w:hAnsi="Arial" w:cs="Arial"/>
        </w:rPr>
        <w:t>a bidder be awarded an un-weighted score of 2 (Un</w:t>
      </w:r>
      <w:r w:rsidR="004C335A">
        <w:rPr>
          <w:rFonts w:ascii="Arial" w:hAnsi="Arial" w:cs="Arial"/>
        </w:rPr>
        <w:t>acceptable</w:t>
      </w:r>
      <w:r w:rsidRPr="0025226A">
        <w:rPr>
          <w:rFonts w:ascii="Arial" w:hAnsi="Arial" w:cs="Arial"/>
        </w:rPr>
        <w:t xml:space="preserve">) or less for </w:t>
      </w:r>
      <w:r w:rsidR="0093432B">
        <w:rPr>
          <w:rFonts w:ascii="Arial" w:hAnsi="Arial" w:cs="Arial"/>
        </w:rPr>
        <w:t xml:space="preserve">any Functional, Non Functional or System </w:t>
      </w:r>
      <w:r w:rsidRPr="0025226A">
        <w:rPr>
          <w:rFonts w:ascii="Arial" w:hAnsi="Arial" w:cs="Arial"/>
        </w:rPr>
        <w:t xml:space="preserve">criteria designated mandatory, then that bid shall be </w:t>
      </w:r>
      <w:r>
        <w:rPr>
          <w:rFonts w:ascii="Arial" w:hAnsi="Arial" w:cs="Arial"/>
        </w:rPr>
        <w:t xml:space="preserve">deemed </w:t>
      </w:r>
      <w:r w:rsidR="00EF32D1">
        <w:rPr>
          <w:rFonts w:ascii="Arial" w:hAnsi="Arial" w:cs="Arial"/>
        </w:rPr>
        <w:t xml:space="preserve">technically </w:t>
      </w:r>
      <w:r w:rsidR="00771046">
        <w:rPr>
          <w:rFonts w:ascii="Arial" w:hAnsi="Arial" w:cs="Arial"/>
        </w:rPr>
        <w:t>non-compliant</w:t>
      </w:r>
      <w:r w:rsidRPr="0025226A">
        <w:rPr>
          <w:rFonts w:ascii="Arial" w:hAnsi="Arial" w:cs="Arial"/>
        </w:rPr>
        <w:t xml:space="preserve"> against the </w:t>
      </w:r>
      <w:r>
        <w:rPr>
          <w:rFonts w:ascii="Arial" w:hAnsi="Arial" w:cs="Arial"/>
        </w:rPr>
        <w:t>Functional Requirements</w:t>
      </w:r>
      <w:r w:rsidRPr="0025226A">
        <w:rPr>
          <w:rFonts w:ascii="Arial" w:hAnsi="Arial" w:cs="Arial"/>
        </w:rPr>
        <w:t xml:space="preserve"> it has been bid against.</w:t>
      </w:r>
    </w:p>
    <w:p w14:paraId="3046A734" w14:textId="77777777" w:rsidR="00243822" w:rsidRDefault="00243822" w:rsidP="00243822">
      <w:pPr>
        <w:pStyle w:val="ListParagraph"/>
        <w:ind w:left="432"/>
        <w:rPr>
          <w:rFonts w:ascii="Arial" w:hAnsi="Arial" w:cs="Arial"/>
        </w:rPr>
      </w:pPr>
    </w:p>
    <w:p w14:paraId="4A8CFB6E" w14:textId="423AB590" w:rsidR="00243822" w:rsidRDefault="00243822" w:rsidP="00243822">
      <w:pPr>
        <w:pStyle w:val="ListParagraph"/>
        <w:numPr>
          <w:ilvl w:val="1"/>
          <w:numId w:val="3"/>
        </w:numPr>
        <w:rPr>
          <w:rFonts w:ascii="Arial" w:hAnsi="Arial" w:cs="Arial"/>
        </w:rPr>
      </w:pPr>
      <w:r>
        <w:rPr>
          <w:rFonts w:ascii="Arial" w:hAnsi="Arial" w:cs="Arial"/>
        </w:rPr>
        <w:t xml:space="preserve">For the purposes of evaluation all bid prices will be aggregated, the example at Figure </w:t>
      </w:r>
      <w:r w:rsidR="00D2727B">
        <w:rPr>
          <w:rFonts w:ascii="Arial" w:hAnsi="Arial" w:cs="Arial"/>
        </w:rPr>
        <w:t>7</w:t>
      </w:r>
      <w:r>
        <w:rPr>
          <w:rFonts w:ascii="Arial" w:hAnsi="Arial" w:cs="Arial"/>
        </w:rPr>
        <w:t xml:space="preserve"> illustrates. The price for call-of services will be calculated by multiplying the Firm Day Rates with the resource estimates as detailed in the Statement of Work.</w:t>
      </w:r>
    </w:p>
    <w:p w14:paraId="1D96778A" w14:textId="77777777" w:rsidR="00243822" w:rsidRDefault="00243822" w:rsidP="00243822">
      <w:pPr>
        <w:pStyle w:val="ListParagraph"/>
        <w:ind w:left="792"/>
        <w:rPr>
          <w:rFonts w:ascii="Arial" w:hAnsi="Arial" w:cs="Arial"/>
        </w:rPr>
      </w:pPr>
    </w:p>
    <w:p w14:paraId="3074B509" w14:textId="77777777" w:rsidR="00243822" w:rsidRDefault="00243822" w:rsidP="00243822">
      <w:pPr>
        <w:pStyle w:val="ListParagraph"/>
        <w:ind w:left="792"/>
        <w:rPr>
          <w:rFonts w:ascii="Arial" w:hAnsi="Arial" w:cs="Arial"/>
        </w:rPr>
      </w:pPr>
      <w:r w:rsidRPr="00713096">
        <w:rPr>
          <w:noProof/>
          <w:lang w:eastAsia="en-GB"/>
        </w:rPr>
        <w:lastRenderedPageBreak/>
        <w:drawing>
          <wp:inline distT="0" distB="0" distL="0" distR="0" wp14:anchorId="4B1187B7" wp14:editId="7A904CBF">
            <wp:extent cx="5233263" cy="1933575"/>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3263" cy="1933575"/>
                    </a:xfrm>
                    <a:prstGeom prst="rect">
                      <a:avLst/>
                    </a:prstGeom>
                    <a:noFill/>
                    <a:ln>
                      <a:noFill/>
                    </a:ln>
                  </pic:spPr>
                </pic:pic>
              </a:graphicData>
            </a:graphic>
          </wp:inline>
        </w:drawing>
      </w:r>
    </w:p>
    <w:p w14:paraId="0851F430" w14:textId="6E56015A" w:rsidR="00243822" w:rsidRPr="006331D4" w:rsidRDefault="00243822" w:rsidP="00243822">
      <w:pPr>
        <w:jc w:val="center"/>
        <w:rPr>
          <w:rFonts w:ascii="Arial" w:hAnsi="Arial" w:cs="Arial"/>
          <w:b/>
        </w:rPr>
      </w:pPr>
      <w:r>
        <w:rPr>
          <w:rFonts w:ascii="Arial" w:hAnsi="Arial" w:cs="Arial"/>
          <w:b/>
        </w:rPr>
        <w:t>Figure</w:t>
      </w:r>
      <w:r w:rsidRPr="006331D4">
        <w:rPr>
          <w:rFonts w:ascii="Arial" w:hAnsi="Arial" w:cs="Arial"/>
          <w:b/>
        </w:rPr>
        <w:t xml:space="preserve"> </w:t>
      </w:r>
      <w:r w:rsidR="00D2727B">
        <w:rPr>
          <w:rFonts w:ascii="Arial" w:hAnsi="Arial" w:cs="Arial"/>
          <w:b/>
        </w:rPr>
        <w:t>7</w:t>
      </w:r>
    </w:p>
    <w:p w14:paraId="042F7F12" w14:textId="77777777" w:rsidR="00465B30" w:rsidRDefault="00465B30" w:rsidP="009B6ADE">
      <w:pPr>
        <w:pStyle w:val="ListParagraph"/>
        <w:ind w:left="1224"/>
        <w:rPr>
          <w:rFonts w:ascii="Arial" w:hAnsi="Arial" w:cs="Arial"/>
        </w:rPr>
      </w:pPr>
    </w:p>
    <w:p w14:paraId="7E8AE42C" w14:textId="77777777" w:rsidR="00331CC6" w:rsidRDefault="00331CC6" w:rsidP="009B6ADE">
      <w:pPr>
        <w:pStyle w:val="ListParagraph"/>
        <w:ind w:left="1224"/>
        <w:rPr>
          <w:rFonts w:ascii="Arial" w:hAnsi="Arial" w:cs="Arial"/>
        </w:rPr>
      </w:pPr>
    </w:p>
    <w:p w14:paraId="31607AB9" w14:textId="77777777" w:rsidR="00331CC6" w:rsidRDefault="00331CC6" w:rsidP="009B6ADE">
      <w:pPr>
        <w:pStyle w:val="ListParagraph"/>
        <w:ind w:left="1224"/>
        <w:rPr>
          <w:rFonts w:ascii="Arial" w:hAnsi="Arial" w:cs="Arial"/>
        </w:rPr>
      </w:pPr>
    </w:p>
    <w:p w14:paraId="5D50E618" w14:textId="77777777" w:rsidR="00331CC6" w:rsidRDefault="00331CC6" w:rsidP="009B6ADE">
      <w:pPr>
        <w:pStyle w:val="ListParagraph"/>
        <w:ind w:left="1224"/>
        <w:rPr>
          <w:rFonts w:ascii="Arial" w:hAnsi="Arial" w:cs="Arial"/>
        </w:rPr>
      </w:pPr>
    </w:p>
    <w:p w14:paraId="335312E3" w14:textId="77777777" w:rsidR="00D2727B" w:rsidRDefault="00D2727B" w:rsidP="009B6ADE">
      <w:pPr>
        <w:pStyle w:val="ListParagraph"/>
        <w:ind w:left="1224"/>
        <w:rPr>
          <w:rFonts w:ascii="Arial" w:hAnsi="Arial" w:cs="Arial"/>
        </w:rPr>
      </w:pPr>
    </w:p>
    <w:p w14:paraId="15085221" w14:textId="77777777" w:rsidR="00D2727B" w:rsidRDefault="00D2727B" w:rsidP="009B6ADE">
      <w:pPr>
        <w:pStyle w:val="ListParagraph"/>
        <w:ind w:left="1224"/>
        <w:rPr>
          <w:rFonts w:ascii="Arial" w:hAnsi="Arial" w:cs="Arial"/>
        </w:rPr>
      </w:pPr>
    </w:p>
    <w:p w14:paraId="7B437049" w14:textId="77777777" w:rsidR="00D2727B" w:rsidRDefault="00D2727B" w:rsidP="009B6ADE">
      <w:pPr>
        <w:pStyle w:val="ListParagraph"/>
        <w:ind w:left="1224"/>
        <w:rPr>
          <w:rFonts w:ascii="Arial" w:hAnsi="Arial" w:cs="Arial"/>
        </w:rPr>
      </w:pPr>
    </w:p>
    <w:p w14:paraId="6537987A" w14:textId="77777777" w:rsidR="00D2727B" w:rsidRDefault="00D2727B" w:rsidP="009B6ADE">
      <w:pPr>
        <w:pStyle w:val="ListParagraph"/>
        <w:ind w:left="1224"/>
        <w:rPr>
          <w:rFonts w:ascii="Arial" w:hAnsi="Arial" w:cs="Arial"/>
        </w:rPr>
      </w:pPr>
    </w:p>
    <w:p w14:paraId="20E1792F" w14:textId="77777777" w:rsidR="00D2727B" w:rsidRDefault="00D2727B" w:rsidP="009B6ADE">
      <w:pPr>
        <w:pStyle w:val="ListParagraph"/>
        <w:ind w:left="1224"/>
        <w:rPr>
          <w:rFonts w:ascii="Arial" w:hAnsi="Arial" w:cs="Arial"/>
        </w:rPr>
      </w:pPr>
    </w:p>
    <w:p w14:paraId="04F2B308" w14:textId="77777777" w:rsidR="00D2727B" w:rsidRDefault="00D2727B" w:rsidP="009B6ADE">
      <w:pPr>
        <w:pStyle w:val="ListParagraph"/>
        <w:ind w:left="1224"/>
        <w:rPr>
          <w:rFonts w:ascii="Arial" w:hAnsi="Arial" w:cs="Arial"/>
        </w:rPr>
      </w:pPr>
    </w:p>
    <w:p w14:paraId="6DCADACC" w14:textId="77777777" w:rsidR="00D2727B" w:rsidRDefault="00D2727B" w:rsidP="009B6ADE">
      <w:pPr>
        <w:pStyle w:val="ListParagraph"/>
        <w:ind w:left="1224"/>
        <w:rPr>
          <w:rFonts w:ascii="Arial" w:hAnsi="Arial" w:cs="Arial"/>
        </w:rPr>
      </w:pPr>
    </w:p>
    <w:p w14:paraId="1A38BA59" w14:textId="77777777" w:rsidR="00D2727B" w:rsidRDefault="00D2727B" w:rsidP="009B6ADE">
      <w:pPr>
        <w:pStyle w:val="ListParagraph"/>
        <w:ind w:left="1224"/>
        <w:rPr>
          <w:rFonts w:ascii="Arial" w:hAnsi="Arial" w:cs="Arial"/>
        </w:rPr>
      </w:pPr>
    </w:p>
    <w:p w14:paraId="0D51B3F0" w14:textId="77777777" w:rsidR="00D2727B" w:rsidRDefault="00D2727B" w:rsidP="009B6ADE">
      <w:pPr>
        <w:pStyle w:val="ListParagraph"/>
        <w:ind w:left="1224"/>
        <w:rPr>
          <w:rFonts w:ascii="Arial" w:hAnsi="Arial" w:cs="Arial"/>
        </w:rPr>
      </w:pPr>
    </w:p>
    <w:p w14:paraId="1270BC3B" w14:textId="77777777" w:rsidR="00D2727B" w:rsidRDefault="00D2727B" w:rsidP="009B6ADE">
      <w:pPr>
        <w:pStyle w:val="ListParagraph"/>
        <w:ind w:left="1224"/>
        <w:rPr>
          <w:rFonts w:ascii="Arial" w:hAnsi="Arial" w:cs="Arial"/>
        </w:rPr>
      </w:pPr>
    </w:p>
    <w:p w14:paraId="09F1E633" w14:textId="77777777" w:rsidR="00D2727B" w:rsidRDefault="00D2727B" w:rsidP="009B6ADE">
      <w:pPr>
        <w:pStyle w:val="ListParagraph"/>
        <w:ind w:left="1224"/>
        <w:rPr>
          <w:rFonts w:ascii="Arial" w:hAnsi="Arial" w:cs="Arial"/>
        </w:rPr>
      </w:pPr>
    </w:p>
    <w:p w14:paraId="2018DFF0" w14:textId="77777777" w:rsidR="00D2727B" w:rsidRDefault="00D2727B" w:rsidP="009B6ADE">
      <w:pPr>
        <w:pStyle w:val="ListParagraph"/>
        <w:ind w:left="1224"/>
        <w:rPr>
          <w:rFonts w:ascii="Arial" w:hAnsi="Arial" w:cs="Arial"/>
        </w:rPr>
      </w:pPr>
    </w:p>
    <w:p w14:paraId="7553B082" w14:textId="77777777" w:rsidR="00D2727B" w:rsidRDefault="00D2727B" w:rsidP="009B6ADE">
      <w:pPr>
        <w:pStyle w:val="ListParagraph"/>
        <w:ind w:left="1224"/>
        <w:rPr>
          <w:rFonts w:ascii="Arial" w:hAnsi="Arial" w:cs="Arial"/>
        </w:rPr>
      </w:pPr>
    </w:p>
    <w:p w14:paraId="26A75F84" w14:textId="77777777" w:rsidR="00D2727B" w:rsidRDefault="00D2727B" w:rsidP="009B6ADE">
      <w:pPr>
        <w:pStyle w:val="ListParagraph"/>
        <w:ind w:left="1224"/>
        <w:rPr>
          <w:rFonts w:ascii="Arial" w:hAnsi="Arial" w:cs="Arial"/>
        </w:rPr>
      </w:pPr>
    </w:p>
    <w:p w14:paraId="7E082131" w14:textId="77777777" w:rsidR="00D2727B" w:rsidRDefault="00D2727B" w:rsidP="009B6ADE">
      <w:pPr>
        <w:pStyle w:val="ListParagraph"/>
        <w:ind w:left="1224"/>
        <w:rPr>
          <w:rFonts w:ascii="Arial" w:hAnsi="Arial" w:cs="Arial"/>
        </w:rPr>
      </w:pPr>
    </w:p>
    <w:p w14:paraId="18EE57A1" w14:textId="77777777" w:rsidR="00D2727B" w:rsidRDefault="00D2727B" w:rsidP="009B6ADE">
      <w:pPr>
        <w:pStyle w:val="ListParagraph"/>
        <w:ind w:left="1224"/>
        <w:rPr>
          <w:rFonts w:ascii="Arial" w:hAnsi="Arial" w:cs="Arial"/>
        </w:rPr>
      </w:pPr>
    </w:p>
    <w:p w14:paraId="0AA47483" w14:textId="77777777" w:rsidR="00D2727B" w:rsidRDefault="00D2727B" w:rsidP="009B6ADE">
      <w:pPr>
        <w:pStyle w:val="ListParagraph"/>
        <w:ind w:left="1224"/>
        <w:rPr>
          <w:rFonts w:ascii="Arial" w:hAnsi="Arial" w:cs="Arial"/>
        </w:rPr>
      </w:pPr>
    </w:p>
    <w:p w14:paraId="621681D5" w14:textId="77777777" w:rsidR="00D2727B" w:rsidRDefault="00D2727B" w:rsidP="009B6ADE">
      <w:pPr>
        <w:pStyle w:val="ListParagraph"/>
        <w:ind w:left="1224"/>
        <w:rPr>
          <w:rFonts w:ascii="Arial" w:hAnsi="Arial" w:cs="Arial"/>
        </w:rPr>
      </w:pPr>
    </w:p>
    <w:p w14:paraId="147FA3B8" w14:textId="77777777" w:rsidR="00D2727B" w:rsidRDefault="00D2727B" w:rsidP="009B6ADE">
      <w:pPr>
        <w:pStyle w:val="ListParagraph"/>
        <w:ind w:left="1224"/>
        <w:rPr>
          <w:rFonts w:ascii="Arial" w:hAnsi="Arial" w:cs="Arial"/>
        </w:rPr>
      </w:pPr>
    </w:p>
    <w:p w14:paraId="7FB88D6D" w14:textId="77777777" w:rsidR="00D2727B" w:rsidRDefault="00D2727B" w:rsidP="009B6ADE">
      <w:pPr>
        <w:pStyle w:val="ListParagraph"/>
        <w:ind w:left="1224"/>
        <w:rPr>
          <w:rFonts w:ascii="Arial" w:hAnsi="Arial" w:cs="Arial"/>
        </w:rPr>
      </w:pPr>
    </w:p>
    <w:p w14:paraId="661688A7" w14:textId="77777777" w:rsidR="00D2727B" w:rsidRDefault="00D2727B" w:rsidP="009B6ADE">
      <w:pPr>
        <w:pStyle w:val="ListParagraph"/>
        <w:ind w:left="1224"/>
        <w:rPr>
          <w:rFonts w:ascii="Arial" w:hAnsi="Arial" w:cs="Arial"/>
        </w:rPr>
      </w:pPr>
    </w:p>
    <w:p w14:paraId="09856AD4" w14:textId="77777777" w:rsidR="00D2727B" w:rsidRDefault="00D2727B" w:rsidP="009B6ADE">
      <w:pPr>
        <w:pStyle w:val="ListParagraph"/>
        <w:ind w:left="1224"/>
        <w:rPr>
          <w:rFonts w:ascii="Arial" w:hAnsi="Arial" w:cs="Arial"/>
        </w:rPr>
      </w:pPr>
    </w:p>
    <w:p w14:paraId="5E5FF9AA" w14:textId="77777777" w:rsidR="00D2727B" w:rsidRDefault="00D2727B" w:rsidP="009B6ADE">
      <w:pPr>
        <w:pStyle w:val="ListParagraph"/>
        <w:ind w:left="1224"/>
        <w:rPr>
          <w:rFonts w:ascii="Arial" w:hAnsi="Arial" w:cs="Arial"/>
        </w:rPr>
      </w:pPr>
    </w:p>
    <w:p w14:paraId="22F9E6DF" w14:textId="77777777" w:rsidR="00D2727B" w:rsidRDefault="00D2727B" w:rsidP="009B6ADE">
      <w:pPr>
        <w:pStyle w:val="ListParagraph"/>
        <w:ind w:left="1224"/>
        <w:rPr>
          <w:rFonts w:ascii="Arial" w:hAnsi="Arial" w:cs="Arial"/>
        </w:rPr>
      </w:pPr>
    </w:p>
    <w:p w14:paraId="681AB301" w14:textId="77777777" w:rsidR="00D2727B" w:rsidRDefault="00D2727B" w:rsidP="009B6ADE">
      <w:pPr>
        <w:pStyle w:val="ListParagraph"/>
        <w:ind w:left="1224"/>
        <w:rPr>
          <w:rFonts w:ascii="Arial" w:hAnsi="Arial" w:cs="Arial"/>
        </w:rPr>
      </w:pPr>
    </w:p>
    <w:p w14:paraId="63521DD4" w14:textId="77777777" w:rsidR="00D2727B" w:rsidRDefault="00D2727B" w:rsidP="009B6ADE">
      <w:pPr>
        <w:pStyle w:val="ListParagraph"/>
        <w:ind w:left="1224"/>
        <w:rPr>
          <w:rFonts w:ascii="Arial" w:hAnsi="Arial" w:cs="Arial"/>
        </w:rPr>
      </w:pPr>
    </w:p>
    <w:p w14:paraId="604F4081" w14:textId="77777777" w:rsidR="00D2727B" w:rsidRDefault="00D2727B" w:rsidP="009B6ADE">
      <w:pPr>
        <w:pStyle w:val="ListParagraph"/>
        <w:ind w:left="1224"/>
        <w:rPr>
          <w:rFonts w:ascii="Arial" w:hAnsi="Arial" w:cs="Arial"/>
        </w:rPr>
      </w:pPr>
    </w:p>
    <w:p w14:paraId="5B6A83AE" w14:textId="77777777" w:rsidR="00D2727B" w:rsidRDefault="00D2727B" w:rsidP="009B6ADE">
      <w:pPr>
        <w:pStyle w:val="ListParagraph"/>
        <w:ind w:left="1224"/>
        <w:rPr>
          <w:rFonts w:ascii="Arial" w:hAnsi="Arial" w:cs="Arial"/>
        </w:rPr>
      </w:pPr>
    </w:p>
    <w:p w14:paraId="204A9CDA" w14:textId="77777777" w:rsidR="00D2727B" w:rsidRDefault="00D2727B" w:rsidP="009B6ADE">
      <w:pPr>
        <w:pStyle w:val="ListParagraph"/>
        <w:ind w:left="1224"/>
        <w:rPr>
          <w:rFonts w:ascii="Arial" w:hAnsi="Arial" w:cs="Arial"/>
        </w:rPr>
      </w:pPr>
    </w:p>
    <w:p w14:paraId="056A2AF4" w14:textId="77777777" w:rsidR="00236377" w:rsidRDefault="00236377" w:rsidP="009B6ADE">
      <w:pPr>
        <w:pStyle w:val="ListParagraph"/>
        <w:ind w:left="1224"/>
        <w:rPr>
          <w:rFonts w:ascii="Arial" w:hAnsi="Arial" w:cs="Arial"/>
        </w:rPr>
      </w:pPr>
    </w:p>
    <w:p w14:paraId="03980D3A" w14:textId="77777777" w:rsidR="00331CC6" w:rsidRDefault="00331CC6" w:rsidP="009B6ADE">
      <w:pPr>
        <w:pStyle w:val="ListParagraph"/>
        <w:ind w:left="1224"/>
        <w:rPr>
          <w:rFonts w:ascii="Arial" w:hAnsi="Arial" w:cs="Arial"/>
        </w:rPr>
      </w:pPr>
    </w:p>
    <w:p w14:paraId="488FEAF3" w14:textId="25559D5A" w:rsidR="0099329F" w:rsidRDefault="00C84CB6" w:rsidP="00172A23">
      <w:pPr>
        <w:pStyle w:val="ListParagraph"/>
        <w:numPr>
          <w:ilvl w:val="0"/>
          <w:numId w:val="3"/>
        </w:numPr>
        <w:rPr>
          <w:rFonts w:ascii="Arial" w:hAnsi="Arial" w:cs="Arial"/>
          <w:b/>
        </w:rPr>
      </w:pPr>
      <w:r>
        <w:rPr>
          <w:rFonts w:ascii="Arial" w:hAnsi="Arial" w:cs="Arial"/>
          <w:b/>
        </w:rPr>
        <w:lastRenderedPageBreak/>
        <w:t>AWARD CRITERIA FOR BETA</w:t>
      </w:r>
      <w:r w:rsidRPr="006331D4">
        <w:rPr>
          <w:rFonts w:ascii="Arial" w:hAnsi="Arial" w:cs="Arial"/>
          <w:b/>
        </w:rPr>
        <w:t xml:space="preserve"> PHASE CONTRACTS</w:t>
      </w:r>
    </w:p>
    <w:p w14:paraId="709941E8" w14:textId="77777777" w:rsidR="004C7B62" w:rsidRDefault="004C7B62" w:rsidP="004C7B62">
      <w:pPr>
        <w:pStyle w:val="ListParagraph"/>
        <w:ind w:left="360"/>
        <w:rPr>
          <w:rFonts w:ascii="Arial" w:hAnsi="Arial" w:cs="Arial"/>
          <w:b/>
        </w:rPr>
      </w:pPr>
    </w:p>
    <w:p w14:paraId="385A026D" w14:textId="325CF5EB" w:rsidR="004C7B62" w:rsidRDefault="00B45173" w:rsidP="004C7B62">
      <w:pPr>
        <w:pStyle w:val="ListParagraph"/>
        <w:numPr>
          <w:ilvl w:val="1"/>
          <w:numId w:val="3"/>
        </w:numPr>
        <w:rPr>
          <w:rFonts w:ascii="Arial" w:hAnsi="Arial" w:cs="Arial"/>
          <w:b/>
        </w:rPr>
      </w:pPr>
      <w:r>
        <w:rPr>
          <w:rFonts w:ascii="Arial" w:hAnsi="Arial" w:cs="Arial"/>
        </w:rPr>
        <w:t>Alpha Phase contracts will be awarded using the criteria detailed in Section 2.  This will result in t</w:t>
      </w:r>
      <w:r w:rsidR="004C7B62">
        <w:rPr>
          <w:rFonts w:ascii="Arial" w:hAnsi="Arial" w:cs="Arial"/>
        </w:rPr>
        <w:t xml:space="preserve">he top scoring product for each Functional Requirement </w:t>
      </w:r>
      <w:r>
        <w:rPr>
          <w:rFonts w:ascii="Arial" w:hAnsi="Arial" w:cs="Arial"/>
        </w:rPr>
        <w:t xml:space="preserve">being </w:t>
      </w:r>
      <w:r w:rsidR="004C7B62">
        <w:rPr>
          <w:rFonts w:ascii="Arial" w:hAnsi="Arial" w:cs="Arial"/>
        </w:rPr>
        <w:t xml:space="preserve">taken </w:t>
      </w:r>
      <w:r>
        <w:rPr>
          <w:rFonts w:ascii="Arial" w:hAnsi="Arial" w:cs="Arial"/>
        </w:rPr>
        <w:t xml:space="preserve">forward into </w:t>
      </w:r>
      <w:r w:rsidR="004C7B62">
        <w:rPr>
          <w:rFonts w:ascii="Arial" w:hAnsi="Arial" w:cs="Arial"/>
        </w:rPr>
        <w:t xml:space="preserve">an initial product scenario option set. </w:t>
      </w:r>
      <w:r>
        <w:rPr>
          <w:rFonts w:ascii="Arial" w:hAnsi="Arial" w:cs="Arial"/>
        </w:rPr>
        <w:t xml:space="preserve">Figure </w:t>
      </w:r>
      <w:r w:rsidR="00D2727B">
        <w:rPr>
          <w:rFonts w:ascii="Arial" w:hAnsi="Arial" w:cs="Arial"/>
        </w:rPr>
        <w:t>8</w:t>
      </w:r>
      <w:r>
        <w:rPr>
          <w:rFonts w:ascii="Arial" w:hAnsi="Arial" w:cs="Arial"/>
        </w:rPr>
        <w:t xml:space="preserve"> illustrates.</w:t>
      </w:r>
    </w:p>
    <w:p w14:paraId="76ED9488" w14:textId="77777777" w:rsidR="00FC7058" w:rsidRDefault="00FC7058" w:rsidP="003A27E8">
      <w:pPr>
        <w:pStyle w:val="ListParagraph"/>
        <w:ind w:left="360"/>
        <w:jc w:val="center"/>
        <w:rPr>
          <w:rFonts w:ascii="Arial" w:hAnsi="Arial" w:cs="Arial"/>
          <w:b/>
        </w:rPr>
      </w:pPr>
    </w:p>
    <w:p w14:paraId="13681BB9" w14:textId="6EFFA88B" w:rsidR="00FC7058" w:rsidRDefault="00FC7058" w:rsidP="003A27E8">
      <w:pPr>
        <w:pStyle w:val="ListParagraph"/>
        <w:ind w:left="360"/>
        <w:jc w:val="center"/>
        <w:rPr>
          <w:rFonts w:ascii="Arial" w:hAnsi="Arial" w:cs="Arial"/>
          <w:b/>
        </w:rPr>
      </w:pPr>
      <w:r w:rsidRPr="00FC7058">
        <w:rPr>
          <w:noProof/>
          <w:lang w:eastAsia="en-GB"/>
        </w:rPr>
        <w:drawing>
          <wp:inline distT="0" distB="0" distL="0" distR="0" wp14:anchorId="59EC8AA6" wp14:editId="3D9D17B9">
            <wp:extent cx="5731510" cy="175845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58456"/>
                    </a:xfrm>
                    <a:prstGeom prst="rect">
                      <a:avLst/>
                    </a:prstGeom>
                    <a:noFill/>
                    <a:ln>
                      <a:noFill/>
                    </a:ln>
                  </pic:spPr>
                </pic:pic>
              </a:graphicData>
            </a:graphic>
          </wp:inline>
        </w:drawing>
      </w:r>
    </w:p>
    <w:p w14:paraId="2CD2B70C" w14:textId="77777777" w:rsidR="00B45173" w:rsidRDefault="00B45173" w:rsidP="003A27E8">
      <w:pPr>
        <w:pStyle w:val="ListParagraph"/>
        <w:ind w:left="360"/>
        <w:jc w:val="center"/>
        <w:rPr>
          <w:rFonts w:ascii="Arial" w:hAnsi="Arial" w:cs="Arial"/>
          <w:b/>
        </w:rPr>
      </w:pPr>
    </w:p>
    <w:p w14:paraId="6BBD5610" w14:textId="2FAE8516" w:rsidR="003A27E8" w:rsidRPr="00467E16" w:rsidRDefault="002A2C15" w:rsidP="003A27E8">
      <w:pPr>
        <w:pStyle w:val="ListParagraph"/>
        <w:ind w:left="360"/>
        <w:jc w:val="center"/>
        <w:rPr>
          <w:rFonts w:ascii="Arial" w:hAnsi="Arial" w:cs="Arial"/>
          <w:b/>
        </w:rPr>
      </w:pPr>
      <w:r>
        <w:rPr>
          <w:rFonts w:ascii="Arial" w:hAnsi="Arial" w:cs="Arial"/>
          <w:b/>
        </w:rPr>
        <w:t xml:space="preserve">Figure </w:t>
      </w:r>
      <w:r w:rsidR="00D2727B">
        <w:rPr>
          <w:rFonts w:ascii="Arial" w:hAnsi="Arial" w:cs="Arial"/>
          <w:b/>
        </w:rPr>
        <w:t>8</w:t>
      </w:r>
    </w:p>
    <w:p w14:paraId="61A90EC0" w14:textId="77777777" w:rsidR="0065628F" w:rsidRDefault="0065628F" w:rsidP="00F31117">
      <w:pPr>
        <w:pStyle w:val="ListParagraph"/>
        <w:ind w:left="360"/>
        <w:rPr>
          <w:rFonts w:ascii="Arial" w:hAnsi="Arial" w:cs="Arial"/>
        </w:rPr>
      </w:pPr>
    </w:p>
    <w:p w14:paraId="42825DD0" w14:textId="083EDE31" w:rsidR="004C7B62" w:rsidRDefault="004C7B62" w:rsidP="00F31117">
      <w:pPr>
        <w:pStyle w:val="ListParagraph"/>
        <w:numPr>
          <w:ilvl w:val="1"/>
          <w:numId w:val="3"/>
        </w:numPr>
        <w:ind w:left="360"/>
        <w:rPr>
          <w:rFonts w:ascii="Arial" w:hAnsi="Arial" w:cs="Arial"/>
        </w:rPr>
      </w:pPr>
      <w:r>
        <w:rPr>
          <w:rFonts w:ascii="Arial" w:hAnsi="Arial" w:cs="Arial"/>
        </w:rPr>
        <w:t xml:space="preserve">Each product within the initial product scenario set will be required to pass </w:t>
      </w:r>
      <w:r w:rsidR="00CE776D">
        <w:rPr>
          <w:rFonts w:ascii="Arial" w:hAnsi="Arial" w:cs="Arial"/>
        </w:rPr>
        <w:t>h</w:t>
      </w:r>
      <w:r>
        <w:rPr>
          <w:rFonts w:ascii="Arial" w:hAnsi="Arial" w:cs="Arial"/>
        </w:rPr>
        <w:t xml:space="preserve">ands-on </w:t>
      </w:r>
      <w:r w:rsidR="00CE776D">
        <w:rPr>
          <w:rFonts w:ascii="Arial" w:hAnsi="Arial" w:cs="Arial"/>
        </w:rPr>
        <w:t>a</w:t>
      </w:r>
      <w:r>
        <w:rPr>
          <w:rFonts w:ascii="Arial" w:hAnsi="Arial" w:cs="Arial"/>
        </w:rPr>
        <w:t>ssessment</w:t>
      </w:r>
      <w:r w:rsidR="008D6F3A">
        <w:rPr>
          <w:rFonts w:ascii="Arial" w:hAnsi="Arial" w:cs="Arial"/>
        </w:rPr>
        <w:t xml:space="preserve"> following the installation of software products onto an appropriately configured hosting environment.</w:t>
      </w:r>
      <w:r w:rsidR="00B45173">
        <w:rPr>
          <w:rFonts w:ascii="Arial" w:hAnsi="Arial" w:cs="Arial"/>
        </w:rPr>
        <w:t xml:space="preserve"> </w:t>
      </w:r>
    </w:p>
    <w:p w14:paraId="7B938278" w14:textId="77777777" w:rsidR="004C7B62" w:rsidRDefault="004C7B62" w:rsidP="004C7B62">
      <w:pPr>
        <w:pStyle w:val="ListParagraph"/>
        <w:ind w:left="360"/>
        <w:rPr>
          <w:rFonts w:ascii="Arial" w:hAnsi="Arial" w:cs="Arial"/>
        </w:rPr>
      </w:pPr>
    </w:p>
    <w:p w14:paraId="616B6A98" w14:textId="04641EAC" w:rsidR="004C7B62" w:rsidRDefault="004C7B62" w:rsidP="00F31117">
      <w:pPr>
        <w:pStyle w:val="ListParagraph"/>
        <w:numPr>
          <w:ilvl w:val="1"/>
          <w:numId w:val="3"/>
        </w:numPr>
        <w:ind w:left="360"/>
        <w:rPr>
          <w:rFonts w:ascii="Arial" w:hAnsi="Arial" w:cs="Arial"/>
        </w:rPr>
      </w:pPr>
      <w:r>
        <w:rPr>
          <w:rFonts w:ascii="Arial" w:hAnsi="Arial" w:cs="Arial"/>
        </w:rPr>
        <w:t xml:space="preserve">Hands-on </w:t>
      </w:r>
      <w:r w:rsidRPr="003809B9">
        <w:rPr>
          <w:rFonts w:ascii="Arial" w:hAnsi="Arial" w:cs="Arial"/>
        </w:rPr>
        <w:t>Assessment of a product and its corresponding Functional Requirement shall be carried out using the Option Set Evaluation Criteria</w:t>
      </w:r>
      <w:r w:rsidR="005925CD">
        <w:rPr>
          <w:rFonts w:ascii="Arial" w:hAnsi="Arial" w:cs="Arial"/>
        </w:rPr>
        <w:t xml:space="preserve"> as detailed at </w:t>
      </w:r>
      <w:r w:rsidR="00D2727B">
        <w:rPr>
          <w:rFonts w:ascii="Arial" w:hAnsi="Arial" w:cs="Arial"/>
        </w:rPr>
        <w:t>Table 3</w:t>
      </w:r>
      <w:r w:rsidRPr="003809B9">
        <w:rPr>
          <w:rFonts w:ascii="Arial" w:hAnsi="Arial" w:cs="Arial"/>
        </w:rPr>
        <w:t>.</w:t>
      </w:r>
      <w:r w:rsidRPr="00F63EAE">
        <w:t xml:space="preserve"> </w:t>
      </w:r>
      <w:r w:rsidR="005925CD">
        <w:rPr>
          <w:rFonts w:ascii="Arial" w:hAnsi="Arial" w:cs="Arial"/>
        </w:rPr>
        <w:t>The O</w:t>
      </w:r>
      <w:r w:rsidRPr="003809B9">
        <w:rPr>
          <w:rFonts w:ascii="Arial" w:hAnsi="Arial" w:cs="Arial"/>
        </w:rPr>
        <w:t xml:space="preserve">ption </w:t>
      </w:r>
      <w:r w:rsidR="005925CD">
        <w:rPr>
          <w:rFonts w:ascii="Arial" w:hAnsi="Arial" w:cs="Arial"/>
        </w:rPr>
        <w:t>S</w:t>
      </w:r>
      <w:r w:rsidRPr="003809B9">
        <w:rPr>
          <w:rFonts w:ascii="Arial" w:hAnsi="Arial" w:cs="Arial"/>
        </w:rPr>
        <w:t xml:space="preserve">et </w:t>
      </w:r>
      <w:r w:rsidR="005925CD">
        <w:rPr>
          <w:rFonts w:ascii="Arial" w:hAnsi="Arial" w:cs="Arial"/>
        </w:rPr>
        <w:t>E</w:t>
      </w:r>
      <w:r w:rsidRPr="003809B9">
        <w:rPr>
          <w:rFonts w:ascii="Arial" w:hAnsi="Arial" w:cs="Arial"/>
        </w:rPr>
        <w:t xml:space="preserve">valuation </w:t>
      </w:r>
      <w:r w:rsidR="005925CD">
        <w:rPr>
          <w:rFonts w:ascii="Arial" w:hAnsi="Arial" w:cs="Arial"/>
        </w:rPr>
        <w:t>C</w:t>
      </w:r>
      <w:r w:rsidRPr="003809B9">
        <w:rPr>
          <w:rFonts w:ascii="Arial" w:hAnsi="Arial" w:cs="Arial"/>
        </w:rPr>
        <w:t xml:space="preserve">riteria are explained in more detail in </w:t>
      </w:r>
      <w:r w:rsidR="002A2C15">
        <w:rPr>
          <w:rFonts w:ascii="Arial" w:hAnsi="Arial" w:cs="Arial"/>
        </w:rPr>
        <w:t>Annex A to Schedule 5 of the Contract</w:t>
      </w:r>
      <w:r w:rsidRPr="003809B9">
        <w:rPr>
          <w:rFonts w:ascii="Arial" w:hAnsi="Arial" w:cs="Arial"/>
        </w:rPr>
        <w:t xml:space="preserve">. A single mark out of 4 will be awarded for each Criteria in accordance with the Criteria marking schema detailed </w:t>
      </w:r>
      <w:r w:rsidR="002A2C15">
        <w:rPr>
          <w:rFonts w:ascii="Arial" w:hAnsi="Arial" w:cs="Arial"/>
        </w:rPr>
        <w:t>at Section 7 of</w:t>
      </w:r>
      <w:r w:rsidRPr="003809B9">
        <w:rPr>
          <w:rFonts w:ascii="Arial" w:hAnsi="Arial" w:cs="Arial"/>
        </w:rPr>
        <w:t xml:space="preserve"> </w:t>
      </w:r>
      <w:r w:rsidR="002A2C15">
        <w:rPr>
          <w:rFonts w:ascii="Arial" w:hAnsi="Arial" w:cs="Arial"/>
        </w:rPr>
        <w:t>Annex A to Schedule 5 of the Contract.</w:t>
      </w:r>
    </w:p>
    <w:p w14:paraId="177147F0" w14:textId="77777777" w:rsidR="004C7B62" w:rsidRPr="004C7B62" w:rsidRDefault="004C7B62" w:rsidP="004C7B62">
      <w:pPr>
        <w:pStyle w:val="ListParagraph"/>
        <w:rPr>
          <w:rFonts w:ascii="Arial" w:hAnsi="Arial" w:cs="Arial"/>
        </w:rPr>
      </w:pPr>
    </w:p>
    <w:tbl>
      <w:tblPr>
        <w:tblStyle w:val="TableGrid"/>
        <w:tblW w:w="0" w:type="auto"/>
        <w:tblLook w:val="04A0" w:firstRow="1" w:lastRow="0" w:firstColumn="1" w:lastColumn="0" w:noHBand="0" w:noVBand="1"/>
      </w:tblPr>
      <w:tblGrid>
        <w:gridCol w:w="7416"/>
        <w:gridCol w:w="1600"/>
      </w:tblGrid>
      <w:tr w:rsidR="004C7B62" w14:paraId="46A219ED" w14:textId="77777777" w:rsidTr="00791CDE">
        <w:tc>
          <w:tcPr>
            <w:tcW w:w="7416" w:type="dxa"/>
          </w:tcPr>
          <w:p w14:paraId="389DA559" w14:textId="77777777" w:rsidR="004C7B62" w:rsidRPr="00435031" w:rsidRDefault="004C7B62" w:rsidP="00791CDE">
            <w:pPr>
              <w:jc w:val="center"/>
              <w:rPr>
                <w:rFonts w:ascii="Arial" w:hAnsi="Arial" w:cs="Arial"/>
              </w:rPr>
            </w:pPr>
            <w:r w:rsidRPr="00435031">
              <w:rPr>
                <w:rFonts w:ascii="Arial" w:hAnsi="Arial" w:cs="Arial"/>
              </w:rPr>
              <w:t>Option Set Evaluation Criteria</w:t>
            </w:r>
          </w:p>
        </w:tc>
        <w:tc>
          <w:tcPr>
            <w:tcW w:w="1600" w:type="dxa"/>
          </w:tcPr>
          <w:p w14:paraId="12DD1603" w14:textId="77777777" w:rsidR="004C7B62" w:rsidRPr="003A475C" w:rsidRDefault="004C7B62" w:rsidP="00791CDE">
            <w:pPr>
              <w:jc w:val="center"/>
              <w:rPr>
                <w:rFonts w:ascii="Arial" w:hAnsi="Arial" w:cs="Arial"/>
              </w:rPr>
            </w:pPr>
            <w:r>
              <w:rPr>
                <w:rFonts w:ascii="Arial" w:hAnsi="Arial" w:cs="Arial"/>
              </w:rPr>
              <w:t>Weighting</w:t>
            </w:r>
          </w:p>
        </w:tc>
      </w:tr>
      <w:tr w:rsidR="004C7B62" w14:paraId="7F17BDA3" w14:textId="77777777" w:rsidTr="00791CDE">
        <w:tc>
          <w:tcPr>
            <w:tcW w:w="7416" w:type="dxa"/>
          </w:tcPr>
          <w:p w14:paraId="53C972B6" w14:textId="77777777" w:rsidR="004C7B62" w:rsidRPr="003A475C" w:rsidRDefault="004C7B62" w:rsidP="00791CDE">
            <w:pPr>
              <w:rPr>
                <w:rFonts w:ascii="Arial" w:hAnsi="Arial" w:cs="Arial"/>
              </w:rPr>
            </w:pPr>
            <w:r>
              <w:rPr>
                <w:rFonts w:ascii="Arial" w:hAnsi="Arial" w:cs="Arial"/>
              </w:rPr>
              <w:t>User Benefits/Preferences/Experience</w:t>
            </w:r>
          </w:p>
        </w:tc>
        <w:tc>
          <w:tcPr>
            <w:tcW w:w="1600" w:type="dxa"/>
          </w:tcPr>
          <w:p w14:paraId="7242933F" w14:textId="77777777" w:rsidR="004C7B62" w:rsidRPr="000452FC" w:rsidRDefault="004C7B62" w:rsidP="00791CDE">
            <w:pPr>
              <w:jc w:val="center"/>
              <w:rPr>
                <w:rFonts w:ascii="Arial" w:hAnsi="Arial" w:cs="Arial"/>
              </w:rPr>
            </w:pPr>
            <w:r w:rsidRPr="000452FC">
              <w:rPr>
                <w:rFonts w:ascii="Arial" w:hAnsi="Arial" w:cs="Arial"/>
              </w:rPr>
              <w:t>16.66%</w:t>
            </w:r>
          </w:p>
        </w:tc>
      </w:tr>
      <w:tr w:rsidR="004C7B62" w14:paraId="1533B459" w14:textId="77777777" w:rsidTr="00791CDE">
        <w:tc>
          <w:tcPr>
            <w:tcW w:w="7416" w:type="dxa"/>
          </w:tcPr>
          <w:p w14:paraId="4CD309AE" w14:textId="77777777" w:rsidR="004C7B62" w:rsidRPr="003A475C" w:rsidRDefault="004C7B62" w:rsidP="00791CDE">
            <w:pPr>
              <w:rPr>
                <w:rFonts w:ascii="Arial" w:hAnsi="Arial" w:cs="Arial"/>
              </w:rPr>
            </w:pPr>
            <w:r>
              <w:rPr>
                <w:rFonts w:ascii="Arial" w:hAnsi="Arial" w:cs="Arial"/>
              </w:rPr>
              <w:t>Functional Coverage</w:t>
            </w:r>
          </w:p>
        </w:tc>
        <w:tc>
          <w:tcPr>
            <w:tcW w:w="1600" w:type="dxa"/>
          </w:tcPr>
          <w:p w14:paraId="57272E9A" w14:textId="77777777" w:rsidR="004C7B62" w:rsidRPr="000452FC" w:rsidRDefault="004C7B62" w:rsidP="00791CDE">
            <w:pPr>
              <w:jc w:val="center"/>
              <w:rPr>
                <w:rFonts w:ascii="Arial" w:hAnsi="Arial" w:cs="Arial"/>
              </w:rPr>
            </w:pPr>
            <w:r w:rsidRPr="000452FC">
              <w:rPr>
                <w:rFonts w:ascii="Arial" w:hAnsi="Arial" w:cs="Arial"/>
              </w:rPr>
              <w:t>20%</w:t>
            </w:r>
          </w:p>
        </w:tc>
      </w:tr>
      <w:tr w:rsidR="004C7B62" w14:paraId="5BB0B356" w14:textId="77777777" w:rsidTr="00791CDE">
        <w:tc>
          <w:tcPr>
            <w:tcW w:w="7416" w:type="dxa"/>
          </w:tcPr>
          <w:p w14:paraId="7B9A6B1B" w14:textId="77777777" w:rsidR="004C7B62" w:rsidRPr="003A475C" w:rsidRDefault="004C7B62" w:rsidP="00791CDE">
            <w:pPr>
              <w:rPr>
                <w:rFonts w:ascii="Arial" w:hAnsi="Arial" w:cs="Arial"/>
              </w:rPr>
            </w:pPr>
            <w:r>
              <w:rPr>
                <w:rFonts w:ascii="Arial" w:hAnsi="Arial" w:cs="Arial"/>
              </w:rPr>
              <w:t>Business Process</w:t>
            </w:r>
          </w:p>
        </w:tc>
        <w:tc>
          <w:tcPr>
            <w:tcW w:w="1600" w:type="dxa"/>
          </w:tcPr>
          <w:p w14:paraId="6E0BF486" w14:textId="77777777" w:rsidR="004C7B62" w:rsidRPr="000452FC" w:rsidRDefault="004C7B62" w:rsidP="00791CDE">
            <w:pPr>
              <w:jc w:val="center"/>
              <w:rPr>
                <w:rFonts w:ascii="Arial" w:hAnsi="Arial" w:cs="Arial"/>
              </w:rPr>
            </w:pPr>
            <w:r w:rsidRPr="000452FC">
              <w:rPr>
                <w:rFonts w:ascii="Arial" w:hAnsi="Arial" w:cs="Arial"/>
              </w:rPr>
              <w:t>16.66%</w:t>
            </w:r>
          </w:p>
        </w:tc>
      </w:tr>
      <w:tr w:rsidR="004C7B62" w14:paraId="258EA2E7" w14:textId="77777777" w:rsidTr="00791CDE">
        <w:tc>
          <w:tcPr>
            <w:tcW w:w="7416" w:type="dxa"/>
          </w:tcPr>
          <w:p w14:paraId="24DCD16C" w14:textId="77777777" w:rsidR="004C7B62" w:rsidRPr="003A475C" w:rsidRDefault="004C7B62" w:rsidP="00791CDE">
            <w:pPr>
              <w:rPr>
                <w:rFonts w:ascii="Arial" w:hAnsi="Arial" w:cs="Arial"/>
              </w:rPr>
            </w:pPr>
            <w:r>
              <w:rPr>
                <w:rFonts w:ascii="Arial" w:hAnsi="Arial" w:cs="Arial"/>
              </w:rPr>
              <w:t>Sustainability/Ever-greening</w:t>
            </w:r>
          </w:p>
        </w:tc>
        <w:tc>
          <w:tcPr>
            <w:tcW w:w="1600" w:type="dxa"/>
          </w:tcPr>
          <w:p w14:paraId="465AD448" w14:textId="77777777" w:rsidR="004C7B62" w:rsidRPr="000452FC" w:rsidRDefault="004C7B62" w:rsidP="00791CDE">
            <w:pPr>
              <w:jc w:val="center"/>
              <w:rPr>
                <w:rFonts w:ascii="Arial" w:hAnsi="Arial" w:cs="Arial"/>
              </w:rPr>
            </w:pPr>
            <w:r w:rsidRPr="000452FC">
              <w:rPr>
                <w:rFonts w:ascii="Arial" w:hAnsi="Arial" w:cs="Arial"/>
              </w:rPr>
              <w:t>16.66%</w:t>
            </w:r>
          </w:p>
        </w:tc>
      </w:tr>
      <w:tr w:rsidR="004C7B62" w14:paraId="101D6DDF" w14:textId="77777777" w:rsidTr="00791CDE">
        <w:tc>
          <w:tcPr>
            <w:tcW w:w="7416" w:type="dxa"/>
          </w:tcPr>
          <w:p w14:paraId="6C0C3C1A" w14:textId="77777777" w:rsidR="004C7B62" w:rsidRPr="003A475C" w:rsidRDefault="004C7B62" w:rsidP="00791CDE">
            <w:pPr>
              <w:rPr>
                <w:rFonts w:ascii="Arial" w:hAnsi="Arial" w:cs="Arial"/>
              </w:rPr>
            </w:pPr>
            <w:r>
              <w:rPr>
                <w:rFonts w:ascii="Arial" w:hAnsi="Arial" w:cs="Arial"/>
              </w:rPr>
              <w:t>Interoperability/Integration</w:t>
            </w:r>
          </w:p>
        </w:tc>
        <w:tc>
          <w:tcPr>
            <w:tcW w:w="1600" w:type="dxa"/>
          </w:tcPr>
          <w:p w14:paraId="2C6A9686" w14:textId="77777777" w:rsidR="004C7B62" w:rsidRPr="000452FC" w:rsidRDefault="004C7B62" w:rsidP="00791CDE">
            <w:pPr>
              <w:jc w:val="center"/>
              <w:rPr>
                <w:rFonts w:ascii="Arial" w:hAnsi="Arial" w:cs="Arial"/>
              </w:rPr>
            </w:pPr>
            <w:r w:rsidRPr="000452FC">
              <w:rPr>
                <w:rFonts w:ascii="Arial" w:hAnsi="Arial" w:cs="Arial"/>
              </w:rPr>
              <w:t>13.33%</w:t>
            </w:r>
          </w:p>
        </w:tc>
      </w:tr>
      <w:tr w:rsidR="004C7B62" w14:paraId="0C84E5DA" w14:textId="77777777" w:rsidTr="00791CDE">
        <w:tc>
          <w:tcPr>
            <w:tcW w:w="7416" w:type="dxa"/>
          </w:tcPr>
          <w:p w14:paraId="540CB9A9" w14:textId="77777777" w:rsidR="004C7B62" w:rsidRPr="003A475C" w:rsidRDefault="004C7B62" w:rsidP="00791CDE">
            <w:pPr>
              <w:rPr>
                <w:rFonts w:ascii="Arial" w:hAnsi="Arial" w:cs="Arial"/>
              </w:rPr>
            </w:pPr>
            <w:r>
              <w:rPr>
                <w:rFonts w:ascii="Arial" w:hAnsi="Arial" w:cs="Arial"/>
              </w:rPr>
              <w:t>Business Benefit Realisation</w:t>
            </w:r>
          </w:p>
        </w:tc>
        <w:tc>
          <w:tcPr>
            <w:tcW w:w="1600" w:type="dxa"/>
          </w:tcPr>
          <w:p w14:paraId="073B6456" w14:textId="77777777" w:rsidR="004C7B62" w:rsidRPr="000452FC" w:rsidRDefault="004C7B62" w:rsidP="00791CDE">
            <w:pPr>
              <w:jc w:val="center"/>
              <w:rPr>
                <w:rFonts w:ascii="Arial" w:hAnsi="Arial" w:cs="Arial"/>
              </w:rPr>
            </w:pPr>
            <w:r w:rsidRPr="000452FC">
              <w:rPr>
                <w:rFonts w:ascii="Arial" w:hAnsi="Arial" w:cs="Arial"/>
              </w:rPr>
              <w:t>16.66%</w:t>
            </w:r>
          </w:p>
        </w:tc>
      </w:tr>
    </w:tbl>
    <w:p w14:paraId="61728EEC" w14:textId="77777777" w:rsidR="004C7B62" w:rsidRDefault="004C7B62" w:rsidP="004C7B62">
      <w:pPr>
        <w:pStyle w:val="ListParagraph"/>
        <w:rPr>
          <w:rFonts w:ascii="Arial" w:hAnsi="Arial" w:cs="Arial"/>
        </w:rPr>
      </w:pPr>
    </w:p>
    <w:p w14:paraId="02E1CC74" w14:textId="0154D185" w:rsidR="004C7B62" w:rsidRPr="00467E16" w:rsidRDefault="00D2727B" w:rsidP="004C7B62">
      <w:pPr>
        <w:pStyle w:val="ListParagraph"/>
        <w:ind w:left="360"/>
        <w:jc w:val="center"/>
        <w:rPr>
          <w:rFonts w:ascii="Arial" w:hAnsi="Arial" w:cs="Arial"/>
          <w:b/>
        </w:rPr>
      </w:pPr>
      <w:r>
        <w:rPr>
          <w:rFonts w:ascii="Arial" w:hAnsi="Arial" w:cs="Arial"/>
          <w:b/>
        </w:rPr>
        <w:t>Table 3</w:t>
      </w:r>
    </w:p>
    <w:p w14:paraId="032DE770" w14:textId="77777777" w:rsidR="004C7B62" w:rsidRDefault="004C7B62" w:rsidP="004C7B62">
      <w:pPr>
        <w:pStyle w:val="ListParagraph"/>
        <w:rPr>
          <w:rFonts w:ascii="Arial" w:hAnsi="Arial" w:cs="Arial"/>
        </w:rPr>
      </w:pPr>
    </w:p>
    <w:p w14:paraId="65012D8D" w14:textId="719B0489" w:rsidR="004C7B62" w:rsidRDefault="00E72CCE" w:rsidP="00F31117">
      <w:pPr>
        <w:pStyle w:val="ListParagraph"/>
        <w:numPr>
          <w:ilvl w:val="1"/>
          <w:numId w:val="3"/>
        </w:numPr>
        <w:ind w:left="360"/>
        <w:rPr>
          <w:rFonts w:ascii="Arial" w:hAnsi="Arial" w:cs="Arial"/>
        </w:rPr>
      </w:pPr>
      <w:r>
        <w:rPr>
          <w:rFonts w:ascii="Arial" w:hAnsi="Arial" w:cs="Arial"/>
        </w:rPr>
        <w:t>Should the product</w:t>
      </w:r>
      <w:r w:rsidR="004C7B62" w:rsidRPr="003809B9">
        <w:rPr>
          <w:rFonts w:ascii="Arial" w:hAnsi="Arial" w:cs="Arial"/>
        </w:rPr>
        <w:t xml:space="preserve"> be awarded an un-weighted score of 2 (Unacceptable) for any of the Option Set Evaluation Criteria then that product shall be deemed techni</w:t>
      </w:r>
      <w:r w:rsidR="004C7B62">
        <w:rPr>
          <w:rFonts w:ascii="Arial" w:hAnsi="Arial" w:cs="Arial"/>
        </w:rPr>
        <w:t xml:space="preserve">cally non-compliant </w:t>
      </w:r>
      <w:r w:rsidR="004C7B62" w:rsidRPr="003809B9">
        <w:rPr>
          <w:rFonts w:ascii="Arial" w:hAnsi="Arial" w:cs="Arial"/>
        </w:rPr>
        <w:t>and it will be discounted from further consideration for that Functional Requirement.</w:t>
      </w:r>
    </w:p>
    <w:p w14:paraId="10C47650" w14:textId="77777777" w:rsidR="004C7B62" w:rsidRPr="004C7B62" w:rsidRDefault="004C7B62" w:rsidP="004C7B62">
      <w:pPr>
        <w:pStyle w:val="ListParagraph"/>
        <w:rPr>
          <w:rFonts w:ascii="Arial" w:hAnsi="Arial" w:cs="Arial"/>
        </w:rPr>
      </w:pPr>
    </w:p>
    <w:p w14:paraId="0C54AD2B" w14:textId="11818C4B" w:rsidR="004C7B62" w:rsidRDefault="004C7B62" w:rsidP="00F31117">
      <w:pPr>
        <w:pStyle w:val="ListParagraph"/>
        <w:numPr>
          <w:ilvl w:val="1"/>
          <w:numId w:val="3"/>
        </w:numPr>
        <w:ind w:left="360"/>
        <w:rPr>
          <w:rFonts w:ascii="Arial" w:hAnsi="Arial" w:cs="Arial"/>
        </w:rPr>
      </w:pPr>
      <w:r w:rsidRPr="003809B9">
        <w:rPr>
          <w:rFonts w:ascii="Arial" w:hAnsi="Arial" w:cs="Arial"/>
        </w:rPr>
        <w:t>In the event a product is discounted from further consideration</w:t>
      </w:r>
      <w:r>
        <w:rPr>
          <w:rFonts w:ascii="Arial" w:hAnsi="Arial" w:cs="Arial"/>
        </w:rPr>
        <w:t xml:space="preserve"> for a Functional Requirement</w:t>
      </w:r>
      <w:r w:rsidRPr="003809B9">
        <w:rPr>
          <w:rFonts w:ascii="Arial" w:hAnsi="Arial" w:cs="Arial"/>
        </w:rPr>
        <w:t xml:space="preserve"> then</w:t>
      </w:r>
      <w:r w:rsidR="005925CD">
        <w:rPr>
          <w:rFonts w:ascii="Arial" w:hAnsi="Arial" w:cs="Arial"/>
        </w:rPr>
        <w:t xml:space="preserve"> the supplier will be informed and the Authority reserves the right to award a further contract for</w:t>
      </w:r>
      <w:r w:rsidRPr="003809B9">
        <w:rPr>
          <w:rFonts w:ascii="Arial" w:hAnsi="Arial" w:cs="Arial"/>
        </w:rPr>
        <w:t xml:space="preserve"> the product that achieved the next highest placed scoring for that Functional Requirement</w:t>
      </w:r>
      <w:r w:rsidR="005925CD">
        <w:rPr>
          <w:rFonts w:ascii="Arial" w:hAnsi="Arial" w:cs="Arial"/>
        </w:rPr>
        <w:t xml:space="preserve">.  This additional contract will facilitate a further evaluation in </w:t>
      </w:r>
      <w:r w:rsidR="005925CD">
        <w:rPr>
          <w:rFonts w:ascii="Arial" w:hAnsi="Arial" w:cs="Arial"/>
        </w:rPr>
        <w:lastRenderedPageBreak/>
        <w:t xml:space="preserve">accordance with paragraph 3.3.  </w:t>
      </w:r>
      <w:r w:rsidRPr="003809B9">
        <w:rPr>
          <w:rFonts w:ascii="Arial" w:hAnsi="Arial" w:cs="Arial"/>
        </w:rPr>
        <w:t xml:space="preserve"> </w:t>
      </w:r>
      <w:r w:rsidR="005925CD">
        <w:rPr>
          <w:rFonts w:ascii="Arial" w:hAnsi="Arial" w:cs="Arial"/>
        </w:rPr>
        <w:t xml:space="preserve">This </w:t>
      </w:r>
      <w:r w:rsidRPr="003809B9">
        <w:rPr>
          <w:rFonts w:ascii="Arial" w:hAnsi="Arial" w:cs="Arial"/>
        </w:rPr>
        <w:t>process shall be repeated, if required, across all products</w:t>
      </w:r>
      <w:r>
        <w:rPr>
          <w:rFonts w:ascii="Arial" w:hAnsi="Arial" w:cs="Arial"/>
        </w:rPr>
        <w:t xml:space="preserve"> bid</w:t>
      </w:r>
      <w:r w:rsidRPr="003809B9">
        <w:rPr>
          <w:rFonts w:ascii="Arial" w:hAnsi="Arial" w:cs="Arial"/>
        </w:rPr>
        <w:t xml:space="preserve"> and their corresponding Functional Requirement</w:t>
      </w:r>
      <w:r w:rsidR="005925CD">
        <w:rPr>
          <w:rFonts w:ascii="Arial" w:hAnsi="Arial" w:cs="Arial"/>
        </w:rPr>
        <w:t>s</w:t>
      </w:r>
      <w:r w:rsidRPr="003809B9">
        <w:rPr>
          <w:rFonts w:ascii="Arial" w:hAnsi="Arial" w:cs="Arial"/>
        </w:rPr>
        <w:t xml:space="preserve"> to arrive at a product scenario option set</w:t>
      </w:r>
      <w:r>
        <w:rPr>
          <w:rFonts w:ascii="Arial" w:hAnsi="Arial" w:cs="Arial"/>
        </w:rPr>
        <w:t xml:space="preserve"> that</w:t>
      </w:r>
      <w:r w:rsidRPr="003809B9">
        <w:rPr>
          <w:rFonts w:ascii="Arial" w:hAnsi="Arial" w:cs="Arial"/>
        </w:rPr>
        <w:t xml:space="preserve"> </w:t>
      </w:r>
      <w:r>
        <w:rPr>
          <w:rFonts w:ascii="Arial" w:hAnsi="Arial" w:cs="Arial"/>
        </w:rPr>
        <w:t>contains</w:t>
      </w:r>
      <w:r w:rsidRPr="003809B9">
        <w:rPr>
          <w:rFonts w:ascii="Arial" w:hAnsi="Arial" w:cs="Arial"/>
        </w:rPr>
        <w:t xml:space="preserve"> products that all meet as a minimum an </w:t>
      </w:r>
      <w:r w:rsidR="00E72CCE">
        <w:rPr>
          <w:rFonts w:ascii="Arial" w:hAnsi="Arial" w:cs="Arial"/>
        </w:rPr>
        <w:t>a</w:t>
      </w:r>
      <w:r w:rsidRPr="003809B9">
        <w:rPr>
          <w:rFonts w:ascii="Arial" w:hAnsi="Arial" w:cs="Arial"/>
        </w:rPr>
        <w:t>cceptable level of scoring across all Option Set Evaluation Criteria.</w:t>
      </w:r>
    </w:p>
    <w:p w14:paraId="0F39056D" w14:textId="77777777" w:rsidR="004C7B62" w:rsidRPr="004C7B62" w:rsidRDefault="004C7B62" w:rsidP="004C7B62">
      <w:pPr>
        <w:pStyle w:val="ListParagraph"/>
        <w:rPr>
          <w:rFonts w:ascii="Arial" w:hAnsi="Arial" w:cs="Arial"/>
        </w:rPr>
      </w:pPr>
    </w:p>
    <w:p w14:paraId="067AA917" w14:textId="77777777" w:rsidR="004C7B62" w:rsidRDefault="004C7B62" w:rsidP="00F31117">
      <w:pPr>
        <w:pStyle w:val="ListParagraph"/>
        <w:ind w:left="360"/>
        <w:rPr>
          <w:rFonts w:ascii="Arial" w:hAnsi="Arial" w:cs="Arial"/>
        </w:rPr>
      </w:pPr>
    </w:p>
    <w:p w14:paraId="597102D9" w14:textId="77777777" w:rsidR="00FE5411" w:rsidRDefault="00FE5411" w:rsidP="00F31117">
      <w:pPr>
        <w:pStyle w:val="ListParagraph"/>
        <w:ind w:left="360"/>
        <w:rPr>
          <w:rFonts w:ascii="Arial" w:hAnsi="Arial" w:cs="Arial"/>
        </w:rPr>
      </w:pPr>
    </w:p>
    <w:p w14:paraId="5F8717D8" w14:textId="77777777" w:rsidR="00FE5411" w:rsidRDefault="00FE5411" w:rsidP="00F31117">
      <w:pPr>
        <w:pStyle w:val="ListParagraph"/>
        <w:ind w:left="360"/>
        <w:rPr>
          <w:rFonts w:ascii="Arial" w:hAnsi="Arial" w:cs="Arial"/>
        </w:rPr>
      </w:pPr>
    </w:p>
    <w:p w14:paraId="5CAAB194" w14:textId="77777777" w:rsidR="00FE5411" w:rsidRDefault="00FE5411" w:rsidP="00F31117">
      <w:pPr>
        <w:pStyle w:val="ListParagraph"/>
        <w:ind w:left="360"/>
        <w:rPr>
          <w:rFonts w:ascii="Arial" w:hAnsi="Arial" w:cs="Arial"/>
        </w:rPr>
      </w:pPr>
    </w:p>
    <w:p w14:paraId="1B6B5B20" w14:textId="77777777" w:rsidR="00FE5411" w:rsidRDefault="00FE5411" w:rsidP="00F31117">
      <w:pPr>
        <w:pStyle w:val="ListParagraph"/>
        <w:ind w:left="360"/>
        <w:rPr>
          <w:rFonts w:ascii="Arial" w:hAnsi="Arial" w:cs="Arial"/>
        </w:rPr>
      </w:pPr>
    </w:p>
    <w:p w14:paraId="7FB3543C" w14:textId="44870925" w:rsidR="007D4255" w:rsidRDefault="007D4255" w:rsidP="00BA5CE8">
      <w:pPr>
        <w:pStyle w:val="ListParagraph"/>
        <w:ind w:left="0"/>
        <w:rPr>
          <w:rFonts w:ascii="Arial" w:hAnsi="Arial" w:cs="Arial"/>
        </w:rPr>
      </w:pPr>
    </w:p>
    <w:p w14:paraId="4311AC20" w14:textId="313B6DF7" w:rsidR="00FA2052" w:rsidRDefault="00FA2052" w:rsidP="004C7B62">
      <w:pPr>
        <w:rPr>
          <w:rFonts w:ascii="Arial" w:hAnsi="Arial" w:cs="Arial"/>
        </w:rPr>
      </w:pPr>
    </w:p>
    <w:p w14:paraId="1805219E" w14:textId="59F52A66" w:rsidR="00FA2052" w:rsidRDefault="00FA2052" w:rsidP="00F826EF">
      <w:pPr>
        <w:pStyle w:val="ListParagraph"/>
        <w:rPr>
          <w:rFonts w:ascii="Arial" w:hAnsi="Arial" w:cs="Arial"/>
        </w:rPr>
      </w:pPr>
    </w:p>
    <w:p w14:paraId="71192B62" w14:textId="77777777" w:rsidR="004C7B62" w:rsidRDefault="004C7B62" w:rsidP="00F826EF">
      <w:pPr>
        <w:pStyle w:val="ListParagraph"/>
        <w:rPr>
          <w:rFonts w:ascii="Arial" w:hAnsi="Arial" w:cs="Arial"/>
        </w:rPr>
      </w:pPr>
    </w:p>
    <w:p w14:paraId="6DA2491B" w14:textId="77777777" w:rsidR="004C7B62" w:rsidRDefault="004C7B62" w:rsidP="00F826EF">
      <w:pPr>
        <w:pStyle w:val="ListParagraph"/>
        <w:rPr>
          <w:rFonts w:ascii="Arial" w:hAnsi="Arial" w:cs="Arial"/>
        </w:rPr>
      </w:pPr>
    </w:p>
    <w:p w14:paraId="05DB906A" w14:textId="77777777" w:rsidR="004C7B62" w:rsidRDefault="004C7B62" w:rsidP="00F826EF">
      <w:pPr>
        <w:pStyle w:val="ListParagraph"/>
        <w:rPr>
          <w:rFonts w:ascii="Arial" w:hAnsi="Arial" w:cs="Arial"/>
        </w:rPr>
      </w:pPr>
    </w:p>
    <w:p w14:paraId="533FF2DF" w14:textId="77777777" w:rsidR="004C7B62" w:rsidRDefault="004C7B62" w:rsidP="00F826EF">
      <w:pPr>
        <w:pStyle w:val="ListParagraph"/>
        <w:rPr>
          <w:rFonts w:ascii="Arial" w:hAnsi="Arial" w:cs="Arial"/>
        </w:rPr>
      </w:pPr>
    </w:p>
    <w:p w14:paraId="57552FF9" w14:textId="77777777" w:rsidR="004C7B62" w:rsidRDefault="004C7B62" w:rsidP="00F826EF">
      <w:pPr>
        <w:pStyle w:val="ListParagraph"/>
        <w:rPr>
          <w:rFonts w:ascii="Arial" w:hAnsi="Arial" w:cs="Arial"/>
        </w:rPr>
      </w:pPr>
    </w:p>
    <w:p w14:paraId="7A1E50ED" w14:textId="77777777" w:rsidR="004C7B62" w:rsidRDefault="004C7B62" w:rsidP="00F826EF">
      <w:pPr>
        <w:pStyle w:val="ListParagraph"/>
        <w:rPr>
          <w:rFonts w:ascii="Arial" w:hAnsi="Arial" w:cs="Arial"/>
        </w:rPr>
      </w:pPr>
    </w:p>
    <w:p w14:paraId="78137C65" w14:textId="77777777" w:rsidR="004C7B62" w:rsidRDefault="004C7B62" w:rsidP="00F826EF">
      <w:pPr>
        <w:pStyle w:val="ListParagraph"/>
        <w:rPr>
          <w:rFonts w:ascii="Arial" w:hAnsi="Arial" w:cs="Arial"/>
        </w:rPr>
      </w:pPr>
    </w:p>
    <w:p w14:paraId="1E9828E7" w14:textId="77777777" w:rsidR="004C7B62" w:rsidRDefault="004C7B62" w:rsidP="00F826EF">
      <w:pPr>
        <w:pStyle w:val="ListParagraph"/>
        <w:rPr>
          <w:rFonts w:ascii="Arial" w:hAnsi="Arial" w:cs="Arial"/>
        </w:rPr>
      </w:pPr>
    </w:p>
    <w:p w14:paraId="4E65E349" w14:textId="77777777" w:rsidR="004C7B62" w:rsidRDefault="004C7B62" w:rsidP="00F826EF">
      <w:pPr>
        <w:pStyle w:val="ListParagraph"/>
        <w:rPr>
          <w:rFonts w:ascii="Arial" w:hAnsi="Arial" w:cs="Arial"/>
        </w:rPr>
      </w:pPr>
    </w:p>
    <w:p w14:paraId="35CD384B" w14:textId="77777777" w:rsidR="004C7B62" w:rsidRDefault="004C7B62" w:rsidP="00F826EF">
      <w:pPr>
        <w:pStyle w:val="ListParagraph"/>
        <w:rPr>
          <w:rFonts w:ascii="Arial" w:hAnsi="Arial" w:cs="Arial"/>
        </w:rPr>
      </w:pPr>
    </w:p>
    <w:p w14:paraId="1CF567BF" w14:textId="77777777" w:rsidR="004C7B62" w:rsidRDefault="004C7B62" w:rsidP="00F826EF">
      <w:pPr>
        <w:pStyle w:val="ListParagraph"/>
        <w:rPr>
          <w:rFonts w:ascii="Arial" w:hAnsi="Arial" w:cs="Arial"/>
        </w:rPr>
      </w:pPr>
    </w:p>
    <w:p w14:paraId="0D99BD57" w14:textId="77777777" w:rsidR="004C7B62" w:rsidRDefault="004C7B62" w:rsidP="00F826EF">
      <w:pPr>
        <w:pStyle w:val="ListParagraph"/>
        <w:rPr>
          <w:rFonts w:ascii="Arial" w:hAnsi="Arial" w:cs="Arial"/>
        </w:rPr>
      </w:pPr>
    </w:p>
    <w:p w14:paraId="5E0179DC" w14:textId="77777777" w:rsidR="004C7B62" w:rsidRDefault="004C7B62" w:rsidP="00F826EF">
      <w:pPr>
        <w:pStyle w:val="ListParagraph"/>
        <w:rPr>
          <w:rFonts w:ascii="Arial" w:hAnsi="Arial" w:cs="Arial"/>
        </w:rPr>
      </w:pPr>
    </w:p>
    <w:p w14:paraId="79ACE328" w14:textId="77777777" w:rsidR="004C7B62" w:rsidRDefault="004C7B62" w:rsidP="00F826EF">
      <w:pPr>
        <w:pStyle w:val="ListParagraph"/>
        <w:rPr>
          <w:rFonts w:ascii="Arial" w:hAnsi="Arial" w:cs="Arial"/>
        </w:rPr>
      </w:pPr>
    </w:p>
    <w:p w14:paraId="4FEC07BF" w14:textId="77777777" w:rsidR="00526262" w:rsidRDefault="00526262" w:rsidP="00F826EF">
      <w:pPr>
        <w:pStyle w:val="ListParagraph"/>
        <w:rPr>
          <w:rFonts w:ascii="Arial" w:hAnsi="Arial" w:cs="Arial"/>
        </w:rPr>
      </w:pPr>
    </w:p>
    <w:p w14:paraId="2CF208A6" w14:textId="77777777" w:rsidR="00526262" w:rsidRDefault="00526262" w:rsidP="00F826EF">
      <w:pPr>
        <w:pStyle w:val="ListParagraph"/>
        <w:rPr>
          <w:rFonts w:ascii="Arial" w:hAnsi="Arial" w:cs="Arial"/>
        </w:rPr>
      </w:pPr>
    </w:p>
    <w:p w14:paraId="5C428F1C" w14:textId="77777777" w:rsidR="00526262" w:rsidRDefault="00526262" w:rsidP="00F826EF">
      <w:pPr>
        <w:pStyle w:val="ListParagraph"/>
        <w:rPr>
          <w:rFonts w:ascii="Arial" w:hAnsi="Arial" w:cs="Arial"/>
        </w:rPr>
      </w:pPr>
    </w:p>
    <w:p w14:paraId="007917F7" w14:textId="77777777" w:rsidR="00526262" w:rsidRDefault="00526262" w:rsidP="00F826EF">
      <w:pPr>
        <w:pStyle w:val="ListParagraph"/>
        <w:rPr>
          <w:rFonts w:ascii="Arial" w:hAnsi="Arial" w:cs="Arial"/>
        </w:rPr>
      </w:pPr>
    </w:p>
    <w:p w14:paraId="40991CB2" w14:textId="77777777" w:rsidR="00526262" w:rsidRDefault="00526262" w:rsidP="00F826EF">
      <w:pPr>
        <w:pStyle w:val="ListParagraph"/>
        <w:rPr>
          <w:rFonts w:ascii="Arial" w:hAnsi="Arial" w:cs="Arial"/>
        </w:rPr>
      </w:pPr>
    </w:p>
    <w:p w14:paraId="4CEEBAD2" w14:textId="77777777" w:rsidR="00526262" w:rsidRDefault="00526262" w:rsidP="00F826EF">
      <w:pPr>
        <w:pStyle w:val="ListParagraph"/>
        <w:rPr>
          <w:rFonts w:ascii="Arial" w:hAnsi="Arial" w:cs="Arial"/>
        </w:rPr>
      </w:pPr>
    </w:p>
    <w:p w14:paraId="7D81EDA4" w14:textId="77777777" w:rsidR="00526262" w:rsidRDefault="00526262" w:rsidP="00F826EF">
      <w:pPr>
        <w:pStyle w:val="ListParagraph"/>
        <w:rPr>
          <w:rFonts w:ascii="Arial" w:hAnsi="Arial" w:cs="Arial"/>
        </w:rPr>
      </w:pPr>
    </w:p>
    <w:p w14:paraId="7C86A73B" w14:textId="77777777" w:rsidR="00526262" w:rsidRDefault="00526262" w:rsidP="00F826EF">
      <w:pPr>
        <w:pStyle w:val="ListParagraph"/>
        <w:rPr>
          <w:rFonts w:ascii="Arial" w:hAnsi="Arial" w:cs="Arial"/>
        </w:rPr>
      </w:pPr>
    </w:p>
    <w:p w14:paraId="54CA8FF9" w14:textId="77777777" w:rsidR="00526262" w:rsidRDefault="00526262" w:rsidP="00F826EF">
      <w:pPr>
        <w:pStyle w:val="ListParagraph"/>
        <w:rPr>
          <w:rFonts w:ascii="Arial" w:hAnsi="Arial" w:cs="Arial"/>
        </w:rPr>
      </w:pPr>
    </w:p>
    <w:p w14:paraId="7A0221F0" w14:textId="77777777" w:rsidR="00526262" w:rsidRDefault="00526262" w:rsidP="00F826EF">
      <w:pPr>
        <w:pStyle w:val="ListParagraph"/>
        <w:rPr>
          <w:rFonts w:ascii="Arial" w:hAnsi="Arial" w:cs="Arial"/>
        </w:rPr>
      </w:pPr>
    </w:p>
    <w:p w14:paraId="3EDCF643" w14:textId="77777777" w:rsidR="00526262" w:rsidRDefault="00526262" w:rsidP="00F826EF">
      <w:pPr>
        <w:pStyle w:val="ListParagraph"/>
        <w:rPr>
          <w:rFonts w:ascii="Arial" w:hAnsi="Arial" w:cs="Arial"/>
        </w:rPr>
      </w:pPr>
    </w:p>
    <w:p w14:paraId="3DE04EC4" w14:textId="77777777" w:rsidR="00526262" w:rsidRDefault="00526262" w:rsidP="00F826EF">
      <w:pPr>
        <w:pStyle w:val="ListParagraph"/>
        <w:rPr>
          <w:rFonts w:ascii="Arial" w:hAnsi="Arial" w:cs="Arial"/>
        </w:rPr>
      </w:pPr>
    </w:p>
    <w:p w14:paraId="613A9AA8" w14:textId="77777777" w:rsidR="00526262" w:rsidRDefault="00526262" w:rsidP="00F826EF">
      <w:pPr>
        <w:pStyle w:val="ListParagraph"/>
        <w:rPr>
          <w:rFonts w:ascii="Arial" w:hAnsi="Arial" w:cs="Arial"/>
        </w:rPr>
      </w:pPr>
    </w:p>
    <w:p w14:paraId="204BF6A0" w14:textId="77777777" w:rsidR="00526262" w:rsidRDefault="00526262" w:rsidP="00F826EF">
      <w:pPr>
        <w:pStyle w:val="ListParagraph"/>
        <w:rPr>
          <w:rFonts w:ascii="Arial" w:hAnsi="Arial" w:cs="Arial"/>
        </w:rPr>
      </w:pPr>
    </w:p>
    <w:p w14:paraId="1D411891" w14:textId="77777777" w:rsidR="00526262" w:rsidRDefault="00526262" w:rsidP="00F826EF">
      <w:pPr>
        <w:pStyle w:val="ListParagraph"/>
        <w:rPr>
          <w:rFonts w:ascii="Arial" w:hAnsi="Arial" w:cs="Arial"/>
        </w:rPr>
      </w:pPr>
    </w:p>
    <w:p w14:paraId="65582E3E" w14:textId="77777777" w:rsidR="00526262" w:rsidRDefault="00526262" w:rsidP="00F826EF">
      <w:pPr>
        <w:pStyle w:val="ListParagraph"/>
        <w:rPr>
          <w:rFonts w:ascii="Arial" w:hAnsi="Arial" w:cs="Arial"/>
        </w:rPr>
      </w:pPr>
    </w:p>
    <w:p w14:paraId="7893677E" w14:textId="77777777" w:rsidR="004C7B62" w:rsidRDefault="004C7B62" w:rsidP="00F826EF">
      <w:pPr>
        <w:pStyle w:val="ListParagraph"/>
        <w:rPr>
          <w:rFonts w:ascii="Arial" w:hAnsi="Arial" w:cs="Arial"/>
        </w:rPr>
      </w:pPr>
    </w:p>
    <w:p w14:paraId="49F6579E" w14:textId="77777777" w:rsidR="004C7B62" w:rsidRDefault="004C7B62" w:rsidP="00F826EF">
      <w:pPr>
        <w:pStyle w:val="ListParagraph"/>
        <w:rPr>
          <w:rFonts w:ascii="Arial" w:hAnsi="Arial" w:cs="Arial"/>
        </w:rPr>
      </w:pPr>
    </w:p>
    <w:p w14:paraId="0A8C1235" w14:textId="77777777" w:rsidR="004C7B62" w:rsidRDefault="004C7B62" w:rsidP="00F826EF">
      <w:pPr>
        <w:pStyle w:val="ListParagraph"/>
        <w:rPr>
          <w:rFonts w:ascii="Arial" w:hAnsi="Arial" w:cs="Arial"/>
        </w:rPr>
      </w:pPr>
    </w:p>
    <w:p w14:paraId="219C5015" w14:textId="284B70C5" w:rsidR="00E5759D" w:rsidRPr="00D03256" w:rsidRDefault="00E5759D" w:rsidP="00D03256">
      <w:pPr>
        <w:pStyle w:val="ListParagraph"/>
        <w:numPr>
          <w:ilvl w:val="0"/>
          <w:numId w:val="3"/>
        </w:numPr>
        <w:rPr>
          <w:rFonts w:ascii="Arial" w:hAnsi="Arial" w:cs="Arial"/>
          <w:b/>
        </w:rPr>
      </w:pPr>
      <w:r w:rsidRPr="00D03256">
        <w:rPr>
          <w:rFonts w:ascii="Arial" w:hAnsi="Arial" w:cs="Arial"/>
          <w:b/>
        </w:rPr>
        <w:lastRenderedPageBreak/>
        <w:t xml:space="preserve">EVALUATION PROCESS, ROLES AND RESPONSIBILITIES </w:t>
      </w:r>
    </w:p>
    <w:p w14:paraId="494C047A" w14:textId="77777777" w:rsidR="00EB646B" w:rsidRDefault="00EB646B" w:rsidP="00EB646B">
      <w:pPr>
        <w:pStyle w:val="ListParagraph"/>
        <w:ind w:left="360"/>
        <w:rPr>
          <w:rFonts w:ascii="Arial" w:hAnsi="Arial" w:cs="Arial"/>
          <w:b/>
        </w:rPr>
      </w:pPr>
    </w:p>
    <w:p w14:paraId="56F96AE2" w14:textId="465123C3" w:rsidR="00EB646B" w:rsidRDefault="00EB646B" w:rsidP="00EB646B">
      <w:pPr>
        <w:pStyle w:val="ListParagraph"/>
        <w:numPr>
          <w:ilvl w:val="1"/>
          <w:numId w:val="3"/>
        </w:numPr>
        <w:rPr>
          <w:rFonts w:ascii="Arial" w:hAnsi="Arial" w:cs="Arial"/>
        </w:rPr>
      </w:pPr>
      <w:r w:rsidRPr="00EB646B">
        <w:rPr>
          <w:rFonts w:ascii="Arial" w:hAnsi="Arial" w:cs="Arial"/>
        </w:rPr>
        <w:t>All Tenders received shall be checked for compliance. A compliant bid must:</w:t>
      </w:r>
    </w:p>
    <w:p w14:paraId="04549783" w14:textId="77777777" w:rsidR="00EB646B" w:rsidRDefault="00EB646B" w:rsidP="00EB646B">
      <w:pPr>
        <w:pStyle w:val="ListParagraph"/>
        <w:ind w:left="792"/>
        <w:rPr>
          <w:rFonts w:ascii="Arial" w:hAnsi="Arial" w:cs="Arial"/>
        </w:rPr>
      </w:pPr>
    </w:p>
    <w:p w14:paraId="31D5B85F" w14:textId="001EE249" w:rsidR="00EB646B" w:rsidRDefault="00EB646B" w:rsidP="00EB646B">
      <w:pPr>
        <w:pStyle w:val="ListParagraph"/>
        <w:numPr>
          <w:ilvl w:val="2"/>
          <w:numId w:val="3"/>
        </w:numPr>
        <w:rPr>
          <w:rFonts w:ascii="Arial" w:hAnsi="Arial" w:cs="Arial"/>
        </w:rPr>
      </w:pPr>
      <w:r>
        <w:rPr>
          <w:rFonts w:ascii="Arial" w:hAnsi="Arial" w:cs="Arial"/>
        </w:rPr>
        <w:t>Comply with the Contract documents, in particular:</w:t>
      </w:r>
    </w:p>
    <w:p w14:paraId="0E540B8E" w14:textId="77777777" w:rsidR="00EB646B" w:rsidRDefault="00EB646B" w:rsidP="00EB646B">
      <w:pPr>
        <w:pStyle w:val="ListParagraph"/>
        <w:ind w:left="1224"/>
        <w:rPr>
          <w:rFonts w:ascii="Arial" w:hAnsi="Arial" w:cs="Arial"/>
        </w:rPr>
      </w:pPr>
    </w:p>
    <w:p w14:paraId="63916171" w14:textId="63D86083" w:rsidR="00EB646B" w:rsidRDefault="00EB646B" w:rsidP="00EB646B">
      <w:pPr>
        <w:pStyle w:val="ListParagraph"/>
        <w:numPr>
          <w:ilvl w:val="3"/>
          <w:numId w:val="3"/>
        </w:numPr>
        <w:rPr>
          <w:rFonts w:ascii="Arial" w:hAnsi="Arial" w:cs="Arial"/>
        </w:rPr>
      </w:pPr>
      <w:r>
        <w:rPr>
          <w:rFonts w:ascii="Arial" w:hAnsi="Arial" w:cs="Arial"/>
        </w:rPr>
        <w:t>The Tender is in the format stated in the Tender documentation;</w:t>
      </w:r>
    </w:p>
    <w:p w14:paraId="7DBDDCC8" w14:textId="107F3961" w:rsidR="00EB646B" w:rsidRDefault="00EB646B" w:rsidP="00EB646B">
      <w:pPr>
        <w:pStyle w:val="ListParagraph"/>
        <w:numPr>
          <w:ilvl w:val="3"/>
          <w:numId w:val="3"/>
        </w:numPr>
        <w:rPr>
          <w:rFonts w:ascii="Arial" w:hAnsi="Arial" w:cs="Arial"/>
        </w:rPr>
      </w:pPr>
      <w:r>
        <w:rPr>
          <w:rFonts w:ascii="Arial" w:hAnsi="Arial" w:cs="Arial"/>
        </w:rPr>
        <w:t>The revevant DEFFORM 47 Annex A (Offer) is signed and unaltered;</w:t>
      </w:r>
    </w:p>
    <w:p w14:paraId="6712FAD6" w14:textId="1C8106C9" w:rsidR="00EB646B" w:rsidRDefault="00EB646B" w:rsidP="00EB646B">
      <w:pPr>
        <w:pStyle w:val="ListParagraph"/>
        <w:numPr>
          <w:ilvl w:val="3"/>
          <w:numId w:val="3"/>
        </w:numPr>
        <w:rPr>
          <w:rFonts w:ascii="Arial" w:hAnsi="Arial" w:cs="Arial"/>
        </w:rPr>
      </w:pPr>
      <w:r>
        <w:rPr>
          <w:rFonts w:ascii="Arial" w:hAnsi="Arial" w:cs="Arial"/>
        </w:rPr>
        <w:t>Prices quoted are Firm and non variable;</w:t>
      </w:r>
    </w:p>
    <w:p w14:paraId="45B5F1EA" w14:textId="77777777" w:rsidR="00526262" w:rsidRDefault="00526262" w:rsidP="00526262">
      <w:pPr>
        <w:pStyle w:val="ListParagraph"/>
        <w:numPr>
          <w:ilvl w:val="3"/>
          <w:numId w:val="19"/>
        </w:numPr>
        <w:rPr>
          <w:rFonts w:ascii="Arial" w:hAnsi="Arial" w:cs="Arial"/>
        </w:rPr>
      </w:pPr>
      <w:r>
        <w:rPr>
          <w:rFonts w:ascii="Arial" w:hAnsi="Arial" w:cs="Arial"/>
        </w:rPr>
        <w:t>The Tender provides unqualified acceptance of the DEFCONS and Terms and Conditions of contract.</w:t>
      </w:r>
    </w:p>
    <w:p w14:paraId="2C3AB645" w14:textId="5DFE92FF" w:rsidR="0015462F" w:rsidRPr="00E154F6" w:rsidRDefault="0015462F" w:rsidP="0015462F">
      <w:pPr>
        <w:pStyle w:val="CCTEval-Sub-para"/>
        <w:numPr>
          <w:ilvl w:val="2"/>
          <w:numId w:val="19"/>
        </w:numPr>
      </w:pPr>
      <w:r>
        <w:t>Provide a Compliance Matrix providing a reference to where within the bid each evaluation question has been addressed.</w:t>
      </w:r>
    </w:p>
    <w:p w14:paraId="02F2E9E0" w14:textId="73272033" w:rsidR="00526262" w:rsidRDefault="00AA18B8" w:rsidP="00AA18B8">
      <w:pPr>
        <w:pStyle w:val="ListParagraph"/>
        <w:numPr>
          <w:ilvl w:val="2"/>
          <w:numId w:val="3"/>
        </w:numPr>
        <w:rPr>
          <w:rFonts w:ascii="Arial" w:hAnsi="Arial" w:cs="Arial"/>
        </w:rPr>
      </w:pPr>
      <w:r>
        <w:rPr>
          <w:rFonts w:ascii="Arial" w:hAnsi="Arial" w:cs="Arial"/>
        </w:rPr>
        <w:t xml:space="preserve">Provide </w:t>
      </w:r>
      <w:r w:rsidR="002B1719">
        <w:rPr>
          <w:rFonts w:ascii="Arial" w:hAnsi="Arial" w:cs="Arial"/>
        </w:rPr>
        <w:t>a complete</w:t>
      </w:r>
      <w:r w:rsidR="00ED5248">
        <w:rPr>
          <w:rFonts w:ascii="Arial" w:hAnsi="Arial" w:cs="Arial"/>
        </w:rPr>
        <w:t xml:space="preserve"> and accurate set </w:t>
      </w:r>
      <w:r w:rsidR="002B1719">
        <w:rPr>
          <w:rFonts w:ascii="Arial" w:hAnsi="Arial" w:cs="Arial"/>
        </w:rPr>
        <w:t>of</w:t>
      </w:r>
      <w:r w:rsidR="00ED5248">
        <w:rPr>
          <w:rFonts w:ascii="Arial" w:hAnsi="Arial" w:cs="Arial"/>
        </w:rPr>
        <w:t xml:space="preserve"> supporting</w:t>
      </w:r>
      <w:r w:rsidR="002B1719">
        <w:rPr>
          <w:rFonts w:ascii="Arial" w:hAnsi="Arial" w:cs="Arial"/>
        </w:rPr>
        <w:t xml:space="preserve"> information as detailed in part F26</w:t>
      </w:r>
      <w:r w:rsidR="00ED5248">
        <w:rPr>
          <w:rFonts w:ascii="Arial" w:hAnsi="Arial" w:cs="Arial"/>
        </w:rPr>
        <w:t xml:space="preserve"> (a-f) of DEFFORM 47</w:t>
      </w:r>
      <w:r w:rsidRPr="00AA18B8">
        <w:rPr>
          <w:rFonts w:ascii="Arial" w:hAnsi="Arial" w:cs="Arial"/>
        </w:rPr>
        <w:t xml:space="preserve"> </w:t>
      </w:r>
      <w:r>
        <w:rPr>
          <w:rFonts w:ascii="Arial" w:hAnsi="Arial" w:cs="Arial"/>
        </w:rPr>
        <w:t xml:space="preserve">where the Tenderer requests to limit its liability. Where the information provided does not demonstrate that it is reasonable to transfer financial liability to the Authority then the bid will be deemed non compliant.  </w:t>
      </w:r>
    </w:p>
    <w:p w14:paraId="28DC64E7" w14:textId="77777777" w:rsidR="004B5ABB" w:rsidRDefault="004B5ABB" w:rsidP="004B5ABB">
      <w:pPr>
        <w:pStyle w:val="ListParagraph"/>
        <w:ind w:left="1728"/>
        <w:rPr>
          <w:rFonts w:ascii="Arial" w:hAnsi="Arial" w:cs="Arial"/>
        </w:rPr>
      </w:pPr>
    </w:p>
    <w:p w14:paraId="0DFFC95B" w14:textId="23042DDB" w:rsidR="004B5ABB" w:rsidRDefault="004B5ABB" w:rsidP="004B5ABB">
      <w:pPr>
        <w:pStyle w:val="ListParagraph"/>
        <w:numPr>
          <w:ilvl w:val="2"/>
          <w:numId w:val="3"/>
        </w:numPr>
        <w:rPr>
          <w:rFonts w:ascii="Arial" w:hAnsi="Arial" w:cs="Arial"/>
        </w:rPr>
      </w:pPr>
      <w:r>
        <w:rPr>
          <w:rFonts w:ascii="Arial" w:hAnsi="Arial" w:cs="Arial"/>
        </w:rPr>
        <w:t>Be for COTS software which can deliver one or more of the Functional Requirements as detailed in the Tenderer’s Schedule of Requirements Compliancy Matrix.</w:t>
      </w:r>
    </w:p>
    <w:p w14:paraId="678D1A9F" w14:textId="77777777" w:rsidR="004B5ABB" w:rsidRDefault="004B5ABB" w:rsidP="004B5ABB">
      <w:pPr>
        <w:pStyle w:val="ListParagraph"/>
        <w:ind w:left="1224"/>
        <w:rPr>
          <w:rFonts w:ascii="Arial" w:hAnsi="Arial" w:cs="Arial"/>
        </w:rPr>
      </w:pPr>
    </w:p>
    <w:p w14:paraId="59818ED1" w14:textId="1FCC2833" w:rsidR="004B5ABB" w:rsidRDefault="004B5ABB" w:rsidP="004B5ABB">
      <w:pPr>
        <w:pStyle w:val="ListParagraph"/>
        <w:numPr>
          <w:ilvl w:val="1"/>
          <w:numId w:val="3"/>
        </w:numPr>
        <w:rPr>
          <w:rFonts w:ascii="Arial" w:hAnsi="Arial" w:cs="Arial"/>
        </w:rPr>
      </w:pPr>
      <w:r>
        <w:rPr>
          <w:rFonts w:ascii="Arial" w:hAnsi="Arial" w:cs="Arial"/>
        </w:rPr>
        <w:t xml:space="preserve">After compliance is assured, the Authority shall carry out </w:t>
      </w:r>
      <w:r w:rsidR="00CF7BBF">
        <w:rPr>
          <w:rFonts w:ascii="Arial" w:hAnsi="Arial" w:cs="Arial"/>
        </w:rPr>
        <w:t>t</w:t>
      </w:r>
      <w:r w:rsidR="0013065D">
        <w:rPr>
          <w:rFonts w:ascii="Arial" w:hAnsi="Arial" w:cs="Arial"/>
        </w:rPr>
        <w:t>echnical</w:t>
      </w:r>
      <w:r w:rsidR="000F6E29">
        <w:rPr>
          <w:rFonts w:ascii="Arial" w:hAnsi="Arial" w:cs="Arial"/>
        </w:rPr>
        <w:t>, commercial</w:t>
      </w:r>
      <w:r>
        <w:rPr>
          <w:rFonts w:ascii="Arial" w:hAnsi="Arial" w:cs="Arial"/>
        </w:rPr>
        <w:t xml:space="preserve"> and </w:t>
      </w:r>
      <w:r w:rsidR="00CF7BBF">
        <w:rPr>
          <w:rFonts w:ascii="Arial" w:hAnsi="Arial" w:cs="Arial"/>
        </w:rPr>
        <w:t>p</w:t>
      </w:r>
      <w:r>
        <w:rPr>
          <w:rFonts w:ascii="Arial" w:hAnsi="Arial" w:cs="Arial"/>
        </w:rPr>
        <w:t xml:space="preserve">rice </w:t>
      </w:r>
      <w:r w:rsidR="00CF7BBF">
        <w:rPr>
          <w:rFonts w:ascii="Arial" w:hAnsi="Arial" w:cs="Arial"/>
        </w:rPr>
        <w:t>m</w:t>
      </w:r>
      <w:r>
        <w:rPr>
          <w:rFonts w:ascii="Arial" w:hAnsi="Arial" w:cs="Arial"/>
        </w:rPr>
        <w:t>arking as detailed in Section 2.</w:t>
      </w:r>
    </w:p>
    <w:p w14:paraId="618F32AC" w14:textId="77777777" w:rsidR="00CF7BBF" w:rsidRDefault="00CF7BBF" w:rsidP="00CF7BBF">
      <w:pPr>
        <w:pStyle w:val="ListParagraph"/>
        <w:ind w:left="792"/>
        <w:rPr>
          <w:rFonts w:ascii="Arial" w:hAnsi="Arial" w:cs="Arial"/>
        </w:rPr>
      </w:pPr>
    </w:p>
    <w:p w14:paraId="2FEE3C61" w14:textId="3954291C" w:rsidR="00CF7BBF" w:rsidRDefault="008A6CD2" w:rsidP="004B5ABB">
      <w:pPr>
        <w:pStyle w:val="ListParagraph"/>
        <w:numPr>
          <w:ilvl w:val="1"/>
          <w:numId w:val="3"/>
        </w:numPr>
        <w:rPr>
          <w:rFonts w:ascii="Arial" w:hAnsi="Arial" w:cs="Arial"/>
        </w:rPr>
      </w:pPr>
      <w:r>
        <w:rPr>
          <w:rFonts w:ascii="Arial" w:hAnsi="Arial" w:cs="Arial"/>
        </w:rPr>
        <w:t>The Authority may raise clarification questions when it is conducting technical and price marking. Any response provided by a Bidder to such a clarification question will become part of the relevant Bidder’s Tender and will be an input to the evaluation process.</w:t>
      </w:r>
    </w:p>
    <w:p w14:paraId="6CB9F355" w14:textId="77777777" w:rsidR="008A6CD2" w:rsidRPr="008A6CD2" w:rsidRDefault="008A6CD2" w:rsidP="008A6CD2">
      <w:pPr>
        <w:pStyle w:val="ListParagraph"/>
        <w:rPr>
          <w:rFonts w:ascii="Arial" w:hAnsi="Arial" w:cs="Arial"/>
        </w:rPr>
      </w:pPr>
    </w:p>
    <w:p w14:paraId="4F4230BA" w14:textId="0557A4B3" w:rsidR="008A6CD2" w:rsidRDefault="008A6CD2" w:rsidP="004B5ABB">
      <w:pPr>
        <w:pStyle w:val="ListParagraph"/>
        <w:numPr>
          <w:ilvl w:val="1"/>
          <w:numId w:val="3"/>
        </w:numPr>
        <w:rPr>
          <w:rFonts w:ascii="Arial" w:hAnsi="Arial" w:cs="Arial"/>
        </w:rPr>
      </w:pPr>
      <w:r>
        <w:rPr>
          <w:rFonts w:ascii="Arial" w:hAnsi="Arial" w:cs="Arial"/>
        </w:rPr>
        <w:t>Evaluators will mark Bids based on the evidence provided and will not use any other materials.</w:t>
      </w:r>
    </w:p>
    <w:p w14:paraId="725FFD80" w14:textId="5A50CDFA" w:rsidR="004B5ABB" w:rsidRDefault="004B5ABB" w:rsidP="004B5ABB">
      <w:pPr>
        <w:pStyle w:val="ListParagraph"/>
        <w:ind w:left="792"/>
        <w:rPr>
          <w:rFonts w:ascii="Arial" w:hAnsi="Arial" w:cs="Arial"/>
        </w:rPr>
      </w:pPr>
      <w:r>
        <w:rPr>
          <w:rFonts w:ascii="Arial" w:hAnsi="Arial" w:cs="Arial"/>
        </w:rPr>
        <w:t xml:space="preserve">  </w:t>
      </w:r>
    </w:p>
    <w:p w14:paraId="78F5D1A9" w14:textId="3491618E" w:rsidR="0013065D" w:rsidRDefault="004B5ABB" w:rsidP="00CF7BBF">
      <w:pPr>
        <w:pStyle w:val="ListParagraph"/>
        <w:numPr>
          <w:ilvl w:val="1"/>
          <w:numId w:val="3"/>
        </w:numPr>
        <w:rPr>
          <w:rFonts w:ascii="Arial" w:hAnsi="Arial" w:cs="Arial"/>
        </w:rPr>
      </w:pPr>
      <w:r w:rsidRPr="00CF7BBF">
        <w:rPr>
          <w:rFonts w:ascii="Arial" w:hAnsi="Arial" w:cs="Arial"/>
        </w:rPr>
        <w:t xml:space="preserve">Following </w:t>
      </w:r>
      <w:r w:rsidR="0013065D" w:rsidRPr="00CF7BBF">
        <w:rPr>
          <w:rFonts w:ascii="Arial" w:hAnsi="Arial" w:cs="Arial"/>
        </w:rPr>
        <w:t>the completion of marking a Tender Evaluation Panel (TEP) will be convened to</w:t>
      </w:r>
      <w:r w:rsidR="00CF7BBF">
        <w:rPr>
          <w:rFonts w:ascii="Arial" w:hAnsi="Arial" w:cs="Arial"/>
        </w:rPr>
        <w:t xml:space="preserve"> ensure all process has been followed and endorse the outcome.</w:t>
      </w:r>
    </w:p>
    <w:p w14:paraId="13FF8F3D" w14:textId="77777777" w:rsidR="00CF7BBF" w:rsidRDefault="00CF7BBF" w:rsidP="00CF7BBF">
      <w:pPr>
        <w:pStyle w:val="ListParagraph"/>
        <w:ind w:left="792"/>
        <w:rPr>
          <w:rFonts w:ascii="Arial" w:hAnsi="Arial" w:cs="Arial"/>
        </w:rPr>
      </w:pPr>
    </w:p>
    <w:p w14:paraId="328E3121" w14:textId="26E635CC" w:rsidR="00CF7BBF" w:rsidRDefault="00CF7BBF" w:rsidP="00CF7BBF">
      <w:pPr>
        <w:pStyle w:val="ListParagraph"/>
        <w:numPr>
          <w:ilvl w:val="1"/>
          <w:numId w:val="3"/>
        </w:numPr>
        <w:rPr>
          <w:rFonts w:ascii="Arial" w:hAnsi="Arial" w:cs="Arial"/>
        </w:rPr>
      </w:pPr>
      <w:r>
        <w:rPr>
          <w:rFonts w:ascii="Arial" w:hAnsi="Arial" w:cs="Arial"/>
        </w:rPr>
        <w:t>Prior to exercising contractual options for the Beta Phase, the Authority shall carry out options marking as detailed in Section 3.</w:t>
      </w:r>
    </w:p>
    <w:p w14:paraId="6B22149E" w14:textId="77777777" w:rsidR="00CF7BBF" w:rsidRPr="00CF7BBF" w:rsidRDefault="00CF7BBF" w:rsidP="00CF7BBF">
      <w:pPr>
        <w:pStyle w:val="ListParagraph"/>
        <w:rPr>
          <w:rFonts w:ascii="Arial" w:hAnsi="Arial" w:cs="Arial"/>
        </w:rPr>
      </w:pPr>
    </w:p>
    <w:p w14:paraId="55990A04" w14:textId="77C732A1" w:rsidR="00CF7BBF" w:rsidRDefault="00CF7BBF" w:rsidP="00CF7BBF">
      <w:pPr>
        <w:pStyle w:val="ListParagraph"/>
        <w:numPr>
          <w:ilvl w:val="1"/>
          <w:numId w:val="3"/>
        </w:numPr>
        <w:rPr>
          <w:rFonts w:ascii="Arial" w:hAnsi="Arial" w:cs="Arial"/>
        </w:rPr>
      </w:pPr>
      <w:r>
        <w:rPr>
          <w:rFonts w:ascii="Arial" w:hAnsi="Arial" w:cs="Arial"/>
        </w:rPr>
        <w:t>Following the completion of options marking an Option Evaluation Panel (OEP) will be convened to ensure all process has been followed and endorse the outcome.</w:t>
      </w:r>
    </w:p>
    <w:p w14:paraId="191BC5EC" w14:textId="77777777" w:rsidR="00C25417" w:rsidRPr="00C25417" w:rsidRDefault="00C25417" w:rsidP="00C25417">
      <w:pPr>
        <w:pStyle w:val="ListParagraph"/>
        <w:rPr>
          <w:rFonts w:ascii="Arial" w:hAnsi="Arial" w:cs="Arial"/>
        </w:rPr>
      </w:pPr>
    </w:p>
    <w:p w14:paraId="0D65E556" w14:textId="77777777" w:rsidR="00C25417" w:rsidRDefault="00C25417" w:rsidP="00C25417">
      <w:pPr>
        <w:rPr>
          <w:rFonts w:ascii="Arial" w:hAnsi="Arial" w:cs="Arial"/>
        </w:rPr>
      </w:pPr>
    </w:p>
    <w:p w14:paraId="6814F97B" w14:textId="77777777" w:rsidR="00C25417" w:rsidRDefault="00C25417" w:rsidP="00C25417">
      <w:pPr>
        <w:rPr>
          <w:rFonts w:ascii="Arial" w:hAnsi="Arial" w:cs="Arial"/>
        </w:rPr>
      </w:pPr>
    </w:p>
    <w:p w14:paraId="5C1911D0" w14:textId="36849380" w:rsidR="008A6CD2" w:rsidRPr="008A6CD2" w:rsidRDefault="00551937" w:rsidP="008A6CD2">
      <w:pPr>
        <w:pStyle w:val="ListParagraph"/>
        <w:numPr>
          <w:ilvl w:val="0"/>
          <w:numId w:val="3"/>
        </w:numPr>
        <w:rPr>
          <w:rFonts w:ascii="Arial" w:hAnsi="Arial" w:cs="Arial"/>
          <w:b/>
        </w:rPr>
      </w:pPr>
      <w:r>
        <w:rPr>
          <w:rFonts w:ascii="Arial" w:hAnsi="Arial" w:cs="Arial"/>
          <w:b/>
        </w:rPr>
        <w:lastRenderedPageBreak/>
        <w:t>Appendices</w:t>
      </w:r>
    </w:p>
    <w:p w14:paraId="14A45E13" w14:textId="77777777" w:rsidR="008A6CD2" w:rsidRDefault="008A6CD2" w:rsidP="008A6CD2">
      <w:pPr>
        <w:pStyle w:val="ListParagraph"/>
        <w:ind w:left="360"/>
        <w:rPr>
          <w:rFonts w:ascii="Arial" w:hAnsi="Arial" w:cs="Arial"/>
        </w:rPr>
      </w:pPr>
    </w:p>
    <w:p w14:paraId="5A06D2C6" w14:textId="2DCD9A25" w:rsidR="008A6CD2" w:rsidRDefault="008A6CD2" w:rsidP="008A6CD2">
      <w:pPr>
        <w:pStyle w:val="ListParagraph"/>
        <w:ind w:left="360"/>
        <w:rPr>
          <w:rFonts w:ascii="Arial" w:hAnsi="Arial" w:cs="Arial"/>
        </w:rPr>
      </w:pPr>
      <w:r>
        <w:rPr>
          <w:rFonts w:ascii="Arial" w:hAnsi="Arial" w:cs="Arial"/>
        </w:rPr>
        <w:t>A</w:t>
      </w:r>
      <w:r w:rsidR="00551937">
        <w:rPr>
          <w:rFonts w:ascii="Arial" w:hAnsi="Arial" w:cs="Arial"/>
        </w:rPr>
        <w:t>ppendix 1</w:t>
      </w:r>
      <w:r>
        <w:rPr>
          <w:rFonts w:ascii="Arial" w:hAnsi="Arial" w:cs="Arial"/>
        </w:rPr>
        <w:t>:</w:t>
      </w:r>
      <w:r w:rsidR="00447DD2">
        <w:rPr>
          <w:rFonts w:ascii="Arial" w:hAnsi="Arial" w:cs="Arial"/>
        </w:rPr>
        <w:t xml:space="preserve"> </w:t>
      </w:r>
      <w:r w:rsidR="004C7B62">
        <w:rPr>
          <w:rFonts w:ascii="Arial" w:hAnsi="Arial" w:cs="Arial"/>
        </w:rPr>
        <w:t>Functional Requirements V’s System Requirements Applicability Matrix</w:t>
      </w:r>
    </w:p>
    <w:p w14:paraId="4A346488" w14:textId="77777777" w:rsidR="00E5759D" w:rsidRDefault="00E5759D" w:rsidP="00E5759D">
      <w:pPr>
        <w:pStyle w:val="ListParagraph"/>
        <w:ind w:left="360"/>
        <w:rPr>
          <w:rFonts w:ascii="Arial" w:hAnsi="Arial" w:cs="Arial"/>
          <w:b/>
          <w:color w:val="FF0000"/>
        </w:rPr>
      </w:pPr>
    </w:p>
    <w:p w14:paraId="70880EBD" w14:textId="77777777" w:rsidR="00E5759D" w:rsidRDefault="00E5759D" w:rsidP="00EF3C4C">
      <w:pPr>
        <w:rPr>
          <w:b/>
        </w:rPr>
      </w:pPr>
    </w:p>
    <w:p w14:paraId="1A1DEA0E" w14:textId="77777777" w:rsidR="004E45B7" w:rsidRDefault="004E45B7" w:rsidP="00EF3C4C"/>
    <w:p w14:paraId="08A8D2E9" w14:textId="77777777" w:rsidR="004E45B7" w:rsidRDefault="004E45B7" w:rsidP="00EF3C4C"/>
    <w:p w14:paraId="4FAFF47C" w14:textId="77777777" w:rsidR="004E45B7" w:rsidRDefault="004E45B7" w:rsidP="00EF3C4C"/>
    <w:p w14:paraId="0DBC14A0" w14:textId="5471761D" w:rsidR="004E45B7" w:rsidRDefault="004E45B7" w:rsidP="00EF3C4C">
      <w:pPr>
        <w:rPr>
          <w:rStyle w:val="Hyperlink"/>
          <w:rFonts w:ascii="Arial" w:hAnsi="Arial" w:cs="Arial"/>
        </w:rPr>
      </w:pPr>
    </w:p>
    <w:p w14:paraId="036FF2CE" w14:textId="77777777" w:rsidR="004E45B7" w:rsidRDefault="004E45B7" w:rsidP="00EF3C4C">
      <w:pPr>
        <w:rPr>
          <w:rStyle w:val="Hyperlink"/>
          <w:rFonts w:ascii="Arial" w:hAnsi="Arial" w:cs="Arial"/>
        </w:rPr>
      </w:pPr>
    </w:p>
    <w:p w14:paraId="78C2708B" w14:textId="77777777" w:rsidR="004E45B7" w:rsidRDefault="004E45B7" w:rsidP="00EF3C4C">
      <w:pPr>
        <w:rPr>
          <w:rStyle w:val="Hyperlink"/>
          <w:rFonts w:ascii="Arial" w:hAnsi="Arial" w:cs="Arial"/>
        </w:rPr>
      </w:pPr>
    </w:p>
    <w:p w14:paraId="56648F0A" w14:textId="77777777" w:rsidR="004E45B7" w:rsidRDefault="004E45B7" w:rsidP="00EF3C4C">
      <w:pPr>
        <w:rPr>
          <w:rStyle w:val="Hyperlink"/>
          <w:rFonts w:ascii="Arial" w:hAnsi="Arial" w:cs="Arial"/>
        </w:rPr>
      </w:pPr>
    </w:p>
    <w:p w14:paraId="6AD046ED" w14:textId="77777777" w:rsidR="004E45B7" w:rsidRDefault="004E45B7" w:rsidP="00EF3C4C"/>
    <w:sectPr w:rsidR="004E45B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6FBA1" w14:textId="77777777" w:rsidR="009734F8" w:rsidRDefault="009734F8" w:rsidP="00447DD2">
      <w:pPr>
        <w:spacing w:after="0" w:line="240" w:lineRule="auto"/>
      </w:pPr>
      <w:r>
        <w:separator/>
      </w:r>
    </w:p>
  </w:endnote>
  <w:endnote w:type="continuationSeparator" w:id="0">
    <w:p w14:paraId="0F008F93" w14:textId="77777777" w:rsidR="009734F8" w:rsidRDefault="009734F8" w:rsidP="0044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61634" w14:textId="77777777" w:rsidR="009734F8" w:rsidRDefault="009734F8" w:rsidP="00447DD2">
      <w:pPr>
        <w:spacing w:after="0" w:line="240" w:lineRule="auto"/>
      </w:pPr>
      <w:r>
        <w:separator/>
      </w:r>
    </w:p>
  </w:footnote>
  <w:footnote w:type="continuationSeparator" w:id="0">
    <w:p w14:paraId="11DE7694" w14:textId="77777777" w:rsidR="009734F8" w:rsidRDefault="009734F8" w:rsidP="00447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4C054" w14:textId="640F2804" w:rsidR="00447DD2" w:rsidRPr="00481F2D" w:rsidRDefault="00481F2D" w:rsidP="00481F2D">
    <w:pPr>
      <w:pStyle w:val="Header"/>
      <w:jc w:val="right"/>
      <w:rPr>
        <w:rFonts w:ascii="Arial" w:hAnsi="Arial" w:cs="Arial"/>
        <w:sz w:val="20"/>
        <w:szCs w:val="20"/>
      </w:rPr>
    </w:pPr>
    <w:r w:rsidRPr="00481F2D">
      <w:rPr>
        <w:rFonts w:ascii="Arial" w:hAnsi="Arial" w:cs="Arial"/>
        <w:sz w:val="20"/>
        <w:szCs w:val="20"/>
      </w:rPr>
      <w:t xml:space="preserve">ISSCCT/0310 </w:t>
    </w:r>
    <w:r w:rsidR="00447DD2" w:rsidRPr="00481F2D">
      <w:rPr>
        <w:rFonts w:ascii="Arial" w:hAnsi="Arial" w:cs="Arial"/>
        <w:sz w:val="20"/>
        <w:szCs w:val="20"/>
      </w:rPr>
      <w:t xml:space="preserve">Annex </w:t>
    </w:r>
    <w:r w:rsidR="00487CA1" w:rsidRPr="00481F2D">
      <w:rPr>
        <w:rFonts w:ascii="Arial" w:hAnsi="Arial" w:cs="Arial"/>
        <w:sz w:val="20"/>
        <w:szCs w:val="20"/>
      </w:rPr>
      <w:t>G</w:t>
    </w:r>
    <w:r w:rsidRPr="00481F2D">
      <w:rPr>
        <w:rFonts w:ascii="Arial" w:hAnsi="Arial" w:cs="Arial"/>
        <w:sz w:val="20"/>
        <w:szCs w:val="20"/>
      </w:rPr>
      <w:t xml:space="preserve"> to</w:t>
    </w:r>
  </w:p>
  <w:p w14:paraId="347F1FC9" w14:textId="0BF31EF1" w:rsidR="00481F2D" w:rsidRPr="00481F2D" w:rsidRDefault="00481F2D" w:rsidP="00481F2D">
    <w:pPr>
      <w:pStyle w:val="Header"/>
      <w:jc w:val="right"/>
      <w:rPr>
        <w:rFonts w:ascii="Arial" w:hAnsi="Arial" w:cs="Arial"/>
        <w:sz w:val="20"/>
        <w:szCs w:val="20"/>
      </w:rPr>
    </w:pPr>
    <w:r w:rsidRPr="00481F2D">
      <w:rPr>
        <w:rFonts w:ascii="Arial" w:hAnsi="Arial" w:cs="Arial"/>
        <w:sz w:val="20"/>
        <w:szCs w:val="20"/>
      </w:rPr>
      <w:t>DEFFORM 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DB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ED4C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242007"/>
    <w:multiLevelType w:val="hybridMultilevel"/>
    <w:tmpl w:val="4230A006"/>
    <w:lvl w:ilvl="0" w:tplc="2C66D1B8">
      <w:start w:val="1"/>
      <w:numFmt w:val="decimal"/>
      <w:pStyle w:val="CCTEval-BodyText"/>
      <w:lvlText w:val="%1."/>
      <w:lvlJc w:val="left"/>
      <w:pPr>
        <w:ind w:left="1211" w:hanging="360"/>
      </w:pPr>
      <w:rPr>
        <w:b w:val="0"/>
      </w:rPr>
    </w:lvl>
    <w:lvl w:ilvl="1" w:tplc="A14A0014">
      <w:start w:val="1"/>
      <w:numFmt w:val="lowerLetter"/>
      <w:pStyle w:val="CCTEval-Sub-para"/>
      <w:lvlText w:val="%2."/>
      <w:lvlJc w:val="left"/>
      <w:pPr>
        <w:ind w:left="567" w:firstLine="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084C42"/>
    <w:multiLevelType w:val="multilevel"/>
    <w:tmpl w:val="B2BA1A0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27088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486F7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0E0D4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CE2BFE"/>
    <w:multiLevelType w:val="hybridMultilevel"/>
    <w:tmpl w:val="4EA6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D349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B9285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1544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A333C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BF24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424D9A"/>
    <w:multiLevelType w:val="hybridMultilevel"/>
    <w:tmpl w:val="09927154"/>
    <w:lvl w:ilvl="0" w:tplc="2B9A191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4E2B1F1E"/>
    <w:multiLevelType w:val="multilevel"/>
    <w:tmpl w:val="9132B670"/>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D71614"/>
    <w:multiLevelType w:val="multilevel"/>
    <w:tmpl w:val="9132B670"/>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8E1E9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65E03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9AE5503"/>
    <w:multiLevelType w:val="hybridMultilevel"/>
    <w:tmpl w:val="B6BCD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10"/>
  </w:num>
  <w:num w:numId="5">
    <w:abstractNumId w:val="6"/>
  </w:num>
  <w:num w:numId="6">
    <w:abstractNumId w:val="4"/>
  </w:num>
  <w:num w:numId="7">
    <w:abstractNumId w:val="8"/>
  </w:num>
  <w:num w:numId="8">
    <w:abstractNumId w:val="11"/>
  </w:num>
  <w:num w:numId="9">
    <w:abstractNumId w:val="17"/>
  </w:num>
  <w:num w:numId="10">
    <w:abstractNumId w:val="5"/>
  </w:num>
  <w:num w:numId="11">
    <w:abstractNumId w:val="9"/>
  </w:num>
  <w:num w:numId="12">
    <w:abstractNumId w:val="1"/>
  </w:num>
  <w:num w:numId="13">
    <w:abstractNumId w:val="18"/>
  </w:num>
  <w:num w:numId="14">
    <w:abstractNumId w:val="12"/>
  </w:num>
  <w:num w:numId="15">
    <w:abstractNumId w:val="0"/>
  </w:num>
  <w:num w:numId="16">
    <w:abstractNumId w:val="16"/>
  </w:num>
  <w:num w:numId="17">
    <w:abstractNumId w:val="3"/>
  </w:num>
  <w:num w:numId="18">
    <w:abstractNumId w:val="1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19"/>
    <w:rsid w:val="00012B58"/>
    <w:rsid w:val="000364BD"/>
    <w:rsid w:val="000442AB"/>
    <w:rsid w:val="000452FC"/>
    <w:rsid w:val="00063A91"/>
    <w:rsid w:val="0006772C"/>
    <w:rsid w:val="000913EC"/>
    <w:rsid w:val="000C1740"/>
    <w:rsid w:val="000D1DA3"/>
    <w:rsid w:val="000F1837"/>
    <w:rsid w:val="000F6E29"/>
    <w:rsid w:val="0010213C"/>
    <w:rsid w:val="00103607"/>
    <w:rsid w:val="00105354"/>
    <w:rsid w:val="00105F36"/>
    <w:rsid w:val="0011632A"/>
    <w:rsid w:val="001251FD"/>
    <w:rsid w:val="00130531"/>
    <w:rsid w:val="0013065D"/>
    <w:rsid w:val="00137F19"/>
    <w:rsid w:val="0015462F"/>
    <w:rsid w:val="001577E5"/>
    <w:rsid w:val="00164AF8"/>
    <w:rsid w:val="00172A23"/>
    <w:rsid w:val="00185D17"/>
    <w:rsid w:val="001B33A9"/>
    <w:rsid w:val="001C6FD7"/>
    <w:rsid w:val="001D6EC8"/>
    <w:rsid w:val="00203F5A"/>
    <w:rsid w:val="00207221"/>
    <w:rsid w:val="00226DAF"/>
    <w:rsid w:val="00236377"/>
    <w:rsid w:val="002415A1"/>
    <w:rsid w:val="00243822"/>
    <w:rsid w:val="0025226A"/>
    <w:rsid w:val="002616F0"/>
    <w:rsid w:val="0029675A"/>
    <w:rsid w:val="002A2C15"/>
    <w:rsid w:val="002B1708"/>
    <w:rsid w:val="002B1719"/>
    <w:rsid w:val="002B5E51"/>
    <w:rsid w:val="002C144F"/>
    <w:rsid w:val="002D77D5"/>
    <w:rsid w:val="002E7625"/>
    <w:rsid w:val="00305F1C"/>
    <w:rsid w:val="00313EB2"/>
    <w:rsid w:val="00331CC6"/>
    <w:rsid w:val="00341700"/>
    <w:rsid w:val="003809B9"/>
    <w:rsid w:val="0038280E"/>
    <w:rsid w:val="003A27E8"/>
    <w:rsid w:val="003A475C"/>
    <w:rsid w:val="003B48AE"/>
    <w:rsid w:val="003B7B11"/>
    <w:rsid w:val="003D028F"/>
    <w:rsid w:val="003D484A"/>
    <w:rsid w:val="003D6F82"/>
    <w:rsid w:val="003E0CA8"/>
    <w:rsid w:val="003E48C8"/>
    <w:rsid w:val="003F4A76"/>
    <w:rsid w:val="004003AF"/>
    <w:rsid w:val="00401021"/>
    <w:rsid w:val="004224FB"/>
    <w:rsid w:val="00435031"/>
    <w:rsid w:val="00437B36"/>
    <w:rsid w:val="00447DD2"/>
    <w:rsid w:val="004571EE"/>
    <w:rsid w:val="00461E27"/>
    <w:rsid w:val="00465B30"/>
    <w:rsid w:val="00467E16"/>
    <w:rsid w:val="00476379"/>
    <w:rsid w:val="00481F2D"/>
    <w:rsid w:val="00487CA1"/>
    <w:rsid w:val="00493259"/>
    <w:rsid w:val="00493AE0"/>
    <w:rsid w:val="004A4780"/>
    <w:rsid w:val="004B46CE"/>
    <w:rsid w:val="004B5ABB"/>
    <w:rsid w:val="004C335A"/>
    <w:rsid w:val="004C7B62"/>
    <w:rsid w:val="004D2018"/>
    <w:rsid w:val="004D7F07"/>
    <w:rsid w:val="004E3439"/>
    <w:rsid w:val="004E45B7"/>
    <w:rsid w:val="004F3B9F"/>
    <w:rsid w:val="00502C77"/>
    <w:rsid w:val="00526262"/>
    <w:rsid w:val="00551937"/>
    <w:rsid w:val="00557B5F"/>
    <w:rsid w:val="00557B94"/>
    <w:rsid w:val="00560A09"/>
    <w:rsid w:val="00580254"/>
    <w:rsid w:val="00584D71"/>
    <w:rsid w:val="005925CD"/>
    <w:rsid w:val="00596AB6"/>
    <w:rsid w:val="005A591D"/>
    <w:rsid w:val="005C0ABB"/>
    <w:rsid w:val="005C4466"/>
    <w:rsid w:val="005D78FC"/>
    <w:rsid w:val="005E5FE6"/>
    <w:rsid w:val="005F49C4"/>
    <w:rsid w:val="005F653E"/>
    <w:rsid w:val="00606874"/>
    <w:rsid w:val="00607541"/>
    <w:rsid w:val="00610A14"/>
    <w:rsid w:val="0061447B"/>
    <w:rsid w:val="006331D4"/>
    <w:rsid w:val="00641688"/>
    <w:rsid w:val="00644FCA"/>
    <w:rsid w:val="006530CC"/>
    <w:rsid w:val="00654B2F"/>
    <w:rsid w:val="0065628F"/>
    <w:rsid w:val="00660C82"/>
    <w:rsid w:val="00663541"/>
    <w:rsid w:val="00665CF5"/>
    <w:rsid w:val="0066671E"/>
    <w:rsid w:val="00667362"/>
    <w:rsid w:val="006A34A7"/>
    <w:rsid w:val="006E5948"/>
    <w:rsid w:val="00713096"/>
    <w:rsid w:val="0071410D"/>
    <w:rsid w:val="0071718A"/>
    <w:rsid w:val="00721A1C"/>
    <w:rsid w:val="0073292F"/>
    <w:rsid w:val="007331D3"/>
    <w:rsid w:val="007469FE"/>
    <w:rsid w:val="0076392C"/>
    <w:rsid w:val="00765206"/>
    <w:rsid w:val="00771046"/>
    <w:rsid w:val="007710BA"/>
    <w:rsid w:val="007811BB"/>
    <w:rsid w:val="00781217"/>
    <w:rsid w:val="007A0CE8"/>
    <w:rsid w:val="007A5EE8"/>
    <w:rsid w:val="007B1983"/>
    <w:rsid w:val="007D4255"/>
    <w:rsid w:val="007D5CB1"/>
    <w:rsid w:val="007E619E"/>
    <w:rsid w:val="00821151"/>
    <w:rsid w:val="00824872"/>
    <w:rsid w:val="008374BA"/>
    <w:rsid w:val="00837557"/>
    <w:rsid w:val="00847074"/>
    <w:rsid w:val="008712BB"/>
    <w:rsid w:val="008900B7"/>
    <w:rsid w:val="00891ACE"/>
    <w:rsid w:val="008944BC"/>
    <w:rsid w:val="008959AA"/>
    <w:rsid w:val="008A3FD3"/>
    <w:rsid w:val="008A6CD2"/>
    <w:rsid w:val="008C5E5E"/>
    <w:rsid w:val="008D6F3A"/>
    <w:rsid w:val="008F700B"/>
    <w:rsid w:val="008F772F"/>
    <w:rsid w:val="00902700"/>
    <w:rsid w:val="00910AA5"/>
    <w:rsid w:val="0093432B"/>
    <w:rsid w:val="009365CF"/>
    <w:rsid w:val="00943C74"/>
    <w:rsid w:val="00947B77"/>
    <w:rsid w:val="00963961"/>
    <w:rsid w:val="009734F8"/>
    <w:rsid w:val="0099329F"/>
    <w:rsid w:val="009A25C2"/>
    <w:rsid w:val="009B5734"/>
    <w:rsid w:val="009B6ADE"/>
    <w:rsid w:val="009D57C4"/>
    <w:rsid w:val="009D599E"/>
    <w:rsid w:val="009E020A"/>
    <w:rsid w:val="009E3B40"/>
    <w:rsid w:val="009E53D6"/>
    <w:rsid w:val="009F1A56"/>
    <w:rsid w:val="00A02F71"/>
    <w:rsid w:val="00A14C06"/>
    <w:rsid w:val="00A275A6"/>
    <w:rsid w:val="00A30286"/>
    <w:rsid w:val="00A30293"/>
    <w:rsid w:val="00A34B78"/>
    <w:rsid w:val="00A41059"/>
    <w:rsid w:val="00A91D1A"/>
    <w:rsid w:val="00A95590"/>
    <w:rsid w:val="00A97411"/>
    <w:rsid w:val="00AA18B8"/>
    <w:rsid w:val="00AB3F14"/>
    <w:rsid w:val="00AB7D28"/>
    <w:rsid w:val="00AC1527"/>
    <w:rsid w:val="00AD2F9D"/>
    <w:rsid w:val="00AF2814"/>
    <w:rsid w:val="00B16796"/>
    <w:rsid w:val="00B1789F"/>
    <w:rsid w:val="00B26EC6"/>
    <w:rsid w:val="00B45173"/>
    <w:rsid w:val="00B54308"/>
    <w:rsid w:val="00B6674B"/>
    <w:rsid w:val="00B721F5"/>
    <w:rsid w:val="00B83CB0"/>
    <w:rsid w:val="00B84415"/>
    <w:rsid w:val="00BA1CDB"/>
    <w:rsid w:val="00BA53F2"/>
    <w:rsid w:val="00BA5CE8"/>
    <w:rsid w:val="00BB77AC"/>
    <w:rsid w:val="00BC03DE"/>
    <w:rsid w:val="00BF5F30"/>
    <w:rsid w:val="00C159E2"/>
    <w:rsid w:val="00C20D35"/>
    <w:rsid w:val="00C25417"/>
    <w:rsid w:val="00C36CC6"/>
    <w:rsid w:val="00C61CF5"/>
    <w:rsid w:val="00C84CB6"/>
    <w:rsid w:val="00C8667F"/>
    <w:rsid w:val="00C878A8"/>
    <w:rsid w:val="00C91A4C"/>
    <w:rsid w:val="00C96340"/>
    <w:rsid w:val="00CA2B59"/>
    <w:rsid w:val="00CE776D"/>
    <w:rsid w:val="00CF7877"/>
    <w:rsid w:val="00CF7BBF"/>
    <w:rsid w:val="00D012C5"/>
    <w:rsid w:val="00D03256"/>
    <w:rsid w:val="00D2727B"/>
    <w:rsid w:val="00D31A81"/>
    <w:rsid w:val="00D3345A"/>
    <w:rsid w:val="00D355B7"/>
    <w:rsid w:val="00D37A74"/>
    <w:rsid w:val="00D41DCC"/>
    <w:rsid w:val="00D60D91"/>
    <w:rsid w:val="00D674FE"/>
    <w:rsid w:val="00D71049"/>
    <w:rsid w:val="00D85E21"/>
    <w:rsid w:val="00DE3CA0"/>
    <w:rsid w:val="00DF7738"/>
    <w:rsid w:val="00E2775F"/>
    <w:rsid w:val="00E460E7"/>
    <w:rsid w:val="00E5096B"/>
    <w:rsid w:val="00E54D77"/>
    <w:rsid w:val="00E56EA0"/>
    <w:rsid w:val="00E5714A"/>
    <w:rsid w:val="00E5759D"/>
    <w:rsid w:val="00E63FDB"/>
    <w:rsid w:val="00E71D81"/>
    <w:rsid w:val="00E71E6A"/>
    <w:rsid w:val="00E72CCE"/>
    <w:rsid w:val="00E766F8"/>
    <w:rsid w:val="00E8039A"/>
    <w:rsid w:val="00EB317C"/>
    <w:rsid w:val="00EB646B"/>
    <w:rsid w:val="00EC13EF"/>
    <w:rsid w:val="00ED1CFC"/>
    <w:rsid w:val="00ED5248"/>
    <w:rsid w:val="00EE2699"/>
    <w:rsid w:val="00EE5D93"/>
    <w:rsid w:val="00EF32D1"/>
    <w:rsid w:val="00EF3C4C"/>
    <w:rsid w:val="00F04AD3"/>
    <w:rsid w:val="00F106F0"/>
    <w:rsid w:val="00F1198A"/>
    <w:rsid w:val="00F11D87"/>
    <w:rsid w:val="00F2621B"/>
    <w:rsid w:val="00F31117"/>
    <w:rsid w:val="00F437E8"/>
    <w:rsid w:val="00F54C15"/>
    <w:rsid w:val="00F61B3F"/>
    <w:rsid w:val="00F63EAE"/>
    <w:rsid w:val="00F736B9"/>
    <w:rsid w:val="00F776D2"/>
    <w:rsid w:val="00F826CA"/>
    <w:rsid w:val="00F826EF"/>
    <w:rsid w:val="00F836A2"/>
    <w:rsid w:val="00F85C85"/>
    <w:rsid w:val="00FA2052"/>
    <w:rsid w:val="00FC5CE4"/>
    <w:rsid w:val="00FC7058"/>
    <w:rsid w:val="00FE5411"/>
    <w:rsid w:val="00FE6595"/>
    <w:rsid w:val="00FF06CA"/>
    <w:rsid w:val="00FF4D5E"/>
    <w:rsid w:val="00FF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19"/>
    <w:pPr>
      <w:ind w:left="720"/>
      <w:contextualSpacing/>
    </w:pPr>
  </w:style>
  <w:style w:type="table" w:styleId="TableGrid">
    <w:name w:val="Table Grid"/>
    <w:basedOn w:val="TableNormal"/>
    <w:uiPriority w:val="59"/>
    <w:rsid w:val="0040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9C4"/>
    <w:rPr>
      <w:color w:val="0000FF" w:themeColor="hyperlink"/>
      <w:u w:val="single"/>
    </w:rPr>
  </w:style>
  <w:style w:type="paragraph" w:styleId="BalloonText">
    <w:name w:val="Balloon Text"/>
    <w:basedOn w:val="Normal"/>
    <w:link w:val="BalloonTextChar"/>
    <w:uiPriority w:val="99"/>
    <w:semiHidden/>
    <w:unhideWhenUsed/>
    <w:rsid w:val="009B6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DE"/>
    <w:rPr>
      <w:rFonts w:ascii="Tahoma" w:hAnsi="Tahoma" w:cs="Tahoma"/>
      <w:sz w:val="16"/>
      <w:szCs w:val="16"/>
    </w:rPr>
  </w:style>
  <w:style w:type="character" w:styleId="FollowedHyperlink">
    <w:name w:val="FollowedHyperlink"/>
    <w:basedOn w:val="DefaultParagraphFont"/>
    <w:uiPriority w:val="99"/>
    <w:semiHidden/>
    <w:unhideWhenUsed/>
    <w:rsid w:val="009B6ADE"/>
    <w:rPr>
      <w:color w:val="800080" w:themeColor="followedHyperlink"/>
      <w:u w:val="single"/>
    </w:rPr>
  </w:style>
  <w:style w:type="character" w:styleId="PlaceholderText">
    <w:name w:val="Placeholder Text"/>
    <w:basedOn w:val="DefaultParagraphFont"/>
    <w:uiPriority w:val="99"/>
    <w:semiHidden/>
    <w:rsid w:val="00721A1C"/>
    <w:rPr>
      <w:color w:val="808080"/>
    </w:rPr>
  </w:style>
  <w:style w:type="character" w:styleId="CommentReference">
    <w:name w:val="annotation reference"/>
    <w:basedOn w:val="DefaultParagraphFont"/>
    <w:uiPriority w:val="99"/>
    <w:semiHidden/>
    <w:unhideWhenUsed/>
    <w:rsid w:val="0073292F"/>
    <w:rPr>
      <w:sz w:val="16"/>
      <w:szCs w:val="16"/>
    </w:rPr>
  </w:style>
  <w:style w:type="paragraph" w:styleId="CommentText">
    <w:name w:val="annotation text"/>
    <w:basedOn w:val="Normal"/>
    <w:link w:val="CommentTextChar"/>
    <w:uiPriority w:val="99"/>
    <w:semiHidden/>
    <w:unhideWhenUsed/>
    <w:rsid w:val="0073292F"/>
    <w:pPr>
      <w:spacing w:line="240" w:lineRule="auto"/>
    </w:pPr>
    <w:rPr>
      <w:sz w:val="20"/>
      <w:szCs w:val="20"/>
    </w:rPr>
  </w:style>
  <w:style w:type="character" w:customStyle="1" w:styleId="CommentTextChar">
    <w:name w:val="Comment Text Char"/>
    <w:basedOn w:val="DefaultParagraphFont"/>
    <w:link w:val="CommentText"/>
    <w:uiPriority w:val="99"/>
    <w:semiHidden/>
    <w:rsid w:val="0073292F"/>
    <w:rPr>
      <w:sz w:val="20"/>
      <w:szCs w:val="20"/>
    </w:rPr>
  </w:style>
  <w:style w:type="paragraph" w:styleId="CommentSubject">
    <w:name w:val="annotation subject"/>
    <w:basedOn w:val="CommentText"/>
    <w:next w:val="CommentText"/>
    <w:link w:val="CommentSubjectChar"/>
    <w:uiPriority w:val="99"/>
    <w:semiHidden/>
    <w:unhideWhenUsed/>
    <w:rsid w:val="0073292F"/>
    <w:rPr>
      <w:b/>
      <w:bCs/>
    </w:rPr>
  </w:style>
  <w:style w:type="character" w:customStyle="1" w:styleId="CommentSubjectChar">
    <w:name w:val="Comment Subject Char"/>
    <w:basedOn w:val="CommentTextChar"/>
    <w:link w:val="CommentSubject"/>
    <w:uiPriority w:val="99"/>
    <w:semiHidden/>
    <w:rsid w:val="0073292F"/>
    <w:rPr>
      <w:b/>
      <w:bCs/>
      <w:sz w:val="20"/>
      <w:szCs w:val="20"/>
    </w:rPr>
  </w:style>
  <w:style w:type="paragraph" w:styleId="Header">
    <w:name w:val="header"/>
    <w:basedOn w:val="Normal"/>
    <w:link w:val="HeaderChar"/>
    <w:uiPriority w:val="99"/>
    <w:unhideWhenUsed/>
    <w:rsid w:val="00447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DD2"/>
  </w:style>
  <w:style w:type="paragraph" w:styleId="Footer">
    <w:name w:val="footer"/>
    <w:basedOn w:val="Normal"/>
    <w:link w:val="FooterChar"/>
    <w:uiPriority w:val="99"/>
    <w:unhideWhenUsed/>
    <w:rsid w:val="00447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DD2"/>
  </w:style>
  <w:style w:type="paragraph" w:customStyle="1" w:styleId="CCTEval-BodyText">
    <w:name w:val="CCT Eval - Body Text"/>
    <w:basedOn w:val="Normal"/>
    <w:qFormat/>
    <w:rsid w:val="0015462F"/>
    <w:pPr>
      <w:numPr>
        <w:numId w:val="20"/>
      </w:numPr>
      <w:spacing w:before="220" w:after="220" w:line="240" w:lineRule="auto"/>
      <w:ind w:left="0" w:firstLine="0"/>
      <w:jc w:val="both"/>
    </w:pPr>
    <w:rPr>
      <w:rFonts w:ascii="Arial" w:eastAsia="Times New Roman" w:hAnsi="Arial" w:cs="Times New Roman"/>
      <w:szCs w:val="24"/>
    </w:rPr>
  </w:style>
  <w:style w:type="paragraph" w:customStyle="1" w:styleId="CCTEval-Sub-para">
    <w:name w:val="CCT Eval - Sub-para"/>
    <w:basedOn w:val="CCTEval-BodyText"/>
    <w:link w:val="CCTEval-Sub-paraChar"/>
    <w:qFormat/>
    <w:rsid w:val="0015462F"/>
    <w:pPr>
      <w:numPr>
        <w:ilvl w:val="1"/>
      </w:numPr>
    </w:pPr>
  </w:style>
  <w:style w:type="character" w:customStyle="1" w:styleId="CCTEval-Sub-paraChar">
    <w:name w:val="CCT Eval - Sub-para Char"/>
    <w:basedOn w:val="DefaultParagraphFont"/>
    <w:link w:val="CCTEval-Sub-para"/>
    <w:rsid w:val="0015462F"/>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19"/>
    <w:pPr>
      <w:ind w:left="720"/>
      <w:contextualSpacing/>
    </w:pPr>
  </w:style>
  <w:style w:type="table" w:styleId="TableGrid">
    <w:name w:val="Table Grid"/>
    <w:basedOn w:val="TableNormal"/>
    <w:uiPriority w:val="59"/>
    <w:rsid w:val="0040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9C4"/>
    <w:rPr>
      <w:color w:val="0000FF" w:themeColor="hyperlink"/>
      <w:u w:val="single"/>
    </w:rPr>
  </w:style>
  <w:style w:type="paragraph" w:styleId="BalloonText">
    <w:name w:val="Balloon Text"/>
    <w:basedOn w:val="Normal"/>
    <w:link w:val="BalloonTextChar"/>
    <w:uiPriority w:val="99"/>
    <w:semiHidden/>
    <w:unhideWhenUsed/>
    <w:rsid w:val="009B6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DE"/>
    <w:rPr>
      <w:rFonts w:ascii="Tahoma" w:hAnsi="Tahoma" w:cs="Tahoma"/>
      <w:sz w:val="16"/>
      <w:szCs w:val="16"/>
    </w:rPr>
  </w:style>
  <w:style w:type="character" w:styleId="FollowedHyperlink">
    <w:name w:val="FollowedHyperlink"/>
    <w:basedOn w:val="DefaultParagraphFont"/>
    <w:uiPriority w:val="99"/>
    <w:semiHidden/>
    <w:unhideWhenUsed/>
    <w:rsid w:val="009B6ADE"/>
    <w:rPr>
      <w:color w:val="800080" w:themeColor="followedHyperlink"/>
      <w:u w:val="single"/>
    </w:rPr>
  </w:style>
  <w:style w:type="character" w:styleId="PlaceholderText">
    <w:name w:val="Placeholder Text"/>
    <w:basedOn w:val="DefaultParagraphFont"/>
    <w:uiPriority w:val="99"/>
    <w:semiHidden/>
    <w:rsid w:val="00721A1C"/>
    <w:rPr>
      <w:color w:val="808080"/>
    </w:rPr>
  </w:style>
  <w:style w:type="character" w:styleId="CommentReference">
    <w:name w:val="annotation reference"/>
    <w:basedOn w:val="DefaultParagraphFont"/>
    <w:uiPriority w:val="99"/>
    <w:semiHidden/>
    <w:unhideWhenUsed/>
    <w:rsid w:val="0073292F"/>
    <w:rPr>
      <w:sz w:val="16"/>
      <w:szCs w:val="16"/>
    </w:rPr>
  </w:style>
  <w:style w:type="paragraph" w:styleId="CommentText">
    <w:name w:val="annotation text"/>
    <w:basedOn w:val="Normal"/>
    <w:link w:val="CommentTextChar"/>
    <w:uiPriority w:val="99"/>
    <w:semiHidden/>
    <w:unhideWhenUsed/>
    <w:rsid w:val="0073292F"/>
    <w:pPr>
      <w:spacing w:line="240" w:lineRule="auto"/>
    </w:pPr>
    <w:rPr>
      <w:sz w:val="20"/>
      <w:szCs w:val="20"/>
    </w:rPr>
  </w:style>
  <w:style w:type="character" w:customStyle="1" w:styleId="CommentTextChar">
    <w:name w:val="Comment Text Char"/>
    <w:basedOn w:val="DefaultParagraphFont"/>
    <w:link w:val="CommentText"/>
    <w:uiPriority w:val="99"/>
    <w:semiHidden/>
    <w:rsid w:val="0073292F"/>
    <w:rPr>
      <w:sz w:val="20"/>
      <w:szCs w:val="20"/>
    </w:rPr>
  </w:style>
  <w:style w:type="paragraph" w:styleId="CommentSubject">
    <w:name w:val="annotation subject"/>
    <w:basedOn w:val="CommentText"/>
    <w:next w:val="CommentText"/>
    <w:link w:val="CommentSubjectChar"/>
    <w:uiPriority w:val="99"/>
    <w:semiHidden/>
    <w:unhideWhenUsed/>
    <w:rsid w:val="0073292F"/>
    <w:rPr>
      <w:b/>
      <w:bCs/>
    </w:rPr>
  </w:style>
  <w:style w:type="character" w:customStyle="1" w:styleId="CommentSubjectChar">
    <w:name w:val="Comment Subject Char"/>
    <w:basedOn w:val="CommentTextChar"/>
    <w:link w:val="CommentSubject"/>
    <w:uiPriority w:val="99"/>
    <w:semiHidden/>
    <w:rsid w:val="0073292F"/>
    <w:rPr>
      <w:b/>
      <w:bCs/>
      <w:sz w:val="20"/>
      <w:szCs w:val="20"/>
    </w:rPr>
  </w:style>
  <w:style w:type="paragraph" w:styleId="Header">
    <w:name w:val="header"/>
    <w:basedOn w:val="Normal"/>
    <w:link w:val="HeaderChar"/>
    <w:uiPriority w:val="99"/>
    <w:unhideWhenUsed/>
    <w:rsid w:val="00447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DD2"/>
  </w:style>
  <w:style w:type="paragraph" w:styleId="Footer">
    <w:name w:val="footer"/>
    <w:basedOn w:val="Normal"/>
    <w:link w:val="FooterChar"/>
    <w:uiPriority w:val="99"/>
    <w:unhideWhenUsed/>
    <w:rsid w:val="00447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DD2"/>
  </w:style>
  <w:style w:type="paragraph" w:customStyle="1" w:styleId="CCTEval-BodyText">
    <w:name w:val="CCT Eval - Body Text"/>
    <w:basedOn w:val="Normal"/>
    <w:qFormat/>
    <w:rsid w:val="0015462F"/>
    <w:pPr>
      <w:numPr>
        <w:numId w:val="20"/>
      </w:numPr>
      <w:spacing w:before="220" w:after="220" w:line="240" w:lineRule="auto"/>
      <w:ind w:left="0" w:firstLine="0"/>
      <w:jc w:val="both"/>
    </w:pPr>
    <w:rPr>
      <w:rFonts w:ascii="Arial" w:eastAsia="Times New Roman" w:hAnsi="Arial" w:cs="Times New Roman"/>
      <w:szCs w:val="24"/>
    </w:rPr>
  </w:style>
  <w:style w:type="paragraph" w:customStyle="1" w:styleId="CCTEval-Sub-para">
    <w:name w:val="CCT Eval - Sub-para"/>
    <w:basedOn w:val="CCTEval-BodyText"/>
    <w:link w:val="CCTEval-Sub-paraChar"/>
    <w:qFormat/>
    <w:rsid w:val="0015462F"/>
    <w:pPr>
      <w:numPr>
        <w:ilvl w:val="1"/>
      </w:numPr>
    </w:pPr>
  </w:style>
  <w:style w:type="character" w:customStyle="1" w:styleId="CCTEval-Sub-paraChar">
    <w:name w:val="CCT Eval - Sub-para Char"/>
    <w:basedOn w:val="DefaultParagraphFont"/>
    <w:link w:val="CCTEval-Sub-para"/>
    <w:rsid w:val="0015462F"/>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6338">
      <w:bodyDiv w:val="1"/>
      <w:marLeft w:val="0"/>
      <w:marRight w:val="0"/>
      <w:marTop w:val="0"/>
      <w:marBottom w:val="0"/>
      <w:divBdr>
        <w:top w:val="none" w:sz="0" w:space="0" w:color="auto"/>
        <w:left w:val="none" w:sz="0" w:space="0" w:color="auto"/>
        <w:bottom w:val="none" w:sz="0" w:space="0" w:color="auto"/>
        <w:right w:val="none" w:sz="0" w:space="0" w:color="auto"/>
      </w:divBdr>
    </w:div>
    <w:div w:id="372703488">
      <w:bodyDiv w:val="1"/>
      <w:marLeft w:val="0"/>
      <w:marRight w:val="0"/>
      <w:marTop w:val="0"/>
      <w:marBottom w:val="0"/>
      <w:divBdr>
        <w:top w:val="none" w:sz="0" w:space="0" w:color="auto"/>
        <w:left w:val="none" w:sz="0" w:space="0" w:color="auto"/>
        <w:bottom w:val="none" w:sz="0" w:space="0" w:color="auto"/>
        <w:right w:val="none" w:sz="0" w:space="0" w:color="auto"/>
      </w:divBdr>
    </w:div>
    <w:div w:id="938293348">
      <w:bodyDiv w:val="1"/>
      <w:marLeft w:val="0"/>
      <w:marRight w:val="0"/>
      <w:marTop w:val="0"/>
      <w:marBottom w:val="0"/>
      <w:divBdr>
        <w:top w:val="none" w:sz="0" w:space="0" w:color="auto"/>
        <w:left w:val="none" w:sz="0" w:space="0" w:color="auto"/>
        <w:bottom w:val="none" w:sz="0" w:space="0" w:color="auto"/>
        <w:right w:val="none" w:sz="0" w:space="0" w:color="auto"/>
      </w:divBdr>
    </w:div>
    <w:div w:id="1105350546">
      <w:bodyDiv w:val="1"/>
      <w:marLeft w:val="0"/>
      <w:marRight w:val="0"/>
      <w:marTop w:val="0"/>
      <w:marBottom w:val="0"/>
      <w:divBdr>
        <w:top w:val="none" w:sz="0" w:space="0" w:color="auto"/>
        <w:left w:val="none" w:sz="0" w:space="0" w:color="auto"/>
        <w:bottom w:val="none" w:sz="0" w:space="0" w:color="auto"/>
        <w:right w:val="none" w:sz="0" w:space="0" w:color="auto"/>
      </w:divBdr>
    </w:div>
    <w:div w:id="11324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4A2A012EBB40E847BB1336EDC3CFF28F" ma:contentTypeVersion="22" ma:contentTypeDescription="Designed to facilitate the storage of MOD Documents with a '.doc' or '.docx' extension" ma:contentTypeScope="" ma:versionID="3b05759ec039d5858c4f3bb02e089c85">
  <xsd:schema xmlns:xsd="http://www.w3.org/2001/XMLSchema" xmlns:p="http://schemas.microsoft.com/office/2006/metadata/properties" xmlns:ns1="http://schemas.microsoft.com/sharepoint/v3" xmlns:ns2="8E877835-44EB-4E92-A356-EC12DB4892AA" xmlns:ns3="8e877835-44eb-4e92-a356-ec12db4892aa" xmlns:ns4="b75edb0d-33b7-4f83-9b8d-4a6f49812cd1" targetNamespace="http://schemas.microsoft.com/office/2006/metadata/properties" ma:root="true" ma:fieldsID="1583d65df3fa064ce3f454f6d06bed51" ns1:_="" ns2:_="" ns3:_="" ns4:_="">
    <xsd:import namespace="http://schemas.microsoft.com/sharepoint/v3"/>
    <xsd:import namespace="8E877835-44EB-4E92-A356-EC12DB4892AA"/>
    <xsd:import namespace="8e877835-44eb-4e92-a356-ec12db4892aa"/>
    <xsd:import namespace="b75edb0d-33b7-4f83-9b8d-4a6f49812cd1"/>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8E877835-44EB-4E92-A356-EC12DB4892AA"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UNICATIONS AND INFORMATION SYSTEMS AND CIS EQUIP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AND CI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Communications and information systems and CIS equip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and CIS equip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Information Systems and Services Service Operations" ma:description="Enter the organisation that has chief responsibility for the content of this item." ma:format="Dropdown" ma:internalName="Business_x0020_OwnerOOB">
      <xsd:simpleType>
        <xsd:union memberTypes="dms:Text">
          <xsd:simpleType>
            <xsd:restriction base="dms:Choice">
              <xsd:enumeration value="Information Systems and Services Service Operation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e877835-44eb-4e92-a356-ec12db4892aa"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75edb0d-33b7-4f83-9b8d-4a6f49812cd1"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8E877835-44EB-4E92-A356-EC12DB4892AA">Information Systems and Services Service Operations</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Subject_x0020_KeywordsOOB xmlns="8E877835-44EB-4E92-A356-EC12DB4892AA">
      <Value>Communications and information systems and CIS equipment</Value>
    </Subject_x0020_KeywordsOOB>
    <SubjectKeywords xmlns="8E877835-44EB-4E92-A356-EC12DB4892AA" xsi:nil="true"/>
    <BusinessOwner xmlns="8E877835-44EB-4E92-A356-EC12DB4892AA" xsi:nil="true"/>
    <AuthorOriginator xmlns="http://schemas.microsoft.com/sharepoint/v3">Allen, Keith C1 (ISS Dev-AppServices40-PPM)</AuthorOriginator>
    <fileplanID xmlns="8E877835-44EB-4E92-A356-EC12DB4892AA" xsi:nil="true"/>
    <DPAExemption xmlns="http://schemas.microsoft.com/sharepoint/v3" xsi:nil="true"/>
    <DocId xmlns="b75edb0d-33b7-4f83-9b8d-4a6f49812cd1" xsi:nil="true"/>
    <MeridioEDCData xmlns="b75edb0d-33b7-4f83-9b8d-4a6f49812cd1" xsi:nil="true"/>
    <Local_x0020_KeywordsOOB xmlns="8E877835-44EB-4E92-A356-EC12DB4892AA">
      <Value>DLMC</Value>
      <Value>Evaluation</Value>
      <Value>Procurement Strategy</Value>
    </Local_x0020_KeywordsOOB>
    <Copyright xmlns="http://schemas.microsoft.com/sharepoint/v3" xsi:nil="true"/>
    <MeridioUrl xmlns="b75edb0d-33b7-4f83-9b8d-4a6f49812cd1" xsi:nil="true"/>
    <SecurityDescriptors xmlns="http://schemas.microsoft.com/sharepoint/v3">None</SecurityDescriptors>
    <MeridioEDCStatus xmlns="b75edb0d-33b7-4f83-9b8d-4a6f49812cd1" xsi:nil="true"/>
    <LocalKeywords xmlns="8E877835-44EB-4E92-A356-EC12DB4892AA" xsi:nil="true"/>
    <RetentionCategory xmlns="http://schemas.microsoft.com/sharepoint/v3">None</RetentionCategory>
    <fileplanIDOOB xmlns="8E877835-44EB-4E92-A356-EC12DB4892AA">04_Deliver</fileplanIDOOB>
    <SecurityNonUKConstraints xmlns="http://schemas.microsoft.com/sharepoint/v3" xsi:nil="true"/>
    <FOIPublicationDate xmlns="http://schemas.microsoft.com/sharepoint/v3" xsi:nil="true"/>
    <DocumentVersion xmlns="http://schemas.microsoft.com/sharepoint/v3">0_2</DocumentVersion>
    <fileplanIDPTH xmlns="8e877835-44eb-4e92-a356-ec12db4892aa">04_Deliver</fileplanIDPTH>
    <EIRDisclosabilityIndicator xmlns="http://schemas.microsoft.com/sharepoint/v3" xsi:nil="true"/>
    <CreatedOriginated xmlns="http://schemas.microsoft.com/sharepoint/v3">2016-11-28T00:00:00+00:00</CreatedOriginated>
    <FOIExemption xmlns="http://schemas.microsoft.com/sharepoint/v3">No</FOIExemption>
    <Description xmlns="http://schemas.microsoft.com/sharepoint/v3" xsi:nil="true"/>
    <Subject_x0020_CategoryOOB xmlns="8E877835-44EB-4E92-A356-EC12DB4892AA">
      <Value>COMMUNICATIONS AND INFORMATION SYSTEMS AND CIS EQUIPMENT</Value>
    </Subject_x0020_CategoryOOB>
    <SubjectCategory xmlns="8E877835-44EB-4E92-A356-EC12DB4892AA" xsi:nil="true"/>
    <Declared xmlns="b75edb0d-33b7-4f83-9b8d-4a6f49812cd1">false</Decla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0E7E-4234-4591-9951-4896DDB9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877835-44EB-4E92-A356-EC12DB4892AA"/>
    <ds:schemaRef ds:uri="8e877835-44eb-4e92-a356-ec12db4892aa"/>
    <ds:schemaRef ds:uri="b75edb0d-33b7-4f83-9b8d-4a6f49812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2B492A-5395-4D2D-B2C5-8CF5EA75523B}">
  <ds:schemaRefs>
    <ds:schemaRef ds:uri="http://schemas.microsoft.com/office/2006/metadata/properties"/>
    <ds:schemaRef ds:uri="http://schemas.microsoft.com/sharepoint/v3"/>
    <ds:schemaRef ds:uri="8E877835-44EB-4E92-A356-EC12DB4892AA"/>
    <ds:schemaRef ds:uri="b75edb0d-33b7-4f83-9b8d-4a6f49812cd1"/>
    <ds:schemaRef ds:uri="8e877835-44eb-4e92-a356-ec12db4892aa"/>
  </ds:schemaRefs>
</ds:datastoreItem>
</file>

<file path=customXml/itemProps3.xml><?xml version="1.0" encoding="utf-8"?>
<ds:datastoreItem xmlns:ds="http://schemas.openxmlformats.org/officeDocument/2006/customXml" ds:itemID="{9D7A66C1-DF46-4DAA-99ED-2CA293AB4E51}">
  <ds:schemaRefs>
    <ds:schemaRef ds:uri="http://schemas.microsoft.com/sharepoint/v3/contenttype/forms"/>
  </ds:schemaRefs>
</ds:datastoreItem>
</file>

<file path=customXml/itemProps4.xml><?xml version="1.0" encoding="utf-8"?>
<ds:datastoreItem xmlns:ds="http://schemas.openxmlformats.org/officeDocument/2006/customXml" ds:itemID="{FBF56553-7817-4CE4-9F56-CEF5F72F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DLMC Evaluation Strategy and Criteria V0.2</vt:lpstr>
    </vt:vector>
  </TitlesOfParts>
  <Company>Hewlett-Packard</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DLMC Evaluation Strategy and Criteria V0.2</dc:title>
  <dc:creator>BrownleeM655</dc:creator>
  <cp:lastModifiedBy>marwoodd311</cp:lastModifiedBy>
  <cp:revision>2</cp:revision>
  <cp:lastPrinted>2016-12-13T08:46:00Z</cp:lastPrinted>
  <dcterms:created xsi:type="dcterms:W3CDTF">2016-12-19T10:22:00Z</dcterms:created>
  <dcterms:modified xsi:type="dcterms:W3CDTF">2016-12-19T10:22:00Z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0x0101002817DCC3B91A4B7EA656B27E1AE952E3004A2A012EBB40E847BB1336EDC3CFF28F</vt:lpwstr>
  </property>
</Properties>
</file>