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F6A3F" w14:textId="697255A4" w:rsidR="008A34B0" w:rsidRDefault="00227152" w:rsidP="003A1218">
      <w:pPr>
        <w:spacing w:before="100" w:beforeAutospacing="1" w:after="100" w:afterAutospacing="1"/>
        <w:outlineLvl w:val="0"/>
        <w:rPr>
          <w:b/>
          <w:bCs/>
          <w:color w:val="000000"/>
          <w:kern w:val="36"/>
          <w:sz w:val="22"/>
          <w:szCs w:val="22"/>
          <w:lang w:eastAsia="en-GB"/>
        </w:rPr>
      </w:pPr>
      <w:r>
        <w:rPr>
          <w:b/>
          <w:bCs/>
          <w:color w:val="000000"/>
          <w:kern w:val="36"/>
          <w:sz w:val="22"/>
          <w:szCs w:val="22"/>
          <w:lang w:eastAsia="en-GB"/>
        </w:rPr>
        <w:t xml:space="preserve">Annex D to DEFFORM </w:t>
      </w:r>
      <w:r w:rsidR="008A34B0">
        <w:rPr>
          <w:b/>
          <w:bCs/>
          <w:color w:val="000000"/>
          <w:kern w:val="36"/>
          <w:sz w:val="22"/>
          <w:szCs w:val="22"/>
          <w:lang w:eastAsia="en-GB"/>
        </w:rPr>
        <w:t>47 FOR ITT 701224378 Provision of a Manned Guarding Service at RAF Wyton TUPE.</w:t>
      </w:r>
    </w:p>
    <w:p w14:paraId="67F65180" w14:textId="574BA400" w:rsidR="003A1218" w:rsidRPr="00714965" w:rsidRDefault="003A1218" w:rsidP="003A1218">
      <w:pPr>
        <w:spacing w:before="100" w:beforeAutospacing="1" w:after="100" w:afterAutospacing="1"/>
        <w:outlineLvl w:val="0"/>
        <w:rPr>
          <w:b/>
          <w:bCs/>
          <w:color w:val="000000"/>
          <w:kern w:val="36"/>
          <w:sz w:val="22"/>
          <w:szCs w:val="22"/>
          <w:lang w:eastAsia="en-GB"/>
        </w:rPr>
      </w:pPr>
      <w:r w:rsidRPr="00714965">
        <w:rPr>
          <w:b/>
          <w:bCs/>
          <w:color w:val="000000"/>
          <w:kern w:val="36"/>
          <w:sz w:val="22"/>
          <w:szCs w:val="22"/>
          <w:lang w:eastAsia="en-GB"/>
        </w:rPr>
        <w:t>TUPE</w:t>
      </w:r>
    </w:p>
    <w:p w14:paraId="6FA18D9D" w14:textId="77777777" w:rsidR="003A1218" w:rsidRPr="00714965" w:rsidRDefault="003A1218" w:rsidP="003A1218">
      <w:pPr>
        <w:spacing w:before="100" w:beforeAutospacing="1" w:after="100" w:afterAutospacing="1"/>
        <w:outlineLvl w:val="1"/>
        <w:rPr>
          <w:b/>
          <w:bCs/>
          <w:color w:val="000000"/>
          <w:sz w:val="22"/>
          <w:szCs w:val="22"/>
          <w:lang w:eastAsia="en-GB"/>
        </w:rPr>
      </w:pPr>
      <w:r w:rsidRPr="00714965">
        <w:rPr>
          <w:b/>
          <w:bCs/>
          <w:color w:val="000000"/>
          <w:sz w:val="22"/>
          <w:szCs w:val="22"/>
          <w:lang w:eastAsia="en-GB"/>
        </w:rPr>
        <w:t xml:space="preserve">ITT/ITN Notes To Tenderers For Contract Re-Lets   </w:t>
      </w:r>
      <w:r w:rsidRPr="00714965">
        <w:rPr>
          <w:b/>
          <w:bCs/>
          <w:color w:val="000000"/>
          <w:sz w:val="28"/>
          <w:szCs w:val="28"/>
          <w:lang w:eastAsia="en-GB"/>
        </w:rPr>
        <w:t>no</w:t>
      </w:r>
      <w:r w:rsidRPr="00714965">
        <w:rPr>
          <w:b/>
          <w:bCs/>
          <w:color w:val="000000"/>
          <w:sz w:val="22"/>
          <w:szCs w:val="22"/>
          <w:lang w:eastAsia="en-GB"/>
        </w:rPr>
        <w:t xml:space="preserve"> Former Authority staff</w:t>
      </w:r>
    </w:p>
    <w:p w14:paraId="23C2B261" w14:textId="77777777" w:rsidR="003A1218" w:rsidRPr="00714965" w:rsidRDefault="003A1218" w:rsidP="003A1218">
      <w:pPr>
        <w:spacing w:before="100" w:beforeAutospacing="1" w:after="100" w:afterAutospacing="1"/>
        <w:outlineLvl w:val="3"/>
        <w:rPr>
          <w:b/>
          <w:bCs/>
          <w:color w:val="000000"/>
          <w:sz w:val="22"/>
          <w:szCs w:val="22"/>
          <w:lang w:eastAsia="en-GB"/>
        </w:rPr>
      </w:pPr>
      <w:r w:rsidRPr="00714965">
        <w:rPr>
          <w:b/>
          <w:bCs/>
          <w:color w:val="000000"/>
          <w:sz w:val="22"/>
          <w:szCs w:val="22"/>
          <w:lang w:eastAsia="en-GB"/>
        </w:rPr>
        <w:t xml:space="preserve">Applicability Of TUPE </w:t>
      </w:r>
    </w:p>
    <w:p w14:paraId="7F41EDE7" w14:textId="77777777" w:rsidR="003A1218" w:rsidRPr="00714965" w:rsidRDefault="003A1218" w:rsidP="003A1218">
      <w:pPr>
        <w:spacing w:before="100" w:beforeAutospacing="1" w:after="100" w:afterAutospacing="1"/>
        <w:rPr>
          <w:color w:val="000000"/>
          <w:sz w:val="22"/>
          <w:szCs w:val="22"/>
          <w:lang w:eastAsia="en-GB"/>
        </w:rPr>
      </w:pPr>
      <w:r w:rsidRPr="00714965">
        <w:rPr>
          <w:color w:val="000000"/>
          <w:sz w:val="22"/>
          <w:szCs w:val="22"/>
          <w:lang w:eastAsia="en-GB"/>
        </w:rPr>
        <w:t xml:space="preserve">1.   Your attention is drawn to the Transfer of Undertakings (Protection of Employment) Regulations 2006 (TUPE), as amended and /or the Service Provision Change (Protection of Employment) Regulations (Northern Ireland) 2006, as amended from time to time. The Authority would be neither transferor nor transferee of the employees in the circumstances of any contract awarded as a result of this invitation and it is your responsibility to consider whether or not TUPE applies to this re-let and to tender accordingly. Notwithstanding this, you will wish to note that it is the Authority's view that TUPE is likely to be applicable if this Invitation to Tender results in a Contract being placed, although the Authority shall not be liable for the opinion expressed above. In these circumstances the Authority will wish to satisfy itself that your proposals are responsibly based and take full account of your likely TUPE obligations. </w:t>
      </w:r>
    </w:p>
    <w:p w14:paraId="1F50BFBD" w14:textId="77777777" w:rsidR="003A1218" w:rsidRPr="00714965" w:rsidRDefault="003A1218" w:rsidP="003A1218">
      <w:pPr>
        <w:spacing w:before="100" w:beforeAutospacing="1" w:after="100" w:afterAutospacing="1"/>
        <w:rPr>
          <w:color w:val="000000"/>
          <w:sz w:val="22"/>
          <w:szCs w:val="22"/>
          <w:lang w:eastAsia="en-GB"/>
        </w:rPr>
      </w:pPr>
      <w:r w:rsidRPr="00714965">
        <w:rPr>
          <w:color w:val="000000"/>
          <w:sz w:val="22"/>
          <w:szCs w:val="22"/>
          <w:lang w:eastAsia="en-GB"/>
        </w:rPr>
        <w:t xml:space="preserve">2.    If you have a contrary view to that of the Authority on the applicability of TUPE you are strongly encouraged to submit both a TUPE and non-TUPE tender, providing a full explanation to support your view. If the Authority is satisfied by your explanation, the non-TUPE tender will be considered, otherwise the tender conforming to the Authority's view will be considered. </w:t>
      </w:r>
    </w:p>
    <w:p w14:paraId="77D88335" w14:textId="77777777" w:rsidR="003A1218" w:rsidRPr="00714965" w:rsidRDefault="003A1218" w:rsidP="003A1218">
      <w:pPr>
        <w:spacing w:before="100" w:beforeAutospacing="1" w:after="100" w:afterAutospacing="1"/>
        <w:outlineLvl w:val="3"/>
        <w:rPr>
          <w:b/>
          <w:bCs/>
          <w:color w:val="000000"/>
          <w:sz w:val="22"/>
          <w:szCs w:val="22"/>
          <w:lang w:eastAsia="en-GB"/>
        </w:rPr>
      </w:pPr>
      <w:r w:rsidRPr="00714965">
        <w:rPr>
          <w:b/>
          <w:bCs/>
          <w:color w:val="000000"/>
          <w:sz w:val="22"/>
          <w:szCs w:val="22"/>
          <w:lang w:eastAsia="en-GB"/>
        </w:rPr>
        <w:t xml:space="preserve">TUPE Information Provided For Tendering Purposes </w:t>
      </w:r>
    </w:p>
    <w:p w14:paraId="482E8862" w14:textId="77777777" w:rsidR="003A1218" w:rsidRPr="00714965" w:rsidRDefault="003A1218" w:rsidP="003A1218">
      <w:pPr>
        <w:spacing w:before="100" w:beforeAutospacing="1" w:after="100" w:afterAutospacing="1"/>
        <w:rPr>
          <w:color w:val="000000"/>
          <w:sz w:val="22"/>
          <w:szCs w:val="22"/>
          <w:lang w:eastAsia="en-GB"/>
        </w:rPr>
      </w:pPr>
      <w:r w:rsidRPr="00714965">
        <w:rPr>
          <w:color w:val="000000"/>
          <w:sz w:val="22"/>
          <w:szCs w:val="22"/>
          <w:lang w:eastAsia="en-GB"/>
        </w:rPr>
        <w:t xml:space="preserve">3.    TUPE information in respect of the current employees is provided at Appendix 1. This information may be updated prior to contract award in which event the short-listed tenderers will be given an opportunity to revise or confirm tendered prices </w:t>
      </w:r>
    </w:p>
    <w:p w14:paraId="3C32E275" w14:textId="77777777" w:rsidR="003A1218" w:rsidRPr="00714965" w:rsidRDefault="003A1218" w:rsidP="003A1218">
      <w:pPr>
        <w:spacing w:before="100" w:beforeAutospacing="1" w:after="100" w:afterAutospacing="1"/>
        <w:rPr>
          <w:color w:val="000000"/>
          <w:sz w:val="22"/>
          <w:szCs w:val="22"/>
          <w:lang w:eastAsia="en-GB"/>
        </w:rPr>
      </w:pPr>
      <w:r w:rsidRPr="00714965">
        <w:rPr>
          <w:color w:val="000000"/>
          <w:sz w:val="22"/>
          <w:szCs w:val="22"/>
          <w:lang w:eastAsia="en-GB"/>
        </w:rPr>
        <w:t xml:space="preserve">4.    The information detailed at Appendix 1 has been obtained from the contractor currently undertaking this task. The accuracy and completeness of this information cannot be warranted by the Authority. It remains your responsibility to ensure that your tender takes full account of all the relevant circumstances of this contract re-let and tender accordingly. You </w:t>
      </w:r>
      <w:r w:rsidRPr="00714965">
        <w:rPr>
          <w:color w:val="000000"/>
          <w:sz w:val="22"/>
          <w:szCs w:val="22"/>
          <w:lang w:eastAsia="en-GB"/>
        </w:rPr>
        <w:lastRenderedPageBreak/>
        <w:t xml:space="preserve">are required to confirm when responding that you will not make any claim or demand or take any actions or proceedings against the Authority (nor seek to avoid any contract or seek any amendment to a contract placed with the contractor by the Authority) arising from or relating to the provision of the information, whether or not you are awarded a contract as a result of this Invitation to Tender. Failure to provide clear and unequivocal confirmation may result in your tender being deemed non-compliant. </w:t>
      </w:r>
    </w:p>
    <w:p w14:paraId="07266797" w14:textId="77777777" w:rsidR="003A1218" w:rsidRPr="003C74F4" w:rsidRDefault="003A1218" w:rsidP="003A1218">
      <w:pPr>
        <w:rPr>
          <w:rFonts w:eastAsia="Cambria" w:cs="Times New Roman"/>
          <w:sz w:val="22"/>
          <w:szCs w:val="24"/>
        </w:rPr>
      </w:pPr>
    </w:p>
    <w:p w14:paraId="6760D176" w14:textId="77777777" w:rsidR="003A1218" w:rsidRPr="003C74F4" w:rsidRDefault="003A1218" w:rsidP="003A1218">
      <w:pPr>
        <w:rPr>
          <w:rFonts w:eastAsia="Cambria" w:cs="Times New Roman"/>
          <w:sz w:val="22"/>
          <w:szCs w:val="24"/>
        </w:rPr>
      </w:pPr>
      <w:r w:rsidRPr="003C74F4">
        <w:rPr>
          <w:rFonts w:eastAsia="Cambria" w:cs="Times New Roman"/>
          <w:sz w:val="22"/>
          <w:szCs w:val="24"/>
        </w:rPr>
        <w:t>Yours sincerely,</w:t>
      </w:r>
    </w:p>
    <w:p w14:paraId="08509242" w14:textId="77777777" w:rsidR="003A1218" w:rsidRDefault="003A1218" w:rsidP="003A1218"/>
    <w:p w14:paraId="1607A128" w14:textId="0F80AA27" w:rsidR="003A1218" w:rsidRDefault="003A1218" w:rsidP="003A1218">
      <w:pPr>
        <w:rPr>
          <w:rFonts w:eastAsia="Cambria" w:cs="Times New Roman"/>
          <w:sz w:val="22"/>
          <w:szCs w:val="24"/>
        </w:rPr>
      </w:pPr>
      <w:r w:rsidRPr="00A218E3">
        <w:rPr>
          <w:rFonts w:eastAsia="Cambria" w:cs="Times New Roman"/>
          <w:sz w:val="22"/>
          <w:szCs w:val="24"/>
        </w:rPr>
        <w:t>N</w:t>
      </w:r>
      <w:r>
        <w:rPr>
          <w:rFonts w:eastAsia="Cambria" w:cs="Times New Roman"/>
          <w:sz w:val="22"/>
          <w:szCs w:val="24"/>
        </w:rPr>
        <w:t>.</w:t>
      </w:r>
      <w:r w:rsidRPr="00A218E3">
        <w:rPr>
          <w:rFonts w:eastAsia="Cambria" w:cs="Times New Roman"/>
          <w:sz w:val="22"/>
          <w:szCs w:val="24"/>
        </w:rPr>
        <w:t xml:space="preserve"> Reader</w:t>
      </w:r>
    </w:p>
    <w:p w14:paraId="560C48A9" w14:textId="1358D705" w:rsidR="006D0DE2" w:rsidRDefault="006D0DE2" w:rsidP="003A1218">
      <w:pPr>
        <w:rPr>
          <w:rFonts w:eastAsia="Cambria" w:cs="Times New Roman"/>
          <w:sz w:val="22"/>
          <w:szCs w:val="24"/>
        </w:rPr>
      </w:pPr>
      <w:r>
        <w:rPr>
          <w:rFonts w:eastAsia="Cambria" w:cs="Times New Roman"/>
          <w:sz w:val="22"/>
          <w:szCs w:val="24"/>
        </w:rPr>
        <w:t>For UK StratCom Commercial Head</w:t>
      </w:r>
      <w:bookmarkStart w:id="1" w:name="_GoBack"/>
      <w:bookmarkEnd w:id="1"/>
    </w:p>
    <w:p w14:paraId="321C33E4" w14:textId="3A62866B" w:rsidR="006E1B9E" w:rsidRDefault="00461ECE" w:rsidP="005D7237"/>
    <w:p w14:paraId="70CB786E" w14:textId="48D811B1" w:rsidR="002871A9" w:rsidRDefault="002871A9" w:rsidP="005D7237"/>
    <w:bookmarkStart w:id="2" w:name="_MON_1672740620"/>
    <w:bookmarkEnd w:id="2"/>
    <w:p w14:paraId="242B8559" w14:textId="43CB110A" w:rsidR="002871A9" w:rsidRPr="005D7237" w:rsidRDefault="004900E0" w:rsidP="005D7237">
      <w:r>
        <w:object w:dxaOrig="1513" w:dyaOrig="984" w14:anchorId="7FB6F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8" o:title=""/>
          </v:shape>
          <o:OLEObject Type="Embed" ProgID="Excel.Sheet.12" ShapeID="_x0000_i1025" DrawAspect="Icon" ObjectID="_1672745606" r:id="rId9"/>
        </w:object>
      </w:r>
    </w:p>
    <w:sectPr w:rsidR="002871A9" w:rsidRPr="005D7237" w:rsidSect="00830D0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ECCB9" w14:textId="77777777" w:rsidR="00461ECE" w:rsidRDefault="00461ECE" w:rsidP="005E3E71">
      <w:r>
        <w:separator/>
      </w:r>
    </w:p>
  </w:endnote>
  <w:endnote w:type="continuationSeparator" w:id="0">
    <w:p w14:paraId="17752BCE" w14:textId="77777777" w:rsidR="00461ECE" w:rsidRDefault="00461ECE" w:rsidP="005E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8E0AA" w14:textId="77777777" w:rsidR="00461ECE" w:rsidRDefault="00461ECE" w:rsidP="005E3E71">
      <w:bookmarkStart w:id="0" w:name="_Hlk27490360"/>
      <w:bookmarkEnd w:id="0"/>
      <w:r>
        <w:separator/>
      </w:r>
    </w:p>
  </w:footnote>
  <w:footnote w:type="continuationSeparator" w:id="0">
    <w:p w14:paraId="0B257D8D" w14:textId="77777777" w:rsidR="00461ECE" w:rsidRDefault="00461ECE" w:rsidP="005E3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49" w:type="pct"/>
      <w:tblLayout w:type="fixed"/>
      <w:tblCellMar>
        <w:left w:w="0" w:type="dxa"/>
        <w:right w:w="0" w:type="dxa"/>
      </w:tblCellMar>
      <w:tblLook w:val="01E0" w:firstRow="1" w:lastRow="1" w:firstColumn="1" w:lastColumn="1" w:noHBand="0" w:noVBand="0"/>
    </w:tblPr>
    <w:tblGrid>
      <w:gridCol w:w="5225"/>
      <w:gridCol w:w="3709"/>
    </w:tblGrid>
    <w:tr w:rsidR="005E3E71" w:rsidRPr="005E3E71" w14:paraId="2959766E" w14:textId="77777777" w:rsidTr="00F55F38">
      <w:trPr>
        <w:gridAfter w:val="1"/>
        <w:wAfter w:w="3961" w:type="dxa"/>
        <w:trHeight w:val="230"/>
      </w:trPr>
      <w:tc>
        <w:tcPr>
          <w:tcW w:w="5580" w:type="dxa"/>
          <w:vMerge w:val="restart"/>
        </w:tcPr>
        <w:p w14:paraId="7EFF75DC" w14:textId="69694249" w:rsidR="005E3E71" w:rsidRPr="005E3E71" w:rsidRDefault="003A1218" w:rsidP="005E3E71">
          <w:pPr>
            <w:widowControl w:val="0"/>
            <w:autoSpaceDN w:val="0"/>
            <w:rPr>
              <w:rFonts w:cs="Times New Roman"/>
              <w:szCs w:val="24"/>
              <w:lang w:eastAsia="en-GB"/>
            </w:rPr>
          </w:pPr>
          <w:r>
            <w:rPr>
              <w:noProof/>
              <w:sz w:val="24"/>
              <w:szCs w:val="24"/>
            </w:rPr>
            <w:drawing>
              <wp:inline distT="0" distB="0" distL="0" distR="0" wp14:anchorId="0620DC57" wp14:editId="35B1A5B6">
                <wp:extent cx="1653540" cy="15316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1531620"/>
                        </a:xfrm>
                        <a:prstGeom prst="rect">
                          <a:avLst/>
                        </a:prstGeom>
                        <a:noFill/>
                        <a:ln>
                          <a:noFill/>
                        </a:ln>
                      </pic:spPr>
                    </pic:pic>
                  </a:graphicData>
                </a:graphic>
              </wp:inline>
            </w:drawing>
          </w:r>
        </w:p>
      </w:tc>
    </w:tr>
    <w:tr w:rsidR="005E3E71" w:rsidRPr="005E3E71" w14:paraId="5878BBD1" w14:textId="77777777" w:rsidTr="00F55F38">
      <w:tc>
        <w:tcPr>
          <w:tcW w:w="5580" w:type="dxa"/>
          <w:vMerge/>
        </w:tcPr>
        <w:p w14:paraId="68211706" w14:textId="77777777" w:rsidR="005E3E71" w:rsidRPr="005E3E71" w:rsidRDefault="005E3E71" w:rsidP="005E3E71">
          <w:pPr>
            <w:widowControl w:val="0"/>
            <w:autoSpaceDN w:val="0"/>
            <w:rPr>
              <w:rFonts w:cs="Times New Roman"/>
              <w:szCs w:val="24"/>
              <w:lang w:eastAsia="en-GB"/>
            </w:rPr>
          </w:pPr>
        </w:p>
      </w:tc>
      <w:tc>
        <w:tcPr>
          <w:tcW w:w="3961" w:type="dxa"/>
        </w:tcPr>
        <w:p w14:paraId="587D42CE" w14:textId="30248FEF" w:rsidR="005E3E71" w:rsidRPr="005E3E71" w:rsidRDefault="003A1218" w:rsidP="005E3E71">
          <w:pPr>
            <w:widowControl w:val="0"/>
            <w:autoSpaceDN w:val="0"/>
            <w:rPr>
              <w:b/>
              <w:noProof/>
              <w:lang w:eastAsia="en-GB"/>
            </w:rPr>
          </w:pPr>
          <w:r>
            <w:rPr>
              <w:b/>
              <w:noProof/>
              <w:lang w:eastAsia="en-GB"/>
            </w:rPr>
            <w:t>Nicky Reader</w:t>
          </w:r>
        </w:p>
      </w:tc>
    </w:tr>
    <w:tr w:rsidR="005E3E71" w:rsidRPr="005E3E71" w14:paraId="4F1519B7" w14:textId="77777777" w:rsidTr="00F55F38">
      <w:tc>
        <w:tcPr>
          <w:tcW w:w="5580" w:type="dxa"/>
          <w:vMerge/>
        </w:tcPr>
        <w:p w14:paraId="2ACA18BE" w14:textId="77777777" w:rsidR="005E3E71" w:rsidRPr="005E3E71" w:rsidRDefault="005E3E71" w:rsidP="005E3E71">
          <w:pPr>
            <w:widowControl w:val="0"/>
            <w:autoSpaceDN w:val="0"/>
            <w:rPr>
              <w:rFonts w:cs="Times New Roman"/>
              <w:szCs w:val="24"/>
              <w:lang w:eastAsia="en-GB"/>
            </w:rPr>
          </w:pPr>
        </w:p>
      </w:tc>
      <w:tc>
        <w:tcPr>
          <w:tcW w:w="3961" w:type="dxa"/>
        </w:tcPr>
        <w:p w14:paraId="2624065E" w14:textId="3275511B" w:rsidR="005E3E71" w:rsidRPr="005E3E71" w:rsidRDefault="005E3E71" w:rsidP="005E3E71">
          <w:pPr>
            <w:widowControl w:val="0"/>
            <w:autoSpaceDN w:val="0"/>
            <w:rPr>
              <w:noProof/>
              <w:lang w:eastAsia="en-GB"/>
            </w:rPr>
          </w:pPr>
          <w:r w:rsidRPr="005E3E71">
            <w:rPr>
              <w:noProof/>
              <w:lang w:eastAsia="en-GB"/>
            </w:rPr>
            <w:t xml:space="preserve">Commercial </w:t>
          </w:r>
          <w:r w:rsidR="003A1218">
            <w:rPr>
              <w:noProof/>
              <w:lang w:eastAsia="en-GB"/>
            </w:rPr>
            <w:t>Officer</w:t>
          </w:r>
        </w:p>
      </w:tc>
    </w:tr>
    <w:tr w:rsidR="005E3E71" w:rsidRPr="005E3E71" w14:paraId="388D9DFC" w14:textId="77777777" w:rsidTr="00F55F38">
      <w:tc>
        <w:tcPr>
          <w:tcW w:w="5580" w:type="dxa"/>
          <w:vMerge/>
        </w:tcPr>
        <w:p w14:paraId="77886BF3" w14:textId="77777777" w:rsidR="005E3E71" w:rsidRPr="005E3E71" w:rsidRDefault="005E3E71" w:rsidP="005E3E71">
          <w:pPr>
            <w:widowControl w:val="0"/>
            <w:autoSpaceDN w:val="0"/>
            <w:rPr>
              <w:rFonts w:cs="Times New Roman"/>
              <w:szCs w:val="24"/>
              <w:lang w:eastAsia="en-GB"/>
            </w:rPr>
          </w:pPr>
        </w:p>
      </w:tc>
      <w:tc>
        <w:tcPr>
          <w:tcW w:w="3961" w:type="dxa"/>
        </w:tcPr>
        <w:p w14:paraId="47A24DC0" w14:textId="7B0915C4" w:rsidR="005E3E71" w:rsidRPr="005E3E71" w:rsidRDefault="003A1218" w:rsidP="005E3E71">
          <w:pPr>
            <w:widowControl w:val="0"/>
            <w:autoSpaceDN w:val="0"/>
            <w:rPr>
              <w:rFonts w:cs="Times New Roman"/>
              <w:lang w:eastAsia="en-GB"/>
            </w:rPr>
          </w:pPr>
          <w:r>
            <w:rPr>
              <w:noProof/>
              <w:lang w:eastAsia="en-GB"/>
            </w:rPr>
            <w:t>Defence Intelligence</w:t>
          </w:r>
        </w:p>
      </w:tc>
    </w:tr>
    <w:tr w:rsidR="005E3E71" w:rsidRPr="005E3E71" w14:paraId="07A73E37" w14:textId="77777777" w:rsidTr="00F55F38">
      <w:trPr>
        <w:trHeight w:val="974"/>
      </w:trPr>
      <w:tc>
        <w:tcPr>
          <w:tcW w:w="5580" w:type="dxa"/>
          <w:vMerge/>
        </w:tcPr>
        <w:p w14:paraId="2BF2A138" w14:textId="77777777" w:rsidR="005E3E71" w:rsidRPr="005E3E71" w:rsidRDefault="005E3E71" w:rsidP="005E3E71">
          <w:pPr>
            <w:widowControl w:val="0"/>
            <w:autoSpaceDN w:val="0"/>
            <w:rPr>
              <w:rFonts w:cs="Times New Roman"/>
              <w:sz w:val="16"/>
              <w:szCs w:val="16"/>
              <w:lang w:eastAsia="en-GB"/>
            </w:rPr>
          </w:pPr>
        </w:p>
      </w:tc>
      <w:tc>
        <w:tcPr>
          <w:tcW w:w="3961" w:type="dxa"/>
        </w:tcPr>
        <w:p w14:paraId="161F9E90" w14:textId="7A8045C6" w:rsidR="005E3E71" w:rsidRPr="005E3E71" w:rsidRDefault="003A1218" w:rsidP="005E3E71">
          <w:pPr>
            <w:widowControl w:val="0"/>
            <w:autoSpaceDN w:val="0"/>
            <w:rPr>
              <w:noProof/>
              <w:lang w:eastAsia="en-GB"/>
            </w:rPr>
          </w:pPr>
          <w:r>
            <w:rPr>
              <w:noProof/>
              <w:lang w:eastAsia="en-GB"/>
            </w:rPr>
            <w:t>UK StratCom</w:t>
          </w:r>
        </w:p>
        <w:p w14:paraId="5612BD26" w14:textId="5FCC8E2E" w:rsidR="00004727" w:rsidRDefault="003A1218" w:rsidP="005E3E71">
          <w:pPr>
            <w:widowControl w:val="0"/>
            <w:autoSpaceDN w:val="0"/>
            <w:rPr>
              <w:noProof/>
              <w:lang w:eastAsia="en-GB"/>
            </w:rPr>
          </w:pPr>
          <w:r>
            <w:rPr>
              <w:noProof/>
              <w:lang w:eastAsia="en-GB"/>
            </w:rPr>
            <w:t>Spur B2, Building 405</w:t>
          </w:r>
        </w:p>
        <w:p w14:paraId="27EF358B" w14:textId="3FACA2D6" w:rsidR="00004727" w:rsidRDefault="003A1218" w:rsidP="005E3E71">
          <w:pPr>
            <w:widowControl w:val="0"/>
            <w:autoSpaceDN w:val="0"/>
            <w:rPr>
              <w:noProof/>
              <w:lang w:eastAsia="en-GB"/>
            </w:rPr>
          </w:pPr>
          <w:r>
            <w:rPr>
              <w:noProof/>
              <w:lang w:eastAsia="en-GB"/>
            </w:rPr>
            <w:t>MOD Corsham</w:t>
          </w:r>
        </w:p>
        <w:p w14:paraId="1EE5EE10" w14:textId="77232D3C" w:rsidR="00004727" w:rsidRDefault="003A1218" w:rsidP="005E3E71">
          <w:pPr>
            <w:widowControl w:val="0"/>
            <w:autoSpaceDN w:val="0"/>
            <w:rPr>
              <w:noProof/>
              <w:lang w:eastAsia="en-GB"/>
            </w:rPr>
          </w:pPr>
          <w:r>
            <w:rPr>
              <w:noProof/>
              <w:lang w:eastAsia="en-GB"/>
            </w:rPr>
            <w:t>Westwells Road</w:t>
          </w:r>
        </w:p>
        <w:p w14:paraId="75EAAA1C" w14:textId="1F4E8B94" w:rsidR="00004727" w:rsidRDefault="003A1218" w:rsidP="005E3E71">
          <w:pPr>
            <w:widowControl w:val="0"/>
            <w:autoSpaceDN w:val="0"/>
            <w:rPr>
              <w:noProof/>
              <w:lang w:eastAsia="en-GB"/>
            </w:rPr>
          </w:pPr>
          <w:r>
            <w:rPr>
              <w:noProof/>
              <w:lang w:eastAsia="en-GB"/>
            </w:rPr>
            <w:t>Corsham</w:t>
          </w:r>
        </w:p>
        <w:p w14:paraId="468CED42" w14:textId="61F904E9" w:rsidR="005E3E71" w:rsidRPr="005E3E71" w:rsidRDefault="003A1218" w:rsidP="00004727">
          <w:pPr>
            <w:widowControl w:val="0"/>
            <w:autoSpaceDN w:val="0"/>
            <w:rPr>
              <w:noProof/>
              <w:lang w:eastAsia="en-GB"/>
            </w:rPr>
          </w:pPr>
          <w:r>
            <w:rPr>
              <w:noProof/>
              <w:lang w:eastAsia="en-GB"/>
            </w:rPr>
            <w:t>SN13 9NR</w:t>
          </w:r>
        </w:p>
        <w:p w14:paraId="2776C4D6" w14:textId="77777777" w:rsidR="005E3E71" w:rsidRPr="005E3E71" w:rsidRDefault="005E3E71" w:rsidP="005E3E71">
          <w:pPr>
            <w:widowControl w:val="0"/>
            <w:tabs>
              <w:tab w:val="left" w:pos="1985"/>
              <w:tab w:val="right" w:pos="6804"/>
            </w:tabs>
            <w:autoSpaceDN w:val="0"/>
            <w:spacing w:line="146" w:lineRule="atLeast"/>
            <w:rPr>
              <w:noProof/>
              <w:lang w:eastAsia="en-GB"/>
            </w:rPr>
          </w:pPr>
        </w:p>
        <w:p w14:paraId="126A00A4" w14:textId="566EA39B" w:rsidR="005E3E71" w:rsidRPr="005E3E71" w:rsidRDefault="005E3E71" w:rsidP="005E3E71">
          <w:pPr>
            <w:widowControl w:val="0"/>
            <w:tabs>
              <w:tab w:val="left" w:pos="1985"/>
              <w:tab w:val="right" w:pos="6804"/>
            </w:tabs>
            <w:autoSpaceDN w:val="0"/>
            <w:spacing w:line="146" w:lineRule="atLeast"/>
            <w:rPr>
              <w:noProof/>
              <w:lang w:eastAsia="en-GB"/>
            </w:rPr>
          </w:pPr>
          <w:r w:rsidRPr="005E3E71">
            <w:rPr>
              <w:noProof/>
              <w:lang w:eastAsia="en-GB"/>
            </w:rPr>
            <w:t xml:space="preserve">Tel:  </w:t>
          </w:r>
          <w:r w:rsidR="00004727">
            <w:rPr>
              <w:noProof/>
              <w:lang w:eastAsia="en-GB"/>
            </w:rPr>
            <w:t>0</w:t>
          </w:r>
          <w:r w:rsidR="003A1218">
            <w:rPr>
              <w:noProof/>
              <w:lang w:eastAsia="en-GB"/>
            </w:rPr>
            <w:t>300 151 2679</w:t>
          </w:r>
        </w:p>
      </w:tc>
    </w:tr>
    <w:tr w:rsidR="005E3E71" w:rsidRPr="005E3E71" w14:paraId="5818AD96" w14:textId="77777777" w:rsidTr="00F55F38">
      <w:trPr>
        <w:trHeight w:val="141"/>
      </w:trPr>
      <w:tc>
        <w:tcPr>
          <w:tcW w:w="5580" w:type="dxa"/>
          <w:vMerge/>
        </w:tcPr>
        <w:p w14:paraId="360A8505" w14:textId="77777777" w:rsidR="005E3E71" w:rsidRPr="005E3E71" w:rsidRDefault="005E3E71" w:rsidP="005E3E71">
          <w:pPr>
            <w:widowControl w:val="0"/>
            <w:autoSpaceDN w:val="0"/>
            <w:rPr>
              <w:rFonts w:cs="Times New Roman"/>
              <w:sz w:val="16"/>
              <w:szCs w:val="16"/>
              <w:lang w:eastAsia="en-GB"/>
            </w:rPr>
          </w:pPr>
        </w:p>
      </w:tc>
      <w:tc>
        <w:tcPr>
          <w:tcW w:w="3961" w:type="dxa"/>
        </w:tcPr>
        <w:p w14:paraId="4C9DDDC4" w14:textId="4F9CD970" w:rsidR="005E3E71" w:rsidRDefault="005E3E71" w:rsidP="005E3E71">
          <w:pPr>
            <w:widowControl w:val="0"/>
            <w:tabs>
              <w:tab w:val="left" w:pos="1985"/>
              <w:tab w:val="right" w:pos="6804"/>
            </w:tabs>
            <w:autoSpaceDN w:val="0"/>
            <w:spacing w:line="146" w:lineRule="atLeast"/>
            <w:rPr>
              <w:lang w:eastAsia="en-GB"/>
            </w:rPr>
          </w:pPr>
          <w:r w:rsidRPr="005E3E71">
            <w:rPr>
              <w:lang w:eastAsia="en-GB"/>
            </w:rPr>
            <w:t xml:space="preserve">Email: </w:t>
          </w:r>
          <w:hyperlink r:id="rId2" w:history="1">
            <w:r w:rsidR="003A1218" w:rsidRPr="00CD7268">
              <w:rPr>
                <w:rStyle w:val="Hyperlink"/>
                <w:lang w:eastAsia="en-GB"/>
              </w:rPr>
              <w:t>nicola.reader165@mod.gov.uk</w:t>
            </w:r>
          </w:hyperlink>
        </w:p>
        <w:p w14:paraId="5F5196F2" w14:textId="77777777" w:rsidR="00004727" w:rsidRPr="005E3E71" w:rsidRDefault="00004727" w:rsidP="005E3E71">
          <w:pPr>
            <w:widowControl w:val="0"/>
            <w:tabs>
              <w:tab w:val="left" w:pos="1985"/>
              <w:tab w:val="right" w:pos="6804"/>
            </w:tabs>
            <w:autoSpaceDN w:val="0"/>
            <w:spacing w:line="146" w:lineRule="atLeast"/>
            <w:rPr>
              <w:lang w:eastAsia="en-GB"/>
            </w:rPr>
          </w:pPr>
        </w:p>
      </w:tc>
    </w:tr>
    <w:tr w:rsidR="005E3E71" w:rsidRPr="005E3E71" w14:paraId="455C9EA1" w14:textId="77777777" w:rsidTr="00F55F38">
      <w:trPr>
        <w:cantSplit/>
        <w:trHeight w:hRule="exact" w:val="80"/>
      </w:trPr>
      <w:tc>
        <w:tcPr>
          <w:tcW w:w="5580" w:type="dxa"/>
          <w:tcBorders>
            <w:bottom w:val="single" w:sz="4" w:space="0" w:color="auto"/>
          </w:tcBorders>
        </w:tcPr>
        <w:p w14:paraId="45C82E01" w14:textId="77777777" w:rsidR="005E3E71" w:rsidRPr="005E3E71" w:rsidRDefault="005E3E71" w:rsidP="005E3E71">
          <w:pPr>
            <w:widowControl w:val="0"/>
            <w:autoSpaceDN w:val="0"/>
            <w:rPr>
              <w:rFonts w:cs="Times New Roman"/>
              <w:sz w:val="16"/>
              <w:szCs w:val="16"/>
              <w:lang w:eastAsia="en-GB"/>
            </w:rPr>
          </w:pPr>
        </w:p>
      </w:tc>
      <w:tc>
        <w:tcPr>
          <w:tcW w:w="3961" w:type="dxa"/>
          <w:tcBorders>
            <w:bottom w:val="single" w:sz="4" w:space="0" w:color="auto"/>
          </w:tcBorders>
        </w:tcPr>
        <w:p w14:paraId="2B99C663" w14:textId="77777777" w:rsidR="005E3E71" w:rsidRPr="005E3E71" w:rsidRDefault="005E3E71" w:rsidP="005E3E71">
          <w:pPr>
            <w:widowControl w:val="0"/>
            <w:autoSpaceDN w:val="0"/>
            <w:jc w:val="right"/>
            <w:rPr>
              <w:rFonts w:cs="Times New Roman"/>
              <w:sz w:val="16"/>
              <w:szCs w:val="16"/>
              <w:lang w:eastAsia="en-GB"/>
            </w:rPr>
          </w:pPr>
        </w:p>
      </w:tc>
    </w:tr>
    <w:tr w:rsidR="005E3E71" w:rsidRPr="005E3E71" w14:paraId="6956B2DA" w14:textId="77777777" w:rsidTr="00F55F38">
      <w:tc>
        <w:tcPr>
          <w:tcW w:w="5580" w:type="dxa"/>
          <w:tcBorders>
            <w:top w:val="single" w:sz="4" w:space="0" w:color="auto"/>
          </w:tcBorders>
        </w:tcPr>
        <w:p w14:paraId="0D3E5817" w14:textId="77777777" w:rsidR="005E3E71" w:rsidRPr="005E3E71" w:rsidRDefault="005E3E71" w:rsidP="005E3E71">
          <w:pPr>
            <w:widowControl w:val="0"/>
            <w:autoSpaceDN w:val="0"/>
            <w:rPr>
              <w:rFonts w:cs="Times New Roman"/>
              <w:sz w:val="16"/>
              <w:szCs w:val="16"/>
              <w:lang w:eastAsia="en-GB"/>
            </w:rPr>
          </w:pPr>
        </w:p>
      </w:tc>
      <w:tc>
        <w:tcPr>
          <w:tcW w:w="3961" w:type="dxa"/>
          <w:tcBorders>
            <w:top w:val="single" w:sz="4" w:space="0" w:color="auto"/>
          </w:tcBorders>
        </w:tcPr>
        <w:p w14:paraId="2BC6166A" w14:textId="77777777" w:rsidR="005E3E71" w:rsidRPr="005E3E71" w:rsidRDefault="005E3E71" w:rsidP="005E3E71">
          <w:pPr>
            <w:widowControl w:val="0"/>
            <w:autoSpaceDN w:val="0"/>
            <w:jc w:val="right"/>
            <w:rPr>
              <w:rFonts w:cs="Times New Roman"/>
              <w:sz w:val="16"/>
              <w:szCs w:val="16"/>
              <w:lang w:eastAsia="en-GB"/>
            </w:rPr>
          </w:pPr>
        </w:p>
      </w:tc>
    </w:tr>
    <w:tr w:rsidR="005E3E71" w:rsidRPr="005E3E71" w14:paraId="43E0CEDC" w14:textId="77777777" w:rsidTr="00F55F38">
      <w:trPr>
        <w:trHeight w:val="253"/>
      </w:trPr>
      <w:tc>
        <w:tcPr>
          <w:tcW w:w="5580" w:type="dxa"/>
          <w:vMerge w:val="restart"/>
        </w:tcPr>
        <w:p w14:paraId="14D57B7F" w14:textId="77777777" w:rsidR="005E3E71" w:rsidRPr="005E3E71" w:rsidRDefault="005E3E71" w:rsidP="00227152">
          <w:pPr>
            <w:rPr>
              <w:rFonts w:cs="Times New Roman"/>
              <w:lang w:eastAsia="en-GB"/>
            </w:rPr>
          </w:pPr>
        </w:p>
      </w:tc>
      <w:tc>
        <w:tcPr>
          <w:tcW w:w="3961" w:type="dxa"/>
          <w:vMerge w:val="restart"/>
        </w:tcPr>
        <w:p w14:paraId="5CEF6165" w14:textId="26D64BA3" w:rsidR="005E3E71" w:rsidRPr="005E3E71" w:rsidRDefault="005E3E71" w:rsidP="005E3E71">
          <w:pPr>
            <w:widowControl w:val="0"/>
            <w:tabs>
              <w:tab w:val="left" w:pos="3885"/>
            </w:tabs>
            <w:autoSpaceDN w:val="0"/>
            <w:jc w:val="both"/>
            <w:rPr>
              <w:rFonts w:cs="Times New Roman"/>
              <w:lang w:eastAsia="en-GB"/>
            </w:rPr>
          </w:pPr>
        </w:p>
        <w:p w14:paraId="66784A9D" w14:textId="77777777" w:rsidR="005E3E71" w:rsidRPr="005E3E71" w:rsidRDefault="005E3E71" w:rsidP="005E3E71">
          <w:pPr>
            <w:widowControl w:val="0"/>
            <w:tabs>
              <w:tab w:val="left" w:pos="3885"/>
            </w:tabs>
            <w:autoSpaceDN w:val="0"/>
            <w:rPr>
              <w:rFonts w:cs="Times New Roman"/>
              <w:lang w:eastAsia="en-GB"/>
            </w:rPr>
          </w:pPr>
          <w:r w:rsidRPr="005E3E71">
            <w:rPr>
              <w:rFonts w:cs="Times New Roman"/>
              <w:lang w:eastAsia="en-GB"/>
            </w:rPr>
            <w:t xml:space="preserve">                                                                              </w:t>
          </w:r>
        </w:p>
        <w:p w14:paraId="2FD34A98" w14:textId="33F21EA5" w:rsidR="005E3E71" w:rsidRPr="005E3E71" w:rsidRDefault="005E3E71" w:rsidP="005E3E71">
          <w:pPr>
            <w:widowControl w:val="0"/>
            <w:tabs>
              <w:tab w:val="left" w:pos="3885"/>
            </w:tabs>
            <w:autoSpaceDN w:val="0"/>
            <w:rPr>
              <w:rFonts w:cs="Times New Roman"/>
              <w:lang w:eastAsia="en-GB"/>
            </w:rPr>
          </w:pPr>
          <w:r w:rsidRPr="005E3E71">
            <w:rPr>
              <w:rFonts w:cs="Times New Roman"/>
              <w:lang w:eastAsia="en-GB"/>
            </w:rPr>
            <w:t xml:space="preserve">OUR REF: </w:t>
          </w:r>
          <w:r w:rsidR="003A1218">
            <w:rPr>
              <w:rFonts w:cs="Times New Roman"/>
              <w:lang w:eastAsia="en-GB"/>
            </w:rPr>
            <w:t>701224378</w:t>
          </w:r>
        </w:p>
        <w:p w14:paraId="57E16FBA" w14:textId="4F4E6C96" w:rsidR="00D775F8" w:rsidRPr="00BD43B8" w:rsidRDefault="005E3E71" w:rsidP="00D775F8">
          <w:pPr>
            <w:rPr>
              <w:noProof/>
              <w:sz w:val="24"/>
              <w:szCs w:val="24"/>
            </w:rPr>
          </w:pPr>
          <w:r w:rsidRPr="005E3E71">
            <w:rPr>
              <w:rFonts w:cs="Times New Roman"/>
              <w:lang w:eastAsia="en-GB"/>
            </w:rPr>
            <w:t xml:space="preserve">                  </w:t>
          </w:r>
        </w:p>
        <w:p w14:paraId="7E88097C" w14:textId="52AADE8D" w:rsidR="003A1218" w:rsidRPr="005E3E71" w:rsidRDefault="005E3E71" w:rsidP="005E3E71">
          <w:pPr>
            <w:widowControl w:val="0"/>
            <w:tabs>
              <w:tab w:val="left" w:pos="3885"/>
            </w:tabs>
            <w:autoSpaceDN w:val="0"/>
            <w:rPr>
              <w:rFonts w:cs="Times New Roman"/>
              <w:lang w:eastAsia="en-GB"/>
            </w:rPr>
          </w:pPr>
          <w:r w:rsidRPr="005E3E71">
            <w:rPr>
              <w:rFonts w:cs="Times New Roman"/>
              <w:lang w:eastAsia="en-GB"/>
            </w:rPr>
            <w:t xml:space="preserve">                                                                 </w:t>
          </w:r>
        </w:p>
      </w:tc>
    </w:tr>
    <w:tr w:rsidR="005E3E71" w:rsidRPr="005E3E71" w14:paraId="2FCA49EC" w14:textId="77777777" w:rsidTr="00F55F38">
      <w:trPr>
        <w:trHeight w:val="184"/>
      </w:trPr>
      <w:tc>
        <w:tcPr>
          <w:tcW w:w="5580" w:type="dxa"/>
          <w:vMerge/>
        </w:tcPr>
        <w:p w14:paraId="226CAEA8" w14:textId="77777777" w:rsidR="005E3E71" w:rsidRPr="005E3E71" w:rsidRDefault="005E3E71" w:rsidP="005E3E71">
          <w:pPr>
            <w:widowControl w:val="0"/>
            <w:autoSpaceDN w:val="0"/>
            <w:rPr>
              <w:sz w:val="16"/>
              <w:szCs w:val="16"/>
              <w:lang w:eastAsia="en-GB"/>
            </w:rPr>
          </w:pPr>
        </w:p>
      </w:tc>
      <w:tc>
        <w:tcPr>
          <w:tcW w:w="3961" w:type="dxa"/>
          <w:vMerge/>
        </w:tcPr>
        <w:p w14:paraId="3E75299D" w14:textId="77777777" w:rsidR="005E3E71" w:rsidRPr="005E3E71" w:rsidRDefault="005E3E71" w:rsidP="005E3E71">
          <w:pPr>
            <w:widowControl w:val="0"/>
            <w:autoSpaceDN w:val="0"/>
            <w:jc w:val="right"/>
            <w:rPr>
              <w:rFonts w:cs="Times New Roman"/>
              <w:sz w:val="16"/>
              <w:szCs w:val="16"/>
              <w:lang w:eastAsia="en-GB"/>
            </w:rPr>
          </w:pPr>
        </w:p>
      </w:tc>
    </w:tr>
    <w:tr w:rsidR="005E3E71" w:rsidRPr="005E3E71" w14:paraId="15708401" w14:textId="77777777" w:rsidTr="00F55F38">
      <w:trPr>
        <w:trHeight w:val="184"/>
      </w:trPr>
      <w:tc>
        <w:tcPr>
          <w:tcW w:w="5580" w:type="dxa"/>
          <w:vMerge/>
        </w:tcPr>
        <w:p w14:paraId="7E82AD0F" w14:textId="77777777" w:rsidR="005E3E71" w:rsidRPr="005E3E71" w:rsidRDefault="005E3E71" w:rsidP="005E3E71">
          <w:pPr>
            <w:widowControl w:val="0"/>
            <w:autoSpaceDN w:val="0"/>
            <w:rPr>
              <w:sz w:val="16"/>
              <w:szCs w:val="16"/>
              <w:lang w:eastAsia="en-GB"/>
            </w:rPr>
          </w:pPr>
        </w:p>
      </w:tc>
      <w:tc>
        <w:tcPr>
          <w:tcW w:w="3961" w:type="dxa"/>
          <w:vMerge/>
        </w:tcPr>
        <w:p w14:paraId="76361FD7" w14:textId="77777777" w:rsidR="005E3E71" w:rsidRPr="005E3E71" w:rsidRDefault="005E3E71" w:rsidP="005E3E71">
          <w:pPr>
            <w:widowControl w:val="0"/>
            <w:autoSpaceDN w:val="0"/>
            <w:jc w:val="right"/>
            <w:rPr>
              <w:rFonts w:cs="Times New Roman"/>
              <w:sz w:val="16"/>
              <w:szCs w:val="16"/>
              <w:lang w:eastAsia="en-GB"/>
            </w:rPr>
          </w:pPr>
        </w:p>
      </w:tc>
    </w:tr>
    <w:tr w:rsidR="005E3E71" w:rsidRPr="005E3E71" w14:paraId="64AD1D8E" w14:textId="77777777" w:rsidTr="00F55F38">
      <w:trPr>
        <w:trHeight w:val="184"/>
      </w:trPr>
      <w:tc>
        <w:tcPr>
          <w:tcW w:w="5580" w:type="dxa"/>
          <w:vMerge/>
        </w:tcPr>
        <w:p w14:paraId="1884C872" w14:textId="77777777" w:rsidR="005E3E71" w:rsidRPr="005E3E71" w:rsidRDefault="005E3E71" w:rsidP="005E3E71">
          <w:pPr>
            <w:widowControl w:val="0"/>
            <w:autoSpaceDN w:val="0"/>
            <w:rPr>
              <w:sz w:val="16"/>
              <w:szCs w:val="16"/>
              <w:lang w:eastAsia="en-GB"/>
            </w:rPr>
          </w:pPr>
        </w:p>
      </w:tc>
      <w:tc>
        <w:tcPr>
          <w:tcW w:w="3961" w:type="dxa"/>
          <w:vMerge/>
        </w:tcPr>
        <w:p w14:paraId="390A8C17" w14:textId="77777777" w:rsidR="005E3E71" w:rsidRPr="005E3E71" w:rsidRDefault="005E3E71" w:rsidP="005E3E71">
          <w:pPr>
            <w:widowControl w:val="0"/>
            <w:autoSpaceDN w:val="0"/>
            <w:jc w:val="right"/>
            <w:rPr>
              <w:rFonts w:cs="Times New Roman"/>
              <w:sz w:val="16"/>
              <w:szCs w:val="16"/>
              <w:lang w:eastAsia="en-GB"/>
            </w:rPr>
          </w:pPr>
        </w:p>
      </w:tc>
    </w:tr>
    <w:tr w:rsidR="005E3E71" w:rsidRPr="005E3E71" w14:paraId="39D797C9" w14:textId="77777777" w:rsidTr="00F55F38">
      <w:trPr>
        <w:trHeight w:val="184"/>
      </w:trPr>
      <w:tc>
        <w:tcPr>
          <w:tcW w:w="5580" w:type="dxa"/>
          <w:vMerge/>
        </w:tcPr>
        <w:p w14:paraId="6053AA33" w14:textId="77777777" w:rsidR="005E3E71" w:rsidRPr="005E3E71" w:rsidRDefault="005E3E71" w:rsidP="005E3E71">
          <w:pPr>
            <w:widowControl w:val="0"/>
            <w:autoSpaceDN w:val="0"/>
            <w:rPr>
              <w:sz w:val="16"/>
              <w:szCs w:val="16"/>
              <w:lang w:eastAsia="en-GB"/>
            </w:rPr>
          </w:pPr>
        </w:p>
      </w:tc>
      <w:tc>
        <w:tcPr>
          <w:tcW w:w="3961" w:type="dxa"/>
          <w:vMerge/>
        </w:tcPr>
        <w:p w14:paraId="04B549A9" w14:textId="77777777" w:rsidR="005E3E71" w:rsidRPr="005E3E71" w:rsidRDefault="005E3E71" w:rsidP="005E3E71">
          <w:pPr>
            <w:widowControl w:val="0"/>
            <w:autoSpaceDN w:val="0"/>
            <w:jc w:val="right"/>
            <w:rPr>
              <w:rFonts w:cs="Times New Roman"/>
              <w:sz w:val="16"/>
              <w:szCs w:val="16"/>
              <w:lang w:eastAsia="en-GB"/>
            </w:rPr>
          </w:pPr>
        </w:p>
      </w:tc>
    </w:tr>
    <w:tr w:rsidR="005E3E71" w:rsidRPr="005E3E71" w14:paraId="25DBFF33" w14:textId="77777777" w:rsidTr="00F55F38">
      <w:trPr>
        <w:trHeight w:val="184"/>
      </w:trPr>
      <w:tc>
        <w:tcPr>
          <w:tcW w:w="5580" w:type="dxa"/>
          <w:vMerge/>
          <w:tcBorders>
            <w:bottom w:val="single" w:sz="4" w:space="0" w:color="auto"/>
          </w:tcBorders>
        </w:tcPr>
        <w:p w14:paraId="1EE6C720" w14:textId="77777777" w:rsidR="005E3E71" w:rsidRPr="005E3E71" w:rsidRDefault="005E3E71" w:rsidP="005E3E71">
          <w:pPr>
            <w:widowControl w:val="0"/>
            <w:autoSpaceDN w:val="0"/>
            <w:rPr>
              <w:sz w:val="16"/>
              <w:szCs w:val="16"/>
              <w:lang w:eastAsia="en-GB"/>
            </w:rPr>
          </w:pPr>
        </w:p>
      </w:tc>
      <w:tc>
        <w:tcPr>
          <w:tcW w:w="3961" w:type="dxa"/>
          <w:vMerge/>
          <w:tcBorders>
            <w:bottom w:val="single" w:sz="4" w:space="0" w:color="auto"/>
          </w:tcBorders>
        </w:tcPr>
        <w:p w14:paraId="1671C695" w14:textId="77777777" w:rsidR="005E3E71" w:rsidRPr="005E3E71" w:rsidRDefault="005E3E71" w:rsidP="005E3E71">
          <w:pPr>
            <w:widowControl w:val="0"/>
            <w:autoSpaceDN w:val="0"/>
            <w:jc w:val="right"/>
            <w:rPr>
              <w:rFonts w:cs="Times New Roman"/>
              <w:sz w:val="16"/>
              <w:szCs w:val="16"/>
              <w:lang w:eastAsia="en-GB"/>
            </w:rPr>
          </w:pPr>
        </w:p>
      </w:tc>
    </w:tr>
  </w:tbl>
  <w:p w14:paraId="03D9FC6E" w14:textId="77777777" w:rsidR="005E3E71" w:rsidRPr="005E3E71" w:rsidRDefault="005E3E71" w:rsidP="005E3E71">
    <w:pPr>
      <w:autoSpaceDE w:val="0"/>
      <w:autoSpaceDN w:val="0"/>
      <w:adjustRightInd w:val="0"/>
      <w:rPr>
        <w:b/>
        <w:bCs/>
        <w:color w:val="000000"/>
        <w:sz w:val="23"/>
        <w:szCs w:val="23"/>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342FA"/>
    <w:multiLevelType w:val="hybridMultilevel"/>
    <w:tmpl w:val="B4D001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E71"/>
    <w:rsid w:val="00004727"/>
    <w:rsid w:val="00123201"/>
    <w:rsid w:val="00227152"/>
    <w:rsid w:val="002871A9"/>
    <w:rsid w:val="003107E9"/>
    <w:rsid w:val="00331A26"/>
    <w:rsid w:val="003A1218"/>
    <w:rsid w:val="004008B8"/>
    <w:rsid w:val="0043193F"/>
    <w:rsid w:val="00453F37"/>
    <w:rsid w:val="00461ECE"/>
    <w:rsid w:val="004900E0"/>
    <w:rsid w:val="005D5498"/>
    <w:rsid w:val="005D7237"/>
    <w:rsid w:val="005E3E71"/>
    <w:rsid w:val="00663DCF"/>
    <w:rsid w:val="00687B1D"/>
    <w:rsid w:val="006D0DE2"/>
    <w:rsid w:val="007D38DD"/>
    <w:rsid w:val="00830D06"/>
    <w:rsid w:val="0086679A"/>
    <w:rsid w:val="008A34B0"/>
    <w:rsid w:val="008E075B"/>
    <w:rsid w:val="00A56371"/>
    <w:rsid w:val="00AF52B7"/>
    <w:rsid w:val="00B55C1D"/>
    <w:rsid w:val="00BA038E"/>
    <w:rsid w:val="00CA1725"/>
    <w:rsid w:val="00D67A69"/>
    <w:rsid w:val="00D775F8"/>
    <w:rsid w:val="00DA6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9C7BB"/>
  <w15:chartTrackingRefBased/>
  <w15:docId w15:val="{47536822-6763-43A3-8E04-6C4D78D7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6371"/>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E71"/>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E3E71"/>
  </w:style>
  <w:style w:type="paragraph" w:styleId="Footer">
    <w:name w:val="footer"/>
    <w:basedOn w:val="Normal"/>
    <w:link w:val="FooterChar"/>
    <w:uiPriority w:val="99"/>
    <w:unhideWhenUsed/>
    <w:rsid w:val="005E3E71"/>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E3E71"/>
  </w:style>
  <w:style w:type="paragraph" w:styleId="BalloonText">
    <w:name w:val="Balloon Text"/>
    <w:basedOn w:val="Normal"/>
    <w:link w:val="BalloonTextChar"/>
    <w:uiPriority w:val="99"/>
    <w:semiHidden/>
    <w:unhideWhenUsed/>
    <w:rsid w:val="005E3E7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E3E71"/>
    <w:rPr>
      <w:rFonts w:ascii="Segoe UI" w:hAnsi="Segoe UI" w:cs="Segoe UI"/>
      <w:sz w:val="18"/>
      <w:szCs w:val="18"/>
    </w:rPr>
  </w:style>
  <w:style w:type="character" w:styleId="Hyperlink">
    <w:name w:val="Hyperlink"/>
    <w:basedOn w:val="DefaultParagraphFont"/>
    <w:uiPriority w:val="99"/>
    <w:unhideWhenUsed/>
    <w:rsid w:val="005E3E71"/>
    <w:rPr>
      <w:color w:val="0563C1" w:themeColor="hyperlink"/>
      <w:u w:val="single"/>
    </w:rPr>
  </w:style>
  <w:style w:type="character" w:styleId="UnresolvedMention">
    <w:name w:val="Unresolved Mention"/>
    <w:basedOn w:val="DefaultParagraphFont"/>
    <w:uiPriority w:val="99"/>
    <w:semiHidden/>
    <w:unhideWhenUsed/>
    <w:rsid w:val="005E3E71"/>
    <w:rPr>
      <w:color w:val="605E5C"/>
      <w:shd w:val="clear" w:color="auto" w:fill="E1DFDD"/>
    </w:rPr>
  </w:style>
  <w:style w:type="paragraph" w:styleId="ListParagraph">
    <w:name w:val="List Paragraph"/>
    <w:basedOn w:val="Normal"/>
    <w:uiPriority w:val="34"/>
    <w:qFormat/>
    <w:rsid w:val="00D775F8"/>
    <w:pPr>
      <w:spacing w:after="200" w:line="276" w:lineRule="auto"/>
      <w:ind w:left="720"/>
      <w:contextualSpacing/>
    </w:pPr>
    <w:rPr>
      <w:rFonts w:ascii="Calibri" w:eastAsia="Calibri" w:hAnsi="Calibri" w:cs="Times New Roman"/>
      <w:sz w:val="22"/>
      <w:szCs w:val="22"/>
    </w:rPr>
  </w:style>
  <w:style w:type="paragraph" w:styleId="NoSpacing">
    <w:name w:val="No Spacing"/>
    <w:uiPriority w:val="1"/>
    <w:qFormat/>
    <w:rsid w:val="00D775F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2" Type="http://schemas.openxmlformats.org/officeDocument/2006/relationships/hyperlink" Target="mailto:nicola.reader165@mod.gov.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ACB92-8F73-4267-98F8-96817BCD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Eleanor Miss (Def Comrcl CC-JFC 1a)</dc:creator>
  <cp:keywords/>
  <dc:description/>
  <cp:lastModifiedBy>Reader, Nicola Mrs (UKStratCom-Comrcl C2-22)</cp:lastModifiedBy>
  <cp:revision>8</cp:revision>
  <dcterms:created xsi:type="dcterms:W3CDTF">2021-01-18T12:38:00Z</dcterms:created>
  <dcterms:modified xsi:type="dcterms:W3CDTF">2021-01-21T14:47:00Z</dcterms:modified>
</cp:coreProperties>
</file>