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A416F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A416F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A416F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A416F0">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A416F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A416F0">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A416F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A416F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A416F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A416F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A416F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A416F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A416F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01354CD8" w:rsidR="00A26C2A" w:rsidRPr="0091273D" w:rsidRDefault="00A924E2">
      <w:pPr>
        <w:pStyle w:val="Heading1"/>
        <w:spacing w:after="83" w:line="240" w:lineRule="auto"/>
        <w:ind w:left="0" w:hanging="2"/>
        <w:rPr>
          <w:sz w:val="24"/>
          <w:szCs w:val="24"/>
        </w:rPr>
      </w:pPr>
      <w:r w:rsidRPr="0091273D">
        <w:rPr>
          <w:sz w:val="24"/>
          <w:szCs w:val="24"/>
        </w:rPr>
        <w:t>Appendix A - Workday Universal Security Exhibit</w:t>
      </w:r>
      <w:r w:rsidRPr="0091273D">
        <w:rPr>
          <w:sz w:val="24"/>
          <w:szCs w:val="24"/>
        </w:rPr>
        <w:tab/>
      </w:r>
      <w:r w:rsidRPr="0091273D">
        <w:rPr>
          <w:sz w:val="24"/>
          <w:szCs w:val="24"/>
        </w:rPr>
        <w:tab/>
      </w:r>
      <w:r w:rsidRPr="0091273D">
        <w:rPr>
          <w:sz w:val="24"/>
          <w:szCs w:val="24"/>
        </w:rPr>
        <w:tab/>
      </w:r>
      <w:r w:rsidRPr="0091273D">
        <w:rPr>
          <w:sz w:val="24"/>
          <w:szCs w:val="24"/>
        </w:rPr>
        <w:tab/>
      </w:r>
      <w:r w:rsidRPr="0091273D">
        <w:rPr>
          <w:sz w:val="24"/>
          <w:szCs w:val="24"/>
        </w:rPr>
        <w:tab/>
        <w:t>105</w:t>
      </w:r>
    </w:p>
    <w:p w14:paraId="21B6AD58" w14:textId="77777777" w:rsidR="00A26C2A" w:rsidRPr="0091273D" w:rsidRDefault="00A26C2A">
      <w:pPr>
        <w:pStyle w:val="Heading1"/>
        <w:spacing w:after="83" w:line="240" w:lineRule="auto"/>
        <w:ind w:left="0" w:hanging="2"/>
        <w:rPr>
          <w:sz w:val="24"/>
          <w:szCs w:val="24"/>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23998B63" w:rsidR="00A26C2A" w:rsidRDefault="00690240">
            <w:pPr>
              <w:pBdr>
                <w:top w:val="nil"/>
                <w:left w:val="nil"/>
                <w:bottom w:val="nil"/>
                <w:right w:val="nil"/>
                <w:between w:val="nil"/>
              </w:pBdr>
              <w:spacing w:after="310" w:line="249" w:lineRule="auto"/>
              <w:ind w:left="0" w:hanging="2"/>
              <w:rPr>
                <w:color w:val="000000"/>
              </w:rPr>
            </w:pPr>
            <w:r w:rsidRPr="00690240">
              <w:rPr>
                <w:color w:val="000000"/>
              </w:rPr>
              <w:t>332738008670764</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2B12B374" w:rsidR="00A26C2A" w:rsidRDefault="00A37732">
            <w:pPr>
              <w:pBdr>
                <w:top w:val="nil"/>
                <w:left w:val="nil"/>
                <w:bottom w:val="nil"/>
                <w:right w:val="nil"/>
                <w:between w:val="nil"/>
              </w:pBdr>
              <w:spacing w:after="310" w:line="249" w:lineRule="auto"/>
              <w:ind w:left="0" w:hanging="2"/>
              <w:rPr>
                <w:color w:val="000000"/>
              </w:rPr>
            </w:pPr>
            <w:r>
              <w:rPr>
                <w:color w:val="000000"/>
              </w:rPr>
              <w:t>CCSO25A29</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4F09016E" w:rsidR="00A26C2A" w:rsidRDefault="00A37732" w:rsidP="00A37732">
            <w:pPr>
              <w:pBdr>
                <w:top w:val="nil"/>
                <w:left w:val="nil"/>
                <w:bottom w:val="nil"/>
                <w:right w:val="nil"/>
                <w:between w:val="nil"/>
              </w:pBdr>
              <w:spacing w:after="310" w:line="249" w:lineRule="auto"/>
              <w:ind w:leftChars="0" w:left="0" w:firstLineChars="0" w:firstLine="0"/>
              <w:rPr>
                <w:color w:val="000000"/>
              </w:rPr>
            </w:pPr>
            <w:r>
              <w:rPr>
                <w:color w:val="000000"/>
              </w:rPr>
              <w:t>The Provision of Workday Licences</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24B45112" w:rsidR="00A26C2A" w:rsidRDefault="004C543C">
            <w:pPr>
              <w:pBdr>
                <w:top w:val="nil"/>
                <w:left w:val="nil"/>
                <w:bottom w:val="nil"/>
                <w:right w:val="nil"/>
                <w:between w:val="nil"/>
              </w:pBdr>
              <w:spacing w:after="310" w:line="249" w:lineRule="auto"/>
              <w:ind w:left="0" w:hanging="2"/>
              <w:rPr>
                <w:color w:val="000000"/>
              </w:rPr>
            </w:pPr>
            <w:r>
              <w:rPr>
                <w:color w:val="000000"/>
              </w:rPr>
              <w:t>Provision of H</w:t>
            </w:r>
            <w:r w:rsidR="00690240">
              <w:rPr>
                <w:color w:val="000000"/>
              </w:rPr>
              <w:t xml:space="preserve">uman </w:t>
            </w:r>
            <w:r>
              <w:rPr>
                <w:color w:val="000000"/>
              </w:rPr>
              <w:t>C</w:t>
            </w:r>
            <w:r w:rsidR="00690240">
              <w:rPr>
                <w:color w:val="000000"/>
              </w:rPr>
              <w:t xml:space="preserve">apital </w:t>
            </w:r>
            <w:r>
              <w:rPr>
                <w:color w:val="000000"/>
              </w:rPr>
              <w:t>M</w:t>
            </w:r>
            <w:r w:rsidR="00690240">
              <w:rPr>
                <w:color w:val="000000"/>
              </w:rPr>
              <w:t>anagement</w:t>
            </w:r>
            <w:r>
              <w:rPr>
                <w:color w:val="000000"/>
              </w:rPr>
              <w:t xml:space="preserve">, Expenses and </w:t>
            </w:r>
            <w:r w:rsidR="00690240">
              <w:rPr>
                <w:color w:val="000000"/>
              </w:rPr>
              <w:t xml:space="preserve">Cloud Connect for </w:t>
            </w:r>
            <w:r>
              <w:rPr>
                <w:color w:val="000000"/>
              </w:rPr>
              <w:t xml:space="preserve">Third Party Payroll </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351787C5" w:rsidR="00A26C2A" w:rsidRDefault="004C543C">
            <w:pPr>
              <w:pBdr>
                <w:top w:val="nil"/>
                <w:left w:val="nil"/>
                <w:bottom w:val="nil"/>
                <w:right w:val="nil"/>
                <w:between w:val="nil"/>
              </w:pBdr>
              <w:spacing w:after="310" w:line="249" w:lineRule="auto"/>
              <w:ind w:left="0" w:hanging="2"/>
              <w:rPr>
                <w:color w:val="000000"/>
              </w:rPr>
            </w:pPr>
            <w:r>
              <w:rPr>
                <w:color w:val="000000"/>
              </w:rPr>
              <w:t>March 01, 2026</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7DEDC8A3" w:rsidR="00A26C2A" w:rsidRDefault="00690240">
            <w:pPr>
              <w:pBdr>
                <w:top w:val="nil"/>
                <w:left w:val="nil"/>
                <w:bottom w:val="nil"/>
                <w:right w:val="nil"/>
                <w:between w:val="nil"/>
              </w:pBdr>
              <w:spacing w:after="310" w:line="249" w:lineRule="auto"/>
              <w:ind w:left="0" w:hanging="2"/>
              <w:rPr>
                <w:color w:val="000000"/>
              </w:rPr>
            </w:pPr>
            <w:r>
              <w:rPr>
                <w:color w:val="000000"/>
              </w:rPr>
              <w:t>April</w:t>
            </w:r>
            <w:r w:rsidR="004C543C">
              <w:rPr>
                <w:color w:val="000000"/>
              </w:rPr>
              <w:t xml:space="preserve"> </w:t>
            </w:r>
            <w:r>
              <w:rPr>
                <w:color w:val="000000"/>
              </w:rPr>
              <w:t>30</w:t>
            </w:r>
            <w:r w:rsidR="004C543C">
              <w:rPr>
                <w:color w:val="000000"/>
              </w:rPr>
              <w:t>, 2028</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7B7FAE37" w:rsidR="00A26C2A" w:rsidRDefault="004C543C">
            <w:pPr>
              <w:pBdr>
                <w:top w:val="nil"/>
                <w:left w:val="nil"/>
                <w:bottom w:val="nil"/>
                <w:right w:val="nil"/>
                <w:between w:val="nil"/>
              </w:pBdr>
              <w:spacing w:after="310" w:line="249" w:lineRule="auto"/>
              <w:ind w:left="0" w:hanging="2"/>
              <w:rPr>
                <w:color w:val="000000"/>
              </w:rPr>
            </w:pPr>
            <w:r>
              <w:rPr>
                <w:color w:val="000000"/>
              </w:rPr>
              <w:t>£</w:t>
            </w:r>
            <w:r w:rsidRPr="004C543C">
              <w:rPr>
                <w:color w:val="000000"/>
                <w:lang w:val="en-US"/>
              </w:rPr>
              <w:t>1,155,358</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267D0300" w:rsidR="00A26C2A" w:rsidRDefault="004C543C">
            <w:pPr>
              <w:pBdr>
                <w:top w:val="nil"/>
                <w:left w:val="nil"/>
                <w:bottom w:val="nil"/>
                <w:right w:val="nil"/>
                <w:between w:val="nil"/>
              </w:pBdr>
              <w:spacing w:after="310" w:line="249" w:lineRule="auto"/>
              <w:ind w:left="0" w:hanging="2"/>
              <w:rPr>
                <w:color w:val="000000"/>
              </w:rPr>
            </w:pPr>
            <w:r>
              <w:rPr>
                <w:color w:val="000000"/>
              </w:rPr>
              <w:t>BACS</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436935E6" w:rsidR="00A26C2A" w:rsidRDefault="004C543C">
            <w:pPr>
              <w:pBdr>
                <w:top w:val="nil"/>
                <w:left w:val="nil"/>
                <w:bottom w:val="nil"/>
                <w:right w:val="nil"/>
                <w:between w:val="nil"/>
              </w:pBdr>
              <w:spacing w:after="310" w:line="249" w:lineRule="auto"/>
              <w:ind w:left="0" w:hanging="2"/>
              <w:rPr>
                <w:color w:val="000000"/>
              </w:rPr>
            </w:pPr>
            <w:r>
              <w:rPr>
                <w:color w:val="000000"/>
              </w:rPr>
              <w:t>TBC</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lastRenderedPageBreak/>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rsidTr="00690240">
        <w:trPr>
          <w:trHeight w:val="1688"/>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F51ED3A" w14:textId="77777777" w:rsidR="00A26C2A" w:rsidRDefault="004C543C">
            <w:pPr>
              <w:pBdr>
                <w:top w:val="nil"/>
                <w:left w:val="nil"/>
                <w:bottom w:val="nil"/>
                <w:right w:val="nil"/>
                <w:between w:val="nil"/>
              </w:pBdr>
              <w:spacing w:line="249" w:lineRule="auto"/>
              <w:ind w:left="0" w:hanging="2"/>
              <w:rPr>
                <w:color w:val="000000"/>
              </w:rPr>
            </w:pPr>
            <w:r>
              <w:rPr>
                <w:color w:val="000000"/>
              </w:rPr>
              <w:t xml:space="preserve">The Cabinet Office </w:t>
            </w:r>
          </w:p>
          <w:p w14:paraId="3506BD63" w14:textId="77777777" w:rsidR="00690240" w:rsidRPr="00690240" w:rsidRDefault="00690240" w:rsidP="00690240">
            <w:pPr>
              <w:pBdr>
                <w:top w:val="nil"/>
                <w:left w:val="nil"/>
                <w:bottom w:val="nil"/>
                <w:right w:val="nil"/>
                <w:between w:val="nil"/>
              </w:pBdr>
              <w:spacing w:line="249" w:lineRule="auto"/>
              <w:ind w:left="0" w:hanging="2"/>
              <w:rPr>
                <w:color w:val="000000"/>
                <w:lang w:val="en-US"/>
              </w:rPr>
            </w:pPr>
            <w:r w:rsidRPr="00690240">
              <w:rPr>
                <w:color w:val="000000"/>
                <w:lang w:val="en-US"/>
              </w:rPr>
              <w:t>70 Whitehall</w:t>
            </w:r>
          </w:p>
          <w:p w14:paraId="5E9C476B" w14:textId="77777777" w:rsidR="00690240" w:rsidRPr="00690240" w:rsidRDefault="00690240" w:rsidP="00690240">
            <w:pPr>
              <w:pBdr>
                <w:top w:val="nil"/>
                <w:left w:val="nil"/>
                <w:bottom w:val="nil"/>
                <w:right w:val="nil"/>
                <w:between w:val="nil"/>
              </w:pBdr>
              <w:spacing w:line="249" w:lineRule="auto"/>
              <w:ind w:left="0" w:hanging="2"/>
              <w:rPr>
                <w:color w:val="000000"/>
                <w:lang w:val="en-US"/>
              </w:rPr>
            </w:pPr>
            <w:r w:rsidRPr="00690240">
              <w:rPr>
                <w:color w:val="000000"/>
                <w:lang w:val="en-US"/>
              </w:rPr>
              <w:t>London</w:t>
            </w:r>
          </w:p>
          <w:p w14:paraId="2C6CC683" w14:textId="77777777" w:rsidR="00690240" w:rsidRPr="00690240" w:rsidRDefault="00690240" w:rsidP="00690240">
            <w:pPr>
              <w:pBdr>
                <w:top w:val="nil"/>
                <w:left w:val="nil"/>
                <w:bottom w:val="nil"/>
                <w:right w:val="nil"/>
                <w:between w:val="nil"/>
              </w:pBdr>
              <w:spacing w:line="249" w:lineRule="auto"/>
              <w:ind w:left="0" w:hanging="2"/>
              <w:rPr>
                <w:color w:val="000000"/>
                <w:lang w:val="en-US"/>
              </w:rPr>
            </w:pPr>
            <w:r w:rsidRPr="00690240">
              <w:rPr>
                <w:color w:val="000000"/>
                <w:lang w:val="en-US"/>
              </w:rPr>
              <w:t>London</w:t>
            </w:r>
          </w:p>
          <w:p w14:paraId="640865FB" w14:textId="77777777" w:rsidR="00690240" w:rsidRPr="00690240" w:rsidRDefault="00690240" w:rsidP="00690240">
            <w:pPr>
              <w:pBdr>
                <w:top w:val="nil"/>
                <w:left w:val="nil"/>
                <w:bottom w:val="nil"/>
                <w:right w:val="nil"/>
                <w:between w:val="nil"/>
              </w:pBdr>
              <w:spacing w:line="249" w:lineRule="auto"/>
              <w:ind w:left="0" w:hanging="2"/>
              <w:rPr>
                <w:color w:val="000000"/>
                <w:lang w:val="en-US"/>
              </w:rPr>
            </w:pPr>
            <w:r w:rsidRPr="00690240">
              <w:rPr>
                <w:color w:val="000000"/>
                <w:lang w:val="en-US"/>
              </w:rPr>
              <w:t>SW1A 2AS</w:t>
            </w:r>
          </w:p>
          <w:p w14:paraId="754ADE55" w14:textId="313D3895" w:rsidR="00690240" w:rsidRDefault="00690240" w:rsidP="00690240">
            <w:pPr>
              <w:pBdr>
                <w:top w:val="nil"/>
                <w:left w:val="nil"/>
                <w:bottom w:val="nil"/>
                <w:right w:val="nil"/>
                <w:between w:val="nil"/>
              </w:pBdr>
              <w:spacing w:line="249" w:lineRule="auto"/>
              <w:ind w:left="0" w:hanging="2"/>
              <w:rPr>
                <w:color w:val="000000"/>
              </w:rPr>
            </w:pPr>
            <w:r w:rsidRPr="00690240">
              <w:rPr>
                <w:color w:val="000000"/>
                <w:lang w:val="en-US"/>
              </w:rPr>
              <w:t>United Kingdom</w:t>
            </w:r>
          </w:p>
        </w:tc>
      </w:tr>
      <w:tr w:rsidR="00A26C2A" w14:paraId="70436621" w14:textId="77777777" w:rsidTr="00690240">
        <w:trPr>
          <w:trHeight w:val="119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C26706B" w14:textId="77777777" w:rsidR="004C543C" w:rsidRPr="004C543C" w:rsidRDefault="004C543C" w:rsidP="00690240">
            <w:pPr>
              <w:pBdr>
                <w:top w:val="nil"/>
                <w:left w:val="nil"/>
                <w:bottom w:val="nil"/>
                <w:right w:val="nil"/>
                <w:between w:val="nil"/>
              </w:pBdr>
              <w:spacing w:line="249" w:lineRule="auto"/>
              <w:ind w:left="0" w:hanging="2"/>
              <w:rPr>
                <w:color w:val="000000"/>
              </w:rPr>
            </w:pPr>
            <w:r w:rsidRPr="004C543C">
              <w:rPr>
                <w:color w:val="000000"/>
              </w:rPr>
              <w:t>Workday Limited (Registration number 521013)</w:t>
            </w:r>
          </w:p>
          <w:p w14:paraId="59B3952E" w14:textId="77777777" w:rsidR="004C543C" w:rsidRPr="004C543C" w:rsidRDefault="004C543C" w:rsidP="00690240">
            <w:pPr>
              <w:pBdr>
                <w:top w:val="nil"/>
                <w:left w:val="nil"/>
                <w:bottom w:val="nil"/>
                <w:right w:val="nil"/>
                <w:between w:val="nil"/>
              </w:pBdr>
              <w:spacing w:line="249" w:lineRule="auto"/>
              <w:ind w:left="0" w:hanging="2"/>
              <w:rPr>
                <w:color w:val="000000"/>
              </w:rPr>
            </w:pPr>
            <w:r w:rsidRPr="004C543C">
              <w:rPr>
                <w:color w:val="000000"/>
              </w:rPr>
              <w:t>The Kings Building</w:t>
            </w:r>
          </w:p>
          <w:p w14:paraId="596EFD85" w14:textId="77777777" w:rsidR="004C543C" w:rsidRPr="004C543C" w:rsidRDefault="004C543C" w:rsidP="00690240">
            <w:pPr>
              <w:pBdr>
                <w:top w:val="nil"/>
                <w:left w:val="nil"/>
                <w:bottom w:val="nil"/>
                <w:right w:val="nil"/>
                <w:between w:val="nil"/>
              </w:pBdr>
              <w:spacing w:line="249" w:lineRule="auto"/>
              <w:ind w:left="0" w:hanging="2"/>
              <w:rPr>
                <w:color w:val="000000"/>
              </w:rPr>
            </w:pPr>
            <w:r w:rsidRPr="004C543C">
              <w:rPr>
                <w:color w:val="000000"/>
              </w:rPr>
              <w:t>152-155 Church Street</w:t>
            </w:r>
          </w:p>
          <w:p w14:paraId="5DAD12FD" w14:textId="77777777" w:rsidR="00A26C2A" w:rsidRDefault="004C543C" w:rsidP="00690240">
            <w:pPr>
              <w:pBdr>
                <w:top w:val="nil"/>
                <w:left w:val="nil"/>
                <w:bottom w:val="nil"/>
                <w:right w:val="nil"/>
                <w:between w:val="nil"/>
              </w:pBdr>
              <w:spacing w:line="249" w:lineRule="auto"/>
              <w:ind w:left="0" w:hanging="2"/>
              <w:rPr>
                <w:color w:val="000000"/>
              </w:rPr>
            </w:pPr>
            <w:r w:rsidRPr="00690240">
              <w:rPr>
                <w:color w:val="000000"/>
              </w:rPr>
              <w:t>Smithfield, Dublin 7, D07 AOTN</w:t>
            </w:r>
          </w:p>
          <w:p w14:paraId="0DE6F4A0" w14:textId="01F6D8F0" w:rsidR="00690240" w:rsidRDefault="00690240" w:rsidP="00690240">
            <w:pPr>
              <w:pBdr>
                <w:top w:val="nil"/>
                <w:left w:val="nil"/>
                <w:bottom w:val="nil"/>
                <w:right w:val="nil"/>
                <w:between w:val="nil"/>
              </w:pBdr>
              <w:spacing w:line="249" w:lineRule="auto"/>
              <w:ind w:left="0" w:hanging="2"/>
              <w:rPr>
                <w:color w:val="000000"/>
              </w:rPr>
            </w:pPr>
            <w:r>
              <w:rPr>
                <w:color w:val="000000"/>
              </w:rPr>
              <w:t>Ireland</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Pr="00A44AE8" w:rsidRDefault="008C39B4">
      <w:pPr>
        <w:pBdr>
          <w:top w:val="nil"/>
          <w:left w:val="nil"/>
          <w:bottom w:val="nil"/>
          <w:right w:val="nil"/>
          <w:between w:val="nil"/>
        </w:pBdr>
        <w:spacing w:after="373" w:line="254" w:lineRule="auto"/>
        <w:ind w:left="0" w:right="3672" w:hanging="2"/>
        <w:rPr>
          <w:color w:val="000000"/>
        </w:rPr>
      </w:pPr>
      <w:r w:rsidRPr="00A44AE8">
        <w:rPr>
          <w:b/>
          <w:color w:val="000000"/>
        </w:rPr>
        <w:t>For the Buyer: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196"/>
      </w:tblGrid>
      <w:tr w:rsidR="006B2368" w14:paraId="47F4805B" w14:textId="77777777" w:rsidTr="006B2368">
        <w:trPr>
          <w:trHeight w:val="103"/>
        </w:trPr>
        <w:tc>
          <w:tcPr>
            <w:tcW w:w="7196" w:type="dxa"/>
          </w:tcPr>
          <w:p w14:paraId="418289FD" w14:textId="77777777" w:rsidR="006B2368" w:rsidRDefault="006B2368">
            <w:pPr>
              <w:pStyle w:val="Default"/>
              <w:ind w:left="5" w:hanging="7"/>
              <w:rPr>
                <w:color w:val="FF0000"/>
                <w:sz w:val="22"/>
                <w:szCs w:val="22"/>
              </w:rPr>
            </w:pPr>
            <w:r>
              <w:t xml:space="preserve"> </w:t>
            </w:r>
            <w:r>
              <w:rPr>
                <w:color w:val="FF0000"/>
                <w:sz w:val="22"/>
                <w:szCs w:val="22"/>
              </w:rPr>
              <w:t xml:space="preserve">REDACTED TEXT under FOIA Section 40, Personal Information. </w:t>
            </w:r>
          </w:p>
        </w:tc>
      </w:tr>
    </w:tbl>
    <w:p w14:paraId="14676A1D" w14:textId="77777777" w:rsidR="004A634C" w:rsidRDefault="004A634C" w:rsidP="006B3D35">
      <w:pPr>
        <w:pBdr>
          <w:top w:val="nil"/>
          <w:left w:val="nil"/>
          <w:bottom w:val="nil"/>
          <w:right w:val="nil"/>
          <w:between w:val="nil"/>
        </w:pBdr>
        <w:spacing w:after="83"/>
        <w:ind w:leftChars="0" w:left="0" w:right="14" w:firstLineChars="0" w:firstLine="0"/>
        <w:rPr>
          <w:b/>
          <w:bCs/>
          <w:color w:val="000000"/>
        </w:rPr>
      </w:pPr>
    </w:p>
    <w:p w14:paraId="5785A229" w14:textId="3742B004"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6E28276E" w:rsidR="006B3D35" w:rsidRDefault="006B3D35" w:rsidP="006B3D35">
      <w:pPr>
        <w:pBdr>
          <w:top w:val="nil"/>
          <w:left w:val="nil"/>
          <w:bottom w:val="nil"/>
          <w:right w:val="nil"/>
          <w:between w:val="nil"/>
        </w:pBdr>
        <w:spacing w:after="83"/>
        <w:ind w:leftChars="0" w:left="0" w:right="14" w:firstLineChars="0" w:firstLine="0"/>
        <w:rPr>
          <w:b/>
          <w:bCs/>
          <w:color w:val="000000"/>
        </w:rPr>
      </w:pPr>
    </w:p>
    <w:p w14:paraId="157D8CDE" w14:textId="51B19F3A" w:rsidR="006B2368" w:rsidRDefault="006B2368" w:rsidP="006B3D35">
      <w:pPr>
        <w:pBdr>
          <w:top w:val="nil"/>
          <w:left w:val="nil"/>
          <w:bottom w:val="nil"/>
          <w:right w:val="nil"/>
          <w:between w:val="nil"/>
        </w:pBdr>
        <w:spacing w:after="83"/>
        <w:ind w:leftChars="0" w:left="0" w:right="14" w:firstLineChars="0" w:firstLine="0"/>
        <w:rPr>
          <w:color w:val="FF0000"/>
        </w:rPr>
      </w:pPr>
      <w:r>
        <w:rPr>
          <w:color w:val="FF0000"/>
        </w:rPr>
        <w:t>REDACTED TEXT under FOIA Section 40, Personal Information.</w:t>
      </w:r>
    </w:p>
    <w:p w14:paraId="26365840" w14:textId="77777777" w:rsidR="006B2368" w:rsidRPr="006B3D35" w:rsidRDefault="006B2368" w:rsidP="006B3D35">
      <w:pPr>
        <w:pBdr>
          <w:top w:val="nil"/>
          <w:left w:val="nil"/>
          <w:bottom w:val="nil"/>
          <w:right w:val="nil"/>
          <w:between w:val="nil"/>
        </w:pBdr>
        <w:spacing w:after="83"/>
        <w:ind w:leftChars="0" w:left="0" w:right="14" w:firstLineChars="0" w:firstLine="0"/>
        <w:rPr>
          <w:b/>
          <w:bCs/>
          <w:color w:val="000000"/>
        </w:rPr>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FE85529" w14:textId="013D8598"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4C543C">
              <w:rPr>
                <w:b/>
                <w:color w:val="000000"/>
              </w:rPr>
              <w:t xml:space="preserve">March 01, 2026 </w:t>
            </w:r>
            <w:r>
              <w:rPr>
                <w:color w:val="000000"/>
              </w:rPr>
              <w:t>and is valid for</w:t>
            </w:r>
            <w:r w:rsidR="00690240">
              <w:rPr>
                <w:b/>
                <w:color w:val="000000"/>
              </w:rPr>
              <w:t xml:space="preserve"> 26 months</w:t>
            </w:r>
            <w:r>
              <w:rPr>
                <w:color w:val="000000"/>
              </w:rPr>
              <w:t>.</w:t>
            </w:r>
          </w:p>
          <w:p w14:paraId="303AC9F9" w14:textId="5A63204F" w:rsidR="00A924E2" w:rsidRDefault="00A924E2">
            <w:pPr>
              <w:pBdr>
                <w:top w:val="nil"/>
                <w:left w:val="nil"/>
                <w:bottom w:val="nil"/>
                <w:right w:val="nil"/>
                <w:between w:val="nil"/>
              </w:pBdr>
              <w:spacing w:line="249" w:lineRule="auto"/>
              <w:ind w:left="0" w:hanging="2"/>
              <w:rPr>
                <w:color w:val="000000"/>
              </w:rPr>
            </w:pPr>
          </w:p>
          <w:p w14:paraId="27DB6DA6" w14:textId="28E7448F" w:rsidR="00A924E2" w:rsidRDefault="00A924E2">
            <w:pPr>
              <w:pBdr>
                <w:top w:val="nil"/>
                <w:left w:val="nil"/>
                <w:bottom w:val="nil"/>
                <w:right w:val="nil"/>
                <w:between w:val="nil"/>
              </w:pBdr>
              <w:spacing w:line="249" w:lineRule="auto"/>
              <w:ind w:left="0" w:hanging="2"/>
              <w:rPr>
                <w:color w:val="000000"/>
              </w:rPr>
            </w:pPr>
          </w:p>
          <w:p w14:paraId="03844EBD" w14:textId="77777777" w:rsidR="004D50D0" w:rsidRDefault="004D50D0">
            <w:pPr>
              <w:pBdr>
                <w:top w:val="nil"/>
                <w:left w:val="nil"/>
                <w:bottom w:val="nil"/>
                <w:right w:val="nil"/>
                <w:between w:val="nil"/>
              </w:pBdr>
              <w:spacing w:line="249" w:lineRule="auto"/>
              <w:ind w:left="0" w:hanging="2"/>
              <w:rPr>
                <w:color w:val="000000"/>
              </w:rPr>
            </w:pPr>
          </w:p>
          <w:p w14:paraId="008FCCF7" w14:textId="6F17EA4C" w:rsidR="004D50D0" w:rsidRDefault="004D50D0">
            <w:pPr>
              <w:pBdr>
                <w:top w:val="nil"/>
                <w:left w:val="nil"/>
                <w:bottom w:val="nil"/>
                <w:right w:val="nil"/>
                <w:between w:val="nil"/>
              </w:pBdr>
              <w:spacing w:line="249" w:lineRule="auto"/>
              <w:ind w:left="0" w:hanging="2"/>
              <w:rPr>
                <w:color w:val="000000"/>
              </w:rPr>
            </w:pP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4B02CEE1"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6EF90CF7" w14:textId="77777777"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p w14:paraId="7ABF28B0" w14:textId="540B8036" w:rsidR="0032702A" w:rsidRDefault="00A924E2">
            <w:pPr>
              <w:keepLines/>
              <w:pBdr>
                <w:top w:val="nil"/>
                <w:left w:val="nil"/>
                <w:bottom w:val="nil"/>
                <w:right w:val="nil"/>
                <w:between w:val="nil"/>
              </w:pBdr>
              <w:spacing w:before="240" w:line="249" w:lineRule="auto"/>
              <w:ind w:left="0" w:hanging="2"/>
              <w:rPr>
                <w:color w:val="000000"/>
              </w:rPr>
            </w:pPr>
            <w:r>
              <w:rPr>
                <w:color w:val="000000"/>
              </w:rPr>
              <w:t xml:space="preserve">If the Call-Off Contract is ended in accordance with clause 18.1, </w:t>
            </w:r>
            <w:r w:rsidR="005B5B79">
              <w:rPr>
                <w:color w:val="000000"/>
              </w:rPr>
              <w:t xml:space="preserve">for the </w:t>
            </w:r>
            <w:r w:rsidR="00871996">
              <w:rPr>
                <w:color w:val="000000"/>
              </w:rPr>
              <w:t xml:space="preserve">sole </w:t>
            </w:r>
            <w:r w:rsidR="005B5B79">
              <w:rPr>
                <w:color w:val="000000"/>
              </w:rPr>
              <w:t>purpose of joining the Matrix shared services</w:t>
            </w:r>
            <w:r w:rsidR="001140F2">
              <w:rPr>
                <w:color w:val="000000"/>
              </w:rPr>
              <w:t xml:space="preserve"> agreement</w:t>
            </w:r>
            <w:r w:rsidR="00871996">
              <w:rPr>
                <w:color w:val="000000"/>
              </w:rPr>
              <w:t>,</w:t>
            </w:r>
            <w:r w:rsidR="001140F2">
              <w:rPr>
                <w:color w:val="000000"/>
              </w:rPr>
              <w:t xml:space="preserve"> </w:t>
            </w:r>
            <w:r>
              <w:rPr>
                <w:color w:val="000000"/>
              </w:rPr>
              <w:t>any Charges paid in advance for the Services for the period after the end of the notice period will be reimbursed to the Buyer.</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5F2445FD"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BA236B">
              <w:rPr>
                <w:b/>
                <w:color w:val="000000"/>
              </w:rPr>
              <w:t>3 months</w:t>
            </w:r>
            <w:r>
              <w:rPr>
                <w:b/>
                <w:color w:val="000000"/>
              </w:rPr>
              <w:t xml:space="preserve">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D1A64E8" w14:textId="77777777" w:rsidR="00A26C2A" w:rsidRPr="00BA236B" w:rsidRDefault="008C39B4" w:rsidP="00BA236B">
            <w:pPr>
              <w:widowControl w:val="0"/>
              <w:numPr>
                <w:ilvl w:val="0"/>
                <w:numId w:val="29"/>
              </w:numPr>
              <w:pBdr>
                <w:top w:val="nil"/>
                <w:left w:val="nil"/>
                <w:bottom w:val="nil"/>
                <w:right w:val="nil"/>
                <w:between w:val="nil"/>
              </w:pBdr>
              <w:spacing w:line="276" w:lineRule="auto"/>
              <w:ind w:left="0" w:right="322" w:hanging="2"/>
            </w:pPr>
            <w:r>
              <w:rPr>
                <w:color w:val="000000"/>
              </w:rPr>
              <w:t xml:space="preserve">Lot 2: Cloud software </w:t>
            </w:r>
          </w:p>
          <w:p w14:paraId="173881C4" w14:textId="0A0925F8" w:rsidR="00BA236B" w:rsidRPr="00BA236B" w:rsidRDefault="00BA236B" w:rsidP="00BA236B">
            <w:pPr>
              <w:ind w:leftChars="0" w:left="0" w:firstLineChars="0" w:firstLine="0"/>
            </w:pP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2E4C2F10" w14:textId="2085C9DF" w:rsidR="00A26C2A" w:rsidRPr="00BA236B" w:rsidRDefault="00BA236B" w:rsidP="008C39B4">
            <w:pPr>
              <w:widowControl w:val="0"/>
              <w:numPr>
                <w:ilvl w:val="0"/>
                <w:numId w:val="37"/>
              </w:numPr>
              <w:pBdr>
                <w:top w:val="nil"/>
                <w:left w:val="nil"/>
                <w:bottom w:val="nil"/>
                <w:right w:val="nil"/>
                <w:between w:val="nil"/>
              </w:pBdr>
              <w:spacing w:line="276" w:lineRule="auto"/>
              <w:ind w:left="0" w:right="322" w:hanging="2"/>
            </w:pPr>
            <w:r>
              <w:rPr>
                <w:b/>
                <w:color w:val="000000"/>
              </w:rPr>
              <w:t>Human Capital Management</w:t>
            </w:r>
          </w:p>
          <w:p w14:paraId="1A56B1FB" w14:textId="3646E045" w:rsidR="00BA236B" w:rsidRPr="00BA236B" w:rsidRDefault="00BA236B" w:rsidP="008C39B4">
            <w:pPr>
              <w:widowControl w:val="0"/>
              <w:numPr>
                <w:ilvl w:val="0"/>
                <w:numId w:val="37"/>
              </w:numPr>
              <w:pBdr>
                <w:top w:val="nil"/>
                <w:left w:val="nil"/>
                <w:bottom w:val="nil"/>
                <w:right w:val="nil"/>
                <w:between w:val="nil"/>
              </w:pBdr>
              <w:spacing w:line="276" w:lineRule="auto"/>
              <w:ind w:left="0" w:right="322" w:hanging="2"/>
            </w:pPr>
            <w:r>
              <w:rPr>
                <w:b/>
                <w:color w:val="000000"/>
              </w:rPr>
              <w:lastRenderedPageBreak/>
              <w:t>Expenses</w:t>
            </w:r>
          </w:p>
          <w:p w14:paraId="72DC1BCE" w14:textId="10FA8A5C" w:rsidR="00BA236B" w:rsidRDefault="00BA236B" w:rsidP="008C39B4">
            <w:pPr>
              <w:widowControl w:val="0"/>
              <w:numPr>
                <w:ilvl w:val="0"/>
                <w:numId w:val="37"/>
              </w:numPr>
              <w:pBdr>
                <w:top w:val="nil"/>
                <w:left w:val="nil"/>
                <w:bottom w:val="nil"/>
                <w:right w:val="nil"/>
                <w:between w:val="nil"/>
              </w:pBdr>
              <w:spacing w:line="276" w:lineRule="auto"/>
              <w:ind w:left="0" w:right="322" w:hanging="2"/>
            </w:pPr>
            <w:r>
              <w:rPr>
                <w:b/>
                <w:color w:val="000000"/>
              </w:rPr>
              <w:t xml:space="preserve">Cloud Connect for Third Party Payroll </w:t>
            </w:r>
          </w:p>
          <w:p w14:paraId="3BB65413" w14:textId="77777777" w:rsidR="00A26C2A" w:rsidRDefault="00A26C2A">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24F3C7F7" w:rsidR="00A26C2A" w:rsidRDefault="00BA236B">
            <w:pPr>
              <w:widowControl w:val="0"/>
              <w:pBdr>
                <w:top w:val="nil"/>
                <w:left w:val="nil"/>
                <w:bottom w:val="nil"/>
                <w:right w:val="nil"/>
                <w:between w:val="nil"/>
              </w:pBdr>
              <w:spacing w:before="190" w:line="276" w:lineRule="auto"/>
              <w:ind w:left="0" w:right="322" w:hanging="2"/>
              <w:rPr>
                <w:color w:val="000000"/>
              </w:rPr>
            </w:pPr>
            <w:r>
              <w:rPr>
                <w:b/>
                <w:color w:val="000000"/>
              </w:rPr>
              <w:t>n/a</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2BE2D238"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Services will be delivered </w:t>
            </w:r>
            <w:r w:rsidR="00BA236B">
              <w:rPr>
                <w:color w:val="000000"/>
              </w:rPr>
              <w:t>remotely.</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7DB3E795"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are </w:t>
            </w:r>
            <w:r w:rsidR="00BA236B">
              <w:rPr>
                <w:b/>
                <w:color w:val="000000"/>
              </w:rPr>
              <w:t>as per the Supplier Terms</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637B2812"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w:t>
            </w:r>
            <w:r w:rsidR="00BA236B">
              <w:rPr>
                <w:b/>
                <w:color w:val="000000"/>
              </w:rPr>
              <w:t xml:space="preserve">as per the Supplier Terms </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351696A4"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are </w:t>
            </w:r>
            <w:r w:rsidR="00BA236B">
              <w:rPr>
                <w:b/>
                <w:color w:val="000000"/>
              </w:rPr>
              <w:t>as per the Supplier Terms</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269C7B54" w:rsidR="006B3D35" w:rsidRPr="006B3D35" w:rsidRDefault="004D50D0" w:rsidP="007D1C97">
            <w:pPr>
              <w:widowControl w:val="0"/>
              <w:pBdr>
                <w:top w:val="nil"/>
                <w:left w:val="nil"/>
                <w:bottom w:val="nil"/>
                <w:right w:val="nil"/>
                <w:between w:val="nil"/>
              </w:pBdr>
              <w:spacing w:before="190" w:line="276" w:lineRule="auto"/>
              <w:ind w:left="0" w:right="322" w:hanging="2"/>
              <w:rPr>
                <w:b/>
                <w:color w:val="000000"/>
              </w:rPr>
            </w:pPr>
            <w:r>
              <w:rPr>
                <w:color w:val="000000"/>
              </w:rPr>
              <w:t>N/A</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D0E482B" w14:textId="5C341E9B" w:rsidR="007D1C97" w:rsidRDefault="007D1C97" w:rsidP="007D1C97">
            <w:pPr>
              <w:pBdr>
                <w:top w:val="nil"/>
                <w:left w:val="nil"/>
                <w:bottom w:val="nil"/>
                <w:right w:val="nil"/>
                <w:between w:val="nil"/>
              </w:pBdr>
              <w:spacing w:line="249" w:lineRule="auto"/>
              <w:ind w:left="0" w:hanging="2"/>
              <w:rPr>
                <w:b/>
                <w:color w:val="000000"/>
              </w:rPr>
            </w:pPr>
            <w:r>
              <w:rPr>
                <w:color w:val="000000"/>
              </w:rPr>
              <w:t xml:space="preserve">The offboarding plan for this Call-Off Contract is </w:t>
            </w:r>
          </w:p>
          <w:p w14:paraId="27F39E3F" w14:textId="77777777" w:rsidR="007D1C97" w:rsidRDefault="007D1C97" w:rsidP="007D1C97">
            <w:pPr>
              <w:pBdr>
                <w:top w:val="nil"/>
                <w:left w:val="nil"/>
                <w:bottom w:val="nil"/>
                <w:right w:val="nil"/>
                <w:between w:val="nil"/>
              </w:pBdr>
              <w:spacing w:line="249" w:lineRule="auto"/>
              <w:ind w:left="0" w:hanging="2"/>
              <w:rPr>
                <w:b/>
                <w:color w:val="000000"/>
              </w:rPr>
            </w:pPr>
          </w:p>
          <w:p w14:paraId="480A9DD8" w14:textId="77777777" w:rsidR="007D1C97" w:rsidRDefault="007D1C97" w:rsidP="007D1C97">
            <w:pPr>
              <w:pBdr>
                <w:top w:val="nil"/>
                <w:left w:val="nil"/>
                <w:bottom w:val="nil"/>
                <w:right w:val="nil"/>
                <w:between w:val="nil"/>
              </w:pBdr>
              <w:spacing w:line="249" w:lineRule="auto"/>
              <w:ind w:left="0" w:hanging="2"/>
              <w:rPr>
                <w:color w:val="000000"/>
              </w:rPr>
            </w:pPr>
            <w:r w:rsidRPr="003851A0">
              <w:rPr>
                <w:color w:val="000000"/>
              </w:rPr>
              <w:t>End-of-contract data extraction</w:t>
            </w:r>
            <w:r w:rsidRPr="003851A0">
              <w:rPr>
                <w:color w:val="000000"/>
              </w:rPr>
              <w:tab/>
            </w:r>
          </w:p>
          <w:p w14:paraId="5A5641D5" w14:textId="14E96136" w:rsidR="007D1C97" w:rsidRDefault="007D1C97" w:rsidP="007D1C97">
            <w:pPr>
              <w:pBdr>
                <w:top w:val="nil"/>
                <w:left w:val="nil"/>
                <w:bottom w:val="nil"/>
                <w:right w:val="nil"/>
                <w:between w:val="nil"/>
              </w:pBdr>
              <w:spacing w:line="249" w:lineRule="auto"/>
              <w:ind w:left="0" w:hanging="2"/>
              <w:rPr>
                <w:color w:val="000000"/>
              </w:rPr>
            </w:pPr>
            <w:r w:rsidRPr="003851A0">
              <w:rPr>
                <w:color w:val="000000"/>
              </w:rPr>
              <w:t>The customer can choose to extract their data on their own via specific reports provided by Workday or the customer can engage Workday Professional Services or a Workday partner to assist in the data extraction process</w:t>
            </w:r>
            <w:r w:rsidR="00871996">
              <w:rPr>
                <w:color w:val="000000"/>
              </w:rPr>
              <w:t xml:space="preserve"> (subject to fees)</w:t>
            </w:r>
            <w:r w:rsidRPr="003851A0">
              <w:rPr>
                <w:color w:val="000000"/>
              </w:rPr>
              <w:t>.</w:t>
            </w:r>
          </w:p>
          <w:p w14:paraId="3A286477" w14:textId="77777777" w:rsidR="007D1C97" w:rsidRPr="003851A0" w:rsidRDefault="007D1C97" w:rsidP="007D1C97">
            <w:pPr>
              <w:pBdr>
                <w:top w:val="nil"/>
                <w:left w:val="nil"/>
                <w:bottom w:val="nil"/>
                <w:right w:val="nil"/>
                <w:between w:val="nil"/>
              </w:pBdr>
              <w:spacing w:line="249" w:lineRule="auto"/>
              <w:ind w:left="0" w:hanging="2"/>
              <w:rPr>
                <w:color w:val="000000"/>
              </w:rPr>
            </w:pPr>
          </w:p>
          <w:p w14:paraId="3AA30C23" w14:textId="77777777" w:rsidR="007D1C97" w:rsidRDefault="007D1C97" w:rsidP="007D1C97">
            <w:pPr>
              <w:pBdr>
                <w:top w:val="nil"/>
                <w:left w:val="nil"/>
                <w:bottom w:val="nil"/>
                <w:right w:val="nil"/>
                <w:between w:val="nil"/>
              </w:pBdr>
              <w:spacing w:line="249" w:lineRule="auto"/>
              <w:ind w:left="0" w:hanging="2"/>
              <w:rPr>
                <w:color w:val="000000"/>
              </w:rPr>
            </w:pPr>
            <w:r w:rsidRPr="003851A0">
              <w:rPr>
                <w:color w:val="000000"/>
              </w:rPr>
              <w:t>End-of-contract process</w:t>
            </w:r>
            <w:r w:rsidRPr="003851A0">
              <w:rPr>
                <w:color w:val="000000"/>
              </w:rPr>
              <w:tab/>
            </w:r>
          </w:p>
          <w:p w14:paraId="4AED1A51" w14:textId="1C156B91" w:rsidR="00A26C2A" w:rsidRDefault="007D1C97" w:rsidP="007D1C97">
            <w:pPr>
              <w:pBdr>
                <w:top w:val="nil"/>
                <w:left w:val="nil"/>
                <w:bottom w:val="nil"/>
                <w:right w:val="nil"/>
                <w:between w:val="nil"/>
              </w:pBdr>
              <w:spacing w:line="249" w:lineRule="auto"/>
              <w:ind w:left="0" w:hanging="2"/>
              <w:rPr>
                <w:color w:val="000000"/>
              </w:rPr>
            </w:pPr>
            <w:r w:rsidRPr="003851A0">
              <w:rPr>
                <w:color w:val="000000"/>
              </w:rPr>
              <w:t>Workday Support follows a customer off-boarding process to initiate the deletion of a customer’s tenant. The customer may retrieve their Customer Data from within the service. After obtaining appropriate approvals, the customer instances are disabled and subsequently deleted. Data will be retained according to terms in the contract. Workday permanently deletes the customer tenant. Off-boarding activities are documented and tracked in an online tracking system or support case.</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442BC41E" w:rsidR="00A26C2A" w:rsidRDefault="00BA236B">
            <w:pPr>
              <w:pBdr>
                <w:top w:val="nil"/>
                <w:left w:val="nil"/>
                <w:bottom w:val="nil"/>
                <w:right w:val="nil"/>
                <w:between w:val="nil"/>
              </w:pBdr>
              <w:spacing w:line="249" w:lineRule="auto"/>
              <w:ind w:left="0" w:hanging="2"/>
              <w:rPr>
                <w:color w:val="000000"/>
              </w:rPr>
            </w:pPr>
            <w:r>
              <w:rPr>
                <w:color w:val="000000"/>
              </w:rPr>
              <w:t>N/A</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130C376B"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00DB3D75" w:rsidRPr="00DB3D75">
              <w:rPr>
                <w:color w:val="000000"/>
              </w:rPr>
              <w:t>125% of the Charges payable by the Buyer to the Supplier</w:t>
            </w:r>
            <w:r w:rsidR="00DB3D75">
              <w:rPr>
                <w:color w:val="000000"/>
              </w:rPr>
              <w:t xml:space="preserve"> </w:t>
            </w:r>
            <w:r>
              <w:rPr>
                <w:color w:val="000000"/>
              </w:rPr>
              <w:t xml:space="preserve">per year. </w:t>
            </w:r>
          </w:p>
          <w:p w14:paraId="4A9A6D70" w14:textId="63CDF5B0"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EA2360">
              <w:rPr>
                <w:color w:val="000000"/>
              </w:rPr>
              <w:t>£500,000</w:t>
            </w:r>
            <w:r>
              <w:rPr>
                <w:b/>
                <w:color w:val="000000"/>
              </w:rPr>
              <w:t xml:space="preserve"> </w:t>
            </w:r>
            <w:r>
              <w:rPr>
                <w:color w:val="000000"/>
              </w:rPr>
              <w:t xml:space="preserve">or </w:t>
            </w:r>
            <w:r w:rsidR="00EA2360">
              <w:rPr>
                <w:color w:val="000000"/>
              </w:rPr>
              <w:t>125%</w:t>
            </w:r>
            <w:r>
              <w:rPr>
                <w:color w:val="000000"/>
              </w:rPr>
              <w:t xml:space="preserve"> 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17878D37" w:rsidR="00A26C2A" w:rsidRDefault="008C39B4">
            <w:pPr>
              <w:pBdr>
                <w:top w:val="nil"/>
                <w:left w:val="nil"/>
                <w:bottom w:val="nil"/>
                <w:right w:val="nil"/>
                <w:between w:val="nil"/>
              </w:pBdr>
              <w:spacing w:line="249" w:lineRule="auto"/>
              <w:ind w:left="0" w:hanging="2"/>
              <w:rPr>
                <w:color w:val="000000"/>
              </w:rPr>
            </w:pPr>
            <w:r>
              <w:rPr>
                <w:color w:val="000000"/>
              </w:rPr>
              <w:t xml:space="preserve">not exceed the greater of </w:t>
            </w:r>
            <w:r w:rsidR="00EA2360">
              <w:rPr>
                <w:color w:val="000000"/>
              </w:rPr>
              <w:t>£500,000</w:t>
            </w:r>
            <w:r>
              <w:rPr>
                <w:color w:val="000000"/>
              </w:rPr>
              <w:t xml:space="preserve"> or </w:t>
            </w:r>
            <w:r w:rsidR="00EA2360">
              <w:rPr>
                <w:color w:val="000000"/>
              </w:rPr>
              <w:t>125%</w:t>
            </w:r>
            <w:r>
              <w:rPr>
                <w:color w:val="000000"/>
              </w:rPr>
              <w:t xml:space="preserve">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7459598B" w:rsidR="00A26C2A" w:rsidRDefault="00EA2360">
            <w:pPr>
              <w:pBdr>
                <w:top w:val="nil"/>
                <w:left w:val="nil"/>
                <w:bottom w:val="nil"/>
                <w:right w:val="nil"/>
                <w:between w:val="nil"/>
              </w:pBdr>
              <w:spacing w:line="249" w:lineRule="auto"/>
              <w:ind w:left="0" w:hanging="2"/>
              <w:rPr>
                <w:color w:val="000000"/>
              </w:rPr>
            </w:pPr>
            <w:r>
              <w:rPr>
                <w:color w:val="000000"/>
              </w:rPr>
              <w:t>As per the Supplier Terms.</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7A323CF4" w:rsidR="00A26C2A" w:rsidRDefault="00EA2360">
            <w:pPr>
              <w:pBdr>
                <w:top w:val="nil"/>
                <w:left w:val="nil"/>
                <w:bottom w:val="nil"/>
                <w:right w:val="nil"/>
                <w:between w:val="nil"/>
              </w:pBdr>
              <w:spacing w:line="249" w:lineRule="auto"/>
              <w:ind w:left="0" w:hanging="2"/>
              <w:rPr>
                <w:color w:val="000000"/>
              </w:rPr>
            </w:pPr>
            <w:r>
              <w:rPr>
                <w:color w:val="000000"/>
              </w:rPr>
              <w:t>N/A</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2691B8E7" w:rsidR="00A26C2A" w:rsidRDefault="00EA2360">
            <w:pPr>
              <w:pBdr>
                <w:top w:val="nil"/>
                <w:left w:val="nil"/>
                <w:bottom w:val="nil"/>
                <w:right w:val="nil"/>
                <w:between w:val="nil"/>
              </w:pBdr>
              <w:spacing w:line="249" w:lineRule="auto"/>
              <w:ind w:left="0" w:hanging="2"/>
              <w:rPr>
                <w:color w:val="000000"/>
              </w:rPr>
            </w:pPr>
            <w:r>
              <w:rPr>
                <w:color w:val="000000"/>
              </w:rPr>
              <w:t>N/A</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37CDFBB9" w:rsidR="00A26C2A" w:rsidRDefault="008C39B4">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sidR="00EA2360">
              <w:rPr>
                <w:b/>
                <w:color w:val="000000"/>
              </w:rPr>
              <w:t>BACS.</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75C5F648"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00EA2360">
              <w:rPr>
                <w:color w:val="000000"/>
              </w:rPr>
              <w:t>annually in advance.</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689E411A"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sidR="00EA2360">
              <w:rPr>
                <w:color w:val="000000"/>
              </w:rPr>
              <w:t>annually in advance</w:t>
            </w:r>
            <w:r>
              <w:rPr>
                <w:color w:val="000000"/>
              </w:rPr>
              <w:t>.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D841965" w14:textId="77777777" w:rsidR="006B2368" w:rsidRDefault="008C39B4" w:rsidP="006B2368">
            <w:pPr>
              <w:pStyle w:val="Default"/>
              <w:ind w:left="5" w:hanging="7"/>
            </w:pPr>
            <w:r>
              <w:t>Invoices will be sent to</w:t>
            </w:r>
            <w:r w:rsidR="00185872">
              <w:t xml:space="preserve">  </w:t>
            </w:r>
          </w:p>
          <w:p w14:paraId="5FCF04E7" w14:textId="77777777" w:rsidR="006B2368" w:rsidRDefault="006B2368" w:rsidP="006B2368">
            <w:pPr>
              <w:pStyle w:val="Default"/>
              <w:ind w:left="5" w:hanging="7"/>
            </w:pPr>
            <w:r>
              <w:t xml:space="preserve"> </w:t>
            </w:r>
          </w:p>
          <w:p w14:paraId="23FC05E9" w14:textId="77777777" w:rsidR="006B2368" w:rsidRDefault="006B2368" w:rsidP="006B2368">
            <w:pPr>
              <w:pStyle w:val="Default"/>
              <w:numPr>
                <w:ilvl w:val="1"/>
                <w:numId w:val="53"/>
              </w:numPr>
              <w:ind w:hanging="2"/>
              <w:rPr>
                <w:sz w:val="22"/>
                <w:szCs w:val="22"/>
              </w:rPr>
            </w:pPr>
            <w:r>
              <w:rPr>
                <w:color w:val="FF0000"/>
                <w:sz w:val="22"/>
                <w:szCs w:val="22"/>
              </w:rPr>
              <w:t xml:space="preserve">REDACTED TEXT under FOIA Section 43 Commercial Interests. </w:t>
            </w:r>
          </w:p>
          <w:p w14:paraId="167B7604" w14:textId="77777777" w:rsidR="006B2368" w:rsidRDefault="006B2368" w:rsidP="006B2368">
            <w:pPr>
              <w:pStyle w:val="Default"/>
              <w:numPr>
                <w:ilvl w:val="1"/>
                <w:numId w:val="53"/>
              </w:numPr>
              <w:ind w:hanging="2"/>
              <w:rPr>
                <w:sz w:val="22"/>
                <w:szCs w:val="22"/>
              </w:rPr>
            </w:pPr>
          </w:p>
          <w:p w14:paraId="2EBF1068" w14:textId="196B3E0A" w:rsidR="00A26C2A" w:rsidRDefault="00A26C2A">
            <w:pPr>
              <w:pBdr>
                <w:top w:val="nil"/>
                <w:left w:val="nil"/>
                <w:bottom w:val="nil"/>
                <w:right w:val="nil"/>
                <w:between w:val="nil"/>
              </w:pBdr>
              <w:spacing w:line="249" w:lineRule="auto"/>
              <w:ind w:left="0" w:hanging="2"/>
              <w:rPr>
                <w:color w:val="000000"/>
              </w:rPr>
            </w:pP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6F4DF1AE" w:rsidR="00A26C2A" w:rsidRDefault="008C39B4">
            <w:pPr>
              <w:pBdr>
                <w:top w:val="nil"/>
                <w:left w:val="nil"/>
                <w:bottom w:val="nil"/>
                <w:right w:val="nil"/>
                <w:between w:val="nil"/>
              </w:pBdr>
              <w:spacing w:line="249" w:lineRule="auto"/>
              <w:ind w:left="0" w:hanging="2"/>
              <w:rPr>
                <w:color w:val="000000"/>
              </w:rPr>
            </w:pPr>
            <w:r>
              <w:rPr>
                <w:color w:val="000000"/>
              </w:rPr>
              <w:t>All invoices must include</w:t>
            </w:r>
            <w:r w:rsidR="00185872">
              <w:rPr>
                <w:color w:val="000000"/>
              </w:rPr>
              <w:t xml:space="preserve"> the PO Number and Contract Title</w:t>
            </w:r>
            <w:r>
              <w:rPr>
                <w:color w:val="000000"/>
              </w:rPr>
              <w:t xml:space="preserve"> </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589C1CB0"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EA2360">
              <w:rPr>
                <w:color w:val="000000"/>
              </w:rPr>
              <w:t xml:space="preserve">annually in advance as per the Payment Table provided for in the Supplier Order Form. </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4ABAB23F" w:rsidR="00A26C2A" w:rsidRDefault="008C39B4">
            <w:pPr>
              <w:pBdr>
                <w:top w:val="nil"/>
                <w:left w:val="nil"/>
                <w:bottom w:val="nil"/>
                <w:right w:val="nil"/>
                <w:between w:val="nil"/>
              </w:pBdr>
              <w:spacing w:line="249" w:lineRule="auto"/>
              <w:ind w:left="0" w:hanging="2"/>
              <w:rPr>
                <w:color w:val="000000"/>
              </w:rPr>
            </w:pPr>
            <w:r>
              <w:rPr>
                <w:color w:val="000000"/>
              </w:rPr>
              <w:t>The total value of this Call-Off Contract is</w:t>
            </w:r>
            <w:r w:rsidR="00EA2360">
              <w:rPr>
                <w:color w:val="000000"/>
              </w:rPr>
              <w:t xml:space="preserve"> £</w:t>
            </w:r>
            <w:r w:rsidR="00EA2360" w:rsidRPr="00EA2360">
              <w:rPr>
                <w:color w:val="000000"/>
                <w:lang w:val="en-US"/>
              </w:rPr>
              <w:t>1,155,358</w:t>
            </w:r>
            <w:r w:rsidR="00EA2360">
              <w:rPr>
                <w:color w:val="000000"/>
                <w:lang w:val="en-US"/>
              </w:rPr>
              <w: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EA1103" w14:textId="77777777" w:rsidR="00A26C2A" w:rsidRDefault="008C39B4">
            <w:pPr>
              <w:pBdr>
                <w:top w:val="nil"/>
                <w:left w:val="nil"/>
                <w:bottom w:val="nil"/>
                <w:right w:val="nil"/>
                <w:between w:val="nil"/>
              </w:pBdr>
              <w:spacing w:line="249" w:lineRule="auto"/>
              <w:ind w:left="0" w:hanging="2"/>
              <w:rPr>
                <w:color w:val="000000"/>
              </w:rPr>
            </w:pPr>
            <w:r>
              <w:rPr>
                <w:color w:val="000000"/>
              </w:rPr>
              <w:t>The breakdown of the Charges is</w:t>
            </w:r>
            <w:r w:rsidR="00EA2360">
              <w:rPr>
                <w:color w:val="000000"/>
              </w:rPr>
              <w:t xml:space="preserve"> as per the below payment table: </w:t>
            </w:r>
          </w:p>
          <w:p w14:paraId="6DD788E1" w14:textId="77777777" w:rsidR="001A72E3" w:rsidRDefault="001A72E3" w:rsidP="001A72E3">
            <w:pPr>
              <w:pStyle w:val="Default"/>
              <w:numPr>
                <w:ilvl w:val="1"/>
                <w:numId w:val="53"/>
              </w:numPr>
              <w:ind w:hanging="2"/>
              <w:rPr>
                <w:sz w:val="22"/>
                <w:szCs w:val="22"/>
              </w:rPr>
            </w:pPr>
            <w:r>
              <w:rPr>
                <w:color w:val="FF0000"/>
                <w:sz w:val="22"/>
                <w:szCs w:val="22"/>
              </w:rPr>
              <w:t xml:space="preserve">REDACTED TEXT under FOIA Section 43 Commercial Interests. </w:t>
            </w:r>
          </w:p>
          <w:p w14:paraId="61BF50A1" w14:textId="19CA7FDF" w:rsidR="00EA2360" w:rsidRDefault="00EA2360">
            <w:pPr>
              <w:pBdr>
                <w:top w:val="nil"/>
                <w:left w:val="nil"/>
                <w:bottom w:val="nil"/>
                <w:right w:val="nil"/>
                <w:between w:val="nil"/>
              </w:pBdr>
              <w:spacing w:line="249" w:lineRule="auto"/>
              <w:ind w:left="0" w:hanging="2"/>
              <w:rPr>
                <w:color w:val="000000"/>
              </w:rPr>
            </w:pP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75ABF20" w14:textId="43E61EB3" w:rsidR="00BA236B" w:rsidRDefault="008C39B4" w:rsidP="00BA236B">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457C84EA" w14:textId="45435A25" w:rsidR="00BA236B" w:rsidRPr="00BA236B" w:rsidRDefault="00BA236B" w:rsidP="00BA236B">
            <w:pPr>
              <w:pBdr>
                <w:top w:val="nil"/>
                <w:left w:val="nil"/>
                <w:bottom w:val="nil"/>
                <w:right w:val="nil"/>
                <w:between w:val="nil"/>
              </w:pBdr>
              <w:spacing w:after="268" w:line="276" w:lineRule="auto"/>
              <w:ind w:left="0" w:hanging="2"/>
              <w:rPr>
                <w:color w:val="000000"/>
              </w:rPr>
            </w:pPr>
            <w:r>
              <w:rPr>
                <w:color w:val="000000"/>
              </w:rPr>
              <w:t>N/A</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7B3D0D43" w:rsidR="00A26C2A" w:rsidRDefault="00BA236B">
            <w:pPr>
              <w:pBdr>
                <w:top w:val="nil"/>
                <w:left w:val="nil"/>
                <w:bottom w:val="nil"/>
                <w:right w:val="nil"/>
                <w:between w:val="nil"/>
              </w:pBdr>
              <w:spacing w:line="249" w:lineRule="auto"/>
              <w:ind w:left="0" w:hanging="2"/>
              <w:rPr>
                <w:color w:val="000000"/>
              </w:rPr>
            </w:pPr>
            <w:r>
              <w:rPr>
                <w:color w:val="000000"/>
              </w:rPr>
              <w:t>N/A</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77B39851" w:rsidR="00A26C2A" w:rsidRDefault="008C39B4">
            <w:pPr>
              <w:pBdr>
                <w:top w:val="nil"/>
                <w:left w:val="nil"/>
                <w:bottom w:val="nil"/>
                <w:right w:val="nil"/>
                <w:between w:val="nil"/>
              </w:pBdr>
              <w:spacing w:line="249" w:lineRule="auto"/>
              <w:ind w:left="0" w:hanging="2"/>
              <w:rPr>
                <w:color w:val="000000"/>
              </w:rPr>
            </w:pPr>
            <w:r>
              <w:rPr>
                <w:color w:val="000000"/>
              </w:rPr>
              <w:t xml:space="preserve">In addition to the incorporated Framework Agreement clause 2.3, the </w:t>
            </w:r>
            <w:r w:rsidR="00BA236B">
              <w:rPr>
                <w:color w:val="000000"/>
              </w:rPr>
              <w:t xml:space="preserve">warranties provided in the Supplier Terms shall apply. </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7A58305C" w:rsidR="00A26C2A" w:rsidRDefault="00DB3D75">
            <w:pPr>
              <w:pBdr>
                <w:top w:val="nil"/>
                <w:left w:val="nil"/>
                <w:bottom w:val="nil"/>
                <w:right w:val="nil"/>
                <w:between w:val="nil"/>
              </w:pBdr>
              <w:spacing w:line="249" w:lineRule="auto"/>
              <w:ind w:left="0" w:hanging="2"/>
              <w:rPr>
                <w:color w:val="000000"/>
              </w:rPr>
            </w:pPr>
            <w:r>
              <w:rPr>
                <w:color w:val="000000"/>
              </w:rPr>
              <w:t xml:space="preserve">The Supplier will meet the requirements as set </w:t>
            </w:r>
            <w:r w:rsidRPr="00A44AE8">
              <w:rPr>
                <w:color w:val="000000"/>
              </w:rPr>
              <w:t xml:space="preserve">out in </w:t>
            </w:r>
            <w:r w:rsidR="00185872" w:rsidRPr="00A44AE8">
              <w:rPr>
                <w:color w:val="000000"/>
              </w:rPr>
              <w:t xml:space="preserve">Appendix A - </w:t>
            </w:r>
            <w:r w:rsidR="00185872" w:rsidRPr="002D3A0E">
              <w:rPr>
                <w:color w:val="000000"/>
              </w:rPr>
              <w:t>Workday Universal Security Exhibit</w:t>
            </w:r>
            <w:r w:rsidR="00E85EC4">
              <w:rPr>
                <w:color w:val="000000"/>
              </w:rPr>
              <w:t xml:space="preserve">.  </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593EB18C" w:rsidR="00A26C2A" w:rsidRDefault="00BA236B">
            <w:pPr>
              <w:pBdr>
                <w:top w:val="nil"/>
                <w:left w:val="nil"/>
                <w:bottom w:val="nil"/>
                <w:right w:val="nil"/>
                <w:between w:val="nil"/>
              </w:pBdr>
              <w:spacing w:line="249" w:lineRule="auto"/>
              <w:ind w:left="0" w:hanging="2"/>
              <w:rPr>
                <w:color w:val="000000"/>
              </w:rPr>
            </w:pPr>
            <w:r>
              <w:rPr>
                <w:color w:val="000000"/>
              </w:rPr>
              <w:t>N/A</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43E03F98" w:rsidR="00A26C2A" w:rsidRDefault="00BA236B">
            <w:pPr>
              <w:pBdr>
                <w:top w:val="nil"/>
                <w:left w:val="nil"/>
                <w:bottom w:val="nil"/>
                <w:right w:val="nil"/>
                <w:between w:val="nil"/>
              </w:pBdr>
              <w:spacing w:line="249" w:lineRule="auto"/>
              <w:ind w:left="0" w:hanging="2"/>
              <w:rPr>
                <w:color w:val="000000"/>
              </w:rPr>
            </w:pPr>
            <w:r>
              <w:rPr>
                <w:color w:val="000000"/>
              </w:rPr>
              <w:t>N/A</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5C09B639" w:rsidR="00A26C2A" w:rsidRDefault="008C39B4" w:rsidP="0091273D">
            <w:pPr>
              <w:pBdr>
                <w:top w:val="nil"/>
                <w:left w:val="nil"/>
                <w:bottom w:val="nil"/>
                <w:right w:val="nil"/>
                <w:between w:val="nil"/>
              </w:pBdr>
              <w:spacing w:after="46" w:line="249" w:lineRule="auto"/>
              <w:ind w:left="0" w:hanging="2"/>
              <w:rPr>
                <w:color w:val="000000"/>
              </w:rPr>
            </w:pPr>
            <w:r>
              <w:rPr>
                <w:color w:val="000000"/>
              </w:rPr>
              <w:t>Annex 1</w:t>
            </w:r>
            <w:r w:rsidR="00185872">
              <w:rPr>
                <w:color w:val="000000"/>
              </w:rPr>
              <w:t xml:space="preserve"> </w:t>
            </w:r>
            <w:r>
              <w:rPr>
                <w:color w:val="000000"/>
              </w:rPr>
              <w:t>of</w:t>
            </w:r>
            <w:r w:rsidR="00185872">
              <w:rPr>
                <w:color w:val="000000"/>
              </w:rPr>
              <w:t xml:space="preserve"> </w:t>
            </w:r>
            <w:r>
              <w:rPr>
                <w:color w:val="000000"/>
              </w:rPr>
              <w:t>Schedule 7 is being used</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5FF03A83" w:rsidR="00A26C2A" w:rsidRDefault="00BA236B">
            <w:pPr>
              <w:pBdr>
                <w:top w:val="nil"/>
                <w:left w:val="nil"/>
                <w:bottom w:val="nil"/>
                <w:right w:val="nil"/>
                <w:between w:val="nil"/>
              </w:pBdr>
              <w:spacing w:line="249" w:lineRule="auto"/>
              <w:ind w:left="0" w:hanging="2"/>
              <w:rPr>
                <w:color w:val="000000"/>
              </w:rPr>
            </w:pPr>
            <w:r>
              <w:rPr>
                <w:color w:val="000000"/>
              </w:rPr>
              <w:t xml:space="preserve">As set out in the Supplier Terms </w:t>
            </w:r>
          </w:p>
        </w:tc>
      </w:tr>
      <w:tr w:rsidR="00185872"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185872" w:rsidRDefault="00185872" w:rsidP="00185872">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7BA0A29D" w:rsidR="00185872" w:rsidRDefault="00185872" w:rsidP="0091273D">
            <w:pPr>
              <w:pBdr>
                <w:top w:val="nil"/>
                <w:left w:val="nil"/>
                <w:bottom w:val="nil"/>
                <w:right w:val="nil"/>
                <w:between w:val="nil"/>
              </w:pBdr>
              <w:spacing w:line="249" w:lineRule="auto"/>
              <w:ind w:left="-2" w:firstLineChars="0" w:firstLine="0"/>
              <w:rPr>
                <w:color w:val="000000"/>
              </w:rPr>
            </w:pPr>
            <w:r w:rsidRPr="002F0530">
              <w:rPr>
                <w:color w:val="000000"/>
              </w:rPr>
              <w:t>As per the Supplier’s G-Cloud Service listings</w:t>
            </w:r>
            <w:r>
              <w:rPr>
                <w:color w:val="000000"/>
              </w:rPr>
              <w:t xml:space="preserve"> on the Digital Marketplace - </w:t>
            </w:r>
            <w:r w:rsidRPr="002F0530">
              <w:rPr>
                <w:color w:val="000000"/>
              </w:rPr>
              <w:t>https://www.applytosupply.digitalmarketplace.service.gov.uk/g-cloud/services/332738008670764</w:t>
            </w:r>
            <w:r w:rsidRPr="002F0530" w:rsidDel="002F0530">
              <w:rPr>
                <w:color w:val="000000"/>
              </w:rPr>
              <w:t xml:space="preserve"> </w:t>
            </w:r>
          </w:p>
        </w:tc>
      </w:tr>
      <w:tr w:rsidR="00185872"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185872" w:rsidRDefault="00185872" w:rsidP="00185872">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64E9B167" w:rsidR="00185872" w:rsidRDefault="00185872" w:rsidP="00185872">
            <w:pPr>
              <w:pBdr>
                <w:top w:val="nil"/>
                <w:left w:val="nil"/>
                <w:bottom w:val="nil"/>
                <w:right w:val="nil"/>
                <w:between w:val="nil"/>
              </w:pBdr>
              <w:spacing w:line="249" w:lineRule="auto"/>
              <w:ind w:left="0" w:hanging="2"/>
              <w:rPr>
                <w:color w:val="000000"/>
              </w:rPr>
            </w:pPr>
            <w:r>
              <w:rPr>
                <w:color w:val="000000"/>
              </w:rPr>
              <w:t>N/A</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tbl>
            <w:tblPr>
              <w:tblW w:w="3192" w:type="dxa"/>
              <w:tblBorders>
                <w:top w:val="nil"/>
                <w:left w:val="nil"/>
                <w:bottom w:val="nil"/>
                <w:right w:val="nil"/>
              </w:tblBorders>
              <w:tblLayout w:type="fixed"/>
              <w:tblLook w:val="0000" w:firstRow="0" w:lastRow="0" w:firstColumn="0" w:lastColumn="0" w:noHBand="0" w:noVBand="0"/>
            </w:tblPr>
            <w:tblGrid>
              <w:gridCol w:w="3192"/>
            </w:tblGrid>
            <w:tr w:rsidR="006B2368" w:rsidRPr="006B2368" w14:paraId="3CF32C7B" w14:textId="77777777" w:rsidTr="006B2368">
              <w:trPr>
                <w:trHeight w:val="103"/>
              </w:trPr>
              <w:tc>
                <w:tcPr>
                  <w:tcW w:w="3192" w:type="dxa"/>
                </w:tcPr>
                <w:p w14:paraId="0DDB9BC2" w14:textId="0E867E02" w:rsidR="006B2368" w:rsidRPr="006B2368" w:rsidRDefault="006B2368" w:rsidP="006B2368">
                  <w:pPr>
                    <w:autoSpaceDE w:val="0"/>
                    <w:autoSpaceDN w:val="0"/>
                    <w:adjustRightInd w:val="0"/>
                    <w:spacing w:line="240" w:lineRule="auto"/>
                    <w:ind w:leftChars="0" w:left="0" w:firstLineChars="0" w:firstLine="0"/>
                    <w:textAlignment w:val="auto"/>
                    <w:outlineLvl w:val="9"/>
                    <w:rPr>
                      <w:color w:val="000000"/>
                      <w:position w:val="0"/>
                    </w:rPr>
                  </w:pPr>
                  <w:r w:rsidRPr="006B2368">
                    <w:rPr>
                      <w:color w:val="FF0000"/>
                      <w:position w:val="0"/>
                    </w:rPr>
                    <w:t xml:space="preserve">REDACTED TEXT under FOIA Section 40, Personal Information. </w:t>
                  </w:r>
                </w:p>
              </w:tc>
            </w:tr>
          </w:tbl>
          <w:p w14:paraId="22478DFD" w14:textId="5787CED3"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67F20F7A" w:rsidR="00A26C2A" w:rsidRDefault="006B2368">
            <w:pPr>
              <w:pBdr>
                <w:top w:val="nil"/>
                <w:left w:val="nil"/>
                <w:bottom w:val="nil"/>
                <w:right w:val="nil"/>
                <w:between w:val="nil"/>
              </w:pBdr>
              <w:spacing w:line="249" w:lineRule="auto"/>
              <w:ind w:left="0" w:hanging="2"/>
              <w:rPr>
                <w:color w:val="000000"/>
              </w:rPr>
            </w:pPr>
            <w:r w:rsidRPr="006B2368">
              <w:rPr>
                <w:color w:val="FF0000"/>
                <w:position w:val="0"/>
              </w:rPr>
              <w:t>REDACTED TEXT under FOIA Section 40, Personal Information.</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tbl>
            <w:tblPr>
              <w:tblW w:w="3192" w:type="dxa"/>
              <w:tblBorders>
                <w:top w:val="nil"/>
                <w:left w:val="nil"/>
                <w:bottom w:val="nil"/>
                <w:right w:val="nil"/>
              </w:tblBorders>
              <w:tblLayout w:type="fixed"/>
              <w:tblLook w:val="0000" w:firstRow="0" w:lastRow="0" w:firstColumn="0" w:lastColumn="0" w:noHBand="0" w:noVBand="0"/>
            </w:tblPr>
            <w:tblGrid>
              <w:gridCol w:w="3192"/>
            </w:tblGrid>
            <w:tr w:rsidR="006B2368" w:rsidRPr="006B2368" w14:paraId="7A84732C" w14:textId="77777777" w:rsidTr="006B2368">
              <w:trPr>
                <w:trHeight w:val="103"/>
              </w:trPr>
              <w:tc>
                <w:tcPr>
                  <w:tcW w:w="3192" w:type="dxa"/>
                </w:tcPr>
                <w:p w14:paraId="3DB8EDB8" w14:textId="589CCEE5" w:rsidR="006B2368" w:rsidRPr="006B2368" w:rsidRDefault="006B2368" w:rsidP="006B2368">
                  <w:pPr>
                    <w:autoSpaceDE w:val="0"/>
                    <w:autoSpaceDN w:val="0"/>
                    <w:adjustRightInd w:val="0"/>
                    <w:spacing w:line="240" w:lineRule="auto"/>
                    <w:ind w:leftChars="0" w:left="0" w:firstLineChars="0" w:firstLine="0"/>
                    <w:textAlignment w:val="auto"/>
                    <w:outlineLvl w:val="9"/>
                    <w:rPr>
                      <w:color w:val="000000"/>
                      <w:position w:val="0"/>
                    </w:rPr>
                  </w:pPr>
                  <w:r w:rsidRPr="006B2368">
                    <w:rPr>
                      <w:color w:val="FF0000"/>
                      <w:position w:val="0"/>
                    </w:rPr>
                    <w:t xml:space="preserve">REDACTED TEXT under FOIA Section 40, Personal Information. </w:t>
                  </w:r>
                </w:p>
              </w:tc>
            </w:tr>
          </w:tbl>
          <w:p w14:paraId="00324068" w14:textId="10164B93"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4C48A26C" w:rsidR="00A26C2A" w:rsidRDefault="006B2368">
            <w:pPr>
              <w:pBdr>
                <w:top w:val="nil"/>
                <w:left w:val="nil"/>
                <w:bottom w:val="nil"/>
                <w:right w:val="nil"/>
                <w:between w:val="nil"/>
              </w:pBdr>
              <w:spacing w:line="249" w:lineRule="auto"/>
              <w:ind w:left="0" w:hanging="2"/>
              <w:rPr>
                <w:color w:val="000000"/>
              </w:rPr>
            </w:pPr>
            <w:r w:rsidRPr="006B2368">
              <w:rPr>
                <w:color w:val="FF0000"/>
                <w:position w:val="0"/>
              </w:rPr>
              <w:t>REDACTED TEXT under FOIA Section 40, Personal Information.</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tbl>
            <w:tblPr>
              <w:tblW w:w="3050" w:type="dxa"/>
              <w:tblBorders>
                <w:top w:val="nil"/>
                <w:left w:val="nil"/>
                <w:bottom w:val="nil"/>
                <w:right w:val="nil"/>
              </w:tblBorders>
              <w:tblLayout w:type="fixed"/>
              <w:tblLook w:val="0000" w:firstRow="0" w:lastRow="0" w:firstColumn="0" w:lastColumn="0" w:noHBand="0" w:noVBand="0"/>
            </w:tblPr>
            <w:tblGrid>
              <w:gridCol w:w="3050"/>
            </w:tblGrid>
            <w:tr w:rsidR="006B2368" w:rsidRPr="006B2368" w14:paraId="7A62C4A7" w14:textId="77777777" w:rsidTr="006B2368">
              <w:trPr>
                <w:trHeight w:val="103"/>
              </w:trPr>
              <w:tc>
                <w:tcPr>
                  <w:tcW w:w="3050" w:type="dxa"/>
                </w:tcPr>
                <w:p w14:paraId="3E9F2532" w14:textId="03F48B06" w:rsidR="006B2368" w:rsidRPr="006B2368" w:rsidRDefault="008C39B4" w:rsidP="006B2368">
                  <w:pPr>
                    <w:autoSpaceDE w:val="0"/>
                    <w:autoSpaceDN w:val="0"/>
                    <w:adjustRightInd w:val="0"/>
                    <w:spacing w:line="240" w:lineRule="auto"/>
                    <w:ind w:leftChars="0" w:left="0" w:firstLineChars="0" w:firstLine="0"/>
                    <w:textAlignment w:val="auto"/>
                    <w:outlineLvl w:val="9"/>
                    <w:rPr>
                      <w:color w:val="000000"/>
                      <w:position w:val="0"/>
                    </w:rPr>
                  </w:pPr>
                  <w:r>
                    <w:rPr>
                      <w:color w:val="000000"/>
                    </w:rPr>
                    <w:t xml:space="preserve"> </w:t>
                  </w:r>
                  <w:r w:rsidR="006B2368" w:rsidRPr="006B2368">
                    <w:rPr>
                      <w:color w:val="FF0000"/>
                      <w:position w:val="0"/>
                    </w:rPr>
                    <w:t xml:space="preserve">REDACTED TEXT under FOIA Section 40, Personal Information. </w:t>
                  </w:r>
                </w:p>
              </w:tc>
            </w:tr>
          </w:tbl>
          <w:p w14:paraId="5E9AFA25" w14:textId="3A1F4489"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2CAEA14B" w:rsidR="00A26C2A" w:rsidRDefault="006B2368">
            <w:pPr>
              <w:pBdr>
                <w:top w:val="nil"/>
                <w:left w:val="nil"/>
                <w:bottom w:val="nil"/>
                <w:right w:val="nil"/>
                <w:between w:val="nil"/>
              </w:pBdr>
              <w:spacing w:line="249" w:lineRule="auto"/>
              <w:ind w:left="0" w:hanging="2"/>
              <w:rPr>
                <w:color w:val="000000"/>
              </w:rPr>
            </w:pPr>
            <w:r w:rsidRPr="006B2368">
              <w:rPr>
                <w:color w:val="FF0000"/>
                <w:position w:val="0"/>
              </w:rPr>
              <w:t>REDACTED TEXT under FOIA Section 40, Personal Information.</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70B8321" w14:textId="77777777" w:rsidR="006B2368" w:rsidRPr="006B2368" w:rsidRDefault="006B2368" w:rsidP="006B2368">
            <w:pPr>
              <w:autoSpaceDE w:val="0"/>
              <w:autoSpaceDN w:val="0"/>
              <w:adjustRightInd w:val="0"/>
              <w:spacing w:line="240" w:lineRule="auto"/>
              <w:ind w:leftChars="0" w:left="0" w:firstLineChars="0" w:firstLine="0"/>
              <w:textDirection w:val="lrTb"/>
              <w:textAlignment w:val="auto"/>
              <w:outlineLvl w:val="9"/>
              <w:rPr>
                <w:color w:val="000000"/>
                <w:positio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192"/>
            </w:tblGrid>
            <w:tr w:rsidR="006B2368" w:rsidRPr="006B2368" w14:paraId="7405B00E" w14:textId="77777777" w:rsidTr="006B2368">
              <w:trPr>
                <w:trHeight w:val="103"/>
              </w:trPr>
              <w:tc>
                <w:tcPr>
                  <w:tcW w:w="3192" w:type="dxa"/>
                </w:tcPr>
                <w:p w14:paraId="7FB23E1C" w14:textId="77777777" w:rsidR="006B2368" w:rsidRPr="006B2368" w:rsidRDefault="006B2368" w:rsidP="006B2368">
                  <w:pPr>
                    <w:autoSpaceDE w:val="0"/>
                    <w:autoSpaceDN w:val="0"/>
                    <w:adjustRightInd w:val="0"/>
                    <w:spacing w:line="240" w:lineRule="auto"/>
                    <w:ind w:leftChars="0" w:left="0" w:firstLineChars="0" w:firstLine="0"/>
                    <w:textAlignment w:val="auto"/>
                    <w:outlineLvl w:val="9"/>
                    <w:rPr>
                      <w:color w:val="000000"/>
                      <w:position w:val="0"/>
                    </w:rPr>
                  </w:pPr>
                  <w:r w:rsidRPr="006B2368">
                    <w:rPr>
                      <w:color w:val="000000"/>
                      <w:position w:val="0"/>
                      <w:sz w:val="24"/>
                      <w:szCs w:val="24"/>
                    </w:rPr>
                    <w:t xml:space="preserve"> </w:t>
                  </w:r>
                  <w:r w:rsidRPr="006B2368">
                    <w:rPr>
                      <w:color w:val="FF0000"/>
                      <w:position w:val="0"/>
                    </w:rPr>
                    <w:t xml:space="preserve">REDACTED TEXT under FOIA Section 40, Personal Information. </w:t>
                  </w:r>
                </w:p>
              </w:tc>
            </w:tr>
          </w:tbl>
          <w:p w14:paraId="7141876A" w14:textId="33F92F4B"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263725B7" w:rsidR="00A26C2A" w:rsidRDefault="006B2368">
            <w:pPr>
              <w:pBdr>
                <w:top w:val="nil"/>
                <w:left w:val="nil"/>
                <w:bottom w:val="nil"/>
                <w:right w:val="nil"/>
                <w:between w:val="nil"/>
              </w:pBdr>
              <w:spacing w:line="249" w:lineRule="auto"/>
              <w:ind w:left="0" w:hanging="2"/>
              <w:rPr>
                <w:color w:val="000000"/>
              </w:rPr>
            </w:pPr>
            <w:r w:rsidRPr="006B2368">
              <w:rPr>
                <w:color w:val="FF0000"/>
                <w:position w:val="0"/>
              </w:rPr>
              <w:t>REDACTED TEXT under FOIA Section 40, Personal Information.</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CE127AE" w14:textId="351DB848" w:rsidR="00BA236B" w:rsidRDefault="00BA236B"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2.3       The Supplier provided a Supplier Order Form to the Buyer.</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0">
        <w:r>
          <w:rPr>
            <w:color w:val="1155CC"/>
            <w:u w:val="single"/>
          </w:rPr>
          <w:t>G-Cloud 14 Customer Benefit Record</w:t>
        </w:r>
      </w:hyperlink>
      <w:r>
        <w:rPr>
          <w:color w:val="000000"/>
        </w:rPr>
        <w:tab/>
      </w:r>
    </w:p>
    <w:p w14:paraId="34B5612E" w14:textId="77777777" w:rsidR="0063203E" w:rsidRDefault="0063203E">
      <w:pPr>
        <w:spacing w:line="240" w:lineRule="auto"/>
        <w:ind w:leftChars="0" w:left="0" w:firstLineChars="0"/>
        <w:textDirection w:val="lrTb"/>
        <w:textAlignment w:val="auto"/>
        <w:outlineLvl w:val="9"/>
        <w:rPr>
          <w:color w:val="000000"/>
          <w:sz w:val="32"/>
        </w:rPr>
      </w:pPr>
      <w:bookmarkStart w:id="4" w:name="_heading=h.xqn1uvg8qvre" w:colFirst="0" w:colLast="0"/>
      <w:bookmarkStart w:id="5" w:name="_Part_B:_Terms"/>
      <w:bookmarkEnd w:id="4"/>
      <w:bookmarkEnd w:id="5"/>
      <w:r>
        <w:br w:type="page"/>
      </w:r>
    </w:p>
    <w:p w14:paraId="3BE8C090" w14:textId="34DA45D2" w:rsidR="00A26C2A" w:rsidRPr="00CE5D49" w:rsidRDefault="008C39B4" w:rsidP="00CE5D49">
      <w:pPr>
        <w:pStyle w:val="Heading2"/>
        <w:ind w:left="1" w:hanging="3"/>
      </w:pPr>
      <w:r w:rsidRPr="00CE5D49">
        <w:lastRenderedPageBreak/>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lastRenderedPageBreak/>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lastRenderedPageBreak/>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lastRenderedPageBreak/>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lastRenderedPageBreak/>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lastRenderedPageBreak/>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A416F0"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A416F0" w:rsidP="00B55BBC">
      <w:pPr>
        <w:pBdr>
          <w:top w:val="nil"/>
          <w:left w:val="nil"/>
          <w:bottom w:val="nil"/>
          <w:right w:val="nil"/>
          <w:between w:val="nil"/>
        </w:pBdr>
        <w:spacing w:after="344" w:line="249" w:lineRule="auto"/>
        <w:ind w:leftChars="0" w:left="0" w:firstLineChars="0" w:firstLine="720"/>
        <w:rPr>
          <w:color w:val="000000"/>
        </w:rPr>
      </w:pPr>
      <w:hyperlink r:id="rId18" w:history="1">
        <w:r w:rsidR="00B55BBC"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lastRenderedPageBreak/>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A416F0">
      <w:pPr>
        <w:pBdr>
          <w:top w:val="nil"/>
          <w:left w:val="nil"/>
          <w:bottom w:val="nil"/>
          <w:right w:val="nil"/>
          <w:between w:val="nil"/>
        </w:pBdr>
        <w:spacing w:after="27" w:line="249" w:lineRule="auto"/>
        <w:ind w:left="0" w:hanging="2"/>
        <w:rPr>
          <w:color w:val="000000"/>
        </w:rPr>
      </w:pPr>
      <w:hyperlink r:id="rId21">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A416F0">
      <w:pPr>
        <w:pBdr>
          <w:top w:val="nil"/>
          <w:left w:val="nil"/>
          <w:bottom w:val="nil"/>
          <w:right w:val="nil"/>
          <w:between w:val="nil"/>
        </w:pBdr>
        <w:spacing w:after="347" w:line="249" w:lineRule="auto"/>
        <w:ind w:left="0" w:hanging="2"/>
        <w:rPr>
          <w:color w:val="000000"/>
        </w:rPr>
      </w:pPr>
      <w:hyperlink r:id="rId22">
        <w:r w:rsidR="008C39B4">
          <w:rPr>
            <w:color w:val="0563C1"/>
            <w:u w:val="single"/>
          </w:rPr>
          <w:t>https://www.ncsc.gov.uk/guidance/10-steps-cyber-security</w:t>
        </w:r>
      </w:hyperlink>
      <w:hyperlink r:id="rId23">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5C8B4F2E"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r>
      <w:proofErr w:type="spellStart"/>
      <w:r w:rsidR="0091273D">
        <w:rPr>
          <w:color w:val="000000"/>
        </w:rPr>
        <w:t>iinvoice</w:t>
      </w:r>
      <w:proofErr w:type="spellEnd"/>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 xml:space="preserve">destroy all copies of the Buyer Data when they receive the Buyer’s written instructions to do so or 12 calendar months after the End or Expiry Date, and provide </w:t>
      </w:r>
      <w:r w:rsidR="008C39B4">
        <w:rPr>
          <w:color w:val="000000"/>
        </w:rPr>
        <w:lastRenderedPageBreak/>
        <w:t>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lastRenderedPageBreak/>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w:t>
      </w:r>
      <w:r>
        <w:rPr>
          <w:color w:val="000000"/>
        </w:rPr>
        <w:lastRenderedPageBreak/>
        <w:t>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t xml:space="preserve">29.8 </w:t>
      </w:r>
      <w:r>
        <w:rPr>
          <w:color w:val="000000"/>
        </w:rPr>
        <w:tab/>
      </w:r>
      <w:r w:rsidR="008C39B4">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lastRenderedPageBreak/>
        <w:t>Schedule 1: Services</w:t>
      </w:r>
    </w:p>
    <w:p w14:paraId="622CF05A" w14:textId="18A6EB4C" w:rsidR="00C40953" w:rsidRDefault="005D2EC1">
      <w:pPr>
        <w:pBdr>
          <w:top w:val="nil"/>
          <w:left w:val="nil"/>
          <w:bottom w:val="nil"/>
          <w:right w:val="nil"/>
          <w:between w:val="nil"/>
        </w:pBdr>
        <w:tabs>
          <w:tab w:val="center" w:pos="1688"/>
          <w:tab w:val="center" w:pos="5137"/>
        </w:tabs>
        <w:spacing w:after="250" w:line="254" w:lineRule="auto"/>
        <w:ind w:left="0" w:hanging="2"/>
        <w:rPr>
          <w:color w:val="000000"/>
        </w:rPr>
      </w:pPr>
      <w:r w:rsidRPr="005D2EC1">
        <w:rPr>
          <w:noProof/>
          <w:color w:val="000000"/>
        </w:rPr>
        <w:drawing>
          <wp:inline distT="0" distB="0" distL="0" distR="0" wp14:anchorId="569D8705" wp14:editId="615EC9FD">
            <wp:extent cx="5741035" cy="3732530"/>
            <wp:effectExtent l="0" t="0" r="0" b="1270"/>
            <wp:docPr id="1705564492"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64492" name="Picture 1" descr="A document with text on it&#10;&#10;AI-generated content may be incorrect."/>
                    <pic:cNvPicPr/>
                  </pic:nvPicPr>
                  <pic:blipFill>
                    <a:blip r:embed="rId24"/>
                    <a:stretch>
                      <a:fillRect/>
                    </a:stretch>
                  </pic:blipFill>
                  <pic:spPr>
                    <a:xfrm>
                      <a:off x="0" y="0"/>
                      <a:ext cx="5741035" cy="3732530"/>
                    </a:xfrm>
                    <a:prstGeom prst="rect">
                      <a:avLst/>
                    </a:prstGeom>
                  </pic:spPr>
                </pic:pic>
              </a:graphicData>
            </a:graphic>
          </wp:inline>
        </w:drawing>
      </w: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339D1143" w:rsidR="00A26C2A" w:rsidRDefault="008C39B4">
      <w:pPr>
        <w:pBdr>
          <w:top w:val="nil"/>
          <w:left w:val="nil"/>
          <w:bottom w:val="nil"/>
          <w:right w:val="nil"/>
          <w:between w:val="nil"/>
        </w:pBdr>
        <w:spacing w:after="250" w:line="254" w:lineRule="auto"/>
        <w:ind w:left="0" w:right="3672" w:hanging="2"/>
        <w:rPr>
          <w:i/>
          <w:color w:val="000000"/>
        </w:rPr>
      </w:pPr>
      <w:r>
        <w:rPr>
          <w:color w:val="000000"/>
        </w:rPr>
        <w:tab/>
      </w:r>
    </w:p>
    <w:p w14:paraId="2BAC1779" w14:textId="77777777" w:rsidR="001A72E3" w:rsidRDefault="001A72E3" w:rsidP="001A72E3">
      <w:pPr>
        <w:pStyle w:val="Default"/>
        <w:numPr>
          <w:ilvl w:val="1"/>
          <w:numId w:val="53"/>
        </w:numPr>
        <w:ind w:hanging="2"/>
        <w:rPr>
          <w:sz w:val="22"/>
          <w:szCs w:val="22"/>
        </w:rPr>
      </w:pPr>
      <w:r>
        <w:rPr>
          <w:color w:val="FF0000"/>
          <w:sz w:val="22"/>
          <w:szCs w:val="22"/>
        </w:rPr>
        <w:t xml:space="preserve">REDACTED TEXT under FOIA Section 43 Commercial Interests. </w:t>
      </w:r>
    </w:p>
    <w:p w14:paraId="7C45428E" w14:textId="77777777" w:rsidR="005D2EC1" w:rsidRDefault="005D2EC1">
      <w:pPr>
        <w:pBdr>
          <w:top w:val="nil"/>
          <w:left w:val="nil"/>
          <w:bottom w:val="nil"/>
          <w:right w:val="nil"/>
          <w:between w:val="nil"/>
        </w:pBdr>
        <w:spacing w:after="250" w:line="254" w:lineRule="auto"/>
        <w:ind w:left="0" w:right="3672" w:hanging="2"/>
        <w:rPr>
          <w:color w:val="000000"/>
        </w:rPr>
      </w:pP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BD30432" w14:textId="516EC1D5" w:rsidR="00A26C2A" w:rsidRPr="00C40953" w:rsidRDefault="008C39B4" w:rsidP="00C40953">
      <w:pPr>
        <w:pStyle w:val="Heading2"/>
        <w:ind w:left="1" w:hanging="3"/>
      </w:pPr>
      <w:bookmarkStart w:id="12" w:name="_heading=h.hc8fz0ymozga" w:colFirst="0" w:colLast="0"/>
      <w:bookmarkStart w:id="13" w:name="_Schedule_3:_Collaboration"/>
      <w:bookmarkEnd w:id="12"/>
      <w:bookmarkEnd w:id="13"/>
      <w:r w:rsidRPr="00C40953">
        <w:t>Schedule 3: Collaboration agreement</w:t>
      </w:r>
      <w:r w:rsidR="005D2EC1">
        <w:t xml:space="preserve"> (not being used) </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lastRenderedPageBreak/>
        <w:t>[Company name] a company incorporated in [company address] under [registration number], whose registered office is at [registered address]</w:t>
      </w:r>
    </w:p>
    <w:p w14:paraId="60C496B5"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7A243C13"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lastRenderedPageBreak/>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lastRenderedPageBreak/>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lastRenderedPageBreak/>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lastRenderedPageBreak/>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lastRenderedPageBreak/>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lastRenderedPageBreak/>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 xml:space="preserve">Each of the parties agrees that in entering into this Agreement and the documents and agreements referred to in it does not rely on, and will have no </w:t>
      </w:r>
      <w:r>
        <w:rPr>
          <w:color w:val="000000"/>
        </w:rPr>
        <w:lastRenderedPageBreak/>
        <w:t>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lastRenderedPageBreak/>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lastRenderedPageBreak/>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4" w:name="_heading=h.8rcq6kdxexjg" w:colFirst="0" w:colLast="0"/>
      <w:bookmarkEnd w:id="14"/>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01D89C40" w:rsidR="00A26C2A" w:rsidRPr="00716E61" w:rsidRDefault="008C39B4" w:rsidP="00716E61">
      <w:pPr>
        <w:pStyle w:val="Heading2"/>
        <w:ind w:left="1" w:hanging="3"/>
      </w:pPr>
      <w:bookmarkStart w:id="15" w:name="_Schedule_4:_Alternative"/>
      <w:bookmarkEnd w:id="15"/>
      <w:r w:rsidRPr="00716E61">
        <w:t>Schedule 4: Alternative clauses</w:t>
      </w:r>
      <w:r w:rsidR="005D2EC1">
        <w:t xml:space="preserve"> </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lastRenderedPageBreak/>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 xml:space="preserve">any finding of unlawful discrimination (or any offence under the Legislation mentioned in clause 2.3 above) being made against the Supplier or its </w:t>
      </w:r>
      <w:r w:rsidR="008C39B4">
        <w:rPr>
          <w:color w:val="000000"/>
        </w:rPr>
        <w:lastRenderedPageBreak/>
        <w:t>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6" w:name="_Schedule_5:_Guarantee"/>
      <w:bookmarkEnd w:id="16"/>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[A Guarantee should only be requested if the Supplier’s financial standing is not enough on its own to guarantee delivery of the Services. This is a draft form of guarantee which can be </w:t>
      </w:r>
      <w:r>
        <w:rPr>
          <w:color w:val="000000"/>
        </w:rPr>
        <w:lastRenderedPageBreak/>
        <w:t>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41E0D23"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Obligation to enter into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lastRenderedPageBreak/>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Obligation to enter into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lastRenderedPageBreak/>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1"/>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34AB92DE"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45AC0267"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will be a continuing security for the Guaranteed Obligations and accordingly:</w:t>
      </w:r>
    </w:p>
    <w:p w14:paraId="57086928"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lastRenderedPageBreak/>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7"/>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7"/>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7"/>
        </w:numPr>
        <w:pBdr>
          <w:top w:val="nil"/>
          <w:left w:val="nil"/>
          <w:bottom w:val="nil"/>
          <w:right w:val="nil"/>
          <w:between w:val="nil"/>
        </w:pBdr>
        <w:spacing w:after="10"/>
        <w:ind w:left="0" w:right="14" w:hanging="2"/>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47905877"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79EA905"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7" w:name="_Schedule_6:_Glossary"/>
      <w:bookmarkEnd w:id="17"/>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w:t>
            </w:r>
            <w:proofErr w:type="gramStart"/>
            <w:r>
              <w:rPr>
                <w:color w:val="000000"/>
              </w:rPr>
              <w:t>as</w:t>
            </w:r>
            <w:proofErr w:type="gramEnd"/>
            <w:r>
              <w:rPr>
                <w:color w:val="000000"/>
              </w:rPr>
              <w:t xml:space="preserve">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A416F0">
            <w:pPr>
              <w:pBdr>
                <w:top w:val="nil"/>
                <w:left w:val="nil"/>
                <w:bottom w:val="nil"/>
                <w:right w:val="nil"/>
                <w:between w:val="nil"/>
              </w:pBdr>
              <w:spacing w:line="249" w:lineRule="auto"/>
              <w:ind w:left="0" w:right="33" w:hanging="2"/>
              <w:jc w:val="both"/>
              <w:rPr>
                <w:color w:val="000000"/>
              </w:rPr>
            </w:pPr>
            <w:hyperlink r:id="rId25">
              <w:r w:rsidR="008C39B4">
                <w:rPr>
                  <w:color w:val="0000FF"/>
                  <w:u w:val="single"/>
                </w:rPr>
                <w:t>https://www.gov.uk/guidance/check-employment-status-fortax</w:t>
              </w:r>
            </w:hyperlink>
            <w:hyperlink r:id="rId26">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7">
              <w:r>
                <w:rPr>
                  <w:color w:val="000000"/>
                  <w:u w:val="single"/>
                </w:rPr>
                <w:t>https://www.gov.uk/service-manual/agile-delivery/spend-controlsche ck-if-you-need-approval-to-spend-money-on-a-service</w:t>
              </w:r>
            </w:hyperlink>
            <w:hyperlink r:id="rId28">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7B5985FD" w14:textId="49919958" w:rsidR="00A26C2A" w:rsidRDefault="008C39B4" w:rsidP="00A44AE8">
      <w:pPr>
        <w:pStyle w:val="Heading2"/>
        <w:ind w:left="1" w:hanging="3"/>
      </w:pPr>
      <w:bookmarkStart w:id="20" w:name="_Schedule_7:_UK"/>
      <w:bookmarkEnd w:id="20"/>
      <w:r w:rsidRPr="00903BDD">
        <w:t>Schedule 7: UK GDPR Information</w:t>
      </w:r>
    </w:p>
    <w:p w14:paraId="371715A9" w14:textId="77777777" w:rsidR="00A26C2A" w:rsidRDefault="00A26C2A" w:rsidP="00A44AE8">
      <w:pPr>
        <w:ind w:leftChars="0" w:left="0" w:firstLineChars="0" w:firstLine="0"/>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399AE1D8"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w:t>
      </w:r>
      <w:r w:rsidR="00185872">
        <w:t xml:space="preserve"> </w:t>
      </w:r>
      <w:r w:rsidR="00C00D42" w:rsidRPr="006B2368">
        <w:rPr>
          <w:color w:val="FF0000"/>
          <w:position w:val="0"/>
        </w:rPr>
        <w:t>REDACTED TEXT under FOIA Section 40, Personal Information.</w:t>
      </w:r>
    </w:p>
    <w:p w14:paraId="7A0719A9" w14:textId="77777777" w:rsidR="00C00D42" w:rsidRDefault="00F72A3D" w:rsidP="00C00D42">
      <w:pPr>
        <w:pStyle w:val="ListParagraph"/>
        <w:keepNext/>
        <w:numPr>
          <w:ilvl w:val="1"/>
          <w:numId w:val="42"/>
        </w:numPr>
        <w:spacing w:line="240" w:lineRule="auto"/>
        <w:ind w:leftChars="0" w:firstLineChars="0"/>
        <w:jc w:val="both"/>
      </w:pPr>
      <w:r>
        <w:t xml:space="preserve">1.2 </w:t>
      </w:r>
      <w:r>
        <w:tab/>
      </w:r>
      <w:r w:rsidR="008C39B4">
        <w:t xml:space="preserve">The contact details of the Supplier’s Data Protection Officer are: </w:t>
      </w:r>
      <w:r w:rsidR="00C00D42" w:rsidRPr="006B2368">
        <w:rPr>
          <w:color w:val="FF0000"/>
          <w:position w:val="0"/>
        </w:rPr>
        <w:t>REDACTED TEXT under FOIA Section 40, Personal Information.</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13A57756"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w:t>
            </w:r>
            <w:r w:rsidR="00D27F20">
              <w:t xml:space="preserve">a as set out below. </w:t>
            </w:r>
          </w:p>
          <w:p w14:paraId="3B861BE7" w14:textId="6AAE2564" w:rsidR="00A26C2A" w:rsidRDefault="00A26C2A" w:rsidP="00D27F20">
            <w:pPr>
              <w:ind w:leftChars="0" w:left="0" w:firstLineChars="0" w:firstLine="0"/>
              <w:rPr>
                <w:i/>
              </w:rPr>
            </w:pPr>
          </w:p>
          <w:p w14:paraId="6B210893" w14:textId="77777777" w:rsidR="00A26C2A" w:rsidRDefault="00A26C2A" w:rsidP="00D27F20">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7013073A" w:rsidR="00A26C2A" w:rsidRDefault="00D27F20">
            <w:pPr>
              <w:ind w:left="0" w:hanging="2"/>
            </w:pPr>
            <w:r>
              <w:rPr>
                <w:i/>
              </w:rPr>
              <w:t xml:space="preserve">For the duration of this Agreement and any agreed extension period. </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35DFD33" w14:textId="5341A8AE" w:rsidR="00D27F20" w:rsidRDefault="00D27F20" w:rsidP="00D27F20">
            <w:pPr>
              <w:ind w:left="0" w:hanging="2"/>
            </w:pPr>
            <w:r w:rsidRPr="00D27F20">
              <w:rPr>
                <w:i/>
              </w:rPr>
              <w:t xml:space="preserve">As per Addendum </w:t>
            </w:r>
            <w:r>
              <w:rPr>
                <w:i/>
              </w:rPr>
              <w:t>B</w:t>
            </w:r>
            <w:r w:rsidRPr="00D27F20">
              <w:rPr>
                <w:i/>
              </w:rPr>
              <w:t xml:space="preserve"> of the Universal Data Processing Exhibit forming part of the Supplier Terms.</w:t>
            </w:r>
          </w:p>
          <w:p w14:paraId="2AE32FA5" w14:textId="51F51656" w:rsidR="00A26C2A" w:rsidRDefault="00A26C2A">
            <w:pPr>
              <w:ind w:left="0" w:hanging="2"/>
            </w:pP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5176B470" w:rsidR="00A26C2A" w:rsidRDefault="00D27F20">
            <w:pPr>
              <w:ind w:left="0" w:hanging="2"/>
            </w:pPr>
            <w:r w:rsidRPr="00D27F20">
              <w:rPr>
                <w:i/>
              </w:rPr>
              <w:t xml:space="preserve">As per Addendum </w:t>
            </w:r>
            <w:r>
              <w:rPr>
                <w:i/>
              </w:rPr>
              <w:t>B</w:t>
            </w:r>
            <w:r w:rsidRPr="00D27F20">
              <w:rPr>
                <w:i/>
              </w:rPr>
              <w:t xml:space="preserve"> of the Universal Data Processing Exhibit forming part of the Supplier Terms.</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591316A" w14:textId="08659EF5" w:rsidR="00A26C2A" w:rsidRDefault="00D27F20">
            <w:pPr>
              <w:ind w:left="0" w:hanging="2"/>
            </w:pPr>
            <w:r w:rsidRPr="00D27F20">
              <w:rPr>
                <w:i/>
              </w:rPr>
              <w:t xml:space="preserve">As per Addendum </w:t>
            </w:r>
            <w:r>
              <w:rPr>
                <w:i/>
              </w:rPr>
              <w:t>B</w:t>
            </w:r>
            <w:r w:rsidRPr="00D27F20">
              <w:rPr>
                <w:i/>
              </w:rPr>
              <w:t xml:space="preserve"> of the Universal Data Processing Exhibit forming part of the Supplier Terms.</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0EB7444A" w:rsidR="00A26C2A" w:rsidRDefault="00D27F20">
            <w:pPr>
              <w:ind w:left="0" w:hanging="2"/>
              <w:rPr>
                <w:i/>
              </w:rPr>
            </w:pPr>
            <w:r>
              <w:rPr>
                <w:i/>
              </w:rPr>
              <w:t xml:space="preserve">As per Addendum A of the Universal Data Processing Exhibit forming part of the Supplier Terms. </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57119529" w:rsidR="00A26C2A" w:rsidRDefault="00D27F20">
            <w:pPr>
              <w:ind w:left="0" w:hanging="2"/>
            </w:pPr>
            <w:r>
              <w:rPr>
                <w:i/>
              </w:rPr>
              <w:t xml:space="preserve">As per Clause 9.2 of the Main Subscription Agreement forming part of the Supplier Terms. </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6BBDE7E5" w:rsidR="00A26C2A" w:rsidRDefault="008C39B4" w:rsidP="00903BDD">
      <w:pPr>
        <w:pStyle w:val="Heading2"/>
        <w:ind w:left="1" w:hanging="3"/>
      </w:pPr>
      <w:bookmarkStart w:id="23" w:name="_Annex_2_-"/>
      <w:bookmarkEnd w:id="23"/>
      <w:r>
        <w:lastRenderedPageBreak/>
        <w:t>Annex 2 - Joint Controller Agreement</w:t>
      </w:r>
      <w:r w:rsidR="00D27F20">
        <w:t xml:space="preserve"> (not being used) </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is the exclusive point of contact for Data Subjects and is responsible for using all reasonable endeavours to comply with the UK GDPR regarding the exercise by Data Subjects of their rights under the UK GDPR;</w:t>
      </w:r>
    </w:p>
    <w:p w14:paraId="1A9CD7D0" w14:textId="62430B8B" w:rsidR="00A26C2A" w:rsidRDefault="00F72A3D" w:rsidP="00F72A3D">
      <w:pPr>
        <w:spacing w:before="280" w:after="120" w:line="240" w:lineRule="auto"/>
        <w:ind w:leftChars="0" w:left="720" w:firstLineChars="0" w:firstLine="0"/>
        <w:jc w:val="both"/>
      </w:pPr>
      <w:r>
        <w:t xml:space="preserve">(b) </w:t>
      </w:r>
      <w:r w:rsidR="008C39B4">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Default="00F72A3D" w:rsidP="00F72A3D">
      <w:pPr>
        <w:spacing w:before="280" w:after="120" w:line="240" w:lineRule="auto"/>
        <w:ind w:leftChars="0" w:left="720" w:firstLineChars="0" w:firstLine="0"/>
        <w:jc w:val="both"/>
      </w:pPr>
      <w:r>
        <w:t xml:space="preserve">(c) </w:t>
      </w:r>
      <w:r w:rsidR="008C39B4">
        <w:t>is solely responsible for the Parties’ compliance with all duties to provide information to Data Subjects under Articles 13 and 14 of the UK GDPR;</w:t>
      </w:r>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Pr>
          <w:b/>
          <w:color w:val="000000"/>
        </w:rPr>
        <w:t xml:space="preserve">select: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3"/>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months on:</w:t>
      </w:r>
    </w:p>
    <w:p w14:paraId="21BF656A" w14:textId="016D3826" w:rsidR="00A26C2A" w:rsidRDefault="00F72A3D" w:rsidP="00F72A3D">
      <w:pPr>
        <w:tabs>
          <w:tab w:val="left" w:pos="720"/>
        </w:tabs>
        <w:spacing w:before="280" w:after="120" w:line="240" w:lineRule="auto"/>
        <w:ind w:leftChars="720" w:left="1584" w:firstLineChars="0" w:firstLine="0"/>
        <w:jc w:val="both"/>
      </w:pPr>
      <w:r>
        <w:t>(</w:t>
      </w:r>
      <w:proofErr w:type="spellStart"/>
      <w:r>
        <w:t>i</w:t>
      </w:r>
      <w:proofErr w:type="spellEnd"/>
      <w:r>
        <w:t xml:space="preserve">) </w:t>
      </w:r>
      <w:r w:rsidR="008C39B4">
        <w:t xml:space="preserve">the volume of Data Subject Access Request (or purported Data </w:t>
      </w:r>
      <w:proofErr w:type="gramStart"/>
      <w:r w:rsidR="008C39B4">
        <w:t>Subject  Access</w:t>
      </w:r>
      <w:proofErr w:type="gramEnd"/>
      <w:r w:rsidR="008C39B4">
        <w:t xml:space="preserve">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Data; </w:t>
      </w:r>
    </w:p>
    <w:p w14:paraId="5D41A3EC" w14:textId="43BE0BCD" w:rsidR="00A26C2A" w:rsidRDefault="00F72A3D" w:rsidP="00F72A3D">
      <w:pPr>
        <w:spacing w:before="280" w:after="120" w:line="240" w:lineRule="auto"/>
        <w:ind w:leftChars="0" w:left="1440" w:firstLineChars="0" w:firstLine="0"/>
        <w:jc w:val="both"/>
      </w:pPr>
      <w:r>
        <w:lastRenderedPageBreak/>
        <w:t xml:space="preserve">(iii) </w:t>
      </w:r>
      <w:r w:rsidR="008C39B4">
        <w:t>any other requests, complaints or communications from Data Subjects (or third parties on their behalf) relating to the other Party’s obligations under applicable Data Protection Legislation;</w:t>
      </w:r>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period;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w:t>
      </w:r>
      <w:proofErr w:type="spellStart"/>
      <w:r w:rsidR="008C39B4">
        <w:t>i</w:t>
      </w:r>
      <w:proofErr w:type="spellEnd"/>
      <w:r w:rsidR="008C39B4">
        <w:t xml:space="preserve">) to (v);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Information;</w:t>
      </w:r>
    </w:p>
    <w:p w14:paraId="02B79444" w14:textId="6D6B9648" w:rsidR="00A26C2A" w:rsidRDefault="003C6C57" w:rsidP="003C6C57">
      <w:pPr>
        <w:spacing w:before="280" w:after="120" w:line="240" w:lineRule="auto"/>
        <w:ind w:leftChars="0" w:left="720" w:firstLineChars="0" w:firstLine="0"/>
        <w:jc w:val="both"/>
      </w:pPr>
      <w:r>
        <w:t xml:space="preserve">(f) </w:t>
      </w:r>
      <w:r w:rsidR="008C39B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 xml:space="preserve">are aware of and comply with their duties under this Annex 2 (Joint Controller Agreement) and those in respect of Confidential Information;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have undergone adequate training in the use, care, protection and handling of personal data as required by the applicable Data Protection Legislation;</w:t>
      </w:r>
    </w:p>
    <w:p w14:paraId="3FCD3ED6" w14:textId="26DBF533" w:rsidR="00A26C2A" w:rsidRDefault="003C6C57" w:rsidP="003C6C57">
      <w:pPr>
        <w:spacing w:before="280" w:after="120" w:line="240" w:lineRule="auto"/>
        <w:ind w:leftChars="0" w:left="720" w:firstLineChars="0" w:firstLine="0"/>
        <w:jc w:val="both"/>
      </w:pPr>
      <w:r>
        <w:lastRenderedPageBreak/>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nature of the data to be protected;</w:t>
      </w:r>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harm that might result from a Personal Data Breach;</w:t>
      </w:r>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cost of implementing any measures;</w:t>
      </w:r>
    </w:p>
    <w:p w14:paraId="501ADF2F" w14:textId="40763FD6" w:rsidR="00A26C2A" w:rsidRDefault="003C6C57" w:rsidP="003C6C57">
      <w:pPr>
        <w:spacing w:before="280" w:after="120" w:line="240" w:lineRule="auto"/>
        <w:ind w:leftChars="0" w:left="720" w:firstLineChars="0" w:firstLine="0"/>
        <w:jc w:val="both"/>
      </w:pPr>
      <w:r>
        <w:t>(</w:t>
      </w:r>
      <w:proofErr w:type="spellStart"/>
      <w:r>
        <w:t>i</w:t>
      </w:r>
      <w:proofErr w:type="spellEnd"/>
      <w:r>
        <w:t xml:space="preserve">)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w:t>
      </w:r>
      <w:proofErr w:type="spellStart"/>
      <w:r>
        <w:t>i</w:t>
      </w:r>
      <w:proofErr w:type="spellEnd"/>
      <w:r>
        <w:t xml:space="preserve">)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 xml:space="preserve">the transferring Party has provided appropriate safeguards in relation to the transfer in accordance with Article 46 of the EU GDPR as determined by the </w:t>
      </w:r>
      <w:r w:rsidR="008C39B4">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using such reasonable endeavours as are directed by the other Party to assist in the investigation, mitigation and remediation of a Personal Data Breach;</w:t>
      </w:r>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 xml:space="preserve">Each Party shall use all reasonable endeavours  to restore, re-constitute and/or reconstruct any Personal Data where it has  lost, damaged, destroyed, altered or corrupted as a result of </w:t>
      </w:r>
      <w:r w:rsidR="008C39B4">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Breach;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the nature of Personal Data affected;</w:t>
      </w:r>
    </w:p>
    <w:p w14:paraId="6C75492F" w14:textId="0117397E" w:rsidR="00A26C2A" w:rsidRDefault="003C6C57" w:rsidP="003C6C57">
      <w:pPr>
        <w:spacing w:before="280" w:after="120" w:line="240" w:lineRule="auto"/>
        <w:ind w:leftChars="0" w:left="100" w:firstLineChars="0" w:firstLine="620"/>
        <w:jc w:val="both"/>
      </w:pPr>
      <w:r>
        <w:t xml:space="preserve">(c) </w:t>
      </w:r>
      <w:r w:rsidR="008C39B4">
        <w:t>the categories and number of Data Subjects concerned;</w:t>
      </w:r>
    </w:p>
    <w:p w14:paraId="6A858C74" w14:textId="42F028AF" w:rsidR="00A26C2A" w:rsidRDefault="003C6C57" w:rsidP="003C6C57">
      <w:pPr>
        <w:spacing w:before="280" w:after="120" w:line="240" w:lineRule="auto"/>
        <w:ind w:leftChars="0" w:left="720" w:firstLineChars="0" w:firstLine="0"/>
        <w:jc w:val="both"/>
      </w:pPr>
      <w:r>
        <w:t xml:space="preserve">(d) </w:t>
      </w:r>
      <w:r w:rsidR="008C39B4">
        <w:t>the name and contact details of the Supplier’s Data Protection Officer or other relevant contact from whom more information may be obtained;</w:t>
      </w:r>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Pr>
          <w:b/>
          <w:highlight w:val="yellow"/>
        </w:rPr>
        <w:t xml:space="preserve">Guidance: </w:t>
      </w:r>
      <w:r>
        <w:rPr>
          <w:highlight w:val="yellow"/>
        </w:rPr>
        <w:t xml:space="preserve">This clause represents a risk </w:t>
      </w:r>
      <w:proofErr w:type="gramStart"/>
      <w:r>
        <w:rPr>
          <w:highlight w:val="yellow"/>
        </w:rPr>
        <w:t>share,</w:t>
      </w:r>
      <w:proofErr w:type="gramEnd"/>
      <w:r>
        <w:rPr>
          <w:highlight w:val="yellow"/>
        </w:rPr>
        <w:t xml:space="preserve"> you may wish to reconsider the apportionment of liability and whether recoverability of losses are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w:t>
      </w:r>
      <w:proofErr w:type="gramStart"/>
      <w:r w:rsidR="008C39B4">
        <w:t>cost</w:t>
      </w:r>
      <w:proofErr w:type="gramEnd"/>
      <w:r w:rsidR="008C39B4">
        <w:t xml:space="preserve"> when necessary, an independent third party to conduct an audit of any such Personal Data Breach. The Supplier shall provide to </w:t>
      </w:r>
      <w:r w:rsidR="008C39B4">
        <w:rPr>
          <w:color w:val="000000"/>
        </w:rPr>
        <w:t>the Buyer</w:t>
      </w:r>
      <w:r w:rsidR="008C39B4">
        <w:t xml:space="preserve"> and its </w:t>
      </w:r>
      <w:proofErr w:type="gramStart"/>
      <w:r w:rsidR="008C39B4">
        <w:t>third party</w:t>
      </w:r>
      <w:proofErr w:type="gramEnd"/>
      <w:r w:rsidR="008C39B4">
        <w:t xml:space="preserve">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In respect of any losses, cost claims or expenses incurred by either Party as a result of a Personal Data Breach (the “Claim Losses”):</w:t>
      </w:r>
    </w:p>
    <w:p w14:paraId="6F6299AB" w14:textId="2338A747" w:rsidR="00A26C2A" w:rsidRDefault="00A43CBA" w:rsidP="00A43CBA">
      <w:pPr>
        <w:spacing w:before="280" w:after="120" w:line="240" w:lineRule="auto"/>
        <w:ind w:leftChars="0" w:left="720" w:firstLineChars="0" w:firstLine="0"/>
        <w:jc w:val="both"/>
      </w:pPr>
      <w:r>
        <w:lastRenderedPageBreak/>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Losses;</w:t>
      </w:r>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xml:space="preserve">, </w:t>
      </w:r>
      <w:proofErr w:type="gramStart"/>
      <w:r w:rsidR="008C39B4">
        <w:t>and  provide</w:t>
      </w:r>
      <w:proofErr w:type="gramEnd"/>
      <w:r w:rsidR="008C39B4">
        <w:t xml:space="preserv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29"/>
          <w:headerReference w:type="default" r:id="rId30"/>
          <w:footerReference w:type="even" r:id="rId31"/>
          <w:footerReference w:type="default" r:id="rId32"/>
          <w:headerReference w:type="first" r:id="rId33"/>
          <w:footerReference w:type="first" r:id="rId34"/>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540CDA13" w:rsidR="00A26C2A" w:rsidRDefault="008C39B4" w:rsidP="00A43CBA">
      <w:pPr>
        <w:pStyle w:val="Heading2"/>
        <w:ind w:left="1" w:hanging="3"/>
      </w:pPr>
      <w:bookmarkStart w:id="24" w:name="_Schedule_8_(Corporate"/>
      <w:bookmarkEnd w:id="24"/>
      <w:r w:rsidRPr="00A43CBA">
        <w:lastRenderedPageBreak/>
        <w:t>Schedule 8 (Corporate Resolution Planning)</w:t>
      </w:r>
      <w:r w:rsidR="00D27F20">
        <w:t xml:space="preserve">- (not being used) </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made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w:t>
            </w:r>
            <w:r>
              <w:lastRenderedPageBreak/>
              <w:t>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139E685C"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w:t>
      </w:r>
      <w:r w:rsidR="008C39B4" w:rsidRPr="00C00D42">
        <w:rPr>
          <w:color w:val="000000"/>
        </w:rPr>
        <w:t>Contract is a</w:t>
      </w:r>
      <w:r w:rsidR="008C39B4">
        <w:rPr>
          <w:color w:val="000000"/>
        </w:rPr>
        <w:t xml:space="preserve">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5">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lastRenderedPageBreak/>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6">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lastRenderedPageBreak/>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lastRenderedPageBreak/>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r w:rsidR="008C39B4">
        <w:t>Poors</w:t>
      </w:r>
      <w:proofErr w:type="spellEnd"/>
      <w:r w:rsidR="008C39B4">
        <w:t>;</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 xml:space="preserve">Subject to Paragraph 5, where the Supplier demonstrates to the reasonable satisfaction of the Appropriate Authority or Appropriate Authorities that a particular item of CRP </w:t>
      </w:r>
      <w:r w:rsidR="008C39B4">
        <w:lastRenderedPageBreak/>
        <w:t>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lastRenderedPageBreak/>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4" w:name="_Schedule_9_-"/>
      <w:bookmarkEnd w:id="34"/>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43F19B1A" w:rsidR="00E85EC4" w:rsidRDefault="00E85EC4">
      <w:pPr>
        <w:pBdr>
          <w:top w:val="nil"/>
          <w:left w:val="nil"/>
          <w:bottom w:val="nil"/>
          <w:right w:val="nil"/>
          <w:between w:val="nil"/>
        </w:pBdr>
        <w:spacing w:after="30" w:line="264" w:lineRule="auto"/>
        <w:ind w:left="0" w:right="-5" w:hanging="2"/>
        <w:rPr>
          <w:color w:val="000000"/>
        </w:rPr>
      </w:pPr>
    </w:p>
    <w:p w14:paraId="26D81E19" w14:textId="77777777" w:rsidR="00E85EC4" w:rsidRDefault="00E85EC4">
      <w:pPr>
        <w:spacing w:line="240" w:lineRule="auto"/>
        <w:ind w:leftChars="0" w:left="0" w:firstLineChars="0"/>
        <w:textDirection w:val="lrTb"/>
        <w:textAlignment w:val="auto"/>
        <w:outlineLvl w:val="9"/>
        <w:rPr>
          <w:color w:val="000000"/>
        </w:rPr>
      </w:pPr>
      <w:r>
        <w:rPr>
          <w:color w:val="000000"/>
        </w:rPr>
        <w:br w:type="page"/>
      </w:r>
    </w:p>
    <w:p w14:paraId="23136EE8" w14:textId="4DFE7CB8" w:rsidR="00E85EC4" w:rsidRPr="0091273D" w:rsidRDefault="00185872" w:rsidP="0091273D">
      <w:pPr>
        <w:pStyle w:val="Heading2"/>
        <w:ind w:left="1" w:hanging="3"/>
      </w:pPr>
      <w:bookmarkStart w:id="35" w:name="_Ref115262222"/>
      <w:r w:rsidRPr="0091273D">
        <w:lastRenderedPageBreak/>
        <w:t>Appendix A - Workday Universal Security Exhibit</w:t>
      </w:r>
    </w:p>
    <w:bookmarkEnd w:id="35"/>
    <w:p w14:paraId="2713F6D9" w14:textId="12E81986" w:rsidR="00A26C2A" w:rsidRDefault="00185872" w:rsidP="00185872">
      <w:pPr>
        <w:pBdr>
          <w:top w:val="nil"/>
          <w:left w:val="nil"/>
          <w:bottom w:val="nil"/>
          <w:right w:val="nil"/>
          <w:between w:val="nil"/>
        </w:pBdr>
        <w:tabs>
          <w:tab w:val="center" w:pos="4513"/>
        </w:tabs>
        <w:spacing w:after="30" w:line="264" w:lineRule="auto"/>
        <w:ind w:left="0" w:right="-5" w:hanging="2"/>
        <w:rPr>
          <w:color w:val="000000"/>
        </w:rPr>
      </w:pPr>
      <w:r w:rsidRPr="00E22BDE">
        <w:rPr>
          <w:noProof/>
          <w:sz w:val="24"/>
          <w:szCs w:val="24"/>
        </w:rPr>
        <w:lastRenderedPageBreak/>
        <w:drawing>
          <wp:inline distT="0" distB="0" distL="0" distR="0" wp14:anchorId="566B66C8" wp14:editId="525E546F">
            <wp:extent cx="5652655" cy="795661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5792" cy="8073632"/>
                    </a:xfrm>
                    <a:prstGeom prst="rect">
                      <a:avLst/>
                    </a:prstGeom>
                  </pic:spPr>
                </pic:pic>
              </a:graphicData>
            </a:graphic>
          </wp:inline>
        </w:drawing>
      </w:r>
    </w:p>
    <w:p w14:paraId="6D27DA02" w14:textId="2CE35EA3" w:rsidR="00185872" w:rsidRDefault="00185872" w:rsidP="0091273D">
      <w:pPr>
        <w:pBdr>
          <w:top w:val="nil"/>
          <w:left w:val="nil"/>
          <w:bottom w:val="nil"/>
          <w:right w:val="nil"/>
          <w:between w:val="nil"/>
        </w:pBdr>
        <w:tabs>
          <w:tab w:val="center" w:pos="4513"/>
        </w:tabs>
        <w:spacing w:after="30" w:line="264" w:lineRule="auto"/>
        <w:ind w:left="0" w:right="-5" w:hanging="2"/>
        <w:rPr>
          <w:color w:val="000000"/>
        </w:rPr>
      </w:pPr>
      <w:r w:rsidRPr="00E22BDE">
        <w:rPr>
          <w:noProof/>
          <w:sz w:val="24"/>
          <w:szCs w:val="24"/>
        </w:rPr>
        <w:lastRenderedPageBreak/>
        <w:drawing>
          <wp:inline distT="0" distB="0" distL="0" distR="0" wp14:anchorId="29B259E0" wp14:editId="7260E712">
            <wp:extent cx="5741035" cy="819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41035" cy="8199120"/>
                    </a:xfrm>
                    <a:prstGeom prst="rect">
                      <a:avLst/>
                    </a:prstGeom>
                  </pic:spPr>
                </pic:pic>
              </a:graphicData>
            </a:graphic>
          </wp:inline>
        </w:drawing>
      </w:r>
    </w:p>
    <w:sectPr w:rsidR="00185872">
      <w:headerReference w:type="even" r:id="rId39"/>
      <w:headerReference w:type="default" r:id="rId40"/>
      <w:footerReference w:type="default" r:id="rId41"/>
      <w:headerReference w:type="first" r:id="rId4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3FD1" w14:textId="77777777" w:rsidR="00A416F0" w:rsidRDefault="00A416F0">
      <w:pPr>
        <w:spacing w:line="240" w:lineRule="auto"/>
        <w:ind w:left="0" w:hanging="2"/>
      </w:pPr>
      <w:r>
        <w:separator/>
      </w:r>
    </w:p>
  </w:endnote>
  <w:endnote w:type="continuationSeparator" w:id="0">
    <w:p w14:paraId="10DD9EEF" w14:textId="77777777" w:rsidR="00A416F0" w:rsidRDefault="00A416F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2316" w14:textId="77777777" w:rsidR="00A416F0" w:rsidRDefault="00A416F0">
      <w:pPr>
        <w:spacing w:line="240" w:lineRule="auto"/>
        <w:ind w:left="0" w:hanging="2"/>
      </w:pPr>
      <w:r>
        <w:separator/>
      </w:r>
    </w:p>
  </w:footnote>
  <w:footnote w:type="continuationSeparator" w:id="0">
    <w:p w14:paraId="49319E97" w14:textId="77777777" w:rsidR="00A416F0" w:rsidRDefault="00A416F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50B63729"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5C00A3B4"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56112"/>
    <w:multiLevelType w:val="hybridMultilevel"/>
    <w:tmpl w:val="07D278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70B53FF"/>
    <w:multiLevelType w:val="multilevel"/>
    <w:tmpl w:val="56EAE914"/>
    <w:styleLink w:val="WWOutlineListStyle"/>
    <w:lvl w:ilvl="0">
      <w:start w:val="1"/>
      <w:numFmt w:val="decimal"/>
      <w:lvlText w:val="%1"/>
      <w:lvlJc w:val="left"/>
      <w:pPr>
        <w:ind w:left="720" w:hanging="720"/>
      </w:pPr>
      <w:rPr>
        <w:caps w:val="0"/>
      </w:rPr>
    </w:lvl>
    <w:lvl w:ilvl="1">
      <w:start w:val="1"/>
      <w:numFmt w:val="decimal"/>
      <w:lvlText w:val="%1.%2"/>
      <w:lvlJc w:val="left"/>
      <w:pPr>
        <w:ind w:left="720" w:hanging="720"/>
      </w:pPr>
      <w:rPr>
        <w:caps w:val="0"/>
        <w:sz w:val="24"/>
        <w:szCs w:val="24"/>
      </w:rPr>
    </w:lvl>
    <w:lvl w:ilvl="2">
      <w:start w:val="1"/>
      <w:numFmt w:val="decimal"/>
      <w:lvlText w:val="%1.%2.%3"/>
      <w:lvlJc w:val="left"/>
      <w:pPr>
        <w:ind w:left="2847" w:hanging="720"/>
      </w:pPr>
      <w:rPr>
        <w:caps w:val="0"/>
      </w:rPr>
    </w:lvl>
    <w:lvl w:ilvl="3">
      <w:start w:val="1"/>
      <w:numFmt w:val="lowerLetter"/>
      <w:lvlText w:val="(%4)"/>
      <w:lvlJc w:val="left"/>
      <w:pPr>
        <w:ind w:left="2160" w:hanging="720"/>
      </w:pPr>
      <w:rPr>
        <w:caps w:val="0"/>
      </w:rPr>
    </w:lvl>
    <w:lvl w:ilvl="4">
      <w:start w:val="1"/>
      <w:numFmt w:val="lowerRoman"/>
      <w:lvlText w:val="(%5)"/>
      <w:lvlJc w:val="left"/>
      <w:pPr>
        <w:ind w:left="2880" w:hanging="720"/>
      </w:pPr>
      <w:rPr>
        <w:caps w:val="0"/>
      </w:rPr>
    </w:lvl>
    <w:lvl w:ilvl="5">
      <w:start w:val="1"/>
      <w:numFmt w:val="decimal"/>
      <w:lvlText w:val="(%6)"/>
      <w:lvlJc w:val="left"/>
      <w:pPr>
        <w:ind w:left="3600" w:hanging="720"/>
      </w:pPr>
      <w:rPr>
        <w:caps w:val="0"/>
      </w:rPr>
    </w:lvl>
    <w:lvl w:ilvl="6">
      <w:start w:val="1"/>
      <w:numFmt w:val="lowerLetter"/>
      <w:lvlText w:val="(%7)"/>
      <w:lvlJc w:val="left"/>
      <w:pPr>
        <w:ind w:left="4321" w:hanging="721"/>
      </w:pPr>
      <w:rPr>
        <w:caps w:val="0"/>
      </w:rPr>
    </w:lvl>
    <w:lvl w:ilvl="7">
      <w:start w:val="1"/>
      <w:numFmt w:val="none"/>
      <w:lvlText w:val="%8"/>
      <w:lvlJc w:val="left"/>
    </w:lvl>
    <w:lvl w:ilvl="8">
      <w:start w:val="1"/>
      <w:numFmt w:val="none"/>
      <w:lvlText w:val="%9"/>
      <w:lvlJc w:val="left"/>
    </w:lvl>
  </w:abstractNum>
  <w:abstractNum w:abstractNumId="3"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5"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8"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9" w15:restartNumberingAfterBreak="0">
    <w:nsid w:val="12AA3C35"/>
    <w:multiLevelType w:val="multilevel"/>
    <w:tmpl w:val="0A0A7EE2"/>
    <w:lvl w:ilvl="0">
      <w:start w:val="1"/>
      <w:numFmt w:val="none"/>
      <w:suff w:val="nothing"/>
      <w:lvlText w:val="%1"/>
      <w:lvlJc w:val="left"/>
      <w:pPr>
        <w:ind w:left="720" w:firstLine="0"/>
      </w:pPr>
      <w:rPr>
        <w:caps w:val="0"/>
      </w:rPr>
    </w:lvl>
    <w:lvl w:ilvl="1">
      <w:start w:val="1"/>
      <w:numFmt w:val="none"/>
      <w:suff w:val="nothing"/>
      <w:lvlText w:val="%2"/>
      <w:lvlJc w:val="left"/>
      <w:pPr>
        <w:ind w:left="720" w:firstLine="0"/>
      </w:pPr>
      <w:rPr>
        <w:caps w:val="0"/>
      </w:rPr>
    </w:lvl>
    <w:lvl w:ilvl="2">
      <w:start w:val="1"/>
      <w:numFmt w:val="lowerLetter"/>
      <w:lvlText w:val="(%3)"/>
      <w:lvlJc w:val="left"/>
      <w:pPr>
        <w:ind w:left="1800" w:hanging="1080"/>
      </w:pPr>
      <w:rPr>
        <w:caps w:val="0"/>
      </w:rPr>
    </w:lvl>
    <w:lvl w:ilvl="3">
      <w:start w:val="1"/>
      <w:numFmt w:val="lowerRoman"/>
      <w:lvlText w:val="(%4)"/>
      <w:lvlJc w:val="left"/>
      <w:pPr>
        <w:ind w:left="2880" w:hanging="1080"/>
      </w:pPr>
      <w:rPr>
        <w:caps w:val="0"/>
      </w:rPr>
    </w:lvl>
    <w:lvl w:ilvl="4">
      <w:start w:val="1"/>
      <w:numFmt w:val="upperLetter"/>
      <w:lvlText w:val="(%5)"/>
      <w:lvlJc w:val="left"/>
      <w:pPr>
        <w:ind w:left="3600" w:hanging="720"/>
      </w:pPr>
      <w:rPr>
        <w:caps w:val="0"/>
      </w:rPr>
    </w:lvl>
    <w:lvl w:ilvl="5">
      <w:start w:val="1"/>
      <w:numFmt w:val="none"/>
      <w:lvlText w:val="%6"/>
      <w:lvlJc w:val="left"/>
      <w:pPr>
        <w:ind w:left="2880" w:hanging="1080"/>
      </w:pPr>
      <w:rPr>
        <w:caps w:val="0"/>
      </w:rPr>
    </w:lvl>
    <w:lvl w:ilvl="6">
      <w:start w:val="1"/>
      <w:numFmt w:val="none"/>
      <w:lvlText w:val="%7"/>
      <w:lvlJc w:val="left"/>
      <w:pPr>
        <w:ind w:left="2880" w:hanging="1080"/>
      </w:pPr>
      <w:rPr>
        <w:caps w:val="0"/>
      </w:rPr>
    </w:lvl>
    <w:lvl w:ilvl="7">
      <w:start w:val="1"/>
      <w:numFmt w:val="none"/>
      <w:lvlText w:val="%8"/>
      <w:lvlJc w:val="left"/>
      <w:pPr>
        <w:ind w:left="2880" w:hanging="1080"/>
      </w:pPr>
      <w:rPr>
        <w:caps w:val="0"/>
      </w:rPr>
    </w:lvl>
    <w:lvl w:ilvl="8">
      <w:start w:val="1"/>
      <w:numFmt w:val="none"/>
      <w:lvlText w:val="%9"/>
      <w:lvlJc w:val="left"/>
      <w:pPr>
        <w:ind w:left="2880" w:hanging="1080"/>
      </w:pPr>
      <w:rPr>
        <w:caps w:val="0"/>
      </w:rPr>
    </w:lvl>
  </w:abstractNum>
  <w:abstractNum w:abstractNumId="10"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1"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2"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3"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4"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1631C22"/>
    <w:multiLevelType w:val="multilevel"/>
    <w:tmpl w:val="F52AD214"/>
    <w:lvl w:ilvl="0">
      <w:start w:val="1"/>
      <w:numFmt w:val="none"/>
      <w:suff w:val="nothing"/>
      <w:lvlText w:val="%1"/>
      <w:lvlJc w:val="left"/>
      <w:pPr>
        <w:ind w:left="720" w:firstLine="0"/>
      </w:pPr>
      <w:rPr>
        <w:caps w:val="0"/>
      </w:rPr>
    </w:lvl>
    <w:lvl w:ilvl="1">
      <w:start w:val="1"/>
      <w:numFmt w:val="none"/>
      <w:suff w:val="nothing"/>
      <w:lvlText w:val="%2"/>
      <w:lvlJc w:val="left"/>
      <w:pPr>
        <w:ind w:left="720" w:firstLine="0"/>
      </w:pPr>
      <w:rPr>
        <w:caps w:val="0"/>
      </w:rPr>
    </w:lvl>
    <w:lvl w:ilvl="2">
      <w:start w:val="1"/>
      <w:numFmt w:val="lowerLetter"/>
      <w:lvlText w:val="(%3)"/>
      <w:lvlJc w:val="left"/>
      <w:pPr>
        <w:ind w:left="1800" w:hanging="1080"/>
      </w:pPr>
      <w:rPr>
        <w:caps w:val="0"/>
      </w:rPr>
    </w:lvl>
    <w:lvl w:ilvl="3">
      <w:start w:val="1"/>
      <w:numFmt w:val="lowerRoman"/>
      <w:lvlText w:val="(%4)"/>
      <w:lvlJc w:val="left"/>
      <w:pPr>
        <w:ind w:left="2880" w:hanging="1080"/>
      </w:pPr>
      <w:rPr>
        <w:caps w:val="0"/>
      </w:rPr>
    </w:lvl>
    <w:lvl w:ilvl="4">
      <w:start w:val="1"/>
      <w:numFmt w:val="upperLetter"/>
      <w:lvlText w:val="(%5)"/>
      <w:lvlJc w:val="left"/>
      <w:pPr>
        <w:ind w:left="3600" w:hanging="720"/>
      </w:pPr>
      <w:rPr>
        <w:caps w:val="0"/>
      </w:rPr>
    </w:lvl>
    <w:lvl w:ilvl="5">
      <w:start w:val="1"/>
      <w:numFmt w:val="none"/>
      <w:lvlText w:val="%6"/>
      <w:lvlJc w:val="left"/>
      <w:pPr>
        <w:ind w:left="2880" w:hanging="1080"/>
      </w:pPr>
      <w:rPr>
        <w:caps w:val="0"/>
      </w:rPr>
    </w:lvl>
    <w:lvl w:ilvl="6">
      <w:start w:val="1"/>
      <w:numFmt w:val="none"/>
      <w:lvlText w:val="%7"/>
      <w:lvlJc w:val="left"/>
      <w:pPr>
        <w:ind w:left="2880" w:hanging="1080"/>
      </w:pPr>
      <w:rPr>
        <w:caps w:val="0"/>
      </w:rPr>
    </w:lvl>
    <w:lvl w:ilvl="7">
      <w:start w:val="1"/>
      <w:numFmt w:val="none"/>
      <w:lvlText w:val="%8"/>
      <w:lvlJc w:val="left"/>
      <w:pPr>
        <w:ind w:left="2880" w:hanging="1080"/>
      </w:pPr>
      <w:rPr>
        <w:caps w:val="0"/>
      </w:rPr>
    </w:lvl>
    <w:lvl w:ilvl="8">
      <w:start w:val="1"/>
      <w:numFmt w:val="none"/>
      <w:lvlText w:val="%9"/>
      <w:lvlJc w:val="left"/>
      <w:pPr>
        <w:ind w:left="2880" w:hanging="1080"/>
      </w:pPr>
      <w:rPr>
        <w:caps w:val="0"/>
      </w:rPr>
    </w:lvl>
  </w:abstractNum>
  <w:abstractNum w:abstractNumId="16" w15:restartNumberingAfterBreak="0">
    <w:nsid w:val="230D5819"/>
    <w:multiLevelType w:val="multilevel"/>
    <w:tmpl w:val="01685A44"/>
    <w:lvl w:ilvl="0">
      <w:start w:val="1"/>
      <w:numFmt w:val="none"/>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17"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8"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0"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2"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3"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4" w15:restartNumberingAfterBreak="0">
    <w:nsid w:val="3C5B4282"/>
    <w:multiLevelType w:val="multilevel"/>
    <w:tmpl w:val="65B09E48"/>
    <w:lvl w:ilvl="0">
      <w:start w:val="1"/>
      <w:numFmt w:val="none"/>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abstractNum w:abstractNumId="25"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8"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9" w15:restartNumberingAfterBreak="0">
    <w:nsid w:val="4C0B1647"/>
    <w:multiLevelType w:val="multilevel"/>
    <w:tmpl w:val="8EFE1BC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0"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1"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2164F0"/>
    <w:multiLevelType w:val="multilevel"/>
    <w:tmpl w:val="14EE527C"/>
    <w:lvl w:ilvl="0">
      <w:start w:val="1"/>
      <w:numFmt w:val="none"/>
      <w:suff w:val="nothing"/>
      <w:lvlText w:val="%1"/>
      <w:lvlJc w:val="left"/>
      <w:pPr>
        <w:ind w:left="720" w:firstLine="0"/>
      </w:pPr>
      <w:rPr>
        <w:caps w:val="0"/>
      </w:rPr>
    </w:lvl>
    <w:lvl w:ilvl="1">
      <w:start w:val="1"/>
      <w:numFmt w:val="none"/>
      <w:suff w:val="nothing"/>
      <w:lvlText w:val="%2"/>
      <w:lvlJc w:val="left"/>
      <w:pPr>
        <w:ind w:left="720" w:firstLine="0"/>
      </w:pPr>
      <w:rPr>
        <w:caps w:val="0"/>
      </w:rPr>
    </w:lvl>
    <w:lvl w:ilvl="2">
      <w:start w:val="1"/>
      <w:numFmt w:val="lowerLetter"/>
      <w:lvlText w:val="(%3)"/>
      <w:lvlJc w:val="left"/>
      <w:pPr>
        <w:ind w:left="1800" w:hanging="1080"/>
      </w:pPr>
      <w:rPr>
        <w:caps w:val="0"/>
      </w:rPr>
    </w:lvl>
    <w:lvl w:ilvl="3">
      <w:start w:val="1"/>
      <w:numFmt w:val="lowerRoman"/>
      <w:lvlText w:val="(%4)"/>
      <w:lvlJc w:val="left"/>
      <w:pPr>
        <w:ind w:left="2880" w:hanging="1080"/>
      </w:pPr>
      <w:rPr>
        <w:caps w:val="0"/>
      </w:rPr>
    </w:lvl>
    <w:lvl w:ilvl="4">
      <w:start w:val="1"/>
      <w:numFmt w:val="upperLetter"/>
      <w:lvlText w:val="(%5)"/>
      <w:lvlJc w:val="left"/>
      <w:pPr>
        <w:ind w:left="3600" w:hanging="720"/>
      </w:pPr>
      <w:rPr>
        <w:caps w:val="0"/>
      </w:rPr>
    </w:lvl>
    <w:lvl w:ilvl="5">
      <w:start w:val="1"/>
      <w:numFmt w:val="none"/>
      <w:lvlText w:val="%6"/>
      <w:lvlJc w:val="left"/>
      <w:pPr>
        <w:ind w:left="2880" w:hanging="1080"/>
      </w:pPr>
      <w:rPr>
        <w:caps w:val="0"/>
      </w:rPr>
    </w:lvl>
    <w:lvl w:ilvl="6">
      <w:start w:val="1"/>
      <w:numFmt w:val="none"/>
      <w:lvlText w:val="%7"/>
      <w:lvlJc w:val="left"/>
      <w:pPr>
        <w:ind w:left="2880" w:hanging="1080"/>
      </w:pPr>
      <w:rPr>
        <w:caps w:val="0"/>
      </w:rPr>
    </w:lvl>
    <w:lvl w:ilvl="7">
      <w:start w:val="1"/>
      <w:numFmt w:val="none"/>
      <w:lvlText w:val="%8"/>
      <w:lvlJc w:val="left"/>
      <w:pPr>
        <w:ind w:left="2880" w:hanging="1080"/>
      </w:pPr>
      <w:rPr>
        <w:caps w:val="0"/>
      </w:rPr>
    </w:lvl>
    <w:lvl w:ilvl="8">
      <w:start w:val="1"/>
      <w:numFmt w:val="none"/>
      <w:lvlText w:val="%9"/>
      <w:lvlJc w:val="left"/>
      <w:pPr>
        <w:ind w:left="2880" w:hanging="1080"/>
      </w:pPr>
      <w:rPr>
        <w:caps w:val="0"/>
      </w:rPr>
    </w:lvl>
  </w:abstractNum>
  <w:abstractNum w:abstractNumId="33"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34"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5"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6"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7"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8"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2"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3"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5"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7"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8"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9" w15:restartNumberingAfterBreak="0">
    <w:nsid w:val="78AD517A"/>
    <w:multiLevelType w:val="multilevel"/>
    <w:tmpl w:val="E8A47486"/>
    <w:lvl w:ilvl="0">
      <w:start w:val="1"/>
      <w:numFmt w:val="none"/>
      <w:suff w:val="nothing"/>
      <w:lvlText w:val="%1"/>
      <w:lvlJc w:val="left"/>
      <w:pPr>
        <w:ind w:left="720" w:firstLine="0"/>
      </w:pPr>
      <w:rPr>
        <w:caps w:val="0"/>
      </w:rPr>
    </w:lvl>
    <w:lvl w:ilvl="1">
      <w:start w:val="1"/>
      <w:numFmt w:val="none"/>
      <w:suff w:val="nothing"/>
      <w:lvlText w:val="%2"/>
      <w:lvlJc w:val="left"/>
      <w:pPr>
        <w:ind w:left="720" w:firstLine="0"/>
      </w:pPr>
      <w:rPr>
        <w:caps w:val="0"/>
      </w:rPr>
    </w:lvl>
    <w:lvl w:ilvl="2">
      <w:start w:val="2"/>
      <w:numFmt w:val="lowerLetter"/>
      <w:lvlText w:val="(%3)"/>
      <w:lvlJc w:val="left"/>
      <w:pPr>
        <w:ind w:left="1800" w:hanging="1080"/>
      </w:pPr>
      <w:rPr>
        <w:caps w:val="0"/>
      </w:rPr>
    </w:lvl>
    <w:lvl w:ilvl="3">
      <w:start w:val="1"/>
      <w:numFmt w:val="lowerRoman"/>
      <w:lvlText w:val="(%4)"/>
      <w:lvlJc w:val="left"/>
      <w:pPr>
        <w:ind w:left="2880" w:hanging="1080"/>
      </w:pPr>
      <w:rPr>
        <w:caps w:val="0"/>
      </w:rPr>
    </w:lvl>
    <w:lvl w:ilvl="4">
      <w:start w:val="1"/>
      <w:numFmt w:val="upperLetter"/>
      <w:lvlText w:val="(%5)"/>
      <w:lvlJc w:val="left"/>
      <w:pPr>
        <w:ind w:left="3600" w:hanging="720"/>
      </w:pPr>
      <w:rPr>
        <w:caps w:val="0"/>
      </w:rPr>
    </w:lvl>
    <w:lvl w:ilvl="5">
      <w:start w:val="1"/>
      <w:numFmt w:val="none"/>
      <w:lvlText w:val="%6"/>
      <w:lvlJc w:val="left"/>
      <w:pPr>
        <w:ind w:left="2880" w:hanging="1080"/>
      </w:pPr>
      <w:rPr>
        <w:caps w:val="0"/>
      </w:rPr>
    </w:lvl>
    <w:lvl w:ilvl="6">
      <w:start w:val="1"/>
      <w:numFmt w:val="none"/>
      <w:lvlText w:val="%7"/>
      <w:lvlJc w:val="left"/>
      <w:pPr>
        <w:ind w:left="2880" w:hanging="1080"/>
      </w:pPr>
      <w:rPr>
        <w:caps w:val="0"/>
      </w:rPr>
    </w:lvl>
    <w:lvl w:ilvl="7">
      <w:start w:val="1"/>
      <w:numFmt w:val="none"/>
      <w:lvlText w:val="%8"/>
      <w:lvlJc w:val="left"/>
      <w:pPr>
        <w:ind w:left="2880" w:hanging="1080"/>
      </w:pPr>
      <w:rPr>
        <w:caps w:val="0"/>
      </w:rPr>
    </w:lvl>
    <w:lvl w:ilvl="8">
      <w:start w:val="1"/>
      <w:numFmt w:val="none"/>
      <w:lvlText w:val="%9"/>
      <w:lvlJc w:val="left"/>
      <w:pPr>
        <w:ind w:left="2880" w:hanging="1080"/>
      </w:pPr>
      <w:rPr>
        <w:caps w:val="0"/>
      </w:rPr>
    </w:lvl>
  </w:abstractNum>
  <w:abstractNum w:abstractNumId="50"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1"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2" w15:restartNumberingAfterBreak="0">
    <w:nsid w:val="7C0934F6"/>
    <w:multiLevelType w:val="multilevel"/>
    <w:tmpl w:val="ECD8BE4A"/>
    <w:lvl w:ilvl="0">
      <w:start w:val="1"/>
      <w:numFmt w:val="none"/>
      <w:lvlText w:val="%1"/>
      <w:lvlJc w:val="left"/>
      <w:pPr>
        <w:ind w:left="720" w:firstLine="0"/>
      </w:pPr>
      <w:rPr>
        <w:caps w:val="0"/>
      </w:rPr>
    </w:lvl>
    <w:lvl w:ilvl="1">
      <w:start w:val="1"/>
      <w:numFmt w:val="none"/>
      <w:lvlText w:val="%2"/>
      <w:lvlJc w:val="left"/>
      <w:pPr>
        <w:ind w:left="720" w:firstLine="0"/>
      </w:pPr>
      <w:rPr>
        <w:caps w:val="0"/>
      </w:rPr>
    </w:lvl>
    <w:lvl w:ilvl="2">
      <w:start w:val="1"/>
      <w:numFmt w:val="lowerLetter"/>
      <w:lvlText w:val="(%3)"/>
      <w:lvlJc w:val="left"/>
      <w:pPr>
        <w:ind w:left="1440" w:hanging="720"/>
      </w:pPr>
      <w:rPr>
        <w:caps w:val="0"/>
      </w:rPr>
    </w:lvl>
    <w:lvl w:ilvl="3">
      <w:start w:val="1"/>
      <w:numFmt w:val="lowerRoman"/>
      <w:lvlText w:val="(%4)"/>
      <w:lvlJc w:val="left"/>
      <w:pPr>
        <w:ind w:left="2160" w:hanging="720"/>
      </w:pPr>
      <w:rPr>
        <w:caps w:val="0"/>
      </w:rPr>
    </w:lvl>
    <w:lvl w:ilvl="4">
      <w:start w:val="1"/>
      <w:numFmt w:val="upperLetter"/>
      <w:lvlText w:val="(%5)"/>
      <w:lvlJc w:val="left"/>
      <w:pPr>
        <w:ind w:left="2880" w:hanging="720"/>
      </w:pPr>
      <w:rPr>
        <w:caps w:val="0"/>
      </w:rPr>
    </w:lvl>
    <w:lvl w:ilvl="5">
      <w:start w:val="1"/>
      <w:numFmt w:val="none"/>
      <w:lvlText w:val="%6"/>
      <w:lvlJc w:val="left"/>
      <w:pPr>
        <w:ind w:left="2880" w:hanging="720"/>
      </w:pPr>
      <w:rPr>
        <w:caps w:val="0"/>
      </w:rPr>
    </w:lvl>
    <w:lvl w:ilvl="6">
      <w:start w:val="1"/>
      <w:numFmt w:val="none"/>
      <w:lvlText w:val="%7"/>
      <w:lvlJc w:val="left"/>
      <w:pPr>
        <w:ind w:left="2880" w:hanging="720"/>
      </w:pPr>
      <w:rPr>
        <w:caps w:val="0"/>
      </w:rPr>
    </w:lvl>
    <w:lvl w:ilvl="7">
      <w:start w:val="1"/>
      <w:numFmt w:val="none"/>
      <w:lvlText w:val="%8"/>
      <w:lvlJc w:val="left"/>
      <w:pPr>
        <w:ind w:left="2880" w:hanging="720"/>
      </w:pPr>
      <w:rPr>
        <w:caps w:val="0"/>
      </w:rPr>
    </w:lvl>
    <w:lvl w:ilvl="8">
      <w:start w:val="1"/>
      <w:numFmt w:val="none"/>
      <w:lvlText w:val="%9"/>
      <w:lvlJc w:val="left"/>
      <w:pPr>
        <w:ind w:left="2880" w:hanging="720"/>
      </w:pPr>
      <w:rPr>
        <w:caps w:val="0"/>
      </w:rPr>
    </w:lvl>
  </w:abstractNum>
  <w:num w:numId="1">
    <w:abstractNumId w:val="10"/>
  </w:num>
  <w:num w:numId="2">
    <w:abstractNumId w:val="34"/>
  </w:num>
  <w:num w:numId="3">
    <w:abstractNumId w:val="23"/>
  </w:num>
  <w:num w:numId="4">
    <w:abstractNumId w:val="47"/>
  </w:num>
  <w:num w:numId="5">
    <w:abstractNumId w:val="5"/>
  </w:num>
  <w:num w:numId="6">
    <w:abstractNumId w:val="27"/>
  </w:num>
  <w:num w:numId="7">
    <w:abstractNumId w:val="50"/>
  </w:num>
  <w:num w:numId="8">
    <w:abstractNumId w:val="36"/>
  </w:num>
  <w:num w:numId="9">
    <w:abstractNumId w:val="1"/>
  </w:num>
  <w:num w:numId="10">
    <w:abstractNumId w:val="48"/>
  </w:num>
  <w:num w:numId="11">
    <w:abstractNumId w:val="22"/>
  </w:num>
  <w:num w:numId="12">
    <w:abstractNumId w:val="45"/>
  </w:num>
  <w:num w:numId="13">
    <w:abstractNumId w:val="28"/>
  </w:num>
  <w:num w:numId="14">
    <w:abstractNumId w:val="11"/>
  </w:num>
  <w:num w:numId="15">
    <w:abstractNumId w:val="42"/>
  </w:num>
  <w:num w:numId="16">
    <w:abstractNumId w:val="46"/>
  </w:num>
  <w:num w:numId="17">
    <w:abstractNumId w:val="21"/>
  </w:num>
  <w:num w:numId="18">
    <w:abstractNumId w:val="39"/>
  </w:num>
  <w:num w:numId="19">
    <w:abstractNumId w:val="3"/>
  </w:num>
  <w:num w:numId="20">
    <w:abstractNumId w:val="35"/>
  </w:num>
  <w:num w:numId="21">
    <w:abstractNumId w:val="30"/>
  </w:num>
  <w:num w:numId="22">
    <w:abstractNumId w:val="13"/>
  </w:num>
  <w:num w:numId="23">
    <w:abstractNumId w:val="44"/>
  </w:num>
  <w:num w:numId="24">
    <w:abstractNumId w:val="33"/>
  </w:num>
  <w:num w:numId="25">
    <w:abstractNumId w:val="41"/>
  </w:num>
  <w:num w:numId="26">
    <w:abstractNumId w:val="8"/>
  </w:num>
  <w:num w:numId="27">
    <w:abstractNumId w:val="7"/>
  </w:num>
  <w:num w:numId="28">
    <w:abstractNumId w:val="12"/>
  </w:num>
  <w:num w:numId="29">
    <w:abstractNumId w:val="6"/>
  </w:num>
  <w:num w:numId="30">
    <w:abstractNumId w:val="51"/>
  </w:num>
  <w:num w:numId="31">
    <w:abstractNumId w:val="20"/>
  </w:num>
  <w:num w:numId="32">
    <w:abstractNumId w:val="18"/>
  </w:num>
  <w:num w:numId="33">
    <w:abstractNumId w:val="38"/>
  </w:num>
  <w:num w:numId="34">
    <w:abstractNumId w:val="26"/>
  </w:num>
  <w:num w:numId="35">
    <w:abstractNumId w:val="37"/>
  </w:num>
  <w:num w:numId="36">
    <w:abstractNumId w:val="31"/>
  </w:num>
  <w:num w:numId="37">
    <w:abstractNumId w:val="25"/>
  </w:num>
  <w:num w:numId="38">
    <w:abstractNumId w:val="4"/>
  </w:num>
  <w:num w:numId="39">
    <w:abstractNumId w:val="40"/>
  </w:num>
  <w:num w:numId="40">
    <w:abstractNumId w:val="19"/>
  </w:num>
  <w:num w:numId="41">
    <w:abstractNumId w:val="43"/>
  </w:num>
  <w:num w:numId="42">
    <w:abstractNumId w:val="17"/>
  </w:num>
  <w:num w:numId="43">
    <w:abstractNumId w:val="14"/>
  </w:num>
  <w:num w:numId="44">
    <w:abstractNumId w:val="2"/>
  </w:num>
  <w:num w:numId="45">
    <w:abstractNumId w:val="29"/>
  </w:num>
  <w:num w:numId="46">
    <w:abstractNumId w:val="32"/>
  </w:num>
  <w:num w:numId="47">
    <w:abstractNumId w:val="9"/>
  </w:num>
  <w:num w:numId="48">
    <w:abstractNumId w:val="49"/>
  </w:num>
  <w:num w:numId="49">
    <w:abstractNumId w:val="24"/>
  </w:num>
  <w:num w:numId="50">
    <w:abstractNumId w:val="15"/>
  </w:num>
  <w:num w:numId="51">
    <w:abstractNumId w:val="52"/>
  </w:num>
  <w:num w:numId="52">
    <w:abstractNumId w:val="16"/>
  </w:num>
  <w:num w:numId="5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E176F"/>
    <w:rsid w:val="001140F2"/>
    <w:rsid w:val="00185872"/>
    <w:rsid w:val="001A72E3"/>
    <w:rsid w:val="001B3C93"/>
    <w:rsid w:val="001C1820"/>
    <w:rsid w:val="001C5CAD"/>
    <w:rsid w:val="0023195D"/>
    <w:rsid w:val="002A7066"/>
    <w:rsid w:val="002B56FF"/>
    <w:rsid w:val="002F7C2C"/>
    <w:rsid w:val="00303E07"/>
    <w:rsid w:val="00326315"/>
    <w:rsid w:val="0032702A"/>
    <w:rsid w:val="003367EB"/>
    <w:rsid w:val="0038782E"/>
    <w:rsid w:val="003959D5"/>
    <w:rsid w:val="003C6C57"/>
    <w:rsid w:val="004849C0"/>
    <w:rsid w:val="004A634C"/>
    <w:rsid w:val="004C543C"/>
    <w:rsid w:val="004D50D0"/>
    <w:rsid w:val="004F5568"/>
    <w:rsid w:val="005B5B79"/>
    <w:rsid w:val="005D2EC1"/>
    <w:rsid w:val="005D6249"/>
    <w:rsid w:val="0063203E"/>
    <w:rsid w:val="006411AC"/>
    <w:rsid w:val="00676B3D"/>
    <w:rsid w:val="00690240"/>
    <w:rsid w:val="006B2368"/>
    <w:rsid w:val="006B3D35"/>
    <w:rsid w:val="00716E61"/>
    <w:rsid w:val="007412B9"/>
    <w:rsid w:val="00783AC4"/>
    <w:rsid w:val="007B07E8"/>
    <w:rsid w:val="007D1C97"/>
    <w:rsid w:val="008077F0"/>
    <w:rsid w:val="00833E25"/>
    <w:rsid w:val="00871996"/>
    <w:rsid w:val="008A765B"/>
    <w:rsid w:val="008C13F9"/>
    <w:rsid w:val="008C39B4"/>
    <w:rsid w:val="00903BDD"/>
    <w:rsid w:val="0091273D"/>
    <w:rsid w:val="00963C26"/>
    <w:rsid w:val="009C5647"/>
    <w:rsid w:val="009E1989"/>
    <w:rsid w:val="009F5A49"/>
    <w:rsid w:val="00A26C2A"/>
    <w:rsid w:val="00A37732"/>
    <w:rsid w:val="00A416F0"/>
    <w:rsid w:val="00A43CBA"/>
    <w:rsid w:val="00A44AE8"/>
    <w:rsid w:val="00A924E2"/>
    <w:rsid w:val="00AC7137"/>
    <w:rsid w:val="00AE2F2B"/>
    <w:rsid w:val="00B55BBC"/>
    <w:rsid w:val="00BA236B"/>
    <w:rsid w:val="00BE7E66"/>
    <w:rsid w:val="00C00D42"/>
    <w:rsid w:val="00C40953"/>
    <w:rsid w:val="00C81E25"/>
    <w:rsid w:val="00CE5D49"/>
    <w:rsid w:val="00D24C72"/>
    <w:rsid w:val="00D27F20"/>
    <w:rsid w:val="00DA6AA5"/>
    <w:rsid w:val="00DB3D75"/>
    <w:rsid w:val="00E07D92"/>
    <w:rsid w:val="00E85EC4"/>
    <w:rsid w:val="00EA2360"/>
    <w:rsid w:val="00F66576"/>
    <w:rsid w:val="00F72A3D"/>
    <w:rsid w:val="00F972EF"/>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unhideWhenUsed/>
    <w:qFormat/>
    <w:pPr>
      <w:keepNext/>
      <w:keepLines/>
      <w:spacing w:before="220" w:after="40"/>
      <w:outlineLvl w:val="4"/>
    </w:pPr>
    <w:rPr>
      <w:b/>
    </w:rPr>
  </w:style>
  <w:style w:type="paragraph" w:styleId="Heading6">
    <w:name w:val="heading 6"/>
    <w:basedOn w:val="Normal"/>
    <w:next w:val="Standard"/>
    <w:uiPriority w:val="9"/>
    <w:unhideWhenUsed/>
    <w:qFormat/>
    <w:pPr>
      <w:keepNext/>
      <w:keepLines/>
      <w:spacing w:before="200" w:after="40"/>
      <w:outlineLvl w:val="5"/>
    </w:pPr>
    <w:rPr>
      <w:b/>
      <w:sz w:val="20"/>
      <w:szCs w:val="20"/>
    </w:rPr>
  </w:style>
  <w:style w:type="paragraph" w:styleId="Heading7">
    <w:name w:val="heading 7"/>
    <w:basedOn w:val="Normal"/>
    <w:link w:val="Heading7Char"/>
    <w:rsid w:val="00E85EC4"/>
    <w:pPr>
      <w:suppressAutoHyphens/>
      <w:autoSpaceDN w:val="0"/>
      <w:spacing w:after="240" w:line="240" w:lineRule="auto"/>
      <w:ind w:leftChars="0" w:left="4321" w:firstLineChars="0" w:hanging="721"/>
      <w:textDirection w:val="lrTb"/>
      <w:textAlignment w:val="baseline"/>
      <w:outlineLvl w:val="6"/>
    </w:pPr>
    <w:rPr>
      <w:rFonts w:eastAsia="STZhongsong"/>
      <w:positio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pPr>
      <w:numPr>
        <w:numId w:val="44"/>
      </w:numPr>
    </w:pPr>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uiPriority w:val="9"/>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sid w:val="00E85EC4"/>
    <w:rPr>
      <w:rFonts w:eastAsia="STZhongsong"/>
      <w:sz w:val="24"/>
      <w:szCs w:val="24"/>
      <w:lang w:eastAsia="zh-CN"/>
    </w:rPr>
  </w:style>
  <w:style w:type="paragraph" w:customStyle="1" w:styleId="Default">
    <w:name w:val="Default"/>
    <w:rsid w:val="006B2368"/>
    <w:pPr>
      <w:autoSpaceDE w:val="0"/>
      <w:autoSpaceDN w:val="0"/>
      <w:adjustRightInd w:val="0"/>
      <w:ind w:firstLine="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9" Type="http://schemas.openxmlformats.org/officeDocument/2006/relationships/header" Target="header4.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42"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image" Target="media/image2.png"/><Relationship Id="rId32" Type="http://schemas.openxmlformats.org/officeDocument/2006/relationships/footer" Target="footer2.xml"/><Relationship Id="rId37" Type="http://schemas.openxmlformats.org/officeDocument/2006/relationships/image" Target="media/image3.png"/><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government/publications/the-sourcing-and-consultancy-playbooks" TargetMode="Externa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hyperlink" Target="mailto:resolution.planning@cabinetoffice.gov.uk"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26464</Words>
  <Characters>150848</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Lorraine Plunkett</cp:lastModifiedBy>
  <cp:revision>2</cp:revision>
  <dcterms:created xsi:type="dcterms:W3CDTF">2026-01-19T10:13:00Z</dcterms:created>
  <dcterms:modified xsi:type="dcterms:W3CDTF">2026-01-19T10:13:00Z</dcterms:modified>
</cp:coreProperties>
</file>