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70DED2D0"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FE0B21" w:rsidRPr="00CB7AD6">
        <w:rPr>
          <w:rFonts w:cs="Arial"/>
          <w:b/>
          <w:sz w:val="36"/>
          <w:szCs w:val="36"/>
        </w:rPr>
        <w:t xml:space="preserve"> </w:t>
      </w:r>
      <w:r w:rsidR="00144BC8">
        <w:rPr>
          <w:rFonts w:cs="Arial"/>
          <w:b/>
          <w:sz w:val="36"/>
          <w:szCs w:val="36"/>
        </w:rPr>
        <w:t xml:space="preserve">Adaptation actions in </w:t>
      </w:r>
      <w:r w:rsidR="00840193">
        <w:rPr>
          <w:rFonts w:cs="Arial"/>
          <w:b/>
          <w:sz w:val="36"/>
          <w:szCs w:val="36"/>
        </w:rPr>
        <w:t>cities</w:t>
      </w:r>
      <w:r w:rsidR="00144BC8">
        <w:rPr>
          <w:rFonts w:cs="Arial"/>
          <w:b/>
          <w:sz w:val="36"/>
          <w:szCs w:val="36"/>
        </w:rPr>
        <w:t xml:space="preserve"> – what works?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94E0B65"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1100D6">
        <w:rPr>
          <w:rFonts w:cs="Arial"/>
          <w:color w:val="FF0000"/>
          <w:sz w:val="36"/>
          <w:szCs w:val="36"/>
        </w:rPr>
        <w:t>DS/1217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5EA87639" w14:textId="77777777" w:rsidR="00FD139A" w:rsidRDefault="00FD139A">
                            <w:pPr>
                              <w:pStyle w:val="Norma"/>
                            </w:pPr>
                          </w:p>
                          <w:p w14:paraId="5EA8763A" w14:textId="3CDCABAB" w:rsidR="00FD139A" w:rsidRPr="005C4A3B" w:rsidRDefault="00FD139A" w:rsidP="00405192">
                            <w:pPr>
                              <w:pStyle w:val="Norma"/>
                              <w:rPr>
                                <w:rFonts w:cs="Arial"/>
                                <w:color w:val="000000" w:themeColor="text1"/>
                                <w:sz w:val="24"/>
                                <w:szCs w:val="24"/>
                              </w:rPr>
                            </w:pPr>
                            <w:r w:rsidRPr="005C4A3B">
                              <w:rPr>
                                <w:rFonts w:cs="Arial"/>
                                <w:sz w:val="24"/>
                                <w:szCs w:val="24"/>
                              </w:rPr>
                              <w:t xml:space="preserve">Invitation to Tender for </w:t>
                            </w:r>
                            <w:r w:rsidR="000239BD" w:rsidRPr="005C4A3B">
                              <w:rPr>
                                <w:rFonts w:cs="Arial"/>
                                <w:color w:val="000000" w:themeColor="text1"/>
                                <w:sz w:val="24"/>
                                <w:szCs w:val="24"/>
                              </w:rPr>
                              <w:t>research</w:t>
                            </w:r>
                            <w:r w:rsidR="002B1525" w:rsidRPr="005C4A3B">
                              <w:rPr>
                                <w:rFonts w:cs="Arial"/>
                                <w:color w:val="000000" w:themeColor="text1"/>
                                <w:sz w:val="24"/>
                                <w:szCs w:val="24"/>
                              </w:rPr>
                              <w:t>:</w:t>
                            </w:r>
                            <w:r w:rsidR="000239BD" w:rsidRPr="005C4A3B">
                              <w:rPr>
                                <w:rFonts w:cs="Arial"/>
                                <w:color w:val="000000" w:themeColor="text1"/>
                                <w:sz w:val="24"/>
                                <w:szCs w:val="24"/>
                              </w:rPr>
                              <w:t xml:space="preserve"> </w:t>
                            </w:r>
                            <w:r w:rsidR="002B1525" w:rsidRPr="005C4A3B">
                              <w:rPr>
                                <w:sz w:val="24"/>
                                <w:szCs w:val="24"/>
                              </w:rPr>
                              <w:t xml:space="preserve"> </w:t>
                            </w:r>
                            <w:r w:rsidR="002B1525" w:rsidRPr="005C4A3B">
                              <w:rPr>
                                <w:rFonts w:cs="Arial"/>
                                <w:color w:val="000000" w:themeColor="text1"/>
                                <w:sz w:val="24"/>
                                <w:szCs w:val="24"/>
                              </w:rPr>
                              <w:t xml:space="preserve">Adaptation actions in </w:t>
                            </w:r>
                            <w:r w:rsidR="00A2373A" w:rsidRPr="005C4A3B">
                              <w:rPr>
                                <w:rFonts w:cs="Arial"/>
                                <w:color w:val="000000" w:themeColor="text1"/>
                                <w:sz w:val="24"/>
                                <w:szCs w:val="24"/>
                              </w:rPr>
                              <w:t>cities</w:t>
                            </w:r>
                            <w:r w:rsidR="002B1525" w:rsidRPr="005C4A3B">
                              <w:rPr>
                                <w:rFonts w:cs="Arial"/>
                                <w:color w:val="000000" w:themeColor="text1"/>
                                <w:sz w:val="24"/>
                                <w:szCs w:val="24"/>
                              </w:rPr>
                              <w:t xml:space="preserve"> – what works?</w:t>
                            </w:r>
                          </w:p>
                          <w:p w14:paraId="5EA8763B" w14:textId="48BACB18" w:rsidR="00FD139A" w:rsidRPr="005C4A3B" w:rsidRDefault="00FD139A" w:rsidP="00405192">
                            <w:pPr>
                              <w:pStyle w:val="Norma"/>
                              <w:rPr>
                                <w:rFonts w:cs="Arial"/>
                                <w:sz w:val="24"/>
                                <w:szCs w:val="24"/>
                              </w:rPr>
                            </w:pPr>
                            <w:r w:rsidRPr="005C4A3B">
                              <w:rPr>
                                <w:rFonts w:cs="Arial"/>
                                <w:sz w:val="24"/>
                                <w:szCs w:val="24"/>
                              </w:rPr>
                              <w:t xml:space="preserve">Tender Reference Number: </w:t>
                            </w:r>
                            <w:r w:rsidR="001100D6">
                              <w:rPr>
                                <w:rFonts w:cs="Arial"/>
                                <w:color w:val="FF0000"/>
                                <w:sz w:val="24"/>
                                <w:szCs w:val="24"/>
                              </w:rPr>
                              <w:t>DS/1217</w:t>
                            </w:r>
                            <w:bookmarkStart w:id="2" w:name="_GoBack"/>
                            <w:bookmarkEnd w:id="2"/>
                          </w:p>
                          <w:p w14:paraId="5EA8763D" w14:textId="1B8F814C" w:rsidR="00FD139A" w:rsidRPr="005C4A3B" w:rsidRDefault="00FD139A" w:rsidP="00790CE1">
                            <w:pPr>
                              <w:pStyle w:val="Norma"/>
                              <w:rPr>
                                <w:rFonts w:cs="Arial"/>
                                <w:color w:val="000000" w:themeColor="text1"/>
                                <w:sz w:val="24"/>
                                <w:szCs w:val="24"/>
                              </w:rPr>
                            </w:pPr>
                            <w:r w:rsidRPr="005C4A3B">
                              <w:rPr>
                                <w:rFonts w:cs="Arial"/>
                                <w:sz w:val="24"/>
                                <w:szCs w:val="24"/>
                              </w:rPr>
                              <w:t xml:space="preserve">Deadline for Tender Responses: </w:t>
                            </w:r>
                            <w:r w:rsidR="00875202" w:rsidRPr="005C4A3B">
                              <w:rPr>
                                <w:rFonts w:cs="Arial"/>
                                <w:color w:val="000000" w:themeColor="text1"/>
                                <w:sz w:val="24"/>
                                <w:szCs w:val="24"/>
                              </w:rPr>
                              <w:t>12</w:t>
                            </w:r>
                            <w:r w:rsidR="00986539" w:rsidRPr="005C4A3B">
                              <w:rPr>
                                <w:rFonts w:cs="Arial"/>
                                <w:color w:val="000000" w:themeColor="text1"/>
                                <w:sz w:val="24"/>
                                <w:szCs w:val="24"/>
                              </w:rPr>
                              <w:t xml:space="preserve"> </w:t>
                            </w:r>
                            <w:r w:rsidR="00A2373A" w:rsidRPr="005C4A3B">
                              <w:rPr>
                                <w:rFonts w:cs="Arial"/>
                                <w:color w:val="000000" w:themeColor="text1"/>
                                <w:sz w:val="24"/>
                                <w:szCs w:val="24"/>
                              </w:rPr>
                              <w:t>January</w:t>
                            </w:r>
                            <w:r w:rsidR="00986539" w:rsidRPr="005C4A3B">
                              <w:rPr>
                                <w:rFonts w:cs="Arial"/>
                                <w:color w:val="000000" w:themeColor="text1"/>
                                <w:sz w:val="24"/>
                                <w:szCs w:val="24"/>
                              </w:rPr>
                              <w:t xml:space="preserve"> </w:t>
                            </w:r>
                            <w:r w:rsidR="000239BD" w:rsidRPr="005C4A3B">
                              <w:rPr>
                                <w:rFonts w:cs="Arial"/>
                                <w:color w:val="000000" w:themeColor="text1"/>
                                <w:sz w:val="24"/>
                                <w:szCs w:val="24"/>
                              </w:rPr>
                              <w:t>2017</w:t>
                            </w: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5EA87639" w14:textId="77777777" w:rsidR="00FD139A" w:rsidRDefault="00FD139A">
                      <w:pPr>
                        <w:pStyle w:val="Norma"/>
                      </w:pPr>
                    </w:p>
                    <w:p w14:paraId="5EA8763A" w14:textId="3CDCABAB" w:rsidR="00FD139A" w:rsidRPr="005C4A3B" w:rsidRDefault="00FD139A" w:rsidP="00405192">
                      <w:pPr>
                        <w:pStyle w:val="Norma"/>
                        <w:rPr>
                          <w:rFonts w:cs="Arial"/>
                          <w:color w:val="000000" w:themeColor="text1"/>
                          <w:sz w:val="24"/>
                          <w:szCs w:val="24"/>
                        </w:rPr>
                      </w:pPr>
                      <w:r w:rsidRPr="005C4A3B">
                        <w:rPr>
                          <w:rFonts w:cs="Arial"/>
                          <w:sz w:val="24"/>
                          <w:szCs w:val="24"/>
                        </w:rPr>
                        <w:t xml:space="preserve">Invitation to Tender for </w:t>
                      </w:r>
                      <w:r w:rsidR="000239BD" w:rsidRPr="005C4A3B">
                        <w:rPr>
                          <w:rFonts w:cs="Arial"/>
                          <w:color w:val="000000" w:themeColor="text1"/>
                          <w:sz w:val="24"/>
                          <w:szCs w:val="24"/>
                        </w:rPr>
                        <w:t>research</w:t>
                      </w:r>
                      <w:r w:rsidR="002B1525" w:rsidRPr="005C4A3B">
                        <w:rPr>
                          <w:rFonts w:cs="Arial"/>
                          <w:color w:val="000000" w:themeColor="text1"/>
                          <w:sz w:val="24"/>
                          <w:szCs w:val="24"/>
                        </w:rPr>
                        <w:t>:</w:t>
                      </w:r>
                      <w:r w:rsidR="000239BD" w:rsidRPr="005C4A3B">
                        <w:rPr>
                          <w:rFonts w:cs="Arial"/>
                          <w:color w:val="000000" w:themeColor="text1"/>
                          <w:sz w:val="24"/>
                          <w:szCs w:val="24"/>
                        </w:rPr>
                        <w:t xml:space="preserve"> </w:t>
                      </w:r>
                      <w:r w:rsidR="002B1525" w:rsidRPr="005C4A3B">
                        <w:rPr>
                          <w:sz w:val="24"/>
                          <w:szCs w:val="24"/>
                        </w:rPr>
                        <w:t xml:space="preserve"> </w:t>
                      </w:r>
                      <w:r w:rsidR="002B1525" w:rsidRPr="005C4A3B">
                        <w:rPr>
                          <w:rFonts w:cs="Arial"/>
                          <w:color w:val="000000" w:themeColor="text1"/>
                          <w:sz w:val="24"/>
                          <w:szCs w:val="24"/>
                        </w:rPr>
                        <w:t xml:space="preserve">Adaptation actions in </w:t>
                      </w:r>
                      <w:r w:rsidR="00A2373A" w:rsidRPr="005C4A3B">
                        <w:rPr>
                          <w:rFonts w:cs="Arial"/>
                          <w:color w:val="000000" w:themeColor="text1"/>
                          <w:sz w:val="24"/>
                          <w:szCs w:val="24"/>
                        </w:rPr>
                        <w:t>cities</w:t>
                      </w:r>
                      <w:r w:rsidR="002B1525" w:rsidRPr="005C4A3B">
                        <w:rPr>
                          <w:rFonts w:cs="Arial"/>
                          <w:color w:val="000000" w:themeColor="text1"/>
                          <w:sz w:val="24"/>
                          <w:szCs w:val="24"/>
                        </w:rPr>
                        <w:t xml:space="preserve"> – what works?</w:t>
                      </w:r>
                    </w:p>
                    <w:p w14:paraId="5EA8763B" w14:textId="48BACB18" w:rsidR="00FD139A" w:rsidRPr="005C4A3B" w:rsidRDefault="00FD139A" w:rsidP="00405192">
                      <w:pPr>
                        <w:pStyle w:val="Norma"/>
                        <w:rPr>
                          <w:rFonts w:cs="Arial"/>
                          <w:sz w:val="24"/>
                          <w:szCs w:val="24"/>
                        </w:rPr>
                      </w:pPr>
                      <w:r w:rsidRPr="005C4A3B">
                        <w:rPr>
                          <w:rFonts w:cs="Arial"/>
                          <w:sz w:val="24"/>
                          <w:szCs w:val="24"/>
                        </w:rPr>
                        <w:t xml:space="preserve">Tender Reference Number: </w:t>
                      </w:r>
                      <w:r w:rsidR="001100D6">
                        <w:rPr>
                          <w:rFonts w:cs="Arial"/>
                          <w:color w:val="FF0000"/>
                          <w:sz w:val="24"/>
                          <w:szCs w:val="24"/>
                        </w:rPr>
                        <w:t>DS/1217</w:t>
                      </w:r>
                      <w:bookmarkStart w:id="3" w:name="_GoBack"/>
                      <w:bookmarkEnd w:id="3"/>
                    </w:p>
                    <w:p w14:paraId="5EA8763D" w14:textId="1B8F814C" w:rsidR="00FD139A" w:rsidRPr="005C4A3B" w:rsidRDefault="00FD139A" w:rsidP="00790CE1">
                      <w:pPr>
                        <w:pStyle w:val="Norma"/>
                        <w:rPr>
                          <w:rFonts w:cs="Arial"/>
                          <w:color w:val="000000" w:themeColor="text1"/>
                          <w:sz w:val="24"/>
                          <w:szCs w:val="24"/>
                        </w:rPr>
                      </w:pPr>
                      <w:r w:rsidRPr="005C4A3B">
                        <w:rPr>
                          <w:rFonts w:cs="Arial"/>
                          <w:sz w:val="24"/>
                          <w:szCs w:val="24"/>
                        </w:rPr>
                        <w:t xml:space="preserve">Deadline for Tender Responses: </w:t>
                      </w:r>
                      <w:r w:rsidR="00875202" w:rsidRPr="005C4A3B">
                        <w:rPr>
                          <w:rFonts w:cs="Arial"/>
                          <w:color w:val="000000" w:themeColor="text1"/>
                          <w:sz w:val="24"/>
                          <w:szCs w:val="24"/>
                        </w:rPr>
                        <w:t>12</w:t>
                      </w:r>
                      <w:r w:rsidR="00986539" w:rsidRPr="005C4A3B">
                        <w:rPr>
                          <w:rFonts w:cs="Arial"/>
                          <w:color w:val="000000" w:themeColor="text1"/>
                          <w:sz w:val="24"/>
                          <w:szCs w:val="24"/>
                        </w:rPr>
                        <w:t xml:space="preserve"> </w:t>
                      </w:r>
                      <w:r w:rsidR="00A2373A" w:rsidRPr="005C4A3B">
                        <w:rPr>
                          <w:rFonts w:cs="Arial"/>
                          <w:color w:val="000000" w:themeColor="text1"/>
                          <w:sz w:val="24"/>
                          <w:szCs w:val="24"/>
                        </w:rPr>
                        <w:t>January</w:t>
                      </w:r>
                      <w:r w:rsidR="00986539" w:rsidRPr="005C4A3B">
                        <w:rPr>
                          <w:rFonts w:cs="Arial"/>
                          <w:color w:val="000000" w:themeColor="text1"/>
                          <w:sz w:val="24"/>
                          <w:szCs w:val="24"/>
                        </w:rPr>
                        <w:t xml:space="preserve"> </w:t>
                      </w:r>
                      <w:r w:rsidR="000239BD" w:rsidRPr="005C4A3B">
                        <w:rPr>
                          <w:rFonts w:cs="Arial"/>
                          <w:color w:val="000000" w:themeColor="text1"/>
                          <w:sz w:val="24"/>
                          <w:szCs w:val="24"/>
                        </w:rPr>
                        <w:t>2017</w:t>
                      </w: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7D7E5A54" w14:textId="77777777" w:rsidR="00C62E6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C62E6E" w:rsidRPr="009D4A98">
        <w:rPr>
          <w:rFonts w:cs="Arial"/>
          <w:noProof/>
        </w:rPr>
        <w:t>1.</w:t>
      </w:r>
      <w:r w:rsidR="00C62E6E">
        <w:rPr>
          <w:rFonts w:asciiTheme="minorHAnsi" w:eastAsiaTheme="minorEastAsia" w:hAnsiTheme="minorHAnsi" w:cstheme="minorBidi"/>
          <w:noProof/>
        </w:rPr>
        <w:tab/>
      </w:r>
      <w:r w:rsidR="00C62E6E" w:rsidRPr="009D4A98">
        <w:rPr>
          <w:rFonts w:cs="Arial"/>
          <w:noProof/>
        </w:rPr>
        <w:t>Introduction and summary of requirements / Preamble</w:t>
      </w:r>
      <w:r w:rsidR="00C62E6E">
        <w:rPr>
          <w:noProof/>
        </w:rPr>
        <w:tab/>
      </w:r>
      <w:r w:rsidR="00C62E6E">
        <w:rPr>
          <w:noProof/>
        </w:rPr>
        <w:fldChar w:fldCharType="begin"/>
      </w:r>
      <w:r w:rsidR="00C62E6E">
        <w:rPr>
          <w:noProof/>
        </w:rPr>
        <w:instrText xml:space="preserve"> PAGEREF _Toc496603071 \h </w:instrText>
      </w:r>
      <w:r w:rsidR="00C62E6E">
        <w:rPr>
          <w:noProof/>
        </w:rPr>
      </w:r>
      <w:r w:rsidR="00C62E6E">
        <w:rPr>
          <w:noProof/>
        </w:rPr>
        <w:fldChar w:fldCharType="separate"/>
      </w:r>
      <w:r w:rsidR="00C62E6E">
        <w:rPr>
          <w:noProof/>
        </w:rPr>
        <w:t>3</w:t>
      </w:r>
      <w:r w:rsidR="00C62E6E">
        <w:rPr>
          <w:noProof/>
        </w:rPr>
        <w:fldChar w:fldCharType="end"/>
      </w:r>
    </w:p>
    <w:p w14:paraId="735C48DD" w14:textId="77777777" w:rsidR="00C62E6E" w:rsidRDefault="00C62E6E">
      <w:pPr>
        <w:pStyle w:val="TOC1"/>
        <w:rPr>
          <w:rFonts w:asciiTheme="minorHAnsi" w:eastAsiaTheme="minorEastAsia" w:hAnsiTheme="minorHAnsi" w:cstheme="minorBidi"/>
          <w:noProof/>
        </w:rPr>
      </w:pPr>
      <w:r w:rsidRPr="009D4A98">
        <w:rPr>
          <w:rFonts w:cs="Arial"/>
          <w:noProof/>
        </w:rPr>
        <w:t>2.</w:t>
      </w:r>
      <w:r>
        <w:rPr>
          <w:rFonts w:asciiTheme="minorHAnsi" w:eastAsiaTheme="minorEastAsia" w:hAnsiTheme="minorHAnsi" w:cstheme="minorBidi"/>
          <w:noProof/>
        </w:rPr>
        <w:tab/>
      </w:r>
      <w:r w:rsidRPr="009D4A98">
        <w:rPr>
          <w:rFonts w:cs="Arial"/>
          <w:noProof/>
        </w:rPr>
        <w:t>Background</w:t>
      </w:r>
      <w:r>
        <w:rPr>
          <w:noProof/>
        </w:rPr>
        <w:tab/>
      </w:r>
      <w:r>
        <w:rPr>
          <w:noProof/>
        </w:rPr>
        <w:fldChar w:fldCharType="begin"/>
      </w:r>
      <w:r>
        <w:rPr>
          <w:noProof/>
        </w:rPr>
        <w:instrText xml:space="preserve"> PAGEREF _Toc496603072 \h </w:instrText>
      </w:r>
      <w:r>
        <w:rPr>
          <w:noProof/>
        </w:rPr>
      </w:r>
      <w:r>
        <w:rPr>
          <w:noProof/>
        </w:rPr>
        <w:fldChar w:fldCharType="separate"/>
      </w:r>
      <w:r>
        <w:rPr>
          <w:noProof/>
        </w:rPr>
        <w:t>3</w:t>
      </w:r>
      <w:r>
        <w:rPr>
          <w:noProof/>
        </w:rPr>
        <w:fldChar w:fldCharType="end"/>
      </w:r>
    </w:p>
    <w:p w14:paraId="36644C55" w14:textId="77777777" w:rsidR="00C62E6E" w:rsidRDefault="00C62E6E">
      <w:pPr>
        <w:pStyle w:val="TOC1"/>
        <w:rPr>
          <w:rFonts w:asciiTheme="minorHAnsi" w:eastAsiaTheme="minorEastAsia" w:hAnsiTheme="minorHAnsi" w:cstheme="minorBidi"/>
          <w:noProof/>
        </w:rPr>
      </w:pPr>
      <w:r w:rsidRPr="009D4A98">
        <w:rPr>
          <w:rFonts w:cs="Arial"/>
          <w:noProof/>
        </w:rPr>
        <w:t>3.</w:t>
      </w:r>
      <w:r>
        <w:rPr>
          <w:rFonts w:asciiTheme="minorHAnsi" w:eastAsiaTheme="minorEastAsia" w:hAnsiTheme="minorHAnsi" w:cstheme="minorBidi"/>
          <w:noProof/>
        </w:rPr>
        <w:tab/>
      </w:r>
      <w:r w:rsidRPr="009D4A98">
        <w:rPr>
          <w:rFonts w:cs="Arial"/>
          <w:noProof/>
        </w:rPr>
        <w:t>Aims and Objectives</w:t>
      </w:r>
      <w:r>
        <w:rPr>
          <w:noProof/>
        </w:rPr>
        <w:tab/>
      </w:r>
      <w:r>
        <w:rPr>
          <w:noProof/>
        </w:rPr>
        <w:fldChar w:fldCharType="begin"/>
      </w:r>
      <w:r>
        <w:rPr>
          <w:noProof/>
        </w:rPr>
        <w:instrText xml:space="preserve"> PAGEREF _Toc496603073 \h </w:instrText>
      </w:r>
      <w:r>
        <w:rPr>
          <w:noProof/>
        </w:rPr>
      </w:r>
      <w:r>
        <w:rPr>
          <w:noProof/>
        </w:rPr>
        <w:fldChar w:fldCharType="separate"/>
      </w:r>
      <w:r>
        <w:rPr>
          <w:noProof/>
        </w:rPr>
        <w:t>4</w:t>
      </w:r>
      <w:r>
        <w:rPr>
          <w:noProof/>
        </w:rPr>
        <w:fldChar w:fldCharType="end"/>
      </w:r>
    </w:p>
    <w:p w14:paraId="40D13112" w14:textId="77777777" w:rsidR="00C62E6E" w:rsidRDefault="00C62E6E">
      <w:pPr>
        <w:pStyle w:val="TOC1"/>
        <w:rPr>
          <w:rFonts w:asciiTheme="minorHAnsi" w:eastAsiaTheme="minorEastAsia" w:hAnsiTheme="minorHAnsi" w:cstheme="minorBidi"/>
          <w:noProof/>
        </w:rPr>
      </w:pPr>
      <w:r w:rsidRPr="009D4A98">
        <w:rPr>
          <w:rFonts w:cs="Arial"/>
          <w:noProof/>
        </w:rPr>
        <w:t>4</w:t>
      </w:r>
      <w:r>
        <w:rPr>
          <w:rFonts w:asciiTheme="minorHAnsi" w:eastAsiaTheme="minorEastAsia" w:hAnsiTheme="minorHAnsi" w:cstheme="minorBidi"/>
          <w:noProof/>
        </w:rPr>
        <w:tab/>
      </w:r>
      <w:r w:rsidRPr="009D4A98">
        <w:rPr>
          <w:rFonts w:cs="Arial"/>
          <w:noProof/>
        </w:rPr>
        <w:t>Methodology</w:t>
      </w:r>
      <w:r>
        <w:rPr>
          <w:noProof/>
        </w:rPr>
        <w:tab/>
      </w:r>
      <w:r>
        <w:rPr>
          <w:noProof/>
        </w:rPr>
        <w:fldChar w:fldCharType="begin"/>
      </w:r>
      <w:r>
        <w:rPr>
          <w:noProof/>
        </w:rPr>
        <w:instrText xml:space="preserve"> PAGEREF _Toc496603074 \h </w:instrText>
      </w:r>
      <w:r>
        <w:rPr>
          <w:noProof/>
        </w:rPr>
      </w:r>
      <w:r>
        <w:rPr>
          <w:noProof/>
        </w:rPr>
        <w:fldChar w:fldCharType="separate"/>
      </w:r>
      <w:r>
        <w:rPr>
          <w:noProof/>
        </w:rPr>
        <w:t>4</w:t>
      </w:r>
      <w:r>
        <w:rPr>
          <w:noProof/>
        </w:rPr>
        <w:fldChar w:fldCharType="end"/>
      </w:r>
    </w:p>
    <w:p w14:paraId="3454515D" w14:textId="77777777" w:rsidR="00C62E6E" w:rsidRDefault="00C62E6E">
      <w:pPr>
        <w:pStyle w:val="TOC1"/>
        <w:rPr>
          <w:rFonts w:asciiTheme="minorHAnsi" w:eastAsiaTheme="minorEastAsia" w:hAnsiTheme="minorHAnsi" w:cstheme="minorBidi"/>
          <w:noProof/>
        </w:rPr>
      </w:pPr>
      <w:r w:rsidRPr="009D4A98">
        <w:rPr>
          <w:rFonts w:cs="Arial"/>
          <w:noProof/>
        </w:rPr>
        <w:t>5</w:t>
      </w:r>
      <w:r>
        <w:rPr>
          <w:rFonts w:asciiTheme="minorHAnsi" w:eastAsiaTheme="minorEastAsia" w:hAnsiTheme="minorHAnsi" w:cstheme="minorBidi"/>
          <w:noProof/>
        </w:rPr>
        <w:tab/>
      </w:r>
      <w:r w:rsidRPr="009D4A98">
        <w:rPr>
          <w:rFonts w:cs="Arial"/>
          <w:noProof/>
        </w:rPr>
        <w:t>Outputs Required</w:t>
      </w:r>
      <w:r>
        <w:rPr>
          <w:noProof/>
        </w:rPr>
        <w:tab/>
      </w:r>
      <w:r>
        <w:rPr>
          <w:noProof/>
        </w:rPr>
        <w:fldChar w:fldCharType="begin"/>
      </w:r>
      <w:r>
        <w:rPr>
          <w:noProof/>
        </w:rPr>
        <w:instrText xml:space="preserve"> PAGEREF _Toc496603075 \h </w:instrText>
      </w:r>
      <w:r>
        <w:rPr>
          <w:noProof/>
        </w:rPr>
      </w:r>
      <w:r>
        <w:rPr>
          <w:noProof/>
        </w:rPr>
        <w:fldChar w:fldCharType="separate"/>
      </w:r>
      <w:r>
        <w:rPr>
          <w:noProof/>
        </w:rPr>
        <w:t>6</w:t>
      </w:r>
      <w:r>
        <w:rPr>
          <w:noProof/>
        </w:rPr>
        <w:fldChar w:fldCharType="end"/>
      </w:r>
    </w:p>
    <w:p w14:paraId="21C21DC0" w14:textId="77777777" w:rsidR="00C62E6E" w:rsidRDefault="00C62E6E">
      <w:pPr>
        <w:pStyle w:val="TOC1"/>
        <w:rPr>
          <w:rFonts w:asciiTheme="minorHAnsi" w:eastAsiaTheme="minorEastAsia" w:hAnsiTheme="minorHAnsi" w:cstheme="minorBidi"/>
          <w:noProof/>
        </w:rPr>
      </w:pPr>
      <w:r w:rsidRPr="009D4A98">
        <w:rPr>
          <w:rFonts w:cs="Arial"/>
          <w:noProof/>
        </w:rPr>
        <w:t>6</w:t>
      </w:r>
      <w:r>
        <w:rPr>
          <w:rFonts w:asciiTheme="minorHAnsi" w:eastAsiaTheme="minorEastAsia" w:hAnsiTheme="minorHAnsi" w:cstheme="minorBidi"/>
          <w:noProof/>
        </w:rPr>
        <w:tab/>
      </w:r>
      <w:r w:rsidRPr="009D4A98">
        <w:rPr>
          <w:rFonts w:cs="Arial"/>
          <w:noProof/>
        </w:rPr>
        <w:t>Ownership and Publication</w:t>
      </w:r>
      <w:r>
        <w:rPr>
          <w:noProof/>
        </w:rPr>
        <w:tab/>
      </w:r>
      <w:r>
        <w:rPr>
          <w:noProof/>
        </w:rPr>
        <w:fldChar w:fldCharType="begin"/>
      </w:r>
      <w:r>
        <w:rPr>
          <w:noProof/>
        </w:rPr>
        <w:instrText xml:space="preserve"> PAGEREF _Toc496603076 \h </w:instrText>
      </w:r>
      <w:r>
        <w:rPr>
          <w:noProof/>
        </w:rPr>
      </w:r>
      <w:r>
        <w:rPr>
          <w:noProof/>
        </w:rPr>
        <w:fldChar w:fldCharType="separate"/>
      </w:r>
      <w:r>
        <w:rPr>
          <w:noProof/>
        </w:rPr>
        <w:t>6</w:t>
      </w:r>
      <w:r>
        <w:rPr>
          <w:noProof/>
        </w:rPr>
        <w:fldChar w:fldCharType="end"/>
      </w:r>
    </w:p>
    <w:p w14:paraId="2EFC14BC" w14:textId="77777777" w:rsidR="00C62E6E" w:rsidRDefault="00C62E6E">
      <w:pPr>
        <w:pStyle w:val="TOC1"/>
        <w:rPr>
          <w:rFonts w:asciiTheme="minorHAnsi" w:eastAsiaTheme="minorEastAsia" w:hAnsiTheme="minorHAnsi" w:cstheme="minorBidi"/>
          <w:noProof/>
        </w:rPr>
      </w:pPr>
      <w:r w:rsidRPr="009D4A98">
        <w:rPr>
          <w:rFonts w:cs="Arial"/>
          <w:noProof/>
        </w:rPr>
        <w:t>7</w:t>
      </w:r>
      <w:r>
        <w:rPr>
          <w:rFonts w:asciiTheme="minorHAnsi" w:eastAsiaTheme="minorEastAsia" w:hAnsiTheme="minorHAnsi" w:cstheme="minorBidi"/>
          <w:noProof/>
        </w:rPr>
        <w:tab/>
      </w:r>
      <w:r w:rsidRPr="009D4A98">
        <w:rPr>
          <w:rFonts w:cs="Arial"/>
          <w:noProof/>
        </w:rPr>
        <w:t>Quality Assurance</w:t>
      </w:r>
      <w:r>
        <w:rPr>
          <w:noProof/>
        </w:rPr>
        <w:tab/>
      </w:r>
      <w:r>
        <w:rPr>
          <w:noProof/>
        </w:rPr>
        <w:fldChar w:fldCharType="begin"/>
      </w:r>
      <w:r>
        <w:rPr>
          <w:noProof/>
        </w:rPr>
        <w:instrText xml:space="preserve"> PAGEREF _Toc496603077 \h </w:instrText>
      </w:r>
      <w:r>
        <w:rPr>
          <w:noProof/>
        </w:rPr>
      </w:r>
      <w:r>
        <w:rPr>
          <w:noProof/>
        </w:rPr>
        <w:fldChar w:fldCharType="separate"/>
      </w:r>
      <w:r>
        <w:rPr>
          <w:noProof/>
        </w:rPr>
        <w:t>6</w:t>
      </w:r>
      <w:r>
        <w:rPr>
          <w:noProof/>
        </w:rPr>
        <w:fldChar w:fldCharType="end"/>
      </w:r>
    </w:p>
    <w:p w14:paraId="17B43CCD" w14:textId="77777777" w:rsidR="00C62E6E" w:rsidRDefault="00C62E6E">
      <w:pPr>
        <w:pStyle w:val="TOC1"/>
        <w:rPr>
          <w:rFonts w:asciiTheme="minorHAnsi" w:eastAsiaTheme="minorEastAsia" w:hAnsiTheme="minorHAnsi" w:cstheme="minorBidi"/>
          <w:noProof/>
        </w:rPr>
      </w:pPr>
      <w:r w:rsidRPr="009D4A98">
        <w:rPr>
          <w:rFonts w:cs="Arial"/>
          <w:noProof/>
        </w:rPr>
        <w:t>8</w:t>
      </w:r>
      <w:r>
        <w:rPr>
          <w:rFonts w:asciiTheme="minorHAnsi" w:eastAsiaTheme="minorEastAsia" w:hAnsiTheme="minorHAnsi" w:cstheme="minorBidi"/>
          <w:noProof/>
        </w:rPr>
        <w:tab/>
      </w:r>
      <w:r w:rsidRPr="009D4A98">
        <w:rPr>
          <w:rFonts w:cs="Arial"/>
          <w:noProof/>
        </w:rPr>
        <w:t>Timetable</w:t>
      </w:r>
      <w:r>
        <w:rPr>
          <w:noProof/>
        </w:rPr>
        <w:tab/>
      </w:r>
      <w:r>
        <w:rPr>
          <w:noProof/>
        </w:rPr>
        <w:fldChar w:fldCharType="begin"/>
      </w:r>
      <w:r>
        <w:rPr>
          <w:noProof/>
        </w:rPr>
        <w:instrText xml:space="preserve"> PAGEREF _Toc496603078 \h </w:instrText>
      </w:r>
      <w:r>
        <w:rPr>
          <w:noProof/>
        </w:rPr>
      </w:r>
      <w:r>
        <w:rPr>
          <w:noProof/>
        </w:rPr>
        <w:fldChar w:fldCharType="separate"/>
      </w:r>
      <w:r>
        <w:rPr>
          <w:noProof/>
        </w:rPr>
        <w:t>6</w:t>
      </w:r>
      <w:r>
        <w:rPr>
          <w:noProof/>
        </w:rPr>
        <w:fldChar w:fldCharType="end"/>
      </w:r>
    </w:p>
    <w:p w14:paraId="788D4967" w14:textId="77777777" w:rsidR="00C62E6E" w:rsidRDefault="00C62E6E">
      <w:pPr>
        <w:pStyle w:val="TOC1"/>
        <w:rPr>
          <w:rFonts w:asciiTheme="minorHAnsi" w:eastAsiaTheme="minorEastAsia" w:hAnsiTheme="minorHAnsi" w:cstheme="minorBidi"/>
          <w:noProof/>
        </w:rPr>
      </w:pPr>
      <w:r w:rsidRPr="009D4A98">
        <w:rPr>
          <w:rFonts w:cs="Arial"/>
          <w:noProof/>
        </w:rPr>
        <w:t>9</w:t>
      </w:r>
      <w:r>
        <w:rPr>
          <w:rFonts w:asciiTheme="minorHAnsi" w:eastAsiaTheme="minorEastAsia" w:hAnsiTheme="minorHAnsi" w:cstheme="minorBidi"/>
          <w:noProof/>
        </w:rPr>
        <w:tab/>
      </w:r>
      <w:r w:rsidRPr="009D4A98">
        <w:rPr>
          <w:rFonts w:cs="Arial"/>
          <w:noProof/>
        </w:rPr>
        <w:t>Challenges</w:t>
      </w:r>
      <w:r>
        <w:rPr>
          <w:noProof/>
        </w:rPr>
        <w:tab/>
      </w:r>
      <w:r>
        <w:rPr>
          <w:noProof/>
        </w:rPr>
        <w:fldChar w:fldCharType="begin"/>
      </w:r>
      <w:r>
        <w:rPr>
          <w:noProof/>
        </w:rPr>
        <w:instrText xml:space="preserve"> PAGEREF _Toc496603079 \h </w:instrText>
      </w:r>
      <w:r>
        <w:rPr>
          <w:noProof/>
        </w:rPr>
      </w:r>
      <w:r>
        <w:rPr>
          <w:noProof/>
        </w:rPr>
        <w:fldChar w:fldCharType="separate"/>
      </w:r>
      <w:r>
        <w:rPr>
          <w:noProof/>
        </w:rPr>
        <w:t>7</w:t>
      </w:r>
      <w:r>
        <w:rPr>
          <w:noProof/>
        </w:rPr>
        <w:fldChar w:fldCharType="end"/>
      </w:r>
    </w:p>
    <w:p w14:paraId="5F45F8D1" w14:textId="77777777" w:rsidR="00C62E6E" w:rsidRDefault="00C62E6E">
      <w:pPr>
        <w:pStyle w:val="TOC1"/>
        <w:rPr>
          <w:rFonts w:asciiTheme="minorHAnsi" w:eastAsiaTheme="minorEastAsia" w:hAnsiTheme="minorHAnsi" w:cstheme="minorBidi"/>
          <w:noProof/>
        </w:rPr>
      </w:pPr>
      <w:r w:rsidRPr="009D4A98">
        <w:rPr>
          <w:rFonts w:cs="Arial"/>
          <w:noProof/>
        </w:rPr>
        <w:t>10</w:t>
      </w:r>
      <w:r>
        <w:rPr>
          <w:rFonts w:asciiTheme="minorHAnsi" w:eastAsiaTheme="minorEastAsia" w:hAnsiTheme="minorHAnsi" w:cstheme="minorBidi"/>
          <w:noProof/>
        </w:rPr>
        <w:tab/>
      </w:r>
      <w:r w:rsidRPr="009D4A98">
        <w:rPr>
          <w:rFonts w:cs="Arial"/>
          <w:noProof/>
        </w:rPr>
        <w:t>Ethics</w:t>
      </w:r>
      <w:r>
        <w:rPr>
          <w:noProof/>
        </w:rPr>
        <w:tab/>
      </w:r>
      <w:r>
        <w:rPr>
          <w:noProof/>
        </w:rPr>
        <w:fldChar w:fldCharType="begin"/>
      </w:r>
      <w:r>
        <w:rPr>
          <w:noProof/>
        </w:rPr>
        <w:instrText xml:space="preserve"> PAGEREF _Toc496603080 \h </w:instrText>
      </w:r>
      <w:r>
        <w:rPr>
          <w:noProof/>
        </w:rPr>
      </w:r>
      <w:r>
        <w:rPr>
          <w:noProof/>
        </w:rPr>
        <w:fldChar w:fldCharType="separate"/>
      </w:r>
      <w:r>
        <w:rPr>
          <w:noProof/>
        </w:rPr>
        <w:t>7</w:t>
      </w:r>
      <w:r>
        <w:rPr>
          <w:noProof/>
        </w:rPr>
        <w:fldChar w:fldCharType="end"/>
      </w:r>
    </w:p>
    <w:p w14:paraId="1A674245" w14:textId="77777777" w:rsidR="00C62E6E" w:rsidRDefault="00C62E6E">
      <w:pPr>
        <w:pStyle w:val="TOC1"/>
        <w:rPr>
          <w:rFonts w:asciiTheme="minorHAnsi" w:eastAsiaTheme="minorEastAsia" w:hAnsiTheme="minorHAnsi" w:cstheme="minorBidi"/>
          <w:noProof/>
        </w:rPr>
      </w:pPr>
      <w:r w:rsidRPr="009D4A98">
        <w:rPr>
          <w:rFonts w:cs="Arial"/>
          <w:noProof/>
        </w:rPr>
        <w:t>11</w:t>
      </w:r>
      <w:r>
        <w:rPr>
          <w:rFonts w:asciiTheme="minorHAnsi" w:eastAsiaTheme="minorEastAsia" w:hAnsiTheme="minorHAnsi" w:cstheme="minorBidi"/>
          <w:noProof/>
        </w:rPr>
        <w:tab/>
      </w:r>
      <w:r w:rsidRPr="009D4A98">
        <w:rPr>
          <w:rFonts w:cs="Arial"/>
          <w:noProof/>
        </w:rPr>
        <w:t>Working Arrangements</w:t>
      </w:r>
      <w:r>
        <w:rPr>
          <w:noProof/>
        </w:rPr>
        <w:tab/>
      </w:r>
      <w:r>
        <w:rPr>
          <w:noProof/>
        </w:rPr>
        <w:fldChar w:fldCharType="begin"/>
      </w:r>
      <w:r>
        <w:rPr>
          <w:noProof/>
        </w:rPr>
        <w:instrText xml:space="preserve"> PAGEREF _Toc496603081 \h </w:instrText>
      </w:r>
      <w:r>
        <w:rPr>
          <w:noProof/>
        </w:rPr>
      </w:r>
      <w:r>
        <w:rPr>
          <w:noProof/>
        </w:rPr>
        <w:fldChar w:fldCharType="separate"/>
      </w:r>
      <w:r>
        <w:rPr>
          <w:noProof/>
        </w:rPr>
        <w:t>7</w:t>
      </w:r>
      <w:r>
        <w:rPr>
          <w:noProof/>
        </w:rPr>
        <w:fldChar w:fldCharType="end"/>
      </w:r>
    </w:p>
    <w:p w14:paraId="06660A77" w14:textId="77777777" w:rsidR="00C62E6E" w:rsidRDefault="00C62E6E">
      <w:pPr>
        <w:pStyle w:val="TOC1"/>
        <w:rPr>
          <w:rFonts w:asciiTheme="minorHAnsi" w:eastAsiaTheme="minorEastAsia" w:hAnsiTheme="minorHAnsi" w:cstheme="minorBidi"/>
          <w:noProof/>
        </w:rPr>
      </w:pPr>
      <w:r w:rsidRPr="009D4A98">
        <w:rPr>
          <w:rFonts w:cs="Arial"/>
          <w:noProof/>
        </w:rPr>
        <w:t>12</w:t>
      </w:r>
      <w:r>
        <w:rPr>
          <w:rFonts w:asciiTheme="minorHAnsi" w:eastAsiaTheme="minorEastAsia" w:hAnsiTheme="minorHAnsi" w:cstheme="minorBidi"/>
          <w:noProof/>
        </w:rPr>
        <w:tab/>
      </w:r>
      <w:r w:rsidRPr="009D4A98">
        <w:rPr>
          <w:rFonts w:cs="Arial"/>
          <w:noProof/>
        </w:rPr>
        <w:t>Skills and experience</w:t>
      </w:r>
      <w:r>
        <w:rPr>
          <w:noProof/>
        </w:rPr>
        <w:tab/>
      </w:r>
      <w:r>
        <w:rPr>
          <w:noProof/>
        </w:rPr>
        <w:fldChar w:fldCharType="begin"/>
      </w:r>
      <w:r>
        <w:rPr>
          <w:noProof/>
        </w:rPr>
        <w:instrText xml:space="preserve"> PAGEREF _Toc496603082 \h </w:instrText>
      </w:r>
      <w:r>
        <w:rPr>
          <w:noProof/>
        </w:rPr>
      </w:r>
      <w:r>
        <w:rPr>
          <w:noProof/>
        </w:rPr>
        <w:fldChar w:fldCharType="separate"/>
      </w:r>
      <w:r>
        <w:rPr>
          <w:noProof/>
        </w:rPr>
        <w:t>8</w:t>
      </w:r>
      <w:r>
        <w:rPr>
          <w:noProof/>
        </w:rPr>
        <w:fldChar w:fldCharType="end"/>
      </w:r>
    </w:p>
    <w:p w14:paraId="13AC2FF4" w14:textId="77777777" w:rsidR="00C62E6E" w:rsidRDefault="00C62E6E">
      <w:pPr>
        <w:pStyle w:val="TOC1"/>
        <w:rPr>
          <w:rFonts w:asciiTheme="minorHAnsi" w:eastAsiaTheme="minorEastAsia" w:hAnsiTheme="minorHAnsi" w:cstheme="minorBidi"/>
          <w:noProof/>
        </w:rPr>
      </w:pPr>
      <w:r w:rsidRPr="009D4A98">
        <w:rPr>
          <w:rFonts w:cs="Arial"/>
          <w:noProof/>
        </w:rPr>
        <w:t>13</w:t>
      </w:r>
      <w:r>
        <w:rPr>
          <w:rFonts w:asciiTheme="minorHAnsi" w:eastAsiaTheme="minorEastAsia" w:hAnsiTheme="minorHAnsi" w:cstheme="minorBidi"/>
          <w:noProof/>
        </w:rPr>
        <w:tab/>
      </w:r>
      <w:r w:rsidRPr="009D4A98">
        <w:rPr>
          <w:rFonts w:cs="Arial"/>
          <w:noProof/>
        </w:rPr>
        <w:t>Consortium Bids</w:t>
      </w:r>
      <w:r>
        <w:rPr>
          <w:noProof/>
        </w:rPr>
        <w:tab/>
      </w:r>
      <w:r>
        <w:rPr>
          <w:noProof/>
        </w:rPr>
        <w:fldChar w:fldCharType="begin"/>
      </w:r>
      <w:r>
        <w:rPr>
          <w:noProof/>
        </w:rPr>
        <w:instrText xml:space="preserve"> PAGEREF _Toc496603083 \h </w:instrText>
      </w:r>
      <w:r>
        <w:rPr>
          <w:noProof/>
        </w:rPr>
      </w:r>
      <w:r>
        <w:rPr>
          <w:noProof/>
        </w:rPr>
        <w:fldChar w:fldCharType="separate"/>
      </w:r>
      <w:r>
        <w:rPr>
          <w:noProof/>
        </w:rPr>
        <w:t>8</w:t>
      </w:r>
      <w:r>
        <w:rPr>
          <w:noProof/>
        </w:rPr>
        <w:fldChar w:fldCharType="end"/>
      </w:r>
    </w:p>
    <w:p w14:paraId="4FB86A5F" w14:textId="77777777" w:rsidR="00C62E6E" w:rsidRDefault="00C62E6E">
      <w:pPr>
        <w:pStyle w:val="TOC1"/>
        <w:rPr>
          <w:rFonts w:asciiTheme="minorHAnsi" w:eastAsiaTheme="minorEastAsia" w:hAnsiTheme="minorHAnsi" w:cstheme="minorBidi"/>
          <w:noProof/>
        </w:rPr>
      </w:pPr>
      <w:r w:rsidRPr="009D4A98">
        <w:rPr>
          <w:rFonts w:cs="Arial"/>
          <w:noProof/>
        </w:rPr>
        <w:t>14</w:t>
      </w:r>
      <w:r>
        <w:rPr>
          <w:rFonts w:asciiTheme="minorHAnsi" w:eastAsiaTheme="minorEastAsia" w:hAnsiTheme="minorHAnsi" w:cstheme="minorBidi"/>
          <w:noProof/>
        </w:rPr>
        <w:tab/>
      </w:r>
      <w:r w:rsidRPr="009D4A98">
        <w:rPr>
          <w:rFonts w:cs="Arial"/>
          <w:noProof/>
        </w:rPr>
        <w:t>Budget</w:t>
      </w:r>
      <w:r>
        <w:rPr>
          <w:noProof/>
        </w:rPr>
        <w:tab/>
      </w:r>
      <w:r>
        <w:rPr>
          <w:noProof/>
        </w:rPr>
        <w:fldChar w:fldCharType="begin"/>
      </w:r>
      <w:r>
        <w:rPr>
          <w:noProof/>
        </w:rPr>
        <w:instrText xml:space="preserve"> PAGEREF _Toc496603084 \h </w:instrText>
      </w:r>
      <w:r>
        <w:rPr>
          <w:noProof/>
        </w:rPr>
      </w:r>
      <w:r>
        <w:rPr>
          <w:noProof/>
        </w:rPr>
        <w:fldChar w:fldCharType="separate"/>
      </w:r>
      <w:r>
        <w:rPr>
          <w:noProof/>
        </w:rPr>
        <w:t>8</w:t>
      </w:r>
      <w:r>
        <w:rPr>
          <w:noProof/>
        </w:rPr>
        <w:fldChar w:fldCharType="end"/>
      </w:r>
    </w:p>
    <w:p w14:paraId="70D5AA55" w14:textId="77777777" w:rsidR="00C62E6E" w:rsidRDefault="00C62E6E">
      <w:pPr>
        <w:pStyle w:val="TOC1"/>
        <w:rPr>
          <w:rFonts w:asciiTheme="minorHAnsi" w:eastAsiaTheme="minorEastAsia" w:hAnsiTheme="minorHAnsi" w:cstheme="minorBidi"/>
          <w:noProof/>
        </w:rPr>
      </w:pPr>
      <w:r w:rsidRPr="009D4A98">
        <w:rPr>
          <w:rFonts w:cs="Arial"/>
          <w:noProof/>
        </w:rPr>
        <w:t>15</w:t>
      </w:r>
      <w:r>
        <w:rPr>
          <w:rFonts w:asciiTheme="minorHAnsi" w:eastAsiaTheme="minorEastAsia" w:hAnsiTheme="minorHAnsi" w:cstheme="minorBidi"/>
          <w:noProof/>
        </w:rPr>
        <w:tab/>
      </w:r>
      <w:r w:rsidRPr="009D4A98">
        <w:rPr>
          <w:rFonts w:cs="Arial"/>
          <w:noProof/>
        </w:rPr>
        <w:t>Evaluation of Tenders</w:t>
      </w:r>
      <w:r>
        <w:rPr>
          <w:noProof/>
        </w:rPr>
        <w:tab/>
      </w:r>
      <w:r>
        <w:rPr>
          <w:noProof/>
        </w:rPr>
        <w:fldChar w:fldCharType="begin"/>
      </w:r>
      <w:r>
        <w:rPr>
          <w:noProof/>
        </w:rPr>
        <w:instrText xml:space="preserve"> PAGEREF _Toc496603085 \h </w:instrText>
      </w:r>
      <w:r>
        <w:rPr>
          <w:noProof/>
        </w:rPr>
      </w:r>
      <w:r>
        <w:rPr>
          <w:noProof/>
        </w:rPr>
        <w:fldChar w:fldCharType="separate"/>
      </w:r>
      <w:r>
        <w:rPr>
          <w:noProof/>
        </w:rPr>
        <w:t>9</w:t>
      </w:r>
      <w:r>
        <w:rPr>
          <w:noProof/>
        </w:rPr>
        <w:fldChar w:fldCharType="end"/>
      </w:r>
    </w:p>
    <w:p w14:paraId="4FF46754"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Criterion</w:t>
      </w:r>
      <w:r>
        <w:rPr>
          <w:noProof/>
        </w:rPr>
        <w:tab/>
      </w:r>
      <w:r>
        <w:rPr>
          <w:noProof/>
        </w:rPr>
        <w:fldChar w:fldCharType="begin"/>
      </w:r>
      <w:r>
        <w:rPr>
          <w:noProof/>
        </w:rPr>
        <w:instrText xml:space="preserve"> PAGEREF _Toc496603086 \h </w:instrText>
      </w:r>
      <w:r>
        <w:rPr>
          <w:noProof/>
        </w:rPr>
      </w:r>
      <w:r>
        <w:rPr>
          <w:noProof/>
        </w:rPr>
        <w:fldChar w:fldCharType="separate"/>
      </w:r>
      <w:r>
        <w:rPr>
          <w:noProof/>
        </w:rPr>
        <w:t>9</w:t>
      </w:r>
      <w:r>
        <w:rPr>
          <w:noProof/>
        </w:rPr>
        <w:fldChar w:fldCharType="end"/>
      </w:r>
    </w:p>
    <w:p w14:paraId="6E2CE372"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Description</w:t>
      </w:r>
      <w:r>
        <w:rPr>
          <w:noProof/>
        </w:rPr>
        <w:tab/>
      </w:r>
      <w:r>
        <w:rPr>
          <w:noProof/>
        </w:rPr>
        <w:fldChar w:fldCharType="begin"/>
      </w:r>
      <w:r>
        <w:rPr>
          <w:noProof/>
        </w:rPr>
        <w:instrText xml:space="preserve"> PAGEREF _Toc496603087 \h </w:instrText>
      </w:r>
      <w:r>
        <w:rPr>
          <w:noProof/>
        </w:rPr>
      </w:r>
      <w:r>
        <w:rPr>
          <w:noProof/>
        </w:rPr>
        <w:fldChar w:fldCharType="separate"/>
      </w:r>
      <w:r>
        <w:rPr>
          <w:noProof/>
        </w:rPr>
        <w:t>9</w:t>
      </w:r>
      <w:r>
        <w:rPr>
          <w:noProof/>
        </w:rPr>
        <w:fldChar w:fldCharType="end"/>
      </w:r>
    </w:p>
    <w:p w14:paraId="4B1E75C3"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Weighting</w:t>
      </w:r>
      <w:r>
        <w:rPr>
          <w:noProof/>
        </w:rPr>
        <w:tab/>
      </w:r>
      <w:r>
        <w:rPr>
          <w:noProof/>
        </w:rPr>
        <w:fldChar w:fldCharType="begin"/>
      </w:r>
      <w:r>
        <w:rPr>
          <w:noProof/>
        </w:rPr>
        <w:instrText xml:space="preserve"> PAGEREF _Toc496603088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4" w:name="_Ref357535594"/>
      <w:bookmarkStart w:id="5" w:name="_Ref373505096"/>
      <w:bookmarkStart w:id="6" w:name="_Toc381969506"/>
      <w:bookmarkStart w:id="7" w:name="_Toc405888455"/>
      <w:bookmarkStart w:id="8" w:name="_Toc496603071"/>
      <w:bookmarkStart w:id="9" w:name="SectionTwo"/>
      <w:r w:rsidR="00DC49C2" w:rsidRPr="00C4141B">
        <w:rPr>
          <w:rFonts w:ascii="Arial" w:hAnsi="Arial" w:cs="Arial"/>
          <w:sz w:val="24"/>
          <w:szCs w:val="24"/>
        </w:rPr>
        <w:lastRenderedPageBreak/>
        <w:t>Introduction</w:t>
      </w:r>
      <w:bookmarkEnd w:id="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5"/>
      <w:bookmarkEnd w:id="6"/>
      <w:bookmarkEnd w:id="7"/>
      <w:r w:rsidR="00DD521A">
        <w:rPr>
          <w:rFonts w:ascii="Arial" w:hAnsi="Arial" w:cs="Arial"/>
          <w:sz w:val="24"/>
          <w:szCs w:val="24"/>
        </w:rPr>
        <w:t xml:space="preserve"> / Preamble</w:t>
      </w:r>
      <w:bookmarkEnd w:id="8"/>
    </w:p>
    <w:p w14:paraId="2B4F7458" w14:textId="77777777" w:rsidR="00DD521A" w:rsidRDefault="00DD521A" w:rsidP="00DD521A">
      <w:pPr>
        <w:pStyle w:val="Norma"/>
      </w:pPr>
    </w:p>
    <w:p w14:paraId="02979F25" w14:textId="7DB40994" w:rsidR="00B5763D" w:rsidRDefault="002B4895" w:rsidP="00B5763D">
      <w:pPr>
        <w:pStyle w:val="Norma"/>
      </w:pPr>
      <w:r w:rsidRPr="00B5763D">
        <w:t>The Committee on Climate Change (CCC) is an independent, statutory body established under the 2008 Climate Change Act. The Adaptation Sub-Committee (A</w:t>
      </w:r>
      <w:r w:rsidR="005611CF">
        <w:t>SC), which is part of the CCC, was</w:t>
      </w:r>
      <w:r w:rsidRPr="00B5763D">
        <w:t xml:space="preserve"> also established under the Act to advise </w:t>
      </w:r>
      <w:r w:rsidR="0002645F">
        <w:t xml:space="preserve">the UK government </w:t>
      </w:r>
      <w:r w:rsidRPr="00B5763D">
        <w:t xml:space="preserve">and report </w:t>
      </w:r>
      <w:r w:rsidR="0002645F">
        <w:t xml:space="preserve">to Parliament </w:t>
      </w:r>
      <w:r w:rsidRPr="00B5763D">
        <w:t xml:space="preserve">on progress on adaptation to climate change. </w:t>
      </w:r>
    </w:p>
    <w:p w14:paraId="3F2E94A9" w14:textId="77777777" w:rsidR="00B5763D" w:rsidRDefault="00B5763D" w:rsidP="00B5763D">
      <w:pPr>
        <w:pStyle w:val="Norma"/>
      </w:pPr>
    </w:p>
    <w:p w14:paraId="1DB8E449" w14:textId="0DC0F974" w:rsidR="002B4895" w:rsidRPr="00B5763D" w:rsidRDefault="002B4895" w:rsidP="00B5763D">
      <w:pPr>
        <w:pStyle w:val="Norma"/>
      </w:pPr>
      <w:r w:rsidRPr="00B5763D">
        <w:t>The CCC and ASC are tasked with:</w:t>
      </w:r>
    </w:p>
    <w:p w14:paraId="7909E6BE" w14:textId="77777777" w:rsidR="00B5763D" w:rsidRDefault="00B5763D" w:rsidP="00B5763D">
      <w:pPr>
        <w:pStyle w:val="Norma"/>
      </w:pPr>
    </w:p>
    <w:p w14:paraId="591A79B8" w14:textId="6826FA4F" w:rsidR="002B4895" w:rsidRPr="00B5763D" w:rsidRDefault="002B4895" w:rsidP="00B5763D">
      <w:pPr>
        <w:pStyle w:val="Norma"/>
        <w:numPr>
          <w:ilvl w:val="0"/>
          <w:numId w:val="15"/>
        </w:numPr>
      </w:pPr>
      <w:r w:rsidRPr="00B5763D">
        <w:t xml:space="preserve">Providing independent advice to </w:t>
      </w:r>
      <w:r w:rsidR="0002645F">
        <w:t>g</w:t>
      </w:r>
      <w:r w:rsidRPr="00B5763D">
        <w:t>overnment on setting and meeting carbon budgets in line with the UK’s longer term target to reduce greenhouse gas (GHG) emissions by at least 80% by 2050 compared with 1990 levels, and reporting to Parliament on the progress made.</w:t>
      </w:r>
    </w:p>
    <w:p w14:paraId="0BE5EE94" w14:textId="77777777" w:rsidR="00B5763D" w:rsidRDefault="00B5763D" w:rsidP="00B5763D">
      <w:pPr>
        <w:pStyle w:val="Norma"/>
      </w:pPr>
    </w:p>
    <w:p w14:paraId="67BC6055" w14:textId="7EE06541" w:rsidR="002B4895" w:rsidRPr="00B5763D" w:rsidRDefault="002B4895" w:rsidP="00B5763D">
      <w:pPr>
        <w:pStyle w:val="Norma"/>
        <w:numPr>
          <w:ilvl w:val="0"/>
          <w:numId w:val="15"/>
        </w:numPr>
      </w:pPr>
      <w:r w:rsidRPr="00B5763D">
        <w:t xml:space="preserve">Providing independent advice to the </w:t>
      </w:r>
      <w:r w:rsidR="0002645F">
        <w:t>g</w:t>
      </w:r>
      <w:r w:rsidRPr="00B5763D">
        <w:t xml:space="preserve">overnment on risks and opportunities to the UK from climate change, in part through the </w:t>
      </w:r>
      <w:r w:rsidR="005611CF">
        <w:t xml:space="preserve">statutory </w:t>
      </w:r>
      <w:r w:rsidRPr="00B5763D">
        <w:t xml:space="preserve">UK Climate Change Risk Assessment, and reporting to Parliament on progress in adapting to climate change. </w:t>
      </w:r>
    </w:p>
    <w:p w14:paraId="0EFE5872" w14:textId="77777777" w:rsidR="00B5763D" w:rsidRDefault="00B5763D" w:rsidP="00B5763D">
      <w:pPr>
        <w:pStyle w:val="Norma"/>
      </w:pPr>
    </w:p>
    <w:p w14:paraId="40C88A93" w14:textId="68C2C4E2" w:rsidR="002B4895" w:rsidRDefault="002B4895" w:rsidP="00B5763D">
      <w:pPr>
        <w:pStyle w:val="Norma"/>
      </w:pPr>
      <w:r w:rsidRPr="00B5763D">
        <w:t xml:space="preserve">To do this the CCC and ASC conduct independent analysis into climate change science, economics and policy, and engage with a wide range of organisations and individuals to share evidence and analysis. The CCC and ASC’s past reports are available </w:t>
      </w:r>
      <w:r w:rsidR="0002645F">
        <w:t>at</w:t>
      </w:r>
      <w:r w:rsidRPr="00B5763D">
        <w:t xml:space="preserve"> </w:t>
      </w:r>
      <w:hyperlink r:id="rId11" w:history="1">
        <w:r w:rsidRPr="00B5763D">
          <w:rPr>
            <w:rStyle w:val="Hyperlink"/>
            <w:color w:val="auto"/>
            <w:u w:val="none"/>
          </w:rPr>
          <w:t>http://www.theccc.org.uk/publications/</w:t>
        </w:r>
      </w:hyperlink>
      <w:r w:rsidRPr="00B5763D">
        <w:t xml:space="preserve">. </w:t>
      </w:r>
    </w:p>
    <w:p w14:paraId="22818133" w14:textId="77777777" w:rsidR="00401790" w:rsidRDefault="00401790" w:rsidP="00B5763D">
      <w:pPr>
        <w:pStyle w:val="Norma"/>
      </w:pPr>
    </w:p>
    <w:p w14:paraId="78AA0E37" w14:textId="23FECF61" w:rsidR="00144BC8" w:rsidRPr="005731BE" w:rsidRDefault="00144BC8" w:rsidP="005731BE">
      <w:pPr>
        <w:rPr>
          <w:rFonts w:ascii="Arial" w:hAnsi="Arial" w:cs="Arial"/>
          <w:sz w:val="22"/>
          <w:szCs w:val="22"/>
        </w:rPr>
      </w:pPr>
      <w:r w:rsidRPr="005731BE">
        <w:rPr>
          <w:rFonts w:ascii="Arial" w:hAnsi="Arial" w:cs="Arial"/>
          <w:sz w:val="22"/>
          <w:szCs w:val="22"/>
        </w:rPr>
        <w:t>The ASC’s 2015 and 2017 reports</w:t>
      </w:r>
      <w:r w:rsidR="005731BE" w:rsidRPr="005731BE">
        <w:rPr>
          <w:rFonts w:ascii="Arial" w:hAnsi="Arial" w:cs="Arial"/>
          <w:sz w:val="22"/>
          <w:szCs w:val="22"/>
        </w:rPr>
        <w:t xml:space="preserve"> on the current National Adaptation Programme</w:t>
      </w:r>
      <w:r w:rsidRPr="005731BE">
        <w:rPr>
          <w:rFonts w:ascii="Arial" w:hAnsi="Arial" w:cs="Arial"/>
          <w:sz w:val="22"/>
          <w:szCs w:val="22"/>
        </w:rPr>
        <w:t xml:space="preserve"> highlighted a lack of understanding and evaluation of how far adaptation actions have contributed (or not) </w:t>
      </w:r>
      <w:r w:rsidR="00786528">
        <w:rPr>
          <w:rFonts w:ascii="Arial" w:hAnsi="Arial" w:cs="Arial"/>
          <w:sz w:val="22"/>
          <w:szCs w:val="22"/>
        </w:rPr>
        <w:t xml:space="preserve">to improving the resilience of communities, businesses and infrastructure </w:t>
      </w:r>
      <w:r w:rsidRPr="005731BE">
        <w:rPr>
          <w:rFonts w:ascii="Arial" w:hAnsi="Arial" w:cs="Arial"/>
          <w:sz w:val="22"/>
          <w:szCs w:val="22"/>
        </w:rPr>
        <w:t>to climate change.</w:t>
      </w:r>
      <w:r w:rsidR="005731BE" w:rsidRPr="005731BE">
        <w:rPr>
          <w:rFonts w:ascii="Arial" w:hAnsi="Arial" w:cs="Arial"/>
          <w:sz w:val="22"/>
          <w:szCs w:val="22"/>
        </w:rPr>
        <w:t xml:space="preserve"> To inform the Government’s National Adaptation Programme and its own evaluation framework, the ASC is interested in examples of successful adaptation actions or projects</w:t>
      </w:r>
      <w:r w:rsidR="0047307F">
        <w:rPr>
          <w:rFonts w:ascii="Arial" w:hAnsi="Arial" w:cs="Arial"/>
          <w:sz w:val="22"/>
          <w:szCs w:val="22"/>
        </w:rPr>
        <w:t xml:space="preserve"> related to </w:t>
      </w:r>
      <w:r w:rsidR="00AC4E34">
        <w:rPr>
          <w:rFonts w:ascii="Arial" w:hAnsi="Arial" w:cs="Arial"/>
          <w:sz w:val="22"/>
          <w:szCs w:val="22"/>
        </w:rPr>
        <w:t>cities</w:t>
      </w:r>
      <w:r w:rsidR="00D019FF">
        <w:rPr>
          <w:rFonts w:ascii="Arial" w:hAnsi="Arial" w:cs="Arial"/>
          <w:sz w:val="22"/>
          <w:szCs w:val="22"/>
        </w:rPr>
        <w:t xml:space="preserve"> in the UK</w:t>
      </w:r>
      <w:r w:rsidR="005731BE" w:rsidRPr="005731BE">
        <w:rPr>
          <w:rFonts w:ascii="Arial" w:hAnsi="Arial" w:cs="Arial"/>
          <w:sz w:val="22"/>
          <w:szCs w:val="22"/>
        </w:rPr>
        <w:t>, understanding why they were successful, and how this suc</w:t>
      </w:r>
      <w:r w:rsidR="00F36AD1">
        <w:rPr>
          <w:rFonts w:ascii="Arial" w:hAnsi="Arial" w:cs="Arial"/>
          <w:sz w:val="22"/>
          <w:szCs w:val="22"/>
        </w:rPr>
        <w:t>cess (in terms of a reduction in</w:t>
      </w:r>
      <w:r w:rsidR="005731BE" w:rsidRPr="005731BE">
        <w:rPr>
          <w:rFonts w:ascii="Arial" w:hAnsi="Arial" w:cs="Arial"/>
          <w:sz w:val="22"/>
          <w:szCs w:val="22"/>
        </w:rPr>
        <w:t xml:space="preserve"> risk) can best be measured. </w:t>
      </w:r>
    </w:p>
    <w:p w14:paraId="5EA87557" w14:textId="77777777" w:rsidR="00622E6B" w:rsidRPr="002133A0" w:rsidRDefault="00622E6B" w:rsidP="00622E6B">
      <w:pPr>
        <w:pStyle w:val="Norma"/>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10" w:name="_Ref357535668"/>
      <w:bookmarkStart w:id="11" w:name="_Toc381969507"/>
      <w:bookmarkStart w:id="12" w:name="_Toc405888456"/>
      <w:bookmarkStart w:id="13" w:name="_Toc496603072"/>
      <w:r w:rsidRPr="00C4141B">
        <w:rPr>
          <w:rFonts w:ascii="Arial" w:hAnsi="Arial" w:cs="Arial"/>
          <w:sz w:val="24"/>
          <w:szCs w:val="24"/>
        </w:rPr>
        <w:t>Background</w:t>
      </w:r>
      <w:bookmarkEnd w:id="10"/>
      <w:bookmarkEnd w:id="11"/>
      <w:bookmarkEnd w:id="12"/>
      <w:bookmarkEnd w:id="13"/>
    </w:p>
    <w:p w14:paraId="1A3B8E93" w14:textId="77777777" w:rsidR="00DD521A" w:rsidRDefault="00DD521A" w:rsidP="00DD521A">
      <w:pPr>
        <w:pStyle w:val="Norma"/>
      </w:pPr>
    </w:p>
    <w:p w14:paraId="0D538123" w14:textId="670B522C" w:rsidR="006954C5" w:rsidRDefault="00B465CE" w:rsidP="00AA2BAC">
      <w:pPr>
        <w:rPr>
          <w:rFonts w:ascii="Arial" w:hAnsi="Arial" w:cs="Arial"/>
          <w:sz w:val="22"/>
          <w:szCs w:val="22"/>
        </w:rPr>
      </w:pPr>
      <w:r>
        <w:rPr>
          <w:rFonts w:ascii="Arial" w:hAnsi="Arial" w:cs="Arial"/>
          <w:sz w:val="22"/>
          <w:szCs w:val="22"/>
        </w:rPr>
        <w:t xml:space="preserve">The ASC has </w:t>
      </w:r>
      <w:r w:rsidR="00AA2BAC" w:rsidRPr="002133A0">
        <w:rPr>
          <w:rFonts w:ascii="Arial" w:hAnsi="Arial" w:cs="Arial"/>
          <w:sz w:val="22"/>
          <w:szCs w:val="22"/>
        </w:rPr>
        <w:t xml:space="preserve">a statutory duty to report to Parliament with an independent assessment of the UK </w:t>
      </w:r>
      <w:r w:rsidR="0002645F">
        <w:rPr>
          <w:rFonts w:ascii="Arial" w:hAnsi="Arial" w:cs="Arial"/>
          <w:sz w:val="22"/>
          <w:szCs w:val="22"/>
        </w:rPr>
        <w:t>g</w:t>
      </w:r>
      <w:r w:rsidR="00AA2BAC" w:rsidRPr="002133A0">
        <w:rPr>
          <w:rFonts w:ascii="Arial" w:hAnsi="Arial" w:cs="Arial"/>
          <w:sz w:val="22"/>
          <w:szCs w:val="22"/>
        </w:rPr>
        <w:t>overnment’s progress in implementing its National Adaptation Programme.</w:t>
      </w:r>
      <w:r w:rsidR="00AA2BAC" w:rsidRPr="002133A0">
        <w:rPr>
          <w:rFonts w:ascii="Arial" w:hAnsi="Arial" w:cs="Arial"/>
          <w:sz w:val="22"/>
          <w:szCs w:val="22"/>
          <w:vertAlign w:val="superscript"/>
        </w:rPr>
        <w:t xml:space="preserve"> </w:t>
      </w:r>
      <w:r w:rsidR="00AA2BAC" w:rsidRPr="002133A0">
        <w:rPr>
          <w:rFonts w:ascii="Arial" w:hAnsi="Arial" w:cs="Arial"/>
          <w:sz w:val="22"/>
          <w:szCs w:val="22"/>
        </w:rPr>
        <w:t xml:space="preserve"> This programme, published in July 2013, sets out the </w:t>
      </w:r>
      <w:r w:rsidR="0002645F">
        <w:rPr>
          <w:rFonts w:ascii="Arial" w:hAnsi="Arial" w:cs="Arial"/>
          <w:sz w:val="22"/>
          <w:szCs w:val="22"/>
        </w:rPr>
        <w:t>g</w:t>
      </w:r>
      <w:r w:rsidR="00AA2BAC" w:rsidRPr="002133A0">
        <w:rPr>
          <w:rFonts w:ascii="Arial" w:hAnsi="Arial" w:cs="Arial"/>
          <w:sz w:val="22"/>
          <w:szCs w:val="22"/>
        </w:rPr>
        <w:t xml:space="preserve">overnment’s objectives and policies for adaptation primarily in England, addressing the risks and opportunities identified by the UK Climate Change Risk Assessment (CCRA), first published in January 2012. The ASC published an </w:t>
      </w:r>
      <w:hyperlink r:id="rId12" w:history="1">
        <w:r w:rsidR="00AA2BAC" w:rsidRPr="002133A0">
          <w:rPr>
            <w:rStyle w:val="Hyperlink"/>
            <w:rFonts w:ascii="Arial" w:hAnsi="Arial" w:cs="Arial"/>
            <w:sz w:val="22"/>
            <w:szCs w:val="22"/>
          </w:rPr>
          <w:t>Evidence Report</w:t>
        </w:r>
      </w:hyperlink>
      <w:r w:rsidR="00AA2BAC" w:rsidRPr="002133A0">
        <w:rPr>
          <w:rFonts w:ascii="Arial" w:hAnsi="Arial" w:cs="Arial"/>
          <w:sz w:val="22"/>
          <w:szCs w:val="22"/>
        </w:rPr>
        <w:t xml:space="preserve"> to inform the second CCRA in July 2016, with the key findings subsequently </w:t>
      </w:r>
      <w:hyperlink r:id="rId13" w:history="1">
        <w:r w:rsidR="00AA2BAC" w:rsidRPr="002133A0">
          <w:rPr>
            <w:rStyle w:val="Hyperlink"/>
            <w:rFonts w:ascii="Arial" w:hAnsi="Arial" w:cs="Arial"/>
            <w:sz w:val="22"/>
            <w:szCs w:val="22"/>
          </w:rPr>
          <w:t>presented by the government to Parliament</w:t>
        </w:r>
      </w:hyperlink>
      <w:r w:rsidR="00AA2BAC" w:rsidRPr="002133A0">
        <w:rPr>
          <w:rFonts w:ascii="Arial" w:hAnsi="Arial" w:cs="Arial"/>
          <w:sz w:val="22"/>
          <w:szCs w:val="22"/>
        </w:rPr>
        <w:t xml:space="preserve"> in January 2017. </w:t>
      </w:r>
      <w:r w:rsidR="009365DB">
        <w:rPr>
          <w:rFonts w:ascii="Arial" w:hAnsi="Arial" w:cs="Arial"/>
          <w:sz w:val="22"/>
          <w:szCs w:val="22"/>
        </w:rPr>
        <w:t xml:space="preserve">Several </w:t>
      </w:r>
      <w:r w:rsidR="006954C5">
        <w:rPr>
          <w:rFonts w:ascii="Arial" w:hAnsi="Arial" w:cs="Arial"/>
          <w:sz w:val="22"/>
          <w:szCs w:val="22"/>
        </w:rPr>
        <w:t>of the six priority risk</w:t>
      </w:r>
      <w:r w:rsidR="009365DB">
        <w:rPr>
          <w:rFonts w:ascii="Arial" w:hAnsi="Arial" w:cs="Arial"/>
          <w:sz w:val="22"/>
          <w:szCs w:val="22"/>
        </w:rPr>
        <w:t xml:space="preserve"> areas</w:t>
      </w:r>
      <w:r w:rsidR="006954C5">
        <w:rPr>
          <w:rFonts w:ascii="Arial" w:hAnsi="Arial" w:cs="Arial"/>
          <w:sz w:val="22"/>
          <w:szCs w:val="22"/>
        </w:rPr>
        <w:t xml:space="preserve"> identified by the ASC as needing urgent further action relate to </w:t>
      </w:r>
      <w:r w:rsidR="009365DB">
        <w:rPr>
          <w:rFonts w:ascii="Arial" w:hAnsi="Arial" w:cs="Arial"/>
          <w:sz w:val="22"/>
          <w:szCs w:val="22"/>
        </w:rPr>
        <w:t xml:space="preserve">cities, including </w:t>
      </w:r>
      <w:r w:rsidR="006954C5">
        <w:rPr>
          <w:rFonts w:ascii="Arial" w:hAnsi="Arial" w:cs="Arial"/>
          <w:sz w:val="22"/>
          <w:szCs w:val="22"/>
        </w:rPr>
        <w:t xml:space="preserve">flooding and coastal change risks to communities, businesses and </w:t>
      </w:r>
      <w:r w:rsidR="00786528">
        <w:rPr>
          <w:rFonts w:ascii="Arial" w:hAnsi="Arial" w:cs="Arial"/>
          <w:sz w:val="22"/>
          <w:szCs w:val="22"/>
        </w:rPr>
        <w:t>infrastructure</w:t>
      </w:r>
      <w:r w:rsidR="009365DB">
        <w:rPr>
          <w:rFonts w:ascii="Arial" w:hAnsi="Arial" w:cs="Arial"/>
          <w:sz w:val="22"/>
          <w:szCs w:val="22"/>
        </w:rPr>
        <w:t>; risks of shortages in the public water supply; and</w:t>
      </w:r>
      <w:r w:rsidR="00786528">
        <w:rPr>
          <w:rFonts w:ascii="Arial" w:hAnsi="Arial" w:cs="Arial"/>
          <w:sz w:val="22"/>
          <w:szCs w:val="22"/>
        </w:rPr>
        <w:t xml:space="preserve"> risks to health, well-being and productivity from higher temperatures. </w:t>
      </w:r>
    </w:p>
    <w:p w14:paraId="625B63B2" w14:textId="77777777" w:rsidR="00AA2BAC" w:rsidRPr="002133A0" w:rsidRDefault="00AA2BAC" w:rsidP="00AA2BAC">
      <w:pPr>
        <w:rPr>
          <w:rFonts w:ascii="Arial" w:hAnsi="Arial" w:cs="Arial"/>
          <w:sz w:val="22"/>
          <w:szCs w:val="22"/>
        </w:rPr>
      </w:pPr>
    </w:p>
    <w:p w14:paraId="5EA87559" w14:textId="4692748F" w:rsidR="009C2990" w:rsidRDefault="00AA2BAC" w:rsidP="00AA2BAC">
      <w:pPr>
        <w:rPr>
          <w:rFonts w:ascii="Arial" w:hAnsi="Arial" w:cs="Arial"/>
          <w:sz w:val="22"/>
          <w:szCs w:val="22"/>
        </w:rPr>
      </w:pPr>
      <w:r w:rsidRPr="002133A0">
        <w:rPr>
          <w:rFonts w:ascii="Arial" w:hAnsi="Arial" w:cs="Arial"/>
          <w:sz w:val="22"/>
          <w:szCs w:val="22"/>
        </w:rPr>
        <w:t xml:space="preserve">In 2015, the ASC produced its </w:t>
      </w:r>
      <w:hyperlink r:id="rId14" w:history="1">
        <w:r w:rsidRPr="002133A0">
          <w:rPr>
            <w:rStyle w:val="Hyperlink"/>
            <w:rFonts w:ascii="Arial" w:hAnsi="Arial" w:cs="Arial"/>
            <w:sz w:val="22"/>
            <w:szCs w:val="22"/>
          </w:rPr>
          <w:t>first statutory assessment</w:t>
        </w:r>
      </w:hyperlink>
      <w:r w:rsidRPr="002133A0">
        <w:rPr>
          <w:rFonts w:ascii="Arial" w:hAnsi="Arial" w:cs="Arial"/>
          <w:sz w:val="22"/>
          <w:szCs w:val="22"/>
        </w:rPr>
        <w:t xml:space="preserve"> of the National Adaptation Programme, followed by a </w:t>
      </w:r>
      <w:hyperlink r:id="rId15" w:history="1">
        <w:r w:rsidRPr="002133A0">
          <w:rPr>
            <w:rStyle w:val="Hyperlink"/>
            <w:rFonts w:ascii="Arial" w:hAnsi="Arial" w:cs="Arial"/>
            <w:sz w:val="22"/>
            <w:szCs w:val="22"/>
          </w:rPr>
          <w:t>second assessment</w:t>
        </w:r>
      </w:hyperlink>
      <w:r w:rsidRPr="002133A0">
        <w:rPr>
          <w:rFonts w:ascii="Arial" w:hAnsi="Arial" w:cs="Arial"/>
          <w:sz w:val="22"/>
          <w:szCs w:val="22"/>
        </w:rPr>
        <w:t xml:space="preserve"> in June 2017. These reports consider what actions are </w:t>
      </w:r>
      <w:r w:rsidR="00B465CE">
        <w:rPr>
          <w:rFonts w:ascii="Arial" w:hAnsi="Arial" w:cs="Arial"/>
          <w:sz w:val="22"/>
          <w:szCs w:val="22"/>
        </w:rPr>
        <w:t>being taken</w:t>
      </w:r>
      <w:r w:rsidRPr="002133A0">
        <w:rPr>
          <w:rFonts w:ascii="Arial" w:hAnsi="Arial" w:cs="Arial"/>
          <w:sz w:val="22"/>
          <w:szCs w:val="22"/>
        </w:rPr>
        <w:t xml:space="preserve"> to adapt to the current and future impacts of climate change across a number of sectors, and how vulnerability to climat</w:t>
      </w:r>
      <w:r w:rsidR="00B543C1">
        <w:rPr>
          <w:rFonts w:ascii="Arial" w:hAnsi="Arial" w:cs="Arial"/>
          <w:sz w:val="22"/>
          <w:szCs w:val="22"/>
        </w:rPr>
        <w:t>e hazards is changing over time.</w:t>
      </w:r>
      <w:r w:rsidR="00320234">
        <w:rPr>
          <w:rFonts w:ascii="Arial" w:hAnsi="Arial" w:cs="Arial"/>
          <w:sz w:val="22"/>
          <w:szCs w:val="22"/>
        </w:rPr>
        <w:t xml:space="preserve"> Both reports found that while much action is underway, </w:t>
      </w:r>
      <w:r w:rsidR="005731BE">
        <w:rPr>
          <w:rFonts w:ascii="Arial" w:hAnsi="Arial" w:cs="Arial"/>
          <w:sz w:val="22"/>
          <w:szCs w:val="22"/>
        </w:rPr>
        <w:t xml:space="preserve">it was in most cases unclear what impact those actions had had on reducing vulnerability or exposure to climate change. </w:t>
      </w:r>
    </w:p>
    <w:p w14:paraId="190B3BE2" w14:textId="77777777" w:rsidR="0047307F" w:rsidRDefault="0047307F" w:rsidP="00AA2BAC">
      <w:pPr>
        <w:rPr>
          <w:rFonts w:ascii="Arial" w:hAnsi="Arial" w:cs="Arial"/>
          <w:sz w:val="22"/>
          <w:szCs w:val="22"/>
        </w:rPr>
      </w:pPr>
    </w:p>
    <w:p w14:paraId="297059B9" w14:textId="250A72E4" w:rsidR="009365DB" w:rsidRDefault="009365DB" w:rsidP="00AA2BAC">
      <w:pPr>
        <w:rPr>
          <w:rFonts w:ascii="Arial" w:hAnsi="Arial" w:cs="Arial"/>
          <w:sz w:val="22"/>
          <w:szCs w:val="22"/>
        </w:rPr>
      </w:pPr>
      <w:r>
        <w:rPr>
          <w:rFonts w:ascii="Arial" w:hAnsi="Arial" w:cs="Arial"/>
          <w:sz w:val="22"/>
          <w:szCs w:val="22"/>
        </w:rPr>
        <w:lastRenderedPageBreak/>
        <w:t>In 2018, the ASC is planning to publish a series of reports focussing on long-term adaptation outcomes for different geographical areas in England; cities, rural areas, and the coast.  The rural and cities reports will be prepared jointly with the mitigation committee. This project will feed into the adaptation analysis for the report on cities.</w:t>
      </w:r>
      <w:r w:rsidR="00F038C9">
        <w:rPr>
          <w:rFonts w:ascii="Arial" w:hAnsi="Arial" w:cs="Arial"/>
          <w:sz w:val="22"/>
          <w:szCs w:val="22"/>
        </w:rPr>
        <w:t xml:space="preserve"> However, if the initiatives or projects covered by this research have practical lessons for how adaptation and mitigation goals can be considered and achieved together, these lessons should also be drawn out. </w:t>
      </w:r>
    </w:p>
    <w:p w14:paraId="0514DD4B" w14:textId="77777777" w:rsidR="009365DB" w:rsidRDefault="009365DB" w:rsidP="00AA2BAC">
      <w:pPr>
        <w:rPr>
          <w:rFonts w:ascii="Arial" w:hAnsi="Arial" w:cs="Arial"/>
          <w:sz w:val="22"/>
          <w:szCs w:val="22"/>
        </w:rPr>
      </w:pPr>
    </w:p>
    <w:p w14:paraId="5F05024D" w14:textId="2D1DD2DE" w:rsidR="0047307F" w:rsidRDefault="0047307F" w:rsidP="00AA2BAC">
      <w:pPr>
        <w:rPr>
          <w:rFonts w:ascii="Arial" w:hAnsi="Arial" w:cs="Arial"/>
          <w:sz w:val="22"/>
          <w:szCs w:val="22"/>
        </w:rPr>
      </w:pPr>
      <w:r>
        <w:rPr>
          <w:rFonts w:ascii="Arial" w:hAnsi="Arial" w:cs="Arial"/>
          <w:sz w:val="22"/>
          <w:szCs w:val="22"/>
        </w:rPr>
        <w:t xml:space="preserve">The government is </w:t>
      </w:r>
      <w:r w:rsidR="009365DB">
        <w:rPr>
          <w:rFonts w:ascii="Arial" w:hAnsi="Arial" w:cs="Arial"/>
          <w:sz w:val="22"/>
          <w:szCs w:val="22"/>
        </w:rPr>
        <w:t>also</w:t>
      </w:r>
      <w:r>
        <w:rPr>
          <w:rFonts w:ascii="Arial" w:hAnsi="Arial" w:cs="Arial"/>
          <w:sz w:val="22"/>
          <w:szCs w:val="22"/>
        </w:rPr>
        <w:t xml:space="preserve"> </w:t>
      </w:r>
      <w:r w:rsidR="009365DB">
        <w:rPr>
          <w:rFonts w:ascii="Arial" w:hAnsi="Arial" w:cs="Arial"/>
          <w:sz w:val="22"/>
          <w:szCs w:val="22"/>
        </w:rPr>
        <w:t>developing</w:t>
      </w:r>
      <w:r>
        <w:rPr>
          <w:rFonts w:ascii="Arial" w:hAnsi="Arial" w:cs="Arial"/>
          <w:sz w:val="22"/>
          <w:szCs w:val="22"/>
        </w:rPr>
        <w:t xml:space="preserve"> its next Natio</w:t>
      </w:r>
      <w:r w:rsidR="00F36AD1">
        <w:rPr>
          <w:rFonts w:ascii="Arial" w:hAnsi="Arial" w:cs="Arial"/>
          <w:sz w:val="22"/>
          <w:szCs w:val="22"/>
        </w:rPr>
        <w:t>nal Adaptation Programme, due for</w:t>
      </w:r>
      <w:r>
        <w:rPr>
          <w:rFonts w:ascii="Arial" w:hAnsi="Arial" w:cs="Arial"/>
          <w:sz w:val="22"/>
          <w:szCs w:val="22"/>
        </w:rPr>
        <w:t xml:space="preserve"> publication in summer 2018. The ASC will evaluate this programme in 2019 and </w:t>
      </w:r>
      <w:r w:rsidR="009A4FD7">
        <w:rPr>
          <w:rFonts w:ascii="Arial" w:hAnsi="Arial" w:cs="Arial"/>
          <w:sz w:val="22"/>
          <w:szCs w:val="22"/>
        </w:rPr>
        <w:t xml:space="preserve">again in </w:t>
      </w:r>
      <w:r>
        <w:rPr>
          <w:rFonts w:ascii="Arial" w:hAnsi="Arial" w:cs="Arial"/>
          <w:sz w:val="22"/>
          <w:szCs w:val="22"/>
        </w:rPr>
        <w:t>2021. The ASC is considering whether to make any changes to its assessment framework to evaluate the degree of progress in climate change adaptation in England.  As well as informing any amendments the ASC makes to its assessment framework</w:t>
      </w:r>
      <w:r w:rsidR="00F36AD1">
        <w:rPr>
          <w:rFonts w:ascii="Arial" w:hAnsi="Arial" w:cs="Arial"/>
          <w:sz w:val="22"/>
          <w:szCs w:val="22"/>
        </w:rPr>
        <w:t>, this work could also inform the next National Adaptation Programme</w:t>
      </w:r>
      <w:r>
        <w:rPr>
          <w:rFonts w:ascii="Arial" w:hAnsi="Arial" w:cs="Arial"/>
          <w:sz w:val="22"/>
          <w:szCs w:val="22"/>
        </w:rPr>
        <w:t>.</w:t>
      </w:r>
    </w:p>
    <w:p w14:paraId="24342B83" w14:textId="3D6CAE91" w:rsidR="002B4895" w:rsidRPr="002B4895" w:rsidRDefault="002B4895" w:rsidP="00AA2BAC">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4" w:name="_Ref357535689"/>
      <w:bookmarkStart w:id="15" w:name="_Toc381969508"/>
      <w:bookmarkStart w:id="16" w:name="_Toc405888457"/>
      <w:bookmarkStart w:id="17" w:name="_Toc496603073"/>
      <w:r w:rsidRPr="007963DA">
        <w:rPr>
          <w:rFonts w:ascii="Arial" w:hAnsi="Arial" w:cs="Arial"/>
          <w:sz w:val="24"/>
          <w:szCs w:val="24"/>
        </w:rPr>
        <w:t>Aims and Objectives</w:t>
      </w:r>
      <w:bookmarkEnd w:id="14"/>
      <w:bookmarkEnd w:id="15"/>
      <w:bookmarkEnd w:id="16"/>
      <w:bookmarkEnd w:id="17"/>
    </w:p>
    <w:p w14:paraId="2CCDCE03" w14:textId="77777777" w:rsidR="00C1623B" w:rsidRDefault="00C1623B" w:rsidP="00C1623B">
      <w:pPr>
        <w:pStyle w:val="Norma"/>
      </w:pPr>
    </w:p>
    <w:p w14:paraId="7AF7911E" w14:textId="7E479048" w:rsidR="0047307F" w:rsidRDefault="005731BE" w:rsidP="005731BE">
      <w:pPr>
        <w:pStyle w:val="Norma"/>
      </w:pPr>
      <w:r>
        <w:t xml:space="preserve">The aim of this project is to collect </w:t>
      </w:r>
      <w:r w:rsidRPr="005731BE">
        <w:t xml:space="preserve">evidence </w:t>
      </w:r>
      <w:r w:rsidR="009A4FD7">
        <w:t xml:space="preserve">through a set of case studies </w:t>
      </w:r>
      <w:r w:rsidRPr="005731BE">
        <w:t>on</w:t>
      </w:r>
      <w:r w:rsidR="0047307F">
        <w:t>:</w:t>
      </w:r>
      <w:r w:rsidRPr="005731BE">
        <w:t xml:space="preserve"> </w:t>
      </w:r>
    </w:p>
    <w:p w14:paraId="087A8CCD" w14:textId="5D8BA528" w:rsidR="0047307F" w:rsidRDefault="00131E76" w:rsidP="00131E76">
      <w:pPr>
        <w:pStyle w:val="Norma"/>
        <w:numPr>
          <w:ilvl w:val="0"/>
          <w:numId w:val="20"/>
        </w:numPr>
      </w:pPr>
      <w:r>
        <w:t>how</w:t>
      </w:r>
      <w:r w:rsidR="005731BE" w:rsidRPr="005731BE">
        <w:t xml:space="preserve"> to evaluate the impact </w:t>
      </w:r>
      <w:r w:rsidR="009A4FD7">
        <w:t xml:space="preserve">on climate risk </w:t>
      </w:r>
      <w:r w:rsidR="005731BE" w:rsidRPr="005731BE">
        <w:t>of adaptation actions or projects</w:t>
      </w:r>
      <w:r w:rsidR="009365DB">
        <w:t xml:space="preserve"> taking place in cities</w:t>
      </w:r>
      <w:r w:rsidR="0068307F">
        <w:t>;</w:t>
      </w:r>
      <w:r w:rsidR="005731BE" w:rsidRPr="005731BE">
        <w:t xml:space="preserve"> and </w:t>
      </w:r>
    </w:p>
    <w:p w14:paraId="21D0BED5" w14:textId="539053C7" w:rsidR="005731BE" w:rsidRPr="005731BE" w:rsidRDefault="005731BE" w:rsidP="00131E76">
      <w:pPr>
        <w:pStyle w:val="Norma"/>
        <w:numPr>
          <w:ilvl w:val="0"/>
          <w:numId w:val="20"/>
        </w:numPr>
      </w:pPr>
      <w:r w:rsidRPr="005731BE">
        <w:t>what</w:t>
      </w:r>
      <w:r w:rsidR="0068307F" w:rsidRPr="005731BE">
        <w:t xml:space="preserve"> </w:t>
      </w:r>
      <w:r w:rsidRPr="005731BE">
        <w:t xml:space="preserve">characteristics of </w:t>
      </w:r>
      <w:r w:rsidR="009A4FD7">
        <w:t xml:space="preserve">the </w:t>
      </w:r>
      <w:r w:rsidRPr="005731BE">
        <w:t xml:space="preserve">successful actions or projects </w:t>
      </w:r>
      <w:r w:rsidR="009A4FD7">
        <w:t>may be transferable to other projects</w:t>
      </w:r>
      <w:r w:rsidRPr="005731BE">
        <w:t xml:space="preserve">. </w:t>
      </w:r>
    </w:p>
    <w:p w14:paraId="4475C0CC" w14:textId="3A419796" w:rsidR="003D2C5D" w:rsidRPr="002133A0" w:rsidRDefault="003D2C5D" w:rsidP="005731BE">
      <w:pPr>
        <w:pStyle w:val="Norma"/>
        <w:rPr>
          <w:rFonts w:cs="Arial"/>
        </w:rPr>
      </w:pPr>
    </w:p>
    <w:p w14:paraId="5EA8755C" w14:textId="77777777" w:rsidR="00C4141B" w:rsidRDefault="00E85ED1" w:rsidP="007248E4">
      <w:pPr>
        <w:pStyle w:val="Heading1"/>
        <w:numPr>
          <w:ilvl w:val="0"/>
          <w:numId w:val="3"/>
        </w:numPr>
        <w:rPr>
          <w:rFonts w:ascii="Arial" w:hAnsi="Arial" w:cs="Arial"/>
          <w:sz w:val="24"/>
          <w:szCs w:val="24"/>
        </w:rPr>
      </w:pPr>
      <w:bookmarkStart w:id="18" w:name="_Toc381969509"/>
      <w:bookmarkStart w:id="19" w:name="_Toc405888458"/>
      <w:bookmarkStart w:id="20" w:name="_Toc496603074"/>
      <w:r w:rsidRPr="00E85ED1">
        <w:rPr>
          <w:rFonts w:ascii="Arial" w:hAnsi="Arial" w:cs="Arial"/>
          <w:sz w:val="24"/>
          <w:szCs w:val="24"/>
        </w:rPr>
        <w:t>Methodology</w:t>
      </w:r>
      <w:bookmarkEnd w:id="18"/>
      <w:bookmarkEnd w:id="19"/>
      <w:bookmarkEnd w:id="20"/>
    </w:p>
    <w:p w14:paraId="5A1BB8BA" w14:textId="77777777" w:rsidR="00DD521A" w:rsidRDefault="00DD521A" w:rsidP="00DD521A">
      <w:pPr>
        <w:pStyle w:val="Norma"/>
      </w:pPr>
    </w:p>
    <w:p w14:paraId="45FEB91D" w14:textId="2C690D45" w:rsidR="009808A3" w:rsidRDefault="009808A3" w:rsidP="0047307F">
      <w:pPr>
        <w:pStyle w:val="Norma"/>
      </w:pPr>
      <w:r>
        <w:t xml:space="preserve">This </w:t>
      </w:r>
      <w:r w:rsidR="00115570">
        <w:t>research</w:t>
      </w:r>
      <w:r>
        <w:t xml:space="preserve"> should focus on </w:t>
      </w:r>
      <w:r w:rsidR="00746807">
        <w:t>three or more</w:t>
      </w:r>
      <w:r>
        <w:t xml:space="preserve"> UK cities and assess projects or initiatives within each city</w:t>
      </w:r>
      <w:r w:rsidR="00C0341E">
        <w:t xml:space="preserve"> </w:t>
      </w:r>
      <w:r w:rsidR="00C0341E" w:rsidRPr="005731BE">
        <w:t>that have been successful</w:t>
      </w:r>
      <w:r w:rsidR="00C0341E">
        <w:t xml:space="preserve"> in reducing risks </w:t>
      </w:r>
      <w:r w:rsidR="00C0341E" w:rsidRPr="009808A3">
        <w:t>and/or taking advantage of opportunities</w:t>
      </w:r>
      <w:r w:rsidR="00C0341E">
        <w:t xml:space="preserve"> from climate change.</w:t>
      </w:r>
      <w:r w:rsidR="00746807">
        <w:t xml:space="preserve"> Selected projects or initiatives</w:t>
      </w:r>
      <w:r w:rsidR="00E90E9D">
        <w:t xml:space="preserve"> can be undertaken by the public or private sector and</w:t>
      </w:r>
      <w:r w:rsidR="00746807">
        <w:t xml:space="preserve"> do not need to have climate change adaptation as their core focus, but do need to have resulted in a reduction in vulnerability or exposure to climate risks. </w:t>
      </w:r>
      <w:r w:rsidR="00C0341E">
        <w:t xml:space="preserve">The cities chosen should be in different parts of the UK, with at least one being outside </w:t>
      </w:r>
      <w:r w:rsidR="00D14531">
        <w:t xml:space="preserve">of </w:t>
      </w:r>
      <w:r w:rsidR="00C0341E">
        <w:t xml:space="preserve">England. The </w:t>
      </w:r>
      <w:r w:rsidR="00746807">
        <w:t>research</w:t>
      </w:r>
      <w:r w:rsidR="00C0341E">
        <w:t xml:space="preserve"> should evaluate the </w:t>
      </w:r>
      <w:r w:rsidR="00115570">
        <w:t xml:space="preserve">individual and combined </w:t>
      </w:r>
      <w:r w:rsidR="00C0341E">
        <w:t xml:space="preserve">impact of each </w:t>
      </w:r>
      <w:r w:rsidR="00115570">
        <w:t xml:space="preserve">set of projects or initiatives within the city, taking into account the interactions among these. </w:t>
      </w:r>
      <w:r w:rsidR="00746807">
        <w:t xml:space="preserve">The evaluation should focus </w:t>
      </w:r>
      <w:r w:rsidR="00115570">
        <w:t xml:space="preserve">on the </w:t>
      </w:r>
      <w:r w:rsidR="00115570" w:rsidRPr="005731BE">
        <w:t>reduction in climate risk</w:t>
      </w:r>
      <w:r w:rsidR="00115570">
        <w:rPr>
          <w:rStyle w:val="FootnoteReference"/>
        </w:rPr>
        <w:footnoteReference w:id="1"/>
      </w:r>
      <w:r w:rsidR="00115570">
        <w:t xml:space="preserve"> </w:t>
      </w:r>
      <w:r w:rsidR="00115570" w:rsidRPr="009808A3">
        <w:t>or the value of the opportunity capitalised on</w:t>
      </w:r>
      <w:r w:rsidR="00115570" w:rsidRPr="005731BE">
        <w:t xml:space="preserve">, </w:t>
      </w:r>
      <w:r w:rsidR="00115570">
        <w:t xml:space="preserve">and </w:t>
      </w:r>
      <w:r w:rsidR="00115570" w:rsidRPr="005731BE">
        <w:t>the reasons for success</w:t>
      </w:r>
      <w:r w:rsidR="00115570">
        <w:t xml:space="preserve">. From this evaluation the research should produce guidance or criteria that other </w:t>
      </w:r>
      <w:r w:rsidR="00746807">
        <w:t xml:space="preserve">projects or initiatives within cities can apply to maximise the chances of success and measure impact. </w:t>
      </w:r>
    </w:p>
    <w:p w14:paraId="114BA0CE" w14:textId="77777777" w:rsidR="00746807" w:rsidRDefault="00746807" w:rsidP="0047307F">
      <w:pPr>
        <w:pStyle w:val="Norma"/>
      </w:pPr>
    </w:p>
    <w:p w14:paraId="3F9C2158" w14:textId="162FEEE6" w:rsidR="00F42A27" w:rsidRDefault="00F42A27" w:rsidP="0047307F">
      <w:pPr>
        <w:pStyle w:val="Norma"/>
      </w:pPr>
      <w:r>
        <w:t xml:space="preserve">Below are some examples of </w:t>
      </w:r>
      <w:r w:rsidR="00166FD4">
        <w:t>climate risks</w:t>
      </w:r>
      <w:r w:rsidR="00E90E9D">
        <w:t xml:space="preserve"> addressed by projects or initiatives</w:t>
      </w:r>
      <w:r>
        <w:t xml:space="preserve"> that the ASC would be interested in</w:t>
      </w:r>
      <w:r w:rsidR="00D14531">
        <w:t>,</w:t>
      </w:r>
      <w:r>
        <w:t xml:space="preserve"> and </w:t>
      </w:r>
      <w:r w:rsidR="003632C5">
        <w:t>potential research questions</w:t>
      </w:r>
      <w:r>
        <w:t>:</w:t>
      </w:r>
    </w:p>
    <w:p w14:paraId="3CB4D50F" w14:textId="77777777" w:rsidR="00F42A27" w:rsidRDefault="00F42A27" w:rsidP="0047307F">
      <w:pPr>
        <w:pStyle w:val="Norma"/>
      </w:pPr>
    </w:p>
    <w:p w14:paraId="005E665D" w14:textId="47ECA1C8" w:rsidR="00F42A27" w:rsidRDefault="000D3B47" w:rsidP="0047307F">
      <w:pPr>
        <w:pStyle w:val="Norma"/>
      </w:pPr>
      <w:r>
        <w:t xml:space="preserve">Climate </w:t>
      </w:r>
      <w:r w:rsidR="00166FD4">
        <w:t>risks</w:t>
      </w:r>
      <w:r w:rsidR="00E90E9D">
        <w:t xml:space="preserve"> addressed by projects and initiatives</w:t>
      </w:r>
      <w:r w:rsidR="00D14531">
        <w:t xml:space="preserve"> in cities</w:t>
      </w:r>
    </w:p>
    <w:p w14:paraId="2439133C" w14:textId="77777777" w:rsidR="00F42A27" w:rsidRDefault="00F42A27" w:rsidP="0047307F">
      <w:pPr>
        <w:pStyle w:val="Norma"/>
      </w:pPr>
    </w:p>
    <w:p w14:paraId="6F3F2385" w14:textId="00A79C4C" w:rsidR="000D3B47" w:rsidRDefault="000D3B47" w:rsidP="00F42A27">
      <w:pPr>
        <w:pStyle w:val="Norma"/>
        <w:numPr>
          <w:ilvl w:val="0"/>
          <w:numId w:val="23"/>
        </w:numPr>
      </w:pPr>
      <w:r>
        <w:t>Extreme weather</w:t>
      </w:r>
      <w:r w:rsidR="00D14531">
        <w:t xml:space="preserve"> impacts </w:t>
      </w:r>
    </w:p>
    <w:p w14:paraId="0FDBEB94" w14:textId="3923C46F" w:rsidR="000D3B47" w:rsidRDefault="000D3B47" w:rsidP="000D3B47">
      <w:pPr>
        <w:pStyle w:val="Norma"/>
        <w:numPr>
          <w:ilvl w:val="0"/>
          <w:numId w:val="23"/>
        </w:numPr>
      </w:pPr>
      <w:r>
        <w:t>Heat stress</w:t>
      </w:r>
      <w:r w:rsidR="00D14531">
        <w:t xml:space="preserve"> </w:t>
      </w:r>
    </w:p>
    <w:p w14:paraId="6A0E7284" w14:textId="2C33B257" w:rsidR="000D3B47" w:rsidRDefault="001335BE" w:rsidP="000D3B47">
      <w:pPr>
        <w:pStyle w:val="Norma"/>
        <w:numPr>
          <w:ilvl w:val="0"/>
          <w:numId w:val="23"/>
        </w:numPr>
      </w:pPr>
      <w:r>
        <w:t>River</w:t>
      </w:r>
      <w:r w:rsidR="00D14531">
        <w:t>, coastal</w:t>
      </w:r>
      <w:r>
        <w:t xml:space="preserve"> and s</w:t>
      </w:r>
      <w:r w:rsidR="000D3B47">
        <w:t>urface water flooding</w:t>
      </w:r>
      <w:r w:rsidR="00D14531">
        <w:t xml:space="preserve"> </w:t>
      </w:r>
    </w:p>
    <w:p w14:paraId="4E4A3B70" w14:textId="2934F246" w:rsidR="000D3B47" w:rsidRDefault="000D3B47" w:rsidP="00F42A27">
      <w:pPr>
        <w:pStyle w:val="Norma"/>
        <w:numPr>
          <w:ilvl w:val="0"/>
          <w:numId w:val="23"/>
        </w:numPr>
      </w:pPr>
      <w:r>
        <w:t>Water availability</w:t>
      </w:r>
    </w:p>
    <w:p w14:paraId="1D3A0710" w14:textId="562DC2C8" w:rsidR="00D14531" w:rsidRDefault="00D14531" w:rsidP="00F42A27">
      <w:pPr>
        <w:pStyle w:val="Norma"/>
        <w:numPr>
          <w:ilvl w:val="0"/>
          <w:numId w:val="23"/>
        </w:numPr>
      </w:pPr>
      <w:r>
        <w:t>Risks to natural capital</w:t>
      </w:r>
    </w:p>
    <w:p w14:paraId="014297D5" w14:textId="77777777" w:rsidR="00166FD4" w:rsidRDefault="00166FD4" w:rsidP="00166FD4">
      <w:pPr>
        <w:pStyle w:val="Norma"/>
      </w:pPr>
    </w:p>
    <w:p w14:paraId="72C76852" w14:textId="564D74A4" w:rsidR="00166FD4" w:rsidRDefault="003632C5" w:rsidP="00166FD4">
      <w:pPr>
        <w:pStyle w:val="Norma"/>
      </w:pPr>
      <w:r>
        <w:lastRenderedPageBreak/>
        <w:t>Poten</w:t>
      </w:r>
      <w:r w:rsidR="00166FD4">
        <w:t>t</w:t>
      </w:r>
      <w:r>
        <w:t>ial research questions</w:t>
      </w:r>
      <w:r w:rsidR="00D14531">
        <w:t>:</w:t>
      </w:r>
    </w:p>
    <w:p w14:paraId="1E7229F3" w14:textId="77777777" w:rsidR="00166FD4" w:rsidRDefault="00166FD4" w:rsidP="00166FD4">
      <w:pPr>
        <w:pStyle w:val="Norma"/>
      </w:pPr>
    </w:p>
    <w:p w14:paraId="1CC01184" w14:textId="79B47E71" w:rsidR="00166FD4" w:rsidRDefault="00166FD4" w:rsidP="00166FD4">
      <w:pPr>
        <w:pStyle w:val="Norma"/>
        <w:numPr>
          <w:ilvl w:val="0"/>
          <w:numId w:val="23"/>
        </w:numPr>
      </w:pPr>
      <w:r>
        <w:t>How has the project or initiative reduced vulnerability or exposure to the relevant climate risk(s)?</w:t>
      </w:r>
    </w:p>
    <w:p w14:paraId="25F08FC6" w14:textId="18C85555" w:rsidR="008D7AAF" w:rsidRDefault="008D7AAF" w:rsidP="008D7AAF">
      <w:pPr>
        <w:pStyle w:val="Norma"/>
        <w:numPr>
          <w:ilvl w:val="1"/>
          <w:numId w:val="23"/>
        </w:numPr>
      </w:pPr>
      <w:r>
        <w:t>How can this be demonstrated quantitatively?</w:t>
      </w:r>
    </w:p>
    <w:p w14:paraId="18B52E0E" w14:textId="1C639E1A" w:rsidR="00166FD4" w:rsidRDefault="00166FD4" w:rsidP="00166FD4">
      <w:pPr>
        <w:pStyle w:val="Norma"/>
        <w:numPr>
          <w:ilvl w:val="0"/>
          <w:numId w:val="23"/>
        </w:numPr>
      </w:pPr>
      <w:r>
        <w:t>How has the project or initiative been funded?</w:t>
      </w:r>
    </w:p>
    <w:p w14:paraId="5A6649FA" w14:textId="00462A45" w:rsidR="00166FD4" w:rsidRDefault="00166FD4" w:rsidP="00166FD4">
      <w:pPr>
        <w:pStyle w:val="Norma"/>
        <w:numPr>
          <w:ilvl w:val="1"/>
          <w:numId w:val="23"/>
        </w:numPr>
      </w:pPr>
      <w:r>
        <w:t>Ha</w:t>
      </w:r>
      <w:r w:rsidR="008D7AAF">
        <w:t>ve private sector funds been used?</w:t>
      </w:r>
    </w:p>
    <w:p w14:paraId="1ED04F8B" w14:textId="384A8CD8" w:rsidR="008D7AAF" w:rsidRDefault="008D7AAF" w:rsidP="00166FD4">
      <w:pPr>
        <w:pStyle w:val="Norma"/>
        <w:numPr>
          <w:ilvl w:val="1"/>
          <w:numId w:val="23"/>
        </w:numPr>
      </w:pPr>
      <w:r>
        <w:t>Were green finance or similar instruments or arrangements used to generate funding?</w:t>
      </w:r>
    </w:p>
    <w:p w14:paraId="386100E1" w14:textId="679E7ACB" w:rsidR="005C4A3B" w:rsidRDefault="005C4A3B" w:rsidP="00166FD4">
      <w:pPr>
        <w:pStyle w:val="Norma"/>
        <w:numPr>
          <w:ilvl w:val="1"/>
          <w:numId w:val="23"/>
        </w:numPr>
      </w:pPr>
      <w:r>
        <w:t xml:space="preserve">Were any other incentives used </w:t>
      </w:r>
      <w:r w:rsidR="001335BE">
        <w:t>to encourage involvement?</w:t>
      </w:r>
    </w:p>
    <w:p w14:paraId="38883CFF" w14:textId="434EA172" w:rsidR="008D7AAF" w:rsidRDefault="008D7AAF" w:rsidP="00166FD4">
      <w:pPr>
        <w:pStyle w:val="Norma"/>
        <w:numPr>
          <w:ilvl w:val="0"/>
          <w:numId w:val="23"/>
        </w:numPr>
      </w:pPr>
      <w:r>
        <w:t>Which s</w:t>
      </w:r>
      <w:r w:rsidR="005C4A3B">
        <w:t>takeholder groups were involved?</w:t>
      </w:r>
    </w:p>
    <w:p w14:paraId="7E00942E" w14:textId="774194AE" w:rsidR="001335BE" w:rsidRDefault="001335BE" w:rsidP="005C4A3B">
      <w:pPr>
        <w:pStyle w:val="Norma"/>
        <w:numPr>
          <w:ilvl w:val="1"/>
          <w:numId w:val="23"/>
        </w:numPr>
      </w:pPr>
      <w:r>
        <w:t>What were the aims and interests of different groups?</w:t>
      </w:r>
    </w:p>
    <w:p w14:paraId="42AB5E54" w14:textId="61EFBDFD" w:rsidR="005C4A3B" w:rsidRDefault="005C4A3B" w:rsidP="005C4A3B">
      <w:pPr>
        <w:pStyle w:val="Norma"/>
        <w:numPr>
          <w:ilvl w:val="1"/>
          <w:numId w:val="23"/>
        </w:numPr>
      </w:pPr>
      <w:r>
        <w:t>What made collaboration between these groups successful?</w:t>
      </w:r>
    </w:p>
    <w:p w14:paraId="47734920" w14:textId="3BF2A103" w:rsidR="005C4A3B" w:rsidRDefault="005C4A3B" w:rsidP="005C4A3B">
      <w:pPr>
        <w:pStyle w:val="Norma"/>
        <w:numPr>
          <w:ilvl w:val="1"/>
          <w:numId w:val="23"/>
        </w:numPr>
      </w:pPr>
      <w:r>
        <w:t>Was there difficulty in collaborating with any relevant stakeholder groups and what were the reasons for this?</w:t>
      </w:r>
    </w:p>
    <w:p w14:paraId="6617C55B" w14:textId="48437707" w:rsidR="005C4A3B" w:rsidRDefault="00F7762C" w:rsidP="005C4A3B">
      <w:pPr>
        <w:pStyle w:val="Norma"/>
        <w:numPr>
          <w:ilvl w:val="0"/>
          <w:numId w:val="23"/>
        </w:numPr>
      </w:pPr>
      <w:r>
        <w:t>Did relevant data exist and were they accessible?</w:t>
      </w:r>
    </w:p>
    <w:p w14:paraId="5FE3FBE5" w14:textId="542D279F" w:rsidR="00F7762C" w:rsidRDefault="00F7762C" w:rsidP="00F7762C">
      <w:pPr>
        <w:pStyle w:val="Norma"/>
        <w:numPr>
          <w:ilvl w:val="1"/>
          <w:numId w:val="23"/>
        </w:numPr>
      </w:pPr>
      <w:r>
        <w:t>Was city-specific information regarding planning and resilience necessary and available?</w:t>
      </w:r>
    </w:p>
    <w:p w14:paraId="317E4516" w14:textId="6EE4E34E" w:rsidR="00F7762C" w:rsidRDefault="00F7762C" w:rsidP="00F7762C">
      <w:pPr>
        <w:pStyle w:val="Norma"/>
        <w:numPr>
          <w:ilvl w:val="0"/>
          <w:numId w:val="23"/>
        </w:numPr>
      </w:pPr>
      <w:r>
        <w:t>How widely did the project consider its impacts or the costs and benefits involved?</w:t>
      </w:r>
    </w:p>
    <w:p w14:paraId="7505AD28" w14:textId="75D0C78C" w:rsidR="00F038C9" w:rsidRDefault="00F038C9" w:rsidP="00F7762C">
      <w:pPr>
        <w:pStyle w:val="Norma"/>
        <w:numPr>
          <w:ilvl w:val="1"/>
          <w:numId w:val="23"/>
        </w:numPr>
      </w:pPr>
      <w:r>
        <w:t>Were the costs and benefits in line with those expected at the time the project was initiated?</w:t>
      </w:r>
    </w:p>
    <w:p w14:paraId="55ED0ECF" w14:textId="1D7AC80D" w:rsidR="00E90E9D" w:rsidRDefault="00E90E9D" w:rsidP="00F7762C">
      <w:pPr>
        <w:pStyle w:val="Norma"/>
        <w:numPr>
          <w:ilvl w:val="1"/>
          <w:numId w:val="23"/>
        </w:numPr>
      </w:pPr>
      <w:r>
        <w:t>How were the impacts on community wellbeing and the local economy taken into account?</w:t>
      </w:r>
    </w:p>
    <w:p w14:paraId="6355D54D" w14:textId="5DF11C99" w:rsidR="00F7762C" w:rsidRDefault="00F7762C" w:rsidP="00F7762C">
      <w:pPr>
        <w:pStyle w:val="Norma"/>
        <w:numPr>
          <w:ilvl w:val="1"/>
          <w:numId w:val="23"/>
        </w:numPr>
      </w:pPr>
      <w:r>
        <w:t>Were interdependencies with infrastructure such as transport and ICT considered?</w:t>
      </w:r>
    </w:p>
    <w:p w14:paraId="05E2FDC4" w14:textId="6B93BB06" w:rsidR="00F7762C" w:rsidRDefault="00F7762C" w:rsidP="00F7762C">
      <w:pPr>
        <w:pStyle w:val="Norma"/>
        <w:numPr>
          <w:ilvl w:val="1"/>
          <w:numId w:val="23"/>
        </w:numPr>
      </w:pPr>
      <w:r>
        <w:t xml:space="preserve">Were </w:t>
      </w:r>
      <w:r w:rsidR="00E90E9D">
        <w:t xml:space="preserve">all parts of </w:t>
      </w:r>
      <w:r>
        <w:t>business or organisational supply chains considered?</w:t>
      </w:r>
    </w:p>
    <w:p w14:paraId="388EEEE1" w14:textId="5E6EEFD3" w:rsidR="008B335D" w:rsidRDefault="008B335D" w:rsidP="00F7762C">
      <w:pPr>
        <w:pStyle w:val="Norma"/>
        <w:numPr>
          <w:ilvl w:val="1"/>
          <w:numId w:val="23"/>
        </w:numPr>
      </w:pPr>
      <w:r>
        <w:t>Did the project consider the implications for mitigation of climate change?</w:t>
      </w:r>
    </w:p>
    <w:p w14:paraId="792C0656" w14:textId="1661936A" w:rsidR="00166FD4" w:rsidRDefault="00166FD4" w:rsidP="00166FD4">
      <w:pPr>
        <w:pStyle w:val="Norma"/>
        <w:numPr>
          <w:ilvl w:val="0"/>
          <w:numId w:val="23"/>
        </w:numPr>
      </w:pPr>
      <w:r>
        <w:t xml:space="preserve">What were the lessons learned by those </w:t>
      </w:r>
      <w:r w:rsidR="005C4A3B">
        <w:t>involved with the</w:t>
      </w:r>
      <w:r>
        <w:t xml:space="preserve"> project or initiative?</w:t>
      </w:r>
    </w:p>
    <w:p w14:paraId="04B5FC6D" w14:textId="68ED7B2F" w:rsidR="00166FD4" w:rsidRDefault="00166FD4" w:rsidP="00166FD4">
      <w:pPr>
        <w:pStyle w:val="Norma"/>
        <w:numPr>
          <w:ilvl w:val="1"/>
          <w:numId w:val="23"/>
        </w:numPr>
      </w:pPr>
      <w:r>
        <w:t xml:space="preserve">How can these be generalised </w:t>
      </w:r>
      <w:r w:rsidR="008D7AAF">
        <w:t>and applied to other cities?</w:t>
      </w:r>
    </w:p>
    <w:p w14:paraId="3B2B75D7" w14:textId="77777777" w:rsidR="00166FD4" w:rsidRDefault="00166FD4" w:rsidP="00166FD4">
      <w:pPr>
        <w:pStyle w:val="Norma"/>
      </w:pPr>
    </w:p>
    <w:p w14:paraId="3F490D0A" w14:textId="6071754B" w:rsidR="0047307F" w:rsidRDefault="0047307F" w:rsidP="0047307F">
      <w:pPr>
        <w:pStyle w:val="Norma"/>
      </w:pPr>
      <w:r>
        <w:t>Bids should set out the following:</w:t>
      </w:r>
    </w:p>
    <w:p w14:paraId="75ED35C1" w14:textId="3860936E" w:rsidR="00D14531" w:rsidRDefault="00D14531" w:rsidP="0002190C">
      <w:pPr>
        <w:pStyle w:val="Norma"/>
        <w:numPr>
          <w:ilvl w:val="0"/>
          <w:numId w:val="19"/>
        </w:numPr>
      </w:pPr>
      <w:r>
        <w:t xml:space="preserve">Which cities the contractors would suggest are used as the focus for the study, and why. </w:t>
      </w:r>
    </w:p>
    <w:p w14:paraId="76E7F650" w14:textId="40D82092" w:rsidR="0002190C" w:rsidRDefault="00D14531" w:rsidP="0002190C">
      <w:pPr>
        <w:pStyle w:val="Norma"/>
        <w:numPr>
          <w:ilvl w:val="0"/>
          <w:numId w:val="19"/>
        </w:numPr>
      </w:pPr>
      <w:r>
        <w:t>How many cities will be analysed.</w:t>
      </w:r>
      <w:r w:rsidR="009A4FD7">
        <w:t xml:space="preserve"> </w:t>
      </w:r>
    </w:p>
    <w:p w14:paraId="12B5CD55" w14:textId="41D32994" w:rsidR="0047307F" w:rsidRDefault="00530762" w:rsidP="0002190C">
      <w:pPr>
        <w:pStyle w:val="Norma"/>
        <w:numPr>
          <w:ilvl w:val="0"/>
          <w:numId w:val="19"/>
        </w:numPr>
      </w:pPr>
      <w:r>
        <w:t xml:space="preserve">A </w:t>
      </w:r>
      <w:r w:rsidR="0047307F">
        <w:t>method for assessing</w:t>
      </w:r>
      <w:r w:rsidR="00D14531">
        <w:t xml:space="preserve"> the success of projects within each city</w:t>
      </w:r>
      <w:r w:rsidR="0047307F">
        <w:t>.</w:t>
      </w:r>
      <w:r w:rsidR="009A4FD7">
        <w:t xml:space="preserve"> </w:t>
      </w:r>
      <w:r w:rsidR="00E31F9B">
        <w:t>It is expected that the method will include some element of engagement with the key stakeholders, such as semi-structured interviews</w:t>
      </w:r>
      <w:r w:rsidR="00F36AD1">
        <w:t xml:space="preserve">, as well as with </w:t>
      </w:r>
      <w:r w:rsidR="00986539">
        <w:t xml:space="preserve">selected </w:t>
      </w:r>
      <w:r w:rsidR="00F36AD1">
        <w:t>stakeholders not involved in the projects who have an independent view</w:t>
      </w:r>
      <w:r w:rsidR="00E31F9B">
        <w:t>.  Bids should explain how the contractor will secure the engagement of these stakeholders and how much of their time would be needed to work on this project.</w:t>
      </w:r>
    </w:p>
    <w:p w14:paraId="6AA94B32" w14:textId="4DEC0F08" w:rsidR="009A4FD7" w:rsidRPr="009A4FD7" w:rsidRDefault="0047307F" w:rsidP="0002190C">
      <w:pPr>
        <w:pStyle w:val="Norma"/>
        <w:numPr>
          <w:ilvl w:val="0"/>
          <w:numId w:val="19"/>
        </w:numPr>
      </w:pPr>
      <w:r w:rsidRPr="0047307F">
        <w:rPr>
          <w:rFonts w:cs="Arial"/>
          <w:color w:val="000000" w:themeColor="text1"/>
        </w:rPr>
        <w:t>H</w:t>
      </w:r>
      <w:r w:rsidR="00680969" w:rsidRPr="0047307F">
        <w:rPr>
          <w:rFonts w:cs="Arial"/>
          <w:color w:val="000000" w:themeColor="text1"/>
        </w:rPr>
        <w:t xml:space="preserve">ow the project findings will be reviewed. </w:t>
      </w:r>
      <w:r w:rsidR="0012437E" w:rsidRPr="0047307F">
        <w:rPr>
          <w:rFonts w:cs="Arial"/>
          <w:color w:val="000000" w:themeColor="text1"/>
        </w:rPr>
        <w:t xml:space="preserve">Time needs to be allocated in the proposed project plan for stakeholder meetings and review of the report by the ASC and external peer reviewers. </w:t>
      </w:r>
      <w:r w:rsidR="00F36AD1">
        <w:rPr>
          <w:rFonts w:cs="Arial"/>
          <w:color w:val="000000" w:themeColor="text1"/>
        </w:rPr>
        <w:t>The bid should set out how appropriate peer reviewers will be identified.</w:t>
      </w:r>
    </w:p>
    <w:p w14:paraId="5EA8755E" w14:textId="77777777" w:rsidR="0034658D" w:rsidRDefault="0034658D" w:rsidP="007248E4">
      <w:pPr>
        <w:pStyle w:val="Heading1"/>
        <w:numPr>
          <w:ilvl w:val="0"/>
          <w:numId w:val="3"/>
        </w:numPr>
        <w:rPr>
          <w:rFonts w:ascii="Arial" w:hAnsi="Arial" w:cs="Arial"/>
          <w:sz w:val="24"/>
          <w:szCs w:val="24"/>
        </w:rPr>
      </w:pPr>
      <w:bookmarkStart w:id="21" w:name="_Ref357541705"/>
      <w:bookmarkStart w:id="22" w:name="_Toc381969510"/>
      <w:bookmarkStart w:id="23" w:name="_Toc405888459"/>
      <w:bookmarkStart w:id="24" w:name="_Toc496603075"/>
      <w:r w:rsidRPr="002D32D5">
        <w:rPr>
          <w:rFonts w:ascii="Arial" w:hAnsi="Arial" w:cs="Arial"/>
          <w:sz w:val="24"/>
          <w:szCs w:val="24"/>
        </w:rPr>
        <w:t xml:space="preserve">Outputs </w:t>
      </w:r>
      <w:r w:rsidR="00104197" w:rsidRPr="002D32D5">
        <w:rPr>
          <w:rFonts w:ascii="Arial" w:hAnsi="Arial" w:cs="Arial"/>
          <w:sz w:val="24"/>
          <w:szCs w:val="24"/>
        </w:rPr>
        <w:t>Required</w:t>
      </w:r>
      <w:bookmarkEnd w:id="21"/>
      <w:bookmarkEnd w:id="22"/>
      <w:bookmarkEnd w:id="23"/>
      <w:bookmarkEnd w:id="24"/>
    </w:p>
    <w:p w14:paraId="15115440" w14:textId="77777777" w:rsidR="00DD521A" w:rsidRDefault="00DD521A" w:rsidP="00DD521A">
      <w:pPr>
        <w:pStyle w:val="Norma"/>
      </w:pPr>
    </w:p>
    <w:p w14:paraId="4D57C82B" w14:textId="77777777" w:rsidR="00DD53FC" w:rsidRPr="002133A0" w:rsidRDefault="00DD53FC" w:rsidP="00DD53FC">
      <w:pPr>
        <w:pStyle w:val="Norma"/>
        <w:rPr>
          <w:rFonts w:cs="Arial"/>
          <w:color w:val="000000" w:themeColor="text1"/>
        </w:rPr>
      </w:pPr>
      <w:r w:rsidRPr="002133A0">
        <w:rPr>
          <w:rFonts w:cs="Arial"/>
          <w:color w:val="000000" w:themeColor="text1"/>
        </w:rPr>
        <w:t>The ASC expects that the project will deliver the following outputs:</w:t>
      </w:r>
    </w:p>
    <w:p w14:paraId="65AB6BA0" w14:textId="26201705" w:rsidR="00DD53FC" w:rsidRPr="002133A0" w:rsidRDefault="00DD53FC" w:rsidP="00DD53FC">
      <w:pPr>
        <w:pStyle w:val="Norma"/>
        <w:numPr>
          <w:ilvl w:val="0"/>
          <w:numId w:val="8"/>
        </w:numPr>
        <w:rPr>
          <w:rFonts w:cs="Arial"/>
          <w:bCs/>
          <w:iCs/>
          <w:color w:val="000000" w:themeColor="text1"/>
        </w:rPr>
      </w:pPr>
      <w:r w:rsidRPr="002133A0">
        <w:rPr>
          <w:rFonts w:cs="Arial"/>
          <w:bCs/>
          <w:iCs/>
          <w:color w:val="000000" w:themeColor="text1"/>
        </w:rPr>
        <w:t xml:space="preserve">A report outlining the </w:t>
      </w:r>
      <w:r w:rsidR="00680969">
        <w:rPr>
          <w:rFonts w:cs="Arial"/>
          <w:bCs/>
          <w:iCs/>
          <w:color w:val="000000" w:themeColor="text1"/>
        </w:rPr>
        <w:t xml:space="preserve">aims of the project, method, and </w:t>
      </w:r>
      <w:r w:rsidRPr="002133A0">
        <w:rPr>
          <w:rFonts w:cs="Arial"/>
          <w:bCs/>
          <w:iCs/>
          <w:color w:val="000000" w:themeColor="text1"/>
        </w:rPr>
        <w:t xml:space="preserve">results of the </w:t>
      </w:r>
      <w:r w:rsidR="00AF122F">
        <w:rPr>
          <w:rFonts w:cs="Arial"/>
          <w:bCs/>
          <w:iCs/>
          <w:color w:val="000000" w:themeColor="text1"/>
        </w:rPr>
        <w:t>assessment</w:t>
      </w:r>
      <w:r w:rsidRPr="002133A0">
        <w:rPr>
          <w:rFonts w:cs="Arial"/>
          <w:bCs/>
          <w:iCs/>
          <w:color w:val="000000" w:themeColor="text1"/>
        </w:rPr>
        <w:t xml:space="preserve">. </w:t>
      </w:r>
    </w:p>
    <w:p w14:paraId="0A7C04FA" w14:textId="7B44D259" w:rsidR="00B543C1" w:rsidRDefault="00B543C1" w:rsidP="00DD53FC">
      <w:pPr>
        <w:pStyle w:val="Norma"/>
        <w:numPr>
          <w:ilvl w:val="0"/>
          <w:numId w:val="8"/>
        </w:numPr>
        <w:rPr>
          <w:rFonts w:cs="Arial"/>
          <w:bCs/>
          <w:iCs/>
          <w:color w:val="000000" w:themeColor="text1"/>
        </w:rPr>
      </w:pPr>
      <w:r>
        <w:rPr>
          <w:rFonts w:cs="Arial"/>
          <w:bCs/>
          <w:iCs/>
          <w:color w:val="000000" w:themeColor="text1"/>
        </w:rPr>
        <w:t>An annex to the report describing</w:t>
      </w:r>
      <w:r w:rsidR="00680969">
        <w:rPr>
          <w:rFonts w:cs="Arial"/>
          <w:bCs/>
          <w:iCs/>
          <w:color w:val="000000" w:themeColor="text1"/>
        </w:rPr>
        <w:t xml:space="preserve"> how the method and outputs have been reviewed</w:t>
      </w:r>
      <w:r w:rsidR="00AF122F">
        <w:rPr>
          <w:rFonts w:cs="Arial"/>
          <w:bCs/>
          <w:iCs/>
          <w:color w:val="000000" w:themeColor="text1"/>
        </w:rPr>
        <w:t>.</w:t>
      </w:r>
    </w:p>
    <w:p w14:paraId="5EA8755F" w14:textId="0D6482EE" w:rsidR="00A469D8" w:rsidRPr="00680969" w:rsidRDefault="00DD53FC" w:rsidP="00680969">
      <w:pPr>
        <w:pStyle w:val="Norma"/>
        <w:numPr>
          <w:ilvl w:val="0"/>
          <w:numId w:val="8"/>
        </w:numPr>
        <w:rPr>
          <w:rFonts w:cs="Arial"/>
          <w:bCs/>
          <w:iCs/>
          <w:color w:val="000000" w:themeColor="text1"/>
        </w:rPr>
      </w:pPr>
      <w:r w:rsidRPr="002133A0">
        <w:rPr>
          <w:rFonts w:cs="Arial"/>
          <w:bCs/>
          <w:iCs/>
          <w:color w:val="000000" w:themeColor="text1"/>
        </w:rPr>
        <w:t>Graphical representations</w:t>
      </w:r>
      <w:r w:rsidR="00AF122F">
        <w:rPr>
          <w:rFonts w:cs="Arial"/>
          <w:bCs/>
          <w:iCs/>
          <w:color w:val="000000" w:themeColor="text1"/>
        </w:rPr>
        <w:t>, such as infographics, maps or</w:t>
      </w:r>
      <w:r w:rsidRPr="002133A0">
        <w:rPr>
          <w:rFonts w:cs="Arial"/>
          <w:bCs/>
          <w:iCs/>
          <w:color w:val="000000" w:themeColor="text1"/>
        </w:rPr>
        <w:t xml:space="preserve"> </w:t>
      </w:r>
      <w:r w:rsidR="00E90E9D" w:rsidRPr="002133A0">
        <w:rPr>
          <w:rFonts w:cs="Arial"/>
          <w:bCs/>
          <w:iCs/>
          <w:color w:val="000000" w:themeColor="text1"/>
        </w:rPr>
        <w:t>charts that</w:t>
      </w:r>
      <w:r w:rsidRPr="002133A0">
        <w:rPr>
          <w:rFonts w:cs="Arial"/>
          <w:bCs/>
          <w:iCs/>
          <w:color w:val="000000" w:themeColor="text1"/>
        </w:rPr>
        <w:t xml:space="preserve"> describe the results, with visuals optimised for use on social media.</w:t>
      </w:r>
    </w:p>
    <w:p w14:paraId="5EA87560" w14:textId="77777777" w:rsidR="00936F29" w:rsidRDefault="00F042F9" w:rsidP="007248E4">
      <w:pPr>
        <w:pStyle w:val="Heading1"/>
        <w:numPr>
          <w:ilvl w:val="0"/>
          <w:numId w:val="3"/>
        </w:numPr>
        <w:rPr>
          <w:rFonts w:ascii="Arial" w:hAnsi="Arial" w:cs="Arial"/>
          <w:sz w:val="24"/>
          <w:szCs w:val="24"/>
        </w:rPr>
      </w:pPr>
      <w:bookmarkStart w:id="25" w:name="_Toc381969511"/>
      <w:bookmarkStart w:id="26" w:name="_Toc405888460"/>
      <w:bookmarkStart w:id="27" w:name="_Toc496603076"/>
      <w:bookmarkStart w:id="28" w:name="_Ref373505205"/>
      <w:bookmarkStart w:id="29" w:name="_Ref357541720"/>
      <w:r>
        <w:rPr>
          <w:rFonts w:ascii="Arial" w:hAnsi="Arial" w:cs="Arial"/>
          <w:sz w:val="24"/>
          <w:szCs w:val="24"/>
        </w:rPr>
        <w:lastRenderedPageBreak/>
        <w:t>O</w:t>
      </w:r>
      <w:r w:rsidR="006700D3" w:rsidRPr="002D32D5">
        <w:rPr>
          <w:rFonts w:ascii="Arial" w:hAnsi="Arial" w:cs="Arial"/>
          <w:sz w:val="24"/>
          <w:szCs w:val="24"/>
        </w:rPr>
        <w:t>wnership and Publication</w:t>
      </w:r>
      <w:bookmarkEnd w:id="25"/>
      <w:bookmarkEnd w:id="26"/>
      <w:bookmarkEnd w:id="27"/>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30" w:name="_Toc496603077"/>
      <w:r>
        <w:rPr>
          <w:rFonts w:ascii="Arial" w:hAnsi="Arial" w:cs="Arial"/>
          <w:sz w:val="24"/>
          <w:szCs w:val="24"/>
        </w:rPr>
        <w:t>Quality Assurance</w:t>
      </w:r>
      <w:bookmarkEnd w:id="30"/>
      <w:r w:rsidR="00AB7905" w:rsidRPr="002D32D5">
        <w:rPr>
          <w:rFonts w:ascii="Arial" w:hAnsi="Arial" w:cs="Arial"/>
          <w:sz w:val="24"/>
          <w:szCs w:val="24"/>
        </w:rPr>
        <w:t xml:space="preserve"> </w:t>
      </w:r>
      <w:bookmarkEnd w:id="28"/>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1DBBA3BD"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economic analys</w:t>
      </w:r>
      <w:r>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1" w:name="_Ref373505215"/>
      <w:bookmarkStart w:id="32" w:name="_Toc381969513"/>
      <w:bookmarkStart w:id="33" w:name="_Toc405888462"/>
      <w:bookmarkStart w:id="34" w:name="_Toc496603078"/>
      <w:r w:rsidRPr="003D6551">
        <w:rPr>
          <w:rFonts w:ascii="Arial" w:hAnsi="Arial" w:cs="Arial"/>
          <w:sz w:val="24"/>
          <w:szCs w:val="24"/>
        </w:rPr>
        <w:t>Timetable</w:t>
      </w:r>
      <w:bookmarkEnd w:id="29"/>
      <w:bookmarkEnd w:id="31"/>
      <w:bookmarkEnd w:id="32"/>
      <w:bookmarkEnd w:id="33"/>
      <w:bookmarkEnd w:id="34"/>
    </w:p>
    <w:p w14:paraId="0F755DEB" w14:textId="77777777" w:rsidR="00DD521A" w:rsidRDefault="00DD521A" w:rsidP="00DD521A">
      <w:pPr>
        <w:pStyle w:val="Norma"/>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954CA3"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954CA3" w:rsidRDefault="004B2557" w:rsidP="00E90E9D">
            <w:pPr>
              <w:keepNext/>
              <w:keepLines/>
              <w:spacing w:after="120"/>
              <w:jc w:val="both"/>
              <w:rPr>
                <w:rFonts w:ascii="Arial" w:hAnsi="Arial" w:cs="Arial"/>
                <w:b/>
                <w:bCs/>
                <w:color w:val="FFFFFF"/>
                <w:sz w:val="22"/>
                <w:szCs w:val="22"/>
              </w:rPr>
            </w:pPr>
            <w:r w:rsidRPr="00954CA3">
              <w:rPr>
                <w:rFonts w:ascii="Arial" w:hAnsi="Arial" w:cs="Arial"/>
                <w:b/>
                <w:bCs/>
                <w:color w:val="FFFFFF"/>
                <w:sz w:val="22"/>
                <w:szCs w:val="22"/>
              </w:rPr>
              <w:lastRenderedPageBreak/>
              <w:t>Phase</w:t>
            </w:r>
          </w:p>
        </w:tc>
        <w:tc>
          <w:tcPr>
            <w:tcW w:w="4252" w:type="dxa"/>
            <w:tcBorders>
              <w:bottom w:val="single" w:sz="12" w:space="0" w:color="000000"/>
            </w:tcBorders>
            <w:shd w:val="solid" w:color="808080" w:fill="FFFFFF"/>
          </w:tcPr>
          <w:p w14:paraId="5591DA2B" w14:textId="77777777" w:rsidR="004B2557" w:rsidRPr="00954CA3" w:rsidRDefault="004B2557" w:rsidP="00E90E9D">
            <w:pPr>
              <w:keepNext/>
              <w:keepLines/>
              <w:spacing w:after="120"/>
              <w:jc w:val="both"/>
              <w:rPr>
                <w:rFonts w:ascii="Arial" w:hAnsi="Arial" w:cs="Arial"/>
                <w:b/>
                <w:bCs/>
                <w:color w:val="FFFFFF"/>
                <w:sz w:val="22"/>
                <w:szCs w:val="22"/>
              </w:rPr>
            </w:pPr>
            <w:r w:rsidRPr="00954CA3">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954CA3" w:rsidRDefault="004B2557" w:rsidP="00E90E9D">
            <w:pPr>
              <w:keepNext/>
              <w:keepLines/>
              <w:spacing w:after="120"/>
              <w:jc w:val="both"/>
              <w:rPr>
                <w:rFonts w:ascii="Arial" w:hAnsi="Arial" w:cs="Arial"/>
                <w:b/>
                <w:bCs/>
                <w:color w:val="FFFFFF"/>
                <w:sz w:val="22"/>
                <w:szCs w:val="22"/>
              </w:rPr>
            </w:pPr>
            <w:r w:rsidRPr="00954CA3">
              <w:rPr>
                <w:rFonts w:ascii="Arial" w:hAnsi="Arial" w:cs="Arial"/>
                <w:b/>
                <w:bCs/>
                <w:color w:val="FFFFFF"/>
                <w:sz w:val="22"/>
                <w:szCs w:val="22"/>
              </w:rPr>
              <w:t>Date</w:t>
            </w:r>
          </w:p>
        </w:tc>
      </w:tr>
      <w:tr w:rsidR="004B2557" w:rsidRPr="00954CA3" w14:paraId="2BCB5789" w14:textId="77777777" w:rsidTr="00954CA3">
        <w:tc>
          <w:tcPr>
            <w:tcW w:w="1545" w:type="dxa"/>
            <w:shd w:val="clear" w:color="auto" w:fill="auto"/>
          </w:tcPr>
          <w:p w14:paraId="3BDE2B5A" w14:textId="77777777" w:rsidR="004B2557" w:rsidRPr="00954CA3" w:rsidRDefault="004B2557" w:rsidP="00E90E9D">
            <w:pPr>
              <w:keepNext/>
              <w:keepLines/>
              <w:spacing w:after="120" w:line="276" w:lineRule="auto"/>
              <w:jc w:val="both"/>
              <w:rPr>
                <w:rFonts w:ascii="Arial" w:hAnsi="Arial" w:cs="Arial"/>
                <w:sz w:val="22"/>
                <w:szCs w:val="22"/>
              </w:rPr>
            </w:pPr>
            <w:r w:rsidRPr="00954CA3">
              <w:rPr>
                <w:rFonts w:ascii="Arial" w:hAnsi="Arial" w:cs="Arial"/>
                <w:sz w:val="22"/>
                <w:szCs w:val="22"/>
              </w:rPr>
              <w:t>Bidding</w:t>
            </w:r>
          </w:p>
        </w:tc>
        <w:tc>
          <w:tcPr>
            <w:tcW w:w="4252" w:type="dxa"/>
            <w:shd w:val="clear" w:color="auto" w:fill="auto"/>
          </w:tcPr>
          <w:p w14:paraId="5531F4C9" w14:textId="77777777" w:rsidR="004B2557" w:rsidRPr="00954CA3" w:rsidRDefault="004B2557" w:rsidP="00E90E9D">
            <w:pPr>
              <w:keepNext/>
              <w:keepLines/>
              <w:spacing w:after="120" w:line="276" w:lineRule="auto"/>
              <w:jc w:val="both"/>
              <w:rPr>
                <w:rFonts w:ascii="Arial" w:hAnsi="Arial" w:cs="Arial"/>
                <w:sz w:val="22"/>
                <w:szCs w:val="22"/>
              </w:rPr>
            </w:pPr>
            <w:r w:rsidRPr="00954CA3">
              <w:rPr>
                <w:rFonts w:ascii="Arial" w:hAnsi="Arial" w:cs="Arial"/>
                <w:sz w:val="22"/>
                <w:szCs w:val="22"/>
              </w:rPr>
              <w:t>Bids received</w:t>
            </w:r>
          </w:p>
        </w:tc>
        <w:tc>
          <w:tcPr>
            <w:tcW w:w="2675" w:type="dxa"/>
            <w:shd w:val="clear" w:color="auto" w:fill="auto"/>
          </w:tcPr>
          <w:p w14:paraId="78889BBB" w14:textId="1BA1ED43" w:rsidR="004B2557" w:rsidRPr="00954CA3" w:rsidRDefault="00A2373A" w:rsidP="00E90E9D">
            <w:pPr>
              <w:keepNext/>
              <w:keepLines/>
              <w:spacing w:after="120" w:line="276" w:lineRule="auto"/>
              <w:jc w:val="both"/>
              <w:rPr>
                <w:rFonts w:ascii="Arial" w:hAnsi="Arial" w:cs="Arial"/>
                <w:sz w:val="22"/>
                <w:szCs w:val="22"/>
              </w:rPr>
            </w:pPr>
            <w:r>
              <w:rPr>
                <w:rFonts w:ascii="Arial" w:hAnsi="Arial" w:cs="Arial"/>
                <w:sz w:val="22"/>
                <w:szCs w:val="22"/>
              </w:rPr>
              <w:t>12</w:t>
            </w:r>
            <w:r w:rsidR="00986539">
              <w:rPr>
                <w:rFonts w:ascii="Arial" w:hAnsi="Arial" w:cs="Arial"/>
                <w:sz w:val="22"/>
                <w:szCs w:val="22"/>
              </w:rPr>
              <w:t xml:space="preserve"> </w:t>
            </w:r>
            <w:r w:rsidR="00BD3178">
              <w:rPr>
                <w:rFonts w:ascii="Arial" w:hAnsi="Arial" w:cs="Arial"/>
                <w:sz w:val="22"/>
                <w:szCs w:val="22"/>
              </w:rPr>
              <w:t>January 2018</w:t>
            </w:r>
          </w:p>
        </w:tc>
      </w:tr>
      <w:tr w:rsidR="004B2557" w:rsidRPr="00954CA3" w14:paraId="05DD2149" w14:textId="77777777" w:rsidTr="00954CA3">
        <w:tc>
          <w:tcPr>
            <w:tcW w:w="1545" w:type="dxa"/>
            <w:shd w:val="clear" w:color="auto" w:fill="auto"/>
          </w:tcPr>
          <w:p w14:paraId="32E9ED53" w14:textId="77777777" w:rsidR="004B2557" w:rsidRPr="00954CA3" w:rsidRDefault="004B2557" w:rsidP="00E90E9D">
            <w:pPr>
              <w:keepNext/>
              <w:keepLines/>
              <w:spacing w:after="120" w:line="276" w:lineRule="auto"/>
              <w:jc w:val="both"/>
              <w:rPr>
                <w:rFonts w:ascii="Arial" w:hAnsi="Arial" w:cs="Arial"/>
                <w:sz w:val="22"/>
                <w:szCs w:val="22"/>
              </w:rPr>
            </w:pPr>
          </w:p>
        </w:tc>
        <w:tc>
          <w:tcPr>
            <w:tcW w:w="4252" w:type="dxa"/>
            <w:shd w:val="clear" w:color="auto" w:fill="auto"/>
          </w:tcPr>
          <w:p w14:paraId="534258BA" w14:textId="77777777" w:rsidR="004B2557" w:rsidRPr="00954CA3" w:rsidRDefault="004B2557" w:rsidP="00E90E9D">
            <w:pPr>
              <w:keepNext/>
              <w:keepLines/>
              <w:spacing w:after="120" w:line="276" w:lineRule="auto"/>
              <w:jc w:val="both"/>
              <w:rPr>
                <w:rFonts w:ascii="Arial" w:hAnsi="Arial" w:cs="Arial"/>
                <w:sz w:val="22"/>
                <w:szCs w:val="22"/>
              </w:rPr>
            </w:pPr>
            <w:r w:rsidRPr="00954CA3">
              <w:rPr>
                <w:rFonts w:ascii="Arial" w:hAnsi="Arial" w:cs="Arial"/>
                <w:sz w:val="22"/>
                <w:szCs w:val="22"/>
              </w:rPr>
              <w:t>Interviews conducted</w:t>
            </w:r>
          </w:p>
        </w:tc>
        <w:tc>
          <w:tcPr>
            <w:tcW w:w="2675" w:type="dxa"/>
            <w:shd w:val="clear" w:color="auto" w:fill="auto"/>
          </w:tcPr>
          <w:p w14:paraId="3352ADAA" w14:textId="648496FE" w:rsidR="004B2557" w:rsidRPr="00954CA3" w:rsidRDefault="00986539" w:rsidP="00E90E9D">
            <w:pPr>
              <w:keepNext/>
              <w:keepLines/>
              <w:spacing w:after="120" w:line="276" w:lineRule="auto"/>
              <w:jc w:val="both"/>
              <w:rPr>
                <w:rFonts w:ascii="Arial" w:hAnsi="Arial" w:cs="Arial"/>
                <w:sz w:val="22"/>
                <w:szCs w:val="22"/>
              </w:rPr>
            </w:pPr>
            <w:r>
              <w:rPr>
                <w:rFonts w:ascii="Arial" w:hAnsi="Arial" w:cs="Arial"/>
                <w:sz w:val="22"/>
                <w:szCs w:val="22"/>
              </w:rPr>
              <w:t xml:space="preserve">w/c </w:t>
            </w:r>
            <w:r w:rsidR="00A2373A">
              <w:rPr>
                <w:rFonts w:ascii="Arial" w:hAnsi="Arial" w:cs="Arial"/>
                <w:sz w:val="22"/>
                <w:szCs w:val="22"/>
              </w:rPr>
              <w:t>22</w:t>
            </w:r>
            <w:r w:rsidR="00BD3178">
              <w:rPr>
                <w:rFonts w:ascii="Arial" w:hAnsi="Arial" w:cs="Arial"/>
                <w:sz w:val="22"/>
                <w:szCs w:val="22"/>
              </w:rPr>
              <w:t xml:space="preserve"> January</w:t>
            </w:r>
            <w:r w:rsidR="004C4D20">
              <w:rPr>
                <w:rFonts w:ascii="Arial" w:hAnsi="Arial" w:cs="Arial"/>
                <w:sz w:val="22"/>
                <w:szCs w:val="22"/>
              </w:rPr>
              <w:t xml:space="preserve"> 2017</w:t>
            </w:r>
          </w:p>
        </w:tc>
      </w:tr>
      <w:tr w:rsidR="004B2557" w:rsidRPr="00954CA3" w14:paraId="35983DF7" w14:textId="77777777" w:rsidTr="00954CA3">
        <w:tc>
          <w:tcPr>
            <w:tcW w:w="1545" w:type="dxa"/>
            <w:shd w:val="clear" w:color="auto" w:fill="auto"/>
          </w:tcPr>
          <w:p w14:paraId="0F52AEC9" w14:textId="77777777" w:rsidR="004B2557" w:rsidRPr="00954CA3" w:rsidRDefault="004B2557" w:rsidP="00E90E9D">
            <w:pPr>
              <w:keepNext/>
              <w:keepLines/>
              <w:spacing w:after="120" w:line="276" w:lineRule="auto"/>
              <w:jc w:val="both"/>
              <w:rPr>
                <w:rFonts w:ascii="Arial" w:hAnsi="Arial" w:cs="Arial"/>
                <w:sz w:val="22"/>
                <w:szCs w:val="22"/>
              </w:rPr>
            </w:pPr>
          </w:p>
        </w:tc>
        <w:tc>
          <w:tcPr>
            <w:tcW w:w="4252" w:type="dxa"/>
            <w:shd w:val="clear" w:color="auto" w:fill="auto"/>
          </w:tcPr>
          <w:p w14:paraId="72081083" w14:textId="77777777" w:rsidR="004B2557" w:rsidRPr="00954CA3" w:rsidRDefault="004B2557" w:rsidP="00E90E9D">
            <w:pPr>
              <w:keepNext/>
              <w:keepLines/>
              <w:spacing w:after="120" w:line="276" w:lineRule="auto"/>
              <w:jc w:val="both"/>
              <w:rPr>
                <w:rFonts w:ascii="Arial" w:hAnsi="Arial" w:cs="Arial"/>
                <w:sz w:val="22"/>
                <w:szCs w:val="22"/>
              </w:rPr>
            </w:pPr>
            <w:r w:rsidRPr="00954CA3">
              <w:rPr>
                <w:rFonts w:ascii="Arial" w:hAnsi="Arial" w:cs="Arial"/>
                <w:sz w:val="22"/>
                <w:szCs w:val="22"/>
              </w:rPr>
              <w:t>Contract awarded</w:t>
            </w:r>
          </w:p>
        </w:tc>
        <w:tc>
          <w:tcPr>
            <w:tcW w:w="2675" w:type="dxa"/>
            <w:shd w:val="clear" w:color="auto" w:fill="auto"/>
          </w:tcPr>
          <w:p w14:paraId="3A6E53F9" w14:textId="452C664F" w:rsidR="004B2557" w:rsidRPr="00954CA3" w:rsidRDefault="00A2373A" w:rsidP="00E90E9D">
            <w:pPr>
              <w:keepNext/>
              <w:keepLines/>
              <w:spacing w:after="120" w:line="276" w:lineRule="auto"/>
              <w:jc w:val="both"/>
              <w:rPr>
                <w:rFonts w:ascii="Arial" w:hAnsi="Arial" w:cs="Arial"/>
                <w:sz w:val="22"/>
                <w:szCs w:val="22"/>
              </w:rPr>
            </w:pPr>
            <w:r>
              <w:rPr>
                <w:rFonts w:ascii="Arial" w:hAnsi="Arial" w:cs="Arial"/>
                <w:sz w:val="22"/>
                <w:szCs w:val="22"/>
              </w:rPr>
              <w:t>26</w:t>
            </w:r>
            <w:r w:rsidR="00BD3178">
              <w:rPr>
                <w:rFonts w:ascii="Arial" w:hAnsi="Arial" w:cs="Arial"/>
                <w:sz w:val="22"/>
                <w:szCs w:val="22"/>
              </w:rPr>
              <w:t xml:space="preserve"> January</w:t>
            </w:r>
            <w:r w:rsidR="00853733">
              <w:rPr>
                <w:rFonts w:ascii="Arial" w:hAnsi="Arial" w:cs="Arial"/>
                <w:sz w:val="22"/>
                <w:szCs w:val="22"/>
              </w:rPr>
              <w:t xml:space="preserve"> </w:t>
            </w:r>
            <w:r w:rsidR="004C4D20">
              <w:rPr>
                <w:rFonts w:ascii="Arial" w:hAnsi="Arial" w:cs="Arial"/>
                <w:sz w:val="22"/>
                <w:szCs w:val="22"/>
              </w:rPr>
              <w:t>2017</w:t>
            </w:r>
          </w:p>
        </w:tc>
      </w:tr>
      <w:tr w:rsidR="004B2557" w:rsidRPr="00954CA3" w14:paraId="6BCB348B" w14:textId="77777777" w:rsidTr="00954CA3">
        <w:trPr>
          <w:trHeight w:val="406"/>
        </w:trPr>
        <w:tc>
          <w:tcPr>
            <w:tcW w:w="1545" w:type="dxa"/>
            <w:shd w:val="clear" w:color="auto" w:fill="auto"/>
          </w:tcPr>
          <w:p w14:paraId="2C8E03A6" w14:textId="77777777" w:rsidR="004B2557" w:rsidRPr="00954CA3" w:rsidRDefault="004B2557" w:rsidP="00E90E9D">
            <w:pPr>
              <w:keepNext/>
              <w:keepLines/>
              <w:spacing w:after="120" w:line="276" w:lineRule="auto"/>
              <w:rPr>
                <w:rFonts w:ascii="Arial" w:hAnsi="Arial" w:cs="Arial"/>
                <w:sz w:val="22"/>
                <w:szCs w:val="22"/>
              </w:rPr>
            </w:pPr>
            <w:r w:rsidRPr="00954CA3">
              <w:rPr>
                <w:rFonts w:ascii="Arial" w:hAnsi="Arial" w:cs="Arial"/>
                <w:sz w:val="22"/>
                <w:szCs w:val="22"/>
              </w:rPr>
              <w:t>Project development</w:t>
            </w:r>
          </w:p>
        </w:tc>
        <w:tc>
          <w:tcPr>
            <w:tcW w:w="4252" w:type="dxa"/>
            <w:tcBorders>
              <w:bottom w:val="single" w:sz="4" w:space="0" w:color="auto"/>
            </w:tcBorders>
            <w:shd w:val="clear" w:color="auto" w:fill="auto"/>
          </w:tcPr>
          <w:p w14:paraId="5F2EC5C1" w14:textId="5CEEFD3D" w:rsidR="004B2557" w:rsidRPr="00954CA3" w:rsidRDefault="003F50A3" w:rsidP="00E90E9D">
            <w:pPr>
              <w:keepNext/>
              <w:keepLines/>
              <w:spacing w:after="120" w:line="276" w:lineRule="auto"/>
              <w:jc w:val="both"/>
              <w:rPr>
                <w:rFonts w:ascii="Arial" w:hAnsi="Arial" w:cs="Arial"/>
                <w:sz w:val="22"/>
                <w:szCs w:val="22"/>
              </w:rPr>
            </w:pPr>
            <w:r>
              <w:rPr>
                <w:rFonts w:ascii="Arial" w:hAnsi="Arial" w:cs="Arial"/>
                <w:sz w:val="22"/>
                <w:szCs w:val="22"/>
              </w:rPr>
              <w:t>Case stud</w:t>
            </w:r>
            <w:r w:rsidR="00D14531">
              <w:rPr>
                <w:rFonts w:ascii="Arial" w:hAnsi="Arial" w:cs="Arial"/>
                <w:sz w:val="22"/>
                <w:szCs w:val="22"/>
              </w:rPr>
              <w:t>y cities</w:t>
            </w:r>
            <w:r>
              <w:rPr>
                <w:rFonts w:ascii="Arial" w:hAnsi="Arial" w:cs="Arial"/>
                <w:sz w:val="22"/>
                <w:szCs w:val="22"/>
              </w:rPr>
              <w:t xml:space="preserve"> chosen</w:t>
            </w:r>
          </w:p>
        </w:tc>
        <w:tc>
          <w:tcPr>
            <w:tcW w:w="2675" w:type="dxa"/>
            <w:tcBorders>
              <w:bottom w:val="single" w:sz="4" w:space="0" w:color="auto"/>
            </w:tcBorders>
            <w:shd w:val="clear" w:color="auto" w:fill="auto"/>
          </w:tcPr>
          <w:p w14:paraId="20655DC6" w14:textId="4EFEBED2" w:rsidR="004B2557" w:rsidRPr="00954CA3" w:rsidRDefault="004F3614" w:rsidP="00E90E9D">
            <w:pPr>
              <w:keepNext/>
              <w:keepLines/>
              <w:spacing w:after="120" w:line="276" w:lineRule="auto"/>
              <w:jc w:val="both"/>
              <w:rPr>
                <w:rFonts w:ascii="Arial" w:hAnsi="Arial" w:cs="Arial"/>
                <w:sz w:val="22"/>
                <w:szCs w:val="22"/>
              </w:rPr>
            </w:pPr>
            <w:r>
              <w:rPr>
                <w:rFonts w:ascii="Arial" w:hAnsi="Arial" w:cs="Arial"/>
                <w:sz w:val="22"/>
                <w:szCs w:val="22"/>
              </w:rPr>
              <w:t xml:space="preserve">By </w:t>
            </w:r>
            <w:r w:rsidR="00A2373A">
              <w:rPr>
                <w:rFonts w:ascii="Arial" w:hAnsi="Arial" w:cs="Arial"/>
                <w:sz w:val="22"/>
                <w:szCs w:val="22"/>
              </w:rPr>
              <w:t>2 March</w:t>
            </w:r>
            <w:r w:rsidR="003F50A3">
              <w:rPr>
                <w:rFonts w:ascii="Arial" w:hAnsi="Arial" w:cs="Arial"/>
                <w:sz w:val="22"/>
                <w:szCs w:val="22"/>
              </w:rPr>
              <w:t xml:space="preserve"> 2018</w:t>
            </w:r>
          </w:p>
        </w:tc>
      </w:tr>
      <w:tr w:rsidR="00680969" w:rsidRPr="00954CA3" w14:paraId="217E9057" w14:textId="77777777" w:rsidTr="00954CA3">
        <w:trPr>
          <w:trHeight w:val="406"/>
        </w:trPr>
        <w:tc>
          <w:tcPr>
            <w:tcW w:w="1545" w:type="dxa"/>
            <w:shd w:val="clear" w:color="auto" w:fill="auto"/>
          </w:tcPr>
          <w:p w14:paraId="7ECED207" w14:textId="77777777" w:rsidR="00680969" w:rsidRPr="00954CA3" w:rsidRDefault="00680969" w:rsidP="00E90E9D">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1EB9BBC2" w:rsidR="00680969" w:rsidRPr="00954CA3" w:rsidRDefault="003F50A3" w:rsidP="00E90E9D">
            <w:pPr>
              <w:keepNext/>
              <w:keepLines/>
              <w:spacing w:after="120" w:line="276" w:lineRule="auto"/>
              <w:jc w:val="both"/>
              <w:rPr>
                <w:rFonts w:ascii="Arial" w:hAnsi="Arial" w:cs="Arial"/>
                <w:sz w:val="22"/>
                <w:szCs w:val="22"/>
              </w:rPr>
            </w:pPr>
            <w:r>
              <w:rPr>
                <w:rFonts w:ascii="Arial" w:hAnsi="Arial" w:cs="Arial"/>
                <w:sz w:val="22"/>
                <w:szCs w:val="22"/>
              </w:rPr>
              <w:t>Analysis undertaken</w:t>
            </w:r>
          </w:p>
        </w:tc>
        <w:tc>
          <w:tcPr>
            <w:tcW w:w="2675" w:type="dxa"/>
            <w:tcBorders>
              <w:bottom w:val="single" w:sz="4" w:space="0" w:color="auto"/>
            </w:tcBorders>
            <w:shd w:val="clear" w:color="auto" w:fill="auto"/>
          </w:tcPr>
          <w:p w14:paraId="75A3A1AE" w14:textId="2A7A6211" w:rsidR="00680969" w:rsidRPr="00954CA3" w:rsidRDefault="00BD3178" w:rsidP="00E90E9D">
            <w:pPr>
              <w:keepNext/>
              <w:keepLines/>
              <w:spacing w:after="120" w:line="276" w:lineRule="auto"/>
              <w:jc w:val="both"/>
              <w:rPr>
                <w:rFonts w:ascii="Arial" w:hAnsi="Arial" w:cs="Arial"/>
                <w:sz w:val="22"/>
                <w:szCs w:val="22"/>
              </w:rPr>
            </w:pPr>
            <w:r>
              <w:rPr>
                <w:rFonts w:ascii="Arial" w:hAnsi="Arial" w:cs="Arial"/>
                <w:sz w:val="22"/>
                <w:szCs w:val="22"/>
              </w:rPr>
              <w:t>February</w:t>
            </w:r>
            <w:r w:rsidR="004F3614">
              <w:rPr>
                <w:rFonts w:ascii="Arial" w:hAnsi="Arial" w:cs="Arial"/>
                <w:sz w:val="22"/>
                <w:szCs w:val="22"/>
              </w:rPr>
              <w:t xml:space="preserve"> to </w:t>
            </w:r>
            <w:r>
              <w:rPr>
                <w:rFonts w:ascii="Arial" w:hAnsi="Arial" w:cs="Arial"/>
                <w:sz w:val="22"/>
                <w:szCs w:val="22"/>
              </w:rPr>
              <w:t>May</w:t>
            </w:r>
            <w:r w:rsidR="003F50A3">
              <w:rPr>
                <w:rFonts w:ascii="Arial" w:hAnsi="Arial" w:cs="Arial"/>
                <w:sz w:val="22"/>
                <w:szCs w:val="22"/>
              </w:rPr>
              <w:t xml:space="preserve"> 2018</w:t>
            </w:r>
          </w:p>
        </w:tc>
      </w:tr>
      <w:tr w:rsidR="004B2557" w:rsidRPr="00954CA3" w14:paraId="08D9779D" w14:textId="77777777" w:rsidTr="00954CA3">
        <w:tc>
          <w:tcPr>
            <w:tcW w:w="1545" w:type="dxa"/>
            <w:shd w:val="clear" w:color="auto" w:fill="auto"/>
          </w:tcPr>
          <w:p w14:paraId="7A89C28D" w14:textId="77777777" w:rsidR="004B2557" w:rsidRPr="00954CA3" w:rsidRDefault="004B2557" w:rsidP="00E90E9D">
            <w:pPr>
              <w:keepNext/>
              <w:keepLines/>
              <w:spacing w:after="120" w:line="276" w:lineRule="auto"/>
              <w:jc w:val="both"/>
              <w:rPr>
                <w:rFonts w:ascii="Arial" w:hAnsi="Arial" w:cs="Arial"/>
                <w:sz w:val="22"/>
                <w:szCs w:val="22"/>
              </w:rPr>
            </w:pPr>
            <w:r w:rsidRPr="00954CA3">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0586B43A" w:rsidR="004B2557" w:rsidRPr="00954CA3" w:rsidRDefault="004B2557" w:rsidP="00E90E9D">
            <w:pPr>
              <w:keepNext/>
              <w:keepLines/>
              <w:spacing w:after="120" w:line="276" w:lineRule="auto"/>
              <w:rPr>
                <w:rFonts w:ascii="Arial" w:hAnsi="Arial" w:cs="Arial"/>
                <w:sz w:val="22"/>
                <w:szCs w:val="22"/>
              </w:rPr>
            </w:pPr>
            <w:r w:rsidRPr="00954CA3">
              <w:rPr>
                <w:rFonts w:ascii="Arial" w:hAnsi="Arial" w:cs="Arial"/>
                <w:sz w:val="22"/>
                <w:szCs w:val="22"/>
              </w:rPr>
              <w:t>Draft report to ASC</w:t>
            </w:r>
            <w:r w:rsidR="00131E76">
              <w:rPr>
                <w:rFonts w:ascii="Arial" w:hAnsi="Arial" w:cs="Arial"/>
                <w:sz w:val="22"/>
                <w:szCs w:val="22"/>
              </w:rPr>
              <w:t>, peer reviewers</w:t>
            </w:r>
            <w:r w:rsidR="009222FF" w:rsidRPr="00954CA3">
              <w:rPr>
                <w:rFonts w:ascii="Arial" w:hAnsi="Arial" w:cs="Arial"/>
                <w:sz w:val="22"/>
                <w:szCs w:val="22"/>
              </w:rPr>
              <w:t xml:space="preserve"> </w:t>
            </w:r>
            <w:r w:rsidR="004C4D20">
              <w:rPr>
                <w:rFonts w:ascii="Arial" w:hAnsi="Arial" w:cs="Arial"/>
                <w:sz w:val="22"/>
                <w:szCs w:val="22"/>
              </w:rPr>
              <w:t xml:space="preserve">and </w:t>
            </w:r>
            <w:r w:rsidR="003F50A3">
              <w:rPr>
                <w:rFonts w:ascii="Arial" w:hAnsi="Arial" w:cs="Arial"/>
                <w:sz w:val="22"/>
                <w:szCs w:val="22"/>
              </w:rPr>
              <w:t xml:space="preserve">steering </w:t>
            </w:r>
            <w:r w:rsidR="004C4D20">
              <w:rPr>
                <w:rFonts w:ascii="Arial" w:hAnsi="Arial" w:cs="Arial"/>
                <w:sz w:val="22"/>
                <w:szCs w:val="22"/>
              </w:rPr>
              <w:t xml:space="preserve">group </w:t>
            </w:r>
            <w:r w:rsidR="009222FF" w:rsidRPr="00954CA3">
              <w:rPr>
                <w:rFonts w:ascii="Arial" w:hAnsi="Arial" w:cs="Arial"/>
                <w:sz w:val="22"/>
                <w:szCs w:val="22"/>
              </w:rPr>
              <w:t>for initial feedback</w:t>
            </w:r>
          </w:p>
        </w:tc>
        <w:tc>
          <w:tcPr>
            <w:tcW w:w="2675" w:type="dxa"/>
            <w:tcBorders>
              <w:top w:val="single" w:sz="4" w:space="0" w:color="auto"/>
              <w:bottom w:val="single" w:sz="4" w:space="0" w:color="auto"/>
            </w:tcBorders>
            <w:shd w:val="clear" w:color="auto" w:fill="auto"/>
          </w:tcPr>
          <w:p w14:paraId="30E629AC" w14:textId="69B4AF3E" w:rsidR="004B2557" w:rsidRPr="00954CA3" w:rsidRDefault="00853733" w:rsidP="00E90E9D">
            <w:pPr>
              <w:keepNext/>
              <w:keepLines/>
              <w:spacing w:after="120"/>
              <w:rPr>
                <w:rFonts w:ascii="Arial" w:hAnsi="Arial" w:cs="Arial"/>
                <w:sz w:val="22"/>
                <w:szCs w:val="22"/>
              </w:rPr>
            </w:pPr>
            <w:r>
              <w:rPr>
                <w:rFonts w:ascii="Arial" w:hAnsi="Arial" w:cs="Arial"/>
                <w:sz w:val="22"/>
                <w:szCs w:val="22"/>
              </w:rPr>
              <w:t>B</w:t>
            </w:r>
            <w:r w:rsidR="00131E76">
              <w:rPr>
                <w:rFonts w:ascii="Arial" w:hAnsi="Arial" w:cs="Arial"/>
                <w:sz w:val="22"/>
                <w:szCs w:val="22"/>
              </w:rPr>
              <w:t xml:space="preserve">y </w:t>
            </w:r>
            <w:r w:rsidR="00A2373A">
              <w:rPr>
                <w:rFonts w:ascii="Arial" w:hAnsi="Arial" w:cs="Arial"/>
                <w:sz w:val="22"/>
                <w:szCs w:val="22"/>
              </w:rPr>
              <w:t>1 June</w:t>
            </w:r>
            <w:r w:rsidR="00131E76">
              <w:rPr>
                <w:rFonts w:ascii="Arial" w:hAnsi="Arial" w:cs="Arial"/>
                <w:sz w:val="22"/>
                <w:szCs w:val="22"/>
              </w:rPr>
              <w:t xml:space="preserve"> </w:t>
            </w:r>
            <w:r w:rsidR="004C4D20">
              <w:rPr>
                <w:rFonts w:ascii="Arial" w:hAnsi="Arial" w:cs="Arial"/>
                <w:sz w:val="22"/>
                <w:szCs w:val="22"/>
              </w:rPr>
              <w:t>2018</w:t>
            </w:r>
          </w:p>
        </w:tc>
      </w:tr>
      <w:tr w:rsidR="004B2557" w:rsidRPr="00954CA3" w14:paraId="3D7497EF" w14:textId="77777777" w:rsidTr="00954CA3">
        <w:tc>
          <w:tcPr>
            <w:tcW w:w="1545" w:type="dxa"/>
            <w:shd w:val="clear" w:color="auto" w:fill="auto"/>
          </w:tcPr>
          <w:p w14:paraId="19CE8A7E" w14:textId="77777777" w:rsidR="004B2557" w:rsidRPr="00954CA3" w:rsidRDefault="004B2557" w:rsidP="00E90E9D">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697D5D8F" w:rsidR="004B2557" w:rsidRPr="00954CA3" w:rsidRDefault="00131E76" w:rsidP="00E90E9D">
            <w:pPr>
              <w:keepNext/>
              <w:keepLines/>
              <w:spacing w:after="120" w:line="276" w:lineRule="auto"/>
              <w:rPr>
                <w:rFonts w:ascii="Arial" w:hAnsi="Arial" w:cs="Arial"/>
                <w:sz w:val="22"/>
                <w:szCs w:val="22"/>
              </w:rPr>
            </w:pPr>
            <w:r w:rsidRPr="00954CA3">
              <w:rPr>
                <w:rFonts w:ascii="Arial" w:hAnsi="Arial" w:cs="Arial"/>
                <w:sz w:val="22"/>
                <w:szCs w:val="22"/>
              </w:rPr>
              <w:t xml:space="preserve">Final report </w:t>
            </w:r>
            <w:r>
              <w:rPr>
                <w:rFonts w:ascii="Arial" w:hAnsi="Arial" w:cs="Arial"/>
                <w:sz w:val="22"/>
                <w:szCs w:val="22"/>
              </w:rPr>
              <w:t>submitted</w:t>
            </w:r>
          </w:p>
        </w:tc>
        <w:tc>
          <w:tcPr>
            <w:tcW w:w="2675" w:type="dxa"/>
            <w:tcBorders>
              <w:top w:val="single" w:sz="4" w:space="0" w:color="auto"/>
              <w:bottom w:val="single" w:sz="4" w:space="0" w:color="auto"/>
            </w:tcBorders>
            <w:shd w:val="clear" w:color="auto" w:fill="auto"/>
          </w:tcPr>
          <w:p w14:paraId="5E71591D" w14:textId="3470CFB6" w:rsidR="004B2557" w:rsidRPr="00954CA3" w:rsidRDefault="00986539" w:rsidP="00E90E9D">
            <w:pPr>
              <w:keepNext/>
              <w:keepLines/>
              <w:spacing w:after="120"/>
              <w:rPr>
                <w:rFonts w:ascii="Arial" w:hAnsi="Arial" w:cs="Arial"/>
                <w:sz w:val="22"/>
                <w:szCs w:val="22"/>
              </w:rPr>
            </w:pPr>
            <w:r>
              <w:rPr>
                <w:rFonts w:ascii="Arial" w:hAnsi="Arial" w:cs="Arial"/>
                <w:sz w:val="22"/>
                <w:szCs w:val="22"/>
              </w:rPr>
              <w:t xml:space="preserve">By </w:t>
            </w:r>
            <w:r w:rsidR="00A2373A">
              <w:rPr>
                <w:rFonts w:ascii="Arial" w:hAnsi="Arial" w:cs="Arial"/>
                <w:sz w:val="22"/>
                <w:szCs w:val="22"/>
              </w:rPr>
              <w:t>22</w:t>
            </w:r>
            <w:r>
              <w:rPr>
                <w:rFonts w:ascii="Arial" w:hAnsi="Arial" w:cs="Arial"/>
                <w:sz w:val="22"/>
                <w:szCs w:val="22"/>
              </w:rPr>
              <w:t xml:space="preserve"> </w:t>
            </w:r>
            <w:r w:rsidR="00BD3178">
              <w:rPr>
                <w:rFonts w:ascii="Arial" w:hAnsi="Arial" w:cs="Arial"/>
                <w:sz w:val="22"/>
                <w:szCs w:val="22"/>
              </w:rPr>
              <w:t>June</w:t>
            </w:r>
            <w:r w:rsidR="00131E76">
              <w:rPr>
                <w:rFonts w:ascii="Arial" w:hAnsi="Arial" w:cs="Arial"/>
                <w:sz w:val="22"/>
                <w:szCs w:val="22"/>
              </w:rPr>
              <w:t xml:space="preserve"> </w:t>
            </w:r>
            <w:r w:rsidR="004C4D20">
              <w:rPr>
                <w:rFonts w:ascii="Arial" w:hAnsi="Arial" w:cs="Arial"/>
                <w:sz w:val="22"/>
                <w:szCs w:val="22"/>
              </w:rPr>
              <w:t>2018</w:t>
            </w:r>
          </w:p>
        </w:tc>
      </w:tr>
    </w:tbl>
    <w:p w14:paraId="5EA87566" w14:textId="77777777" w:rsidR="002F59AC" w:rsidRDefault="004C7039" w:rsidP="007248E4">
      <w:pPr>
        <w:pStyle w:val="Heading1"/>
        <w:numPr>
          <w:ilvl w:val="0"/>
          <w:numId w:val="3"/>
        </w:numPr>
        <w:rPr>
          <w:rFonts w:ascii="Arial" w:hAnsi="Arial" w:cs="Arial"/>
          <w:sz w:val="24"/>
          <w:szCs w:val="24"/>
        </w:rPr>
      </w:pPr>
      <w:bookmarkStart w:id="35" w:name="_Ref357541731"/>
      <w:bookmarkStart w:id="36" w:name="_Toc381969514"/>
      <w:bookmarkStart w:id="37" w:name="_Toc405888463"/>
      <w:bookmarkStart w:id="38" w:name="_Toc496603079"/>
      <w:r w:rsidRPr="002D32D5">
        <w:rPr>
          <w:rFonts w:ascii="Arial" w:hAnsi="Arial" w:cs="Arial"/>
          <w:sz w:val="24"/>
          <w:szCs w:val="24"/>
        </w:rPr>
        <w:t>C</w:t>
      </w:r>
      <w:r w:rsidR="002F59AC" w:rsidRPr="002D32D5">
        <w:rPr>
          <w:rFonts w:ascii="Arial" w:hAnsi="Arial" w:cs="Arial"/>
          <w:sz w:val="24"/>
          <w:szCs w:val="24"/>
        </w:rPr>
        <w:t>hallenges</w:t>
      </w:r>
      <w:bookmarkEnd w:id="35"/>
      <w:bookmarkEnd w:id="36"/>
      <w:bookmarkEnd w:id="37"/>
      <w:bookmarkEnd w:id="38"/>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7A3E16E2" w14:textId="5775EB45" w:rsidR="00A0053A" w:rsidRDefault="003F50A3" w:rsidP="00FD139A">
      <w:pPr>
        <w:pStyle w:val="Norma"/>
        <w:numPr>
          <w:ilvl w:val="0"/>
          <w:numId w:val="9"/>
        </w:numPr>
        <w:rPr>
          <w:rFonts w:cs="Arial"/>
        </w:rPr>
      </w:pPr>
      <w:r>
        <w:rPr>
          <w:rFonts w:cs="Arial"/>
        </w:rPr>
        <w:t xml:space="preserve">Determining a robust technique to assess the impact of a particular </w:t>
      </w:r>
      <w:r w:rsidR="00D14531">
        <w:rPr>
          <w:rFonts w:cs="Arial"/>
        </w:rPr>
        <w:t xml:space="preserve">project </w:t>
      </w:r>
      <w:r>
        <w:rPr>
          <w:rFonts w:cs="Arial"/>
        </w:rPr>
        <w:t xml:space="preserve">on </w:t>
      </w:r>
      <w:r w:rsidR="00914FB8">
        <w:rPr>
          <w:rFonts w:cs="Arial"/>
        </w:rPr>
        <w:t>risk that</w:t>
      </w:r>
      <w:r>
        <w:rPr>
          <w:rFonts w:cs="Arial"/>
        </w:rPr>
        <w:t xml:space="preserve"> can be transferable to other projects.</w:t>
      </w:r>
    </w:p>
    <w:p w14:paraId="3A221774" w14:textId="3254334D" w:rsidR="003F50A3" w:rsidRPr="002133A0" w:rsidRDefault="003F50A3" w:rsidP="00FD139A">
      <w:pPr>
        <w:pStyle w:val="Norma"/>
        <w:numPr>
          <w:ilvl w:val="0"/>
          <w:numId w:val="9"/>
        </w:numPr>
        <w:rPr>
          <w:rFonts w:cs="Arial"/>
        </w:rPr>
      </w:pPr>
      <w:r>
        <w:rPr>
          <w:rFonts w:cs="Arial"/>
        </w:rPr>
        <w:t xml:space="preserve">Finding appropriate case studies that have been successful in reducing the risks </w:t>
      </w:r>
      <w:r w:rsidR="003632C5">
        <w:rPr>
          <w:rFonts w:cs="Arial"/>
        </w:rPr>
        <w:t xml:space="preserve">and/or taking advantage of opportunities </w:t>
      </w:r>
      <w:r>
        <w:rPr>
          <w:rFonts w:cs="Arial"/>
        </w:rPr>
        <w:t>from climate change and securing the input of the stakeholders that worked on those projects</w:t>
      </w:r>
      <w:r w:rsidR="00F36AD1">
        <w:rPr>
          <w:rFonts w:cs="Arial"/>
        </w:rPr>
        <w:t xml:space="preserve"> as well as independent reviewers</w:t>
      </w:r>
      <w:r>
        <w:rPr>
          <w:rFonts w:cs="Arial"/>
        </w:rPr>
        <w:t>.</w:t>
      </w:r>
    </w:p>
    <w:p w14:paraId="5EA87567" w14:textId="77777777" w:rsidR="00585DA5" w:rsidRDefault="00585DA5" w:rsidP="007963DA">
      <w:pPr>
        <w:pStyle w:val="Norma"/>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39" w:name="_Toc381969515"/>
      <w:bookmarkStart w:id="40" w:name="_Toc405888464"/>
      <w:bookmarkStart w:id="41" w:name="_Toc496603080"/>
      <w:bookmarkStart w:id="42" w:name="_Toc271272913"/>
      <w:r w:rsidRPr="002D32D5">
        <w:rPr>
          <w:rFonts w:ascii="Arial" w:hAnsi="Arial" w:cs="Arial"/>
          <w:sz w:val="24"/>
          <w:szCs w:val="24"/>
        </w:rPr>
        <w:t>Ethics</w:t>
      </w:r>
      <w:bookmarkEnd w:id="39"/>
      <w:bookmarkEnd w:id="40"/>
      <w:bookmarkEnd w:id="41"/>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293D12">
      <w:pPr>
        <w:pStyle w:val="ListParagraph"/>
        <w:spacing w:after="0" w:line="240" w:lineRule="auto"/>
        <w:ind w:left="36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293D12">
      <w:pPr>
        <w:pStyle w:val="ListParagraph"/>
        <w:spacing w:after="0" w:line="240" w:lineRule="auto"/>
        <w:ind w:left="360"/>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D75586" w:rsidRPr="000F78E0">
        <w:rPr>
          <w:rFonts w:ascii="Arial" w:hAnsi="Arial" w:cs="Arial"/>
        </w:rPr>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3" w:name="_Ref338852517"/>
      <w:bookmarkStart w:id="44" w:name="_Toc381969516"/>
      <w:bookmarkStart w:id="45" w:name="_Toc405888465"/>
      <w:bookmarkStart w:id="46" w:name="_Toc496603081"/>
      <w:bookmarkEnd w:id="42"/>
      <w:r w:rsidRPr="002D32D5">
        <w:rPr>
          <w:rFonts w:ascii="Arial" w:hAnsi="Arial" w:cs="Arial"/>
          <w:sz w:val="24"/>
          <w:szCs w:val="24"/>
        </w:rPr>
        <w:t>Working Arrangements</w:t>
      </w:r>
      <w:bookmarkEnd w:id="43"/>
      <w:bookmarkEnd w:id="44"/>
      <w:bookmarkEnd w:id="45"/>
      <w:bookmarkEnd w:id="46"/>
    </w:p>
    <w:p w14:paraId="5EA87574" w14:textId="77777777" w:rsidR="00AA62E8" w:rsidRPr="000F78E0" w:rsidRDefault="00AA62E8" w:rsidP="005A7FBC">
      <w:pPr>
        <w:pStyle w:val="Norma"/>
        <w:jc w:val="both"/>
        <w:rPr>
          <w:rFonts w:cs="Arial"/>
          <w:b/>
          <w:bCs/>
          <w:iCs/>
        </w:rPr>
      </w:pPr>
    </w:p>
    <w:p w14:paraId="5EA87578" w14:textId="3889F2B5" w:rsidR="00AA62E8" w:rsidRPr="008B0B0B" w:rsidRDefault="00AA62E8" w:rsidP="008B0B0B">
      <w:pPr>
        <w:pStyle w:val="Norma"/>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w:t>
      </w:r>
      <w:r w:rsidR="00D14531">
        <w:rPr>
          <w:rFonts w:cs="Arial"/>
          <w:bCs/>
        </w:rPr>
        <w:t>n</w:t>
      </w:r>
      <w:r w:rsidR="004C4D20">
        <w:rPr>
          <w:rFonts w:cs="Arial"/>
          <w:bCs/>
        </w:rPr>
        <w:t xml:space="preserve">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7" w:name="_Toc496603082"/>
      <w:r>
        <w:rPr>
          <w:rFonts w:ascii="Arial" w:hAnsi="Arial" w:cs="Arial"/>
          <w:sz w:val="24"/>
          <w:szCs w:val="24"/>
        </w:rPr>
        <w:t>Skills and experience</w:t>
      </w:r>
      <w:bookmarkEnd w:id="47"/>
    </w:p>
    <w:p w14:paraId="5EA8757A" w14:textId="77777777" w:rsidR="00427AFA" w:rsidRPr="000F78E0" w:rsidRDefault="00427AFA" w:rsidP="00B960BC">
      <w:pPr>
        <w:pStyle w:val="Norma"/>
        <w:ind w:left="360"/>
        <w:jc w:val="both"/>
        <w:rPr>
          <w:rFonts w:cs="Arial"/>
        </w:rPr>
      </w:pPr>
    </w:p>
    <w:p w14:paraId="5EA8757B" w14:textId="17814D9C" w:rsidR="00FA702B" w:rsidRPr="000F78E0" w:rsidRDefault="008B0B0B" w:rsidP="00E72DB1">
      <w:pPr>
        <w:pStyle w:val="PTablebodyCharCharChar"/>
        <w:tabs>
          <w:tab w:val="clear" w:pos="7823"/>
          <w:tab w:val="right" w:pos="709"/>
        </w:tabs>
        <w:spacing w:after="0"/>
        <w:ind w:left="360"/>
        <w:rPr>
          <w:rFonts w:cs="Arial"/>
          <w:sz w:val="22"/>
          <w:szCs w:val="22"/>
          <w:highlight w:val="yellow"/>
        </w:rPr>
      </w:pPr>
      <w:r>
        <w:rPr>
          <w:rFonts w:ascii="Arial" w:hAnsi="Arial" w:cs="Arial"/>
          <w:sz w:val="22"/>
          <w:szCs w:val="22"/>
        </w:rPr>
        <w:lastRenderedPageBreak/>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72DB1">
      <w:pPr>
        <w:pStyle w:val="Norma"/>
        <w:ind w:left="360"/>
        <w:jc w:val="both"/>
        <w:rPr>
          <w:rFonts w:cs="Arial"/>
        </w:rPr>
      </w:pPr>
      <w:r w:rsidRPr="000F78E0">
        <w:rPr>
          <w:rFonts w:cs="Arial"/>
        </w:rPr>
        <w:t>Contractors should identify the individual(s) who will be responsible for managing the project.</w:t>
      </w:r>
      <w:bookmarkStart w:id="48"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49" w:name="_Ref373505239"/>
      <w:bookmarkStart w:id="50" w:name="_Toc381969518"/>
      <w:bookmarkStart w:id="51" w:name="_Toc405888467"/>
      <w:bookmarkStart w:id="52" w:name="_Toc496603083"/>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bookmarkEnd w:id="52"/>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3" w:name="_Ref357541811"/>
      <w:bookmarkStart w:id="54" w:name="_Toc381969519"/>
      <w:bookmarkStart w:id="55" w:name="_Toc405888468"/>
      <w:bookmarkStart w:id="56" w:name="_Toc496603084"/>
      <w:bookmarkStart w:id="57" w:name="_Toc246831559"/>
      <w:bookmarkStart w:id="58" w:name="_Toc271272917"/>
      <w:bookmarkStart w:id="59" w:name="_Ref338852577"/>
      <w:bookmarkEnd w:id="48"/>
      <w:r w:rsidRPr="002D32D5">
        <w:rPr>
          <w:rFonts w:ascii="Arial" w:hAnsi="Arial" w:cs="Arial"/>
          <w:sz w:val="24"/>
          <w:szCs w:val="24"/>
        </w:rPr>
        <w:t>Budget</w:t>
      </w:r>
      <w:bookmarkEnd w:id="53"/>
      <w:bookmarkEnd w:id="54"/>
      <w:bookmarkEnd w:id="55"/>
      <w:bookmarkEnd w:id="56"/>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31078E45" w14:textId="5156D9CE" w:rsidR="00853733" w:rsidRDefault="003C1CE8" w:rsidP="007A11CB">
      <w:pPr>
        <w:pStyle w:val="Paragraph"/>
        <w:ind w:hanging="360"/>
        <w:rPr>
          <w:sz w:val="22"/>
          <w:szCs w:val="22"/>
        </w:rPr>
      </w:pPr>
      <w:r w:rsidRPr="000F78E0">
        <w:rPr>
          <w:sz w:val="22"/>
          <w:szCs w:val="22"/>
        </w:rPr>
        <w:t xml:space="preserve">The budget for this project is </w:t>
      </w:r>
      <w:r w:rsidR="003F50A3">
        <w:rPr>
          <w:b/>
          <w:color w:val="000000" w:themeColor="text1"/>
          <w:sz w:val="22"/>
          <w:szCs w:val="22"/>
        </w:rPr>
        <w:t xml:space="preserve">up to </w:t>
      </w:r>
      <w:r w:rsidR="003F50A3" w:rsidRPr="009808A3">
        <w:rPr>
          <w:b/>
          <w:color w:val="000000" w:themeColor="text1"/>
          <w:sz w:val="22"/>
          <w:szCs w:val="22"/>
        </w:rPr>
        <w:t>£</w:t>
      </w:r>
      <w:r w:rsidR="00405DAC" w:rsidRPr="009808A3">
        <w:rPr>
          <w:b/>
          <w:color w:val="000000" w:themeColor="text1"/>
          <w:sz w:val="22"/>
          <w:szCs w:val="22"/>
        </w:rPr>
        <w:t>45</w:t>
      </w:r>
      <w:r w:rsidR="00B5763D" w:rsidRPr="009808A3">
        <w:rPr>
          <w:b/>
          <w:color w:val="000000" w:themeColor="text1"/>
          <w:sz w:val="22"/>
          <w:szCs w:val="22"/>
        </w:rPr>
        <w:t>,000</w:t>
      </w:r>
      <w:r w:rsidR="00685B87" w:rsidRPr="001A33AF">
        <w:rPr>
          <w:b/>
          <w:color w:val="000000" w:themeColor="text1"/>
          <w:sz w:val="22"/>
          <w:szCs w:val="22"/>
        </w:rPr>
        <w:t xml:space="preserve"> </w:t>
      </w:r>
      <w:r w:rsidR="00B5763D" w:rsidRPr="001A33AF">
        <w:rPr>
          <w:b/>
          <w:sz w:val="22"/>
          <w:szCs w:val="22"/>
        </w:rPr>
        <w:t>in</w:t>
      </w:r>
      <w:r w:rsidR="00685B87" w:rsidRPr="001A33AF">
        <w:rPr>
          <w:b/>
          <w:sz w:val="22"/>
          <w:szCs w:val="22"/>
        </w:rPr>
        <w:t>cluding VAT</w:t>
      </w:r>
      <w:r w:rsidR="00853733">
        <w:rPr>
          <w:b/>
          <w:sz w:val="22"/>
          <w:szCs w:val="22"/>
        </w:rPr>
        <w:t xml:space="preserve">, </w:t>
      </w:r>
      <w:r w:rsidR="00986539">
        <w:rPr>
          <w:sz w:val="22"/>
          <w:szCs w:val="22"/>
        </w:rPr>
        <w:t xml:space="preserve">with </w:t>
      </w:r>
      <w:r w:rsidR="005E51C4">
        <w:rPr>
          <w:sz w:val="22"/>
          <w:szCs w:val="22"/>
        </w:rPr>
        <w:t>up to £35,000</w:t>
      </w:r>
    </w:p>
    <w:p w14:paraId="5EA8758D" w14:textId="22AEF13A" w:rsidR="003C1CE8" w:rsidRPr="00853733" w:rsidRDefault="00853733" w:rsidP="00914FB8">
      <w:pPr>
        <w:pStyle w:val="Paragraph"/>
        <w:ind w:left="0" w:firstLine="360"/>
        <w:rPr>
          <w:sz w:val="22"/>
          <w:szCs w:val="22"/>
        </w:rPr>
      </w:pPr>
      <w:r w:rsidRPr="00853733">
        <w:rPr>
          <w:sz w:val="22"/>
          <w:szCs w:val="22"/>
        </w:rPr>
        <w:t>to be paid i</w:t>
      </w:r>
      <w:r w:rsidR="00986539">
        <w:rPr>
          <w:sz w:val="22"/>
          <w:szCs w:val="22"/>
        </w:rPr>
        <w:t>n the 17/18 financial year and</w:t>
      </w:r>
      <w:r w:rsidR="005E51C4">
        <w:rPr>
          <w:sz w:val="22"/>
          <w:szCs w:val="22"/>
        </w:rPr>
        <w:t xml:space="preserve"> up to £10,000</w:t>
      </w:r>
      <w:r w:rsidRPr="00853733">
        <w:rPr>
          <w:sz w:val="22"/>
          <w:szCs w:val="22"/>
        </w:rPr>
        <w:t xml:space="preserve"> in the 18/19 financial year.</w:t>
      </w:r>
    </w:p>
    <w:p w14:paraId="5EA8758E" w14:textId="77777777" w:rsidR="00B00EA2" w:rsidRPr="000F78E0" w:rsidRDefault="00B00EA2" w:rsidP="00E4650D">
      <w:pPr>
        <w:pStyle w:val="ListParagraph"/>
        <w:spacing w:line="240" w:lineRule="auto"/>
        <w:ind w:left="0"/>
        <w:jc w:val="both"/>
        <w:rPr>
          <w:rFonts w:ascii="Arial" w:hAnsi="Arial" w:cs="Arial"/>
        </w:rPr>
      </w:pPr>
    </w:p>
    <w:p w14:paraId="5EA8758F" w14:textId="4586035A"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should include staff (and day rate) allocated to specific tasks. </w:t>
      </w:r>
      <w:bookmarkEnd w:id="57"/>
      <w:bookmarkEnd w:id="58"/>
      <w:bookmarkEnd w:id="59"/>
      <w:r w:rsidR="005E51C4">
        <w:rPr>
          <w:rFonts w:ascii="Arial" w:hAnsi="Arial" w:cs="Arial"/>
        </w:rPr>
        <w:t>Please include the number of days in the unpriced bid.</w:t>
      </w:r>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3D0A577D"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CF718E">
        <w:rPr>
          <w:rFonts w:ascii="Arial" w:hAnsi="Arial" w:cs="Arial"/>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50A2B491"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w:t>
      </w:r>
      <w:r w:rsidRPr="000F78E0">
        <w:rPr>
          <w:rFonts w:eastAsia="MS Mincho" w:cs="Arial"/>
          <w:lang w:eastAsia="en-US"/>
        </w:rPr>
        <w:lastRenderedPageBreak/>
        <w:t xml:space="preserve">applicable to the prime contractor must also be replicated with sub-contractors. </w:t>
      </w:r>
    </w:p>
    <w:p w14:paraId="5EA87596" w14:textId="77777777" w:rsidR="00532695" w:rsidRPr="000F78E0" w:rsidRDefault="00532695" w:rsidP="00E4650D">
      <w:pPr>
        <w:pStyle w:val="Norma"/>
        <w:jc w:val="both"/>
        <w:rPr>
          <w:rFonts w:eastAsia="MS Mincho" w:cs="Arial"/>
          <w:lang w:eastAsia="en-US"/>
        </w:rPr>
      </w:pPr>
    </w:p>
    <w:p w14:paraId="5EA87597" w14:textId="56E6681C" w:rsidR="00443DE6" w:rsidRPr="000F78E0" w:rsidRDefault="00796CF2" w:rsidP="00E72DB1">
      <w:pPr>
        <w:pStyle w:val="Norma"/>
        <w:ind w:left="360"/>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60" w:name="_Ref357541836"/>
      <w:bookmarkStart w:id="61" w:name="_Toc381969520"/>
      <w:bookmarkStart w:id="62" w:name="_Toc405888469"/>
      <w:bookmarkStart w:id="63" w:name="_Toc496603085"/>
      <w:r w:rsidRPr="002D32D5">
        <w:rPr>
          <w:rFonts w:ascii="Arial" w:hAnsi="Arial" w:cs="Arial"/>
          <w:sz w:val="24"/>
          <w:szCs w:val="24"/>
        </w:rPr>
        <w:t>Evaluation of Tenders</w:t>
      </w:r>
      <w:bookmarkEnd w:id="60"/>
      <w:bookmarkEnd w:id="61"/>
      <w:bookmarkEnd w:id="62"/>
      <w:bookmarkEnd w:id="63"/>
    </w:p>
    <w:p w14:paraId="5EA8759A" w14:textId="77777777" w:rsidR="003C1CE8" w:rsidRPr="00E4650D" w:rsidRDefault="003C1CE8" w:rsidP="00E4650D">
      <w:pPr>
        <w:pStyle w:val="Norma"/>
        <w:jc w:val="both"/>
        <w:rPr>
          <w:rFonts w:cs="Arial"/>
          <w:sz w:val="24"/>
          <w:szCs w:val="24"/>
        </w:rPr>
      </w:pPr>
    </w:p>
    <w:p w14:paraId="5EA8759B" w14:textId="26C2A24E" w:rsidR="005C788B" w:rsidRPr="000F78E0" w:rsidRDefault="003C1CE8" w:rsidP="00E72DB1">
      <w:pPr>
        <w:pStyle w:val="Norma"/>
        <w:ind w:left="360"/>
        <w:jc w:val="both"/>
        <w:rPr>
          <w:rFonts w:cs="Arial"/>
        </w:rPr>
      </w:pPr>
      <w:r w:rsidRPr="000F78E0">
        <w:rPr>
          <w:rFonts w:cs="Arial"/>
        </w:rPr>
        <w:t>Contractors are invited to submit full tenders of no more than</w:t>
      </w:r>
      <w:r w:rsidRPr="000F78E0">
        <w:rPr>
          <w:rFonts w:cs="Arial"/>
          <w:color w:val="0000FF"/>
        </w:rPr>
        <w:t xml:space="preserve"> </w:t>
      </w:r>
      <w:r w:rsidR="002133A0" w:rsidRPr="001A33AF">
        <w:rPr>
          <w:rFonts w:cs="Arial"/>
          <w:color w:val="000000" w:themeColor="text1"/>
        </w:rPr>
        <w:t>25</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97210C" w:rsidRPr="000F78E0">
        <w:rPr>
          <w:rFonts w:cs="Arial"/>
        </w:rPr>
        <w:t>C</w:t>
      </w:r>
      <w:r w:rsidR="003C54D5" w:rsidRPr="000F78E0">
        <w:rPr>
          <w:rFonts w:cs="Arial"/>
        </w:rPr>
        <w:t>CC staff</w:t>
      </w:r>
      <w:r w:rsidR="005C788B" w:rsidRPr="000F78E0">
        <w:rPr>
          <w:rFonts w:cs="Arial"/>
        </w:rPr>
        <w:t>.</w:t>
      </w:r>
    </w:p>
    <w:p w14:paraId="5EA8759C" w14:textId="77777777" w:rsidR="00E4650D" w:rsidRPr="000F78E0" w:rsidRDefault="00E4650D" w:rsidP="00E4650D">
      <w:pPr>
        <w:pStyle w:val="Norma"/>
        <w:jc w:val="both"/>
        <w:rPr>
          <w:rFonts w:cs="Arial"/>
        </w:rPr>
      </w:pPr>
    </w:p>
    <w:p w14:paraId="5EA8759F" w14:textId="01609AEE" w:rsidR="00002825" w:rsidRPr="000F78E0" w:rsidRDefault="001A33AF" w:rsidP="00804221">
      <w:pPr>
        <w:pStyle w:val="NoSpacing"/>
        <w:ind w:left="360"/>
        <w:rPr>
          <w:rFonts w:ascii="Arial" w:hAnsi="Arial" w:cs="Arial"/>
        </w:rPr>
      </w:pPr>
      <w:r>
        <w:rPr>
          <w:rFonts w:ascii="Arial" w:hAnsi="Arial" w:cs="Arial"/>
        </w:rPr>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D139A">
            <w:pPr>
              <w:pStyle w:val="Heading4"/>
              <w:rPr>
                <w:rFonts w:ascii="Arial" w:hAnsi="Arial" w:cs="Arial"/>
              </w:rPr>
            </w:pPr>
            <w:bookmarkStart w:id="64" w:name="p2"/>
            <w:bookmarkStart w:id="65" w:name="_Toc496603086"/>
            <w:r w:rsidRPr="00F7796D">
              <w:rPr>
                <w:rFonts w:ascii="Arial" w:hAnsi="Arial" w:cs="Arial"/>
              </w:rPr>
              <w:t>Criterion</w:t>
            </w:r>
            <w:bookmarkEnd w:id="64"/>
            <w:bookmarkEnd w:id="65"/>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6" w:name="_Toc496603087"/>
            <w:r w:rsidRPr="00F7796D">
              <w:rPr>
                <w:rFonts w:ascii="Arial" w:hAnsi="Arial" w:cs="Arial"/>
              </w:rPr>
              <w:t>Description</w:t>
            </w:r>
            <w:bookmarkEnd w:id="66"/>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7" w:name="_Toc496603088"/>
            <w:r w:rsidRPr="00F7796D">
              <w:rPr>
                <w:rFonts w:ascii="Arial" w:hAnsi="Arial" w:cs="Arial"/>
              </w:rPr>
              <w:t>Weighting</w:t>
            </w:r>
            <w:bookmarkEnd w:id="67"/>
          </w:p>
        </w:tc>
      </w:tr>
      <w:tr w:rsidR="001623B7" w:rsidRPr="00C6546D" w14:paraId="5EA875B1" w14:textId="77777777" w:rsidTr="00FF4DBE">
        <w:tc>
          <w:tcPr>
            <w:tcW w:w="1133" w:type="dxa"/>
          </w:tcPr>
          <w:p w14:paraId="5EA875AE" w14:textId="699A64BB" w:rsidR="001623B7" w:rsidRPr="00F7796D" w:rsidRDefault="00F81BC1" w:rsidP="00FD139A">
            <w:pPr>
              <w:pStyle w:val="Norma"/>
              <w:rPr>
                <w:rFonts w:cs="Arial"/>
              </w:rPr>
            </w:pPr>
            <w:r>
              <w:rPr>
                <w:rFonts w:cs="Arial"/>
              </w:rPr>
              <w:t>1</w:t>
            </w:r>
          </w:p>
        </w:tc>
        <w:tc>
          <w:tcPr>
            <w:tcW w:w="5638" w:type="dxa"/>
            <w:shd w:val="clear" w:color="auto" w:fill="auto"/>
          </w:tcPr>
          <w:p w14:paraId="5EA875AF" w14:textId="644AFD13" w:rsidR="001623B7" w:rsidRPr="00F7796D" w:rsidRDefault="00F81BC1" w:rsidP="00FD139A">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FD139A">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FD139A">
            <w:pPr>
              <w:pStyle w:val="Norma"/>
              <w:rPr>
                <w:rFonts w:cs="Arial"/>
              </w:rPr>
            </w:pPr>
            <w:r>
              <w:rPr>
                <w:rFonts w:cs="Arial"/>
              </w:rPr>
              <w:t>2</w:t>
            </w:r>
          </w:p>
        </w:tc>
        <w:tc>
          <w:tcPr>
            <w:tcW w:w="5638" w:type="dxa"/>
            <w:shd w:val="clear" w:color="auto" w:fill="auto"/>
          </w:tcPr>
          <w:p w14:paraId="5EA875B3" w14:textId="382A88F7" w:rsidR="001623B7" w:rsidRPr="00F7796D" w:rsidRDefault="00F81BC1" w:rsidP="00FD139A">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2A5F7840" w:rsidR="001623B7" w:rsidRPr="00F7796D" w:rsidRDefault="001A33AF" w:rsidP="00FD139A">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FD139A">
            <w:pPr>
              <w:pStyle w:val="Norma"/>
              <w:rPr>
                <w:rFonts w:cs="Arial"/>
              </w:rPr>
            </w:pPr>
            <w:r>
              <w:rPr>
                <w:rFonts w:cs="Arial"/>
              </w:rPr>
              <w:t>3</w:t>
            </w:r>
          </w:p>
        </w:tc>
        <w:tc>
          <w:tcPr>
            <w:tcW w:w="5638" w:type="dxa"/>
            <w:shd w:val="clear" w:color="auto" w:fill="auto"/>
          </w:tcPr>
          <w:p w14:paraId="5EA875B7" w14:textId="2D79AC43" w:rsidR="001623B7" w:rsidRPr="00F7796D" w:rsidRDefault="00F81BC1" w:rsidP="00FD139A">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4C54351D" w:rsidR="001623B7" w:rsidRPr="00F7796D" w:rsidRDefault="009A4FD7" w:rsidP="00FD139A">
            <w:pPr>
              <w:pStyle w:val="Norma"/>
              <w:rPr>
                <w:rFonts w:cs="Arial"/>
              </w:rPr>
            </w:pPr>
            <w:r>
              <w:rPr>
                <w:rFonts w:cs="Arial"/>
              </w:rPr>
              <w:t>5</w:t>
            </w:r>
            <w:r w:rsidR="00DE76AF">
              <w:rPr>
                <w:rFonts w:cs="Arial"/>
              </w:rPr>
              <w:t>%</w:t>
            </w:r>
          </w:p>
        </w:tc>
      </w:tr>
      <w:tr w:rsidR="001623B7" w:rsidRPr="00C6546D" w14:paraId="5EA875BD" w14:textId="77777777" w:rsidTr="00FF4DBE">
        <w:tc>
          <w:tcPr>
            <w:tcW w:w="1133" w:type="dxa"/>
          </w:tcPr>
          <w:p w14:paraId="5EA875BA" w14:textId="3E205DAC" w:rsidR="001623B7" w:rsidRPr="00F7796D" w:rsidRDefault="00F81BC1" w:rsidP="00FD139A">
            <w:pPr>
              <w:pStyle w:val="Norma"/>
              <w:rPr>
                <w:rFonts w:cs="Arial"/>
              </w:rPr>
            </w:pPr>
            <w:r>
              <w:rPr>
                <w:rFonts w:cs="Arial"/>
              </w:rPr>
              <w:t>4</w:t>
            </w:r>
          </w:p>
        </w:tc>
        <w:tc>
          <w:tcPr>
            <w:tcW w:w="5638" w:type="dxa"/>
            <w:shd w:val="clear" w:color="auto" w:fill="auto"/>
          </w:tcPr>
          <w:p w14:paraId="5EA875BB" w14:textId="676381F9" w:rsidR="001623B7" w:rsidRPr="00F7796D" w:rsidRDefault="00F81BC1" w:rsidP="00FD139A">
            <w:pPr>
              <w:pStyle w:val="Norma"/>
              <w:rPr>
                <w:rFonts w:cs="Arial"/>
              </w:rPr>
            </w:pPr>
            <w:r w:rsidRPr="00334AEE">
              <w:rPr>
                <w:rFonts w:ascii="Calibri" w:hAnsi="Calibri"/>
                <w:b/>
              </w:rPr>
              <w:t>MANAGEMENT STRUCTURE</w:t>
            </w:r>
          </w:p>
        </w:tc>
        <w:tc>
          <w:tcPr>
            <w:tcW w:w="2693" w:type="dxa"/>
            <w:shd w:val="clear" w:color="auto" w:fill="auto"/>
          </w:tcPr>
          <w:p w14:paraId="5EA875BC" w14:textId="1DF674DF" w:rsidR="001623B7" w:rsidRPr="00F7796D" w:rsidRDefault="00986539" w:rsidP="00FD139A">
            <w:pPr>
              <w:pStyle w:val="Norma"/>
              <w:rPr>
                <w:rFonts w:cs="Arial"/>
              </w:rPr>
            </w:pPr>
            <w:r>
              <w:rPr>
                <w:rFonts w:cs="Arial"/>
              </w:rPr>
              <w:t>5</w:t>
            </w:r>
            <w:r w:rsidR="00DE76AF">
              <w:rPr>
                <w:rFonts w:cs="Arial"/>
              </w:rPr>
              <w:t>%</w:t>
            </w:r>
          </w:p>
        </w:tc>
      </w:tr>
      <w:tr w:rsidR="001623B7" w:rsidRPr="00C6546D" w14:paraId="5EA875C1" w14:textId="77777777" w:rsidTr="00FF4DBE">
        <w:tc>
          <w:tcPr>
            <w:tcW w:w="1133" w:type="dxa"/>
          </w:tcPr>
          <w:p w14:paraId="5EA875BE" w14:textId="7AB65F34" w:rsidR="001623B7" w:rsidRPr="00F7796D" w:rsidRDefault="00F81BC1" w:rsidP="00FD139A">
            <w:pPr>
              <w:pStyle w:val="Norma"/>
              <w:rPr>
                <w:rFonts w:cs="Arial"/>
              </w:rPr>
            </w:pPr>
            <w:r>
              <w:rPr>
                <w:rFonts w:cs="Arial"/>
              </w:rPr>
              <w:t>5</w:t>
            </w:r>
          </w:p>
        </w:tc>
        <w:tc>
          <w:tcPr>
            <w:tcW w:w="5638" w:type="dxa"/>
            <w:shd w:val="clear" w:color="auto" w:fill="auto"/>
          </w:tcPr>
          <w:p w14:paraId="5EA875BF" w14:textId="14D3D04F" w:rsidR="001623B7" w:rsidRPr="00F7796D" w:rsidRDefault="00F81BC1" w:rsidP="00FD139A">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2055CEF3" w:rsidR="001623B7" w:rsidRPr="00F7796D" w:rsidRDefault="009A4FD7" w:rsidP="00FD139A">
            <w:pPr>
              <w:pStyle w:val="Norma"/>
              <w:rPr>
                <w:rFonts w:cs="Arial"/>
              </w:rPr>
            </w:pPr>
            <w:r>
              <w:rPr>
                <w:rFonts w:cs="Arial"/>
              </w:rPr>
              <w:t>20</w:t>
            </w:r>
            <w:r w:rsidR="00DE76AF">
              <w:rPr>
                <w:rFonts w:cs="Arial"/>
              </w:rPr>
              <w:t>%</w:t>
            </w:r>
          </w:p>
        </w:tc>
      </w:tr>
      <w:tr w:rsidR="001623B7" w:rsidRPr="00C6546D" w14:paraId="5EA875C5" w14:textId="77777777" w:rsidTr="00FF4DBE">
        <w:tc>
          <w:tcPr>
            <w:tcW w:w="1133" w:type="dxa"/>
          </w:tcPr>
          <w:p w14:paraId="5EA875C2" w14:textId="416F5849" w:rsidR="001623B7" w:rsidRPr="00F7796D" w:rsidRDefault="00F81BC1" w:rsidP="00FD139A">
            <w:pPr>
              <w:pStyle w:val="Norma"/>
              <w:rPr>
                <w:rFonts w:cs="Arial"/>
              </w:rPr>
            </w:pPr>
            <w:r>
              <w:rPr>
                <w:rFonts w:cs="Arial"/>
              </w:rPr>
              <w:t>6</w:t>
            </w:r>
          </w:p>
        </w:tc>
        <w:tc>
          <w:tcPr>
            <w:tcW w:w="5638" w:type="dxa"/>
            <w:shd w:val="clear" w:color="auto" w:fill="auto"/>
          </w:tcPr>
          <w:p w14:paraId="5EA875C3" w14:textId="12CBC04C" w:rsidR="001623B7" w:rsidRPr="00F7796D" w:rsidRDefault="00F81BC1" w:rsidP="00FD139A">
            <w:pPr>
              <w:pStyle w:val="Norma"/>
              <w:rPr>
                <w:rFonts w:cs="Arial"/>
              </w:rPr>
            </w:pPr>
            <w:r w:rsidRPr="00334AEE">
              <w:rPr>
                <w:rFonts w:ascii="Calibri" w:hAnsi="Calibri"/>
                <w:b/>
              </w:rPr>
              <w:t>METHOD, ABILITY AND TECHNICAL CAPACITY</w:t>
            </w:r>
            <w:r w:rsidR="001A33AF">
              <w:rPr>
                <w:rFonts w:ascii="Calibri" w:hAnsi="Calibri"/>
                <w:b/>
              </w:rPr>
              <w:t xml:space="preserve"> </w:t>
            </w:r>
          </w:p>
        </w:tc>
        <w:tc>
          <w:tcPr>
            <w:tcW w:w="2693" w:type="dxa"/>
            <w:shd w:val="clear" w:color="auto" w:fill="auto"/>
          </w:tcPr>
          <w:p w14:paraId="5EA875C4" w14:textId="202FB0F7" w:rsidR="001623B7" w:rsidRPr="00F7796D" w:rsidRDefault="001A33AF" w:rsidP="00FD139A">
            <w:pPr>
              <w:pStyle w:val="Norma"/>
              <w:rPr>
                <w:rFonts w:cs="Arial"/>
              </w:rPr>
            </w:pPr>
            <w:r>
              <w:rPr>
                <w:rFonts w:cs="Arial"/>
              </w:rPr>
              <w:t>2</w:t>
            </w:r>
            <w:r w:rsidR="00986539">
              <w:rPr>
                <w:rFonts w:cs="Arial"/>
              </w:rPr>
              <w:t>5</w:t>
            </w:r>
            <w:r w:rsidR="00DE76AF">
              <w:rPr>
                <w:rFonts w:cs="Arial"/>
              </w:rPr>
              <w:t>%</w:t>
            </w:r>
          </w:p>
        </w:tc>
      </w:tr>
      <w:tr w:rsidR="001623B7" w:rsidRPr="00C6546D" w14:paraId="5EA875C9" w14:textId="77777777" w:rsidTr="00FF4DBE">
        <w:tc>
          <w:tcPr>
            <w:tcW w:w="1133" w:type="dxa"/>
          </w:tcPr>
          <w:p w14:paraId="5EA875C6" w14:textId="679AAEE0" w:rsidR="001623B7" w:rsidRPr="00F7796D" w:rsidRDefault="00F81BC1" w:rsidP="00FD139A">
            <w:pPr>
              <w:pStyle w:val="Norma"/>
              <w:rPr>
                <w:rFonts w:cs="Arial"/>
              </w:rPr>
            </w:pPr>
            <w:r>
              <w:rPr>
                <w:rFonts w:cs="Arial"/>
              </w:rPr>
              <w:t>7</w:t>
            </w:r>
          </w:p>
        </w:tc>
        <w:tc>
          <w:tcPr>
            <w:tcW w:w="5638" w:type="dxa"/>
            <w:shd w:val="clear" w:color="auto" w:fill="auto"/>
          </w:tcPr>
          <w:p w14:paraId="5EA875C7" w14:textId="7433D552" w:rsidR="001623B7" w:rsidRPr="00F7796D" w:rsidRDefault="00F81BC1" w:rsidP="00FD139A">
            <w:pPr>
              <w:pStyle w:val="Norma"/>
              <w:rPr>
                <w:rFonts w:cs="Arial"/>
              </w:rPr>
            </w:pPr>
            <w:r w:rsidRPr="00334AEE">
              <w:rPr>
                <w:rFonts w:ascii="Calibri" w:hAnsi="Calibri"/>
                <w:b/>
              </w:rPr>
              <w:t>UNDERSTANDING OF REQUIREMENTS</w:t>
            </w:r>
          </w:p>
        </w:tc>
        <w:tc>
          <w:tcPr>
            <w:tcW w:w="2693" w:type="dxa"/>
            <w:shd w:val="clear" w:color="auto" w:fill="auto"/>
          </w:tcPr>
          <w:p w14:paraId="5EA875C8" w14:textId="4784C38B" w:rsidR="001623B7" w:rsidRPr="00F7796D" w:rsidRDefault="00986539" w:rsidP="00FD139A">
            <w:pPr>
              <w:pStyle w:val="Norma"/>
              <w:rPr>
                <w:rFonts w:cs="Arial"/>
              </w:rPr>
            </w:pPr>
            <w:r>
              <w:rPr>
                <w:rFonts w:cs="Arial"/>
              </w:rPr>
              <w:t>10</w:t>
            </w:r>
            <w:r w:rsidR="00DE76AF">
              <w:rPr>
                <w:rFonts w:cs="Arial"/>
              </w:rPr>
              <w:t>%</w:t>
            </w:r>
          </w:p>
        </w:tc>
      </w:tr>
      <w:tr w:rsidR="00F81BC1" w:rsidRPr="00C6546D" w14:paraId="2E6C8FB4" w14:textId="77777777" w:rsidTr="00FF4DBE">
        <w:tc>
          <w:tcPr>
            <w:tcW w:w="1133" w:type="dxa"/>
          </w:tcPr>
          <w:p w14:paraId="1E560CCE" w14:textId="3433B6B8" w:rsidR="00F81BC1" w:rsidRPr="00F7796D" w:rsidRDefault="00F81BC1" w:rsidP="00FD139A">
            <w:pPr>
              <w:pStyle w:val="Norma"/>
              <w:rPr>
                <w:rFonts w:cs="Arial"/>
              </w:rPr>
            </w:pPr>
            <w:r>
              <w:rPr>
                <w:rFonts w:cs="Arial"/>
              </w:rPr>
              <w:t>8</w:t>
            </w:r>
          </w:p>
        </w:tc>
        <w:tc>
          <w:tcPr>
            <w:tcW w:w="5638" w:type="dxa"/>
            <w:shd w:val="clear" w:color="auto" w:fill="auto"/>
          </w:tcPr>
          <w:p w14:paraId="66360B15" w14:textId="1E9C66FF" w:rsidR="00F81BC1" w:rsidRPr="00F7796D" w:rsidRDefault="00F81BC1" w:rsidP="00FD139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365315D5" w:rsidR="00F81BC1" w:rsidRPr="00F7796D" w:rsidRDefault="007E0533" w:rsidP="00FD139A">
            <w:pPr>
              <w:pStyle w:val="Norma"/>
              <w:rPr>
                <w:rFonts w:cs="Arial"/>
              </w:rPr>
            </w:pPr>
            <w:r>
              <w:rPr>
                <w:rFonts w:cs="Arial"/>
              </w:rPr>
              <w:t>10</w:t>
            </w:r>
            <w:r w:rsidR="00DE76AF">
              <w:rPr>
                <w:rFonts w:cs="Arial"/>
              </w:rPr>
              <w:t>%</w:t>
            </w:r>
          </w:p>
        </w:tc>
      </w:tr>
      <w:tr w:rsidR="00F81BC1" w:rsidRPr="00C6546D" w14:paraId="1D5C5230" w14:textId="77777777" w:rsidTr="00FF4DBE">
        <w:tc>
          <w:tcPr>
            <w:tcW w:w="1133" w:type="dxa"/>
          </w:tcPr>
          <w:p w14:paraId="2768895F" w14:textId="77777777" w:rsidR="00F81BC1" w:rsidRPr="00F7796D" w:rsidRDefault="00F81BC1" w:rsidP="00FD139A">
            <w:pPr>
              <w:pStyle w:val="Norma"/>
              <w:rPr>
                <w:rFonts w:cs="Arial"/>
              </w:rPr>
            </w:pPr>
          </w:p>
        </w:tc>
        <w:tc>
          <w:tcPr>
            <w:tcW w:w="5638" w:type="dxa"/>
            <w:shd w:val="clear" w:color="auto" w:fill="auto"/>
          </w:tcPr>
          <w:p w14:paraId="706ACC83" w14:textId="77777777" w:rsidR="00F81BC1" w:rsidRPr="00F7796D" w:rsidRDefault="00F81BC1" w:rsidP="00FD139A">
            <w:pPr>
              <w:pStyle w:val="Norma"/>
              <w:rPr>
                <w:rFonts w:cs="Arial"/>
              </w:rPr>
            </w:pPr>
          </w:p>
        </w:tc>
        <w:tc>
          <w:tcPr>
            <w:tcW w:w="2693" w:type="dxa"/>
            <w:shd w:val="clear" w:color="auto" w:fill="auto"/>
          </w:tcPr>
          <w:p w14:paraId="4C34B6F9" w14:textId="77777777" w:rsidR="00F81BC1" w:rsidRPr="00F7796D" w:rsidRDefault="00F81BC1" w:rsidP="00FD139A">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FD139A">
            <w:pPr>
              <w:pStyle w:val="Norma"/>
              <w:rPr>
                <w:rFonts w:cs="Arial"/>
              </w:rPr>
            </w:pPr>
          </w:p>
        </w:tc>
        <w:tc>
          <w:tcPr>
            <w:tcW w:w="2693" w:type="dxa"/>
            <w:shd w:val="clear" w:color="auto" w:fill="auto"/>
          </w:tcPr>
          <w:p w14:paraId="5EA875CB" w14:textId="77777777" w:rsidR="001623B7" w:rsidRPr="00F7796D" w:rsidRDefault="001623B7" w:rsidP="00FD139A">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lastRenderedPageBreak/>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8" w:name="nine01"/>
      <w:bookmarkEnd w:id="68"/>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467DEF06"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w:t>
      </w:r>
      <w:r w:rsidR="000239BD" w:rsidRPr="009808A3">
        <w:rPr>
          <w:rFonts w:cs="Arial"/>
          <w:color w:val="000000" w:themeColor="text1"/>
          <w:szCs w:val="24"/>
        </w:rPr>
        <w:t>2</w:t>
      </w:r>
      <w:r w:rsidR="00A56686" w:rsidRPr="009808A3">
        <w:rPr>
          <w:rFonts w:cs="Arial"/>
          <w:color w:val="000000" w:themeColor="text1"/>
          <w:szCs w:val="24"/>
        </w:rPr>
        <w:t>2</w:t>
      </w:r>
      <w:r w:rsidR="00A56686" w:rsidRPr="009808A3">
        <w:rPr>
          <w:rFonts w:cs="Arial"/>
          <w:color w:val="000000" w:themeColor="text1"/>
          <w:szCs w:val="24"/>
          <w:vertAlign w:val="superscript"/>
        </w:rPr>
        <w:t>nd</w:t>
      </w:r>
      <w:r w:rsidR="001A33AF" w:rsidRPr="009808A3">
        <w:rPr>
          <w:rFonts w:cs="Arial"/>
          <w:color w:val="000000" w:themeColor="text1"/>
          <w:szCs w:val="24"/>
        </w:rPr>
        <w:t xml:space="preserve"> </w:t>
      </w:r>
      <w:r w:rsidR="00A56686" w:rsidRPr="009808A3">
        <w:rPr>
          <w:rFonts w:cs="Arial"/>
          <w:color w:val="000000" w:themeColor="text1"/>
          <w:szCs w:val="24"/>
        </w:rPr>
        <w:t>January</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9"/>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6"/>
      <w:headerReference w:type="first" r:id="rId17"/>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27E81" w16cid:durableId="1D987DA6"/>
  <w16cid:commentId w16cid:paraId="44BA9B39" w16cid:durableId="1D987E08"/>
  <w16cid:commentId w16cid:paraId="4E599232" w16cid:durableId="1D9887E2"/>
  <w16cid:commentId w16cid:paraId="658639AC" w16cid:durableId="1D98820F"/>
  <w16cid:commentId w16cid:paraId="3BDB46BB" w16cid:durableId="1D988124"/>
  <w16cid:commentId w16cid:paraId="28943360" w16cid:durableId="1D9882F7"/>
  <w16cid:commentId w16cid:paraId="041B7EED" w16cid:durableId="1D9883E1"/>
  <w16cid:commentId w16cid:paraId="211191DA" w16cid:durableId="1D988431"/>
  <w16cid:commentId w16cid:paraId="7869A5DD" w16cid:durableId="1D988454"/>
  <w16cid:commentId w16cid:paraId="4AD34637" w16cid:durableId="1D98848F"/>
  <w16cid:commentId w16cid:paraId="7941AFA0" w16cid:durableId="1D9885CB"/>
  <w16cid:commentId w16cid:paraId="7ED4E8BB" w16cid:durableId="1D9884DF"/>
  <w16cid:commentId w16cid:paraId="132D63BB" w16cid:durableId="1D988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FD139A" w:rsidRDefault="00FD139A" w:rsidP="00EB43D8">
      <w:pPr>
        <w:pStyle w:val="Norma"/>
      </w:pPr>
      <w:r>
        <w:separator/>
      </w:r>
    </w:p>
  </w:endnote>
  <w:endnote w:type="continuationSeparator" w:id="0">
    <w:p w14:paraId="5EA8762F" w14:textId="77777777" w:rsidR="00FD139A" w:rsidRDefault="00FD139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D139A" w:rsidRDefault="00FD139A" w:rsidP="00602CDD">
    <w:pPr>
      <w:pStyle w:val="Footer"/>
      <w:pBdr>
        <w:top w:val="single" w:sz="4" w:space="1" w:color="D9D9D9"/>
      </w:pBdr>
      <w:jc w:val="right"/>
    </w:pPr>
    <w:r>
      <w:fldChar w:fldCharType="begin"/>
    </w:r>
    <w:r>
      <w:instrText xml:space="preserve"> PAGE   \* MERGEFORMAT </w:instrText>
    </w:r>
    <w:r>
      <w:fldChar w:fldCharType="separate"/>
    </w:r>
    <w:r w:rsidR="001100D6">
      <w:rPr>
        <w:noProof/>
      </w:rPr>
      <w:t>2</w:t>
    </w:r>
    <w:r>
      <w:rPr>
        <w:noProof/>
      </w:rPr>
      <w:fldChar w:fldCharType="end"/>
    </w:r>
    <w:r>
      <w:t xml:space="preserve"> | </w:t>
    </w:r>
    <w:r w:rsidRPr="00602CDD">
      <w:rPr>
        <w:color w:val="808080"/>
        <w:spacing w:val="60"/>
      </w:rPr>
      <w:t>Page</w:t>
    </w:r>
  </w:p>
  <w:p w14:paraId="5EA87631" w14:textId="77777777" w:rsidR="00FD139A" w:rsidRDefault="00FD139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FD139A" w:rsidRDefault="00FD139A" w:rsidP="00EB43D8">
      <w:pPr>
        <w:pStyle w:val="Norma"/>
      </w:pPr>
      <w:r>
        <w:separator/>
      </w:r>
    </w:p>
  </w:footnote>
  <w:footnote w:type="continuationSeparator" w:id="0">
    <w:p w14:paraId="5EA8762D" w14:textId="77777777" w:rsidR="00FD139A" w:rsidRDefault="00FD139A" w:rsidP="00EB43D8">
      <w:pPr>
        <w:pStyle w:val="Norma"/>
      </w:pPr>
      <w:r>
        <w:continuationSeparator/>
      </w:r>
    </w:p>
  </w:footnote>
  <w:footnote w:id="1">
    <w:p w14:paraId="6CB5042F" w14:textId="77777777" w:rsidR="00115570" w:rsidRDefault="00115570" w:rsidP="00115570">
      <w:pPr>
        <w:pStyle w:val="FootnoteText"/>
      </w:pPr>
      <w:r>
        <w:rPr>
          <w:rStyle w:val="FootnoteReference"/>
        </w:rPr>
        <w:footnoteRef/>
      </w:r>
      <w:r>
        <w:t xml:space="preserve"> It would be useful to map the project impact against the climate risks set out in the UK Climate Change Risk Assessment. See </w:t>
      </w:r>
      <w:hyperlink r:id="rId1" w:history="1">
        <w:r w:rsidRPr="000141AC">
          <w:rPr>
            <w:rStyle w:val="Hyperlink"/>
          </w:rPr>
          <w:t>https://www.theccc.org.uk/tackling-climate-change/preparing-for-climate-change/uk-climate-change-risk-assessment-2017/</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D139A" w:rsidRDefault="00FD139A"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82"/>
    <w:multiLevelType w:val="hybridMultilevel"/>
    <w:tmpl w:val="8DA47598"/>
    <w:lvl w:ilvl="0" w:tplc="05E216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B619E"/>
    <w:multiLevelType w:val="hybridMultilevel"/>
    <w:tmpl w:val="7BE8D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5D0327"/>
    <w:multiLevelType w:val="hybridMultilevel"/>
    <w:tmpl w:val="B194F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22"/>
  </w:num>
  <w:num w:numId="5">
    <w:abstractNumId w:val="1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15"/>
  </w:num>
  <w:num w:numId="10">
    <w:abstractNumId w:val="4"/>
  </w:num>
  <w:num w:numId="11">
    <w:abstractNumId w:val="17"/>
  </w:num>
  <w:num w:numId="12">
    <w:abstractNumId w:val="19"/>
  </w:num>
  <w:num w:numId="13">
    <w:abstractNumId w:val="21"/>
  </w:num>
  <w:num w:numId="14">
    <w:abstractNumId w:val="2"/>
  </w:num>
  <w:num w:numId="15">
    <w:abstractNumId w:val="13"/>
  </w:num>
  <w:num w:numId="16">
    <w:abstractNumId w:val="8"/>
  </w:num>
  <w:num w:numId="17">
    <w:abstractNumId w:val="1"/>
  </w:num>
  <w:num w:numId="18">
    <w:abstractNumId w:val="20"/>
  </w:num>
  <w:num w:numId="19">
    <w:abstractNumId w:val="0"/>
  </w:num>
  <w:num w:numId="20">
    <w:abstractNumId w:val="3"/>
  </w:num>
  <w:num w:numId="21">
    <w:abstractNumId w:val="10"/>
  </w:num>
  <w:num w:numId="22">
    <w:abstractNumId w:val="5"/>
  </w:num>
  <w:num w:numId="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8601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30381"/>
    <w:rsid w:val="00030A13"/>
    <w:rsid w:val="00031104"/>
    <w:rsid w:val="00031ABF"/>
    <w:rsid w:val="00034286"/>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0D6"/>
    <w:rsid w:val="0011055B"/>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E2F"/>
    <w:rsid w:val="00167EA2"/>
    <w:rsid w:val="00170B81"/>
    <w:rsid w:val="00172803"/>
    <w:rsid w:val="00172956"/>
    <w:rsid w:val="00172A29"/>
    <w:rsid w:val="00174855"/>
    <w:rsid w:val="00176556"/>
    <w:rsid w:val="00177003"/>
    <w:rsid w:val="0018093D"/>
    <w:rsid w:val="00180A58"/>
    <w:rsid w:val="00182296"/>
    <w:rsid w:val="001825DA"/>
    <w:rsid w:val="00183D41"/>
    <w:rsid w:val="00183E6B"/>
    <w:rsid w:val="00186D9B"/>
    <w:rsid w:val="00187A2E"/>
    <w:rsid w:val="0019065C"/>
    <w:rsid w:val="001911B4"/>
    <w:rsid w:val="001914C9"/>
    <w:rsid w:val="00192A40"/>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7FA"/>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BAD"/>
    <w:rsid w:val="003075E1"/>
    <w:rsid w:val="003100B6"/>
    <w:rsid w:val="003110E9"/>
    <w:rsid w:val="00312155"/>
    <w:rsid w:val="00314744"/>
    <w:rsid w:val="0031585F"/>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6534"/>
    <w:rsid w:val="003E6A7A"/>
    <w:rsid w:val="003F0792"/>
    <w:rsid w:val="003F0A2B"/>
    <w:rsid w:val="003F1149"/>
    <w:rsid w:val="003F11DD"/>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2B75"/>
    <w:rsid w:val="004A4B3D"/>
    <w:rsid w:val="004A4CDB"/>
    <w:rsid w:val="004A5C1C"/>
    <w:rsid w:val="004B0C5B"/>
    <w:rsid w:val="004B11F8"/>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6E4"/>
    <w:rsid w:val="0050136D"/>
    <w:rsid w:val="005015C6"/>
    <w:rsid w:val="00501946"/>
    <w:rsid w:val="0050316D"/>
    <w:rsid w:val="00503679"/>
    <w:rsid w:val="00503CF7"/>
    <w:rsid w:val="0050409E"/>
    <w:rsid w:val="00504A30"/>
    <w:rsid w:val="005062F1"/>
    <w:rsid w:val="00506C08"/>
    <w:rsid w:val="005107B1"/>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51A"/>
    <w:rsid w:val="006A5B86"/>
    <w:rsid w:val="006A5EB2"/>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4B33"/>
    <w:rsid w:val="00875202"/>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B65"/>
    <w:rsid w:val="008B335D"/>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68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18E"/>
    <w:rsid w:val="00CF7A4A"/>
    <w:rsid w:val="00D019FF"/>
    <w:rsid w:val="00D01DBB"/>
    <w:rsid w:val="00D040DD"/>
    <w:rsid w:val="00D05A56"/>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11BA"/>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k-climate-change-risk-assessment-20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cc.org.uk/tackling-climate-change/preparing-for-climate-change/uk-climate-change-risk-assessment-201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theccc.org.uk/publication/2017-report-to-parliament-progress-in-preparing-for-climate-change/"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theccc.org.uk/wp-content/uploads/2015/06/6.736_CCC_ASC_Adaptation-Progress-Report_2015_FINAL_WEB_070715_RF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tackling-climate-change/preparing-for-climate-change/uk-climate-change-risk-assessment-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sharepoint/v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F22CD-B79D-482B-9F7A-13C762A8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cp:lastModifiedBy>
  <cp:revision>2</cp:revision>
  <cp:lastPrinted>2015-02-09T14:25:00Z</cp:lastPrinted>
  <dcterms:created xsi:type="dcterms:W3CDTF">2017-12-21T11:07:00Z</dcterms:created>
  <dcterms:modified xsi:type="dcterms:W3CDTF">2017-12-21T11:07:00Z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