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left="2" w:firstLine="0"/>
        <w:rPr>
          <w:color w:val="000000"/>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-614044</wp:posOffset>
            </wp:positionH>
            <wp:positionV relativeFrom="paragraph">
              <wp:posOffset>-455294</wp:posOffset>
            </wp:positionV>
            <wp:extent cx="6750050" cy="2214880"/>
            <wp:effectExtent b="0" l="0" r="0" t="0"/>
            <wp:wrapTopAndBottom distB="0" distT="0"/>
            <wp:docPr descr="C:\Users\richard.attwood\AppData\Local\Microsoft\Windows\INetCache\Content.MSO\8DD461F2.tmp" id="3" name="image1.png"/>
            <a:graphic>
              <a:graphicData uri="http://schemas.openxmlformats.org/drawingml/2006/picture">
                <pic:pic>
                  <pic:nvPicPr>
                    <pic:cNvPr descr="C:\Users\richard.attwood\AppData\Local\Microsoft\Windows\INetCache\Content.MSO\8DD461F2.tmp" id="0" name="image1.png"/>
                    <pic:cNvPicPr preferRelativeResize="0"/>
                  </pic:nvPicPr>
                  <pic:blipFill>
                    <a:blip r:embed="rId7"/>
                    <a:srcRect b="0" l="0" r="0" t="0"/>
                    <a:stretch>
                      <a:fillRect/>
                    </a:stretch>
                  </pic:blipFill>
                  <pic:spPr>
                    <a:xfrm>
                      <a:off x="0" y="0"/>
                      <a:ext cx="6750050" cy="2214880"/>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63" w:lineRule="auto"/>
        <w:ind w:left="7" w:firstLine="0"/>
        <w:jc w:val="center"/>
        <w:rPr>
          <w:b w:val="1"/>
          <w:color w:val="000000"/>
          <w:sz w:val="24"/>
          <w:szCs w:val="24"/>
          <w:u w:val="single"/>
        </w:rPr>
      </w:pPr>
      <w:r w:rsidDel="00000000" w:rsidR="00000000" w:rsidRPr="00000000">
        <w:rPr>
          <w:rtl w:val="0"/>
        </w:rPr>
      </w:r>
    </w:p>
    <w:p w:rsidR="00000000" w:rsidDel="00000000" w:rsidP="00000000" w:rsidRDefault="00000000" w:rsidRPr="00000000" w14:paraId="00000003">
      <w:pPr>
        <w:pStyle w:val="Heading1"/>
        <w:rPr>
          <w:sz w:val="36"/>
          <w:szCs w:val="36"/>
        </w:rPr>
      </w:pPr>
      <w:r w:rsidDel="00000000" w:rsidR="00000000" w:rsidRPr="00000000">
        <w:rPr>
          <w:sz w:val="36"/>
          <w:szCs w:val="36"/>
          <w:rtl w:val="0"/>
        </w:rPr>
        <w:t xml:space="preserve">SGG G157 Attachment 5 – Financial Viability Risk Assessment Instructions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tbl>
      <w:tblPr>
        <w:tblStyle w:val="Table1"/>
        <w:tblW w:w="7513.0" w:type="dxa"/>
        <w:jc w:val="center"/>
        <w:tblLayout w:type="fixed"/>
        <w:tblLook w:val="0000"/>
      </w:tblPr>
      <w:tblGrid>
        <w:gridCol w:w="2552"/>
        <w:gridCol w:w="1951"/>
        <w:gridCol w:w="3010"/>
        <w:tblGridChange w:id="0">
          <w:tblGrid>
            <w:gridCol w:w="2552"/>
            <w:gridCol w:w="1951"/>
            <w:gridCol w:w="3010"/>
          </w:tblGrid>
        </w:tblGridChange>
      </w:tblGrid>
      <w:tr>
        <w:trPr>
          <w:cantSplit w:val="0"/>
          <w:trHeight w:val="430" w:hRule="atLeast"/>
          <w:tblHeader w:val="0"/>
        </w:trPr>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6">
            <w:pPr>
              <w:spacing w:before="240" w:lineRule="auto"/>
              <w:jc w:val="center"/>
              <w:rPr/>
            </w:pPr>
            <w:r w:rsidDel="00000000" w:rsidR="00000000" w:rsidRPr="00000000">
              <w:rPr>
                <w:b w:val="1"/>
                <w:color w:val="000000"/>
                <w:rtl w:val="0"/>
              </w:rPr>
              <w:t xml:space="preserve">Version / Update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7">
            <w:pPr>
              <w:spacing w:before="240" w:lineRule="auto"/>
              <w:jc w:val="center"/>
              <w:rPr/>
            </w:pPr>
            <w:r w:rsidDel="00000000" w:rsidR="00000000" w:rsidRPr="00000000">
              <w:rPr>
                <w:b w:val="1"/>
                <w:color w:val="000000"/>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8">
            <w:pPr>
              <w:spacing w:before="240" w:lineRule="auto"/>
              <w:jc w:val="center"/>
              <w:rPr/>
            </w:pPr>
            <w:r w:rsidDel="00000000" w:rsidR="00000000" w:rsidRPr="00000000">
              <w:rPr>
                <w:b w:val="1"/>
                <w:color w:val="000000"/>
                <w:rtl w:val="0"/>
              </w:rPr>
              <w:t xml:space="preserve">Owner</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9">
            <w:pPr>
              <w:spacing w:before="240" w:lineRule="auto"/>
              <w:jc w:val="center"/>
              <w:rPr>
                <w:b w:val="1"/>
                <w:color w:val="000000"/>
              </w:rPr>
            </w:pPr>
            <w:r w:rsidDel="00000000" w:rsidR="00000000" w:rsidRPr="00000000">
              <w:rPr>
                <w:b w:val="1"/>
                <w:color w:val="000000"/>
                <w:rtl w:val="0"/>
              </w:rPr>
              <w:t xml:space="preserve">v3.0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A">
            <w:pPr>
              <w:spacing w:before="240" w:lineRule="auto"/>
              <w:jc w:val="center"/>
              <w:rPr>
                <w:b w:val="1"/>
                <w:color w:val="000000"/>
              </w:rPr>
            </w:pPr>
            <w:r w:rsidDel="00000000" w:rsidR="00000000" w:rsidRPr="00000000">
              <w:rPr>
                <w:b w:val="1"/>
                <w:color w:val="000000"/>
                <w:rtl w:val="0"/>
              </w:rPr>
              <w:t xml:space="preserve"> 06/09/2023</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B">
            <w:pPr>
              <w:spacing w:before="240" w:lineRule="auto"/>
              <w:jc w:val="center"/>
              <w:rPr>
                <w:b w:val="1"/>
                <w:color w:val="000000"/>
              </w:rPr>
            </w:pPr>
            <w:r w:rsidDel="00000000" w:rsidR="00000000" w:rsidRPr="00000000">
              <w:rPr>
                <w:b w:val="1"/>
                <w:color w:val="000000"/>
                <w:rtl w:val="0"/>
              </w:rPr>
              <w:t xml:space="preserve">Cheryl Begbie </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C">
            <w:pPr>
              <w:spacing w:before="240" w:lineRule="auto"/>
              <w:jc w:val="center"/>
              <w:rPr>
                <w:b w:val="1"/>
                <w:color w:val="000000"/>
              </w:rPr>
            </w:pPr>
            <w:r w:rsidDel="00000000" w:rsidR="00000000" w:rsidRPr="00000000">
              <w:rPr>
                <w:b w:val="1"/>
                <w:color w:val="000000"/>
                <w:rtl w:val="0"/>
              </w:rPr>
              <w:t xml:space="preserve">v4.0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D">
            <w:pPr>
              <w:spacing w:before="240" w:lineRule="auto"/>
              <w:jc w:val="center"/>
              <w:rPr>
                <w:b w:val="1"/>
                <w:color w:val="000000"/>
              </w:rPr>
            </w:pPr>
            <w:r w:rsidDel="00000000" w:rsidR="00000000" w:rsidRPr="00000000">
              <w:rPr>
                <w:b w:val="1"/>
                <w:color w:val="000000"/>
                <w:rtl w:val="0"/>
              </w:rPr>
              <w:t xml:space="preserve">17/01/2024</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E">
            <w:pPr>
              <w:spacing w:before="240" w:lineRule="auto"/>
              <w:jc w:val="center"/>
              <w:rPr>
                <w:b w:val="1"/>
                <w:color w:val="000000"/>
              </w:rPr>
            </w:pPr>
            <w:r w:rsidDel="00000000" w:rsidR="00000000" w:rsidRPr="00000000">
              <w:rPr>
                <w:b w:val="1"/>
                <w:color w:val="000000"/>
                <w:rtl w:val="0"/>
              </w:rPr>
              <w:t xml:space="preserve">Paul Ellis</w:t>
            </w:r>
          </w:p>
        </w:tc>
      </w:tr>
    </w:tbl>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10">
      <w:pPr>
        <w:pageBreakBefore w:val="1"/>
        <w:widowControl w:val="0"/>
        <w:rPr>
          <w:color w:val="000000"/>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75" w:lineRule="auto"/>
        <w:ind w:left="5" w:right="492" w:firstLine="18"/>
        <w:rPr>
          <w:color w:val="000000"/>
        </w:rPr>
      </w:pPr>
      <w:r w:rsidDel="00000000" w:rsidR="00000000" w:rsidRPr="00000000">
        <w:rPr>
          <w:color w:val="000000"/>
          <w:sz w:val="24"/>
          <w:szCs w:val="24"/>
          <w:rtl w:val="0"/>
        </w:rPr>
        <w:t xml:space="preserve">In this attachment and Attachment 5a </w:t>
      </w:r>
      <w:r w:rsidDel="00000000" w:rsidR="00000000" w:rsidRPr="00000000">
        <w:rPr>
          <w:sz w:val="24"/>
          <w:szCs w:val="24"/>
          <w:rtl w:val="0"/>
        </w:rPr>
        <w:t xml:space="preserve">RM6361 </w:t>
      </w:r>
      <w:r w:rsidDel="00000000" w:rsidR="00000000" w:rsidRPr="00000000">
        <w:rPr>
          <w:color w:val="000000"/>
          <w:sz w:val="24"/>
          <w:szCs w:val="24"/>
          <w:rtl w:val="0"/>
        </w:rPr>
        <w:t xml:space="preserve">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tbl>
      <w:tblPr>
        <w:tblStyle w:val="Table2"/>
        <w:tblW w:w="9202.0" w:type="dxa"/>
        <w:jc w:val="left"/>
        <w:tblInd w:w="105.0" w:type="dxa"/>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Meaning: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color w:val="000000"/>
              </w:rPr>
            </w:pPr>
            <w:bookmarkStart w:colFirst="0" w:colLast="0" w:name="_heading=h.3znysh7" w:id="1"/>
            <w:bookmarkEnd w:id="1"/>
            <w:hyperlink r:id="rId8">
              <w:r w:rsidDel="00000000" w:rsidR="00000000" w:rsidRPr="00000000">
                <w:rPr>
                  <w:color w:val="0563c1"/>
                  <w:sz w:val="24"/>
                  <w:szCs w:val="24"/>
                  <w:u w:val="single"/>
                  <w:rtl w:val="0"/>
                </w:rPr>
                <w:t xml:space="preserve">Assessing and Monitoring the Economic and Financial Standing of Bidders and Suppliers document </w:t>
              </w:r>
            </w:hyperlink>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color w:val="000000"/>
              </w:rPr>
            </w:pPr>
            <w:hyperlink r:id="rId9">
              <w:r w:rsidDel="00000000" w:rsidR="00000000" w:rsidRPr="00000000">
                <w:rPr>
                  <w:color w:val="0563c1"/>
                  <w:sz w:val="24"/>
                  <w:szCs w:val="24"/>
                  <w:u w:val="single"/>
                  <w:rtl w:val="0"/>
                </w:rPr>
                <w:t xml:space="preserve">The Sourcing Playbook</w:t>
              </w:r>
            </w:hyperlink>
            <w:r w:rsidDel="00000000" w:rsidR="00000000" w:rsidRPr="00000000">
              <w:rPr>
                <w:rtl w:val="0"/>
              </w:rPr>
            </w:r>
          </w:p>
        </w:tc>
      </w:tr>
    </w:tbl>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825" w:lineRule="auto"/>
        <w:rPr>
          <w:color w:val="000000"/>
          <w:sz w:val="24"/>
          <w:szCs w:val="2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825" w:lineRule="auto"/>
        <w:rPr>
          <w:b w:val="1"/>
          <w:color w:val="000000"/>
          <w:sz w:val="28"/>
          <w:szCs w:val="28"/>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825" w:lineRule="auto"/>
        <w:rPr>
          <w:color w:val="000000"/>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28" w:lineRule="auto"/>
        <w:rPr>
          <w:color w:val="000000"/>
        </w:rPr>
      </w:pPr>
      <w:r w:rsidDel="00000000" w:rsidR="00000000" w:rsidRPr="00000000">
        <w:rPr>
          <w:color w:val="000000"/>
          <w:sz w:val="24"/>
          <w:szCs w:val="24"/>
          <w:rtl w:val="0"/>
        </w:rPr>
        <w:t xml:space="preserve">CCS has adapted the Cabinet Office’s Financial Viability Risk Assessment (FVRA) Tool (version 4.3.1) as the basis to conduct a financial assessment on all Bids. The RM</w:t>
      </w:r>
      <w:r w:rsidDel="00000000" w:rsidR="00000000" w:rsidRPr="00000000">
        <w:rPr>
          <w:sz w:val="24"/>
          <w:szCs w:val="24"/>
          <w:rtl w:val="0"/>
        </w:rPr>
        <w:t xml:space="preserve">6361</w:t>
      </w:r>
      <w:r w:rsidDel="00000000" w:rsidR="00000000" w:rsidRPr="00000000">
        <w:rPr>
          <w:color w:val="000000"/>
          <w:sz w:val="24"/>
          <w:szCs w:val="24"/>
          <w:rtl w:val="0"/>
        </w:rPr>
        <w:t xml:space="preserve"> </w:t>
      </w:r>
      <w:r w:rsidDel="00000000" w:rsidR="00000000" w:rsidRPr="00000000">
        <w:rPr>
          <w:sz w:val="24"/>
          <w:szCs w:val="24"/>
          <w:rtl w:val="0"/>
        </w:rPr>
        <w:t xml:space="preserve">Multifunctional Devices (MFDs), GovPrint Hardware, Managed Print Services and Digital Workflow Software Services</w:t>
      </w:r>
      <w:r w:rsidDel="00000000" w:rsidR="00000000" w:rsidRPr="00000000">
        <w:rPr>
          <w:color w:val="000000"/>
          <w:sz w:val="24"/>
          <w:szCs w:val="24"/>
          <w:rtl w:val="0"/>
        </w:rPr>
        <w:t xml:space="preserve"> FVRA Tool is provided at Attachment 5a – Financial Viability Risk Assessment Tool and is to be completed and submitted by Bidders.  </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69" w:lineRule="auto"/>
        <w:ind w:left="23" w:right="363" w:hanging="3.0000000000000004"/>
        <w:rPr>
          <w:color w:val="000000"/>
        </w:rPr>
      </w:pPr>
      <w:r w:rsidDel="00000000" w:rsidR="00000000" w:rsidRPr="00000000">
        <w:rPr>
          <w:color w:val="000000"/>
          <w:sz w:val="24"/>
          <w:szCs w:val="24"/>
          <w:rtl w:val="0"/>
        </w:rPr>
        <w:t xml:space="preserve">If bidding</w:t>
      </w:r>
      <w:r w:rsidDel="00000000" w:rsidR="00000000" w:rsidRPr="00000000">
        <w:rPr>
          <w:color w:val="000000"/>
          <w:sz w:val="20"/>
          <w:szCs w:val="20"/>
          <w:highlight w:val="white"/>
          <w:rtl w:val="0"/>
        </w:rPr>
        <w:t xml:space="preserve"> </w:t>
      </w:r>
      <w:r w:rsidDel="00000000" w:rsidR="00000000" w:rsidRPr="00000000">
        <w:rPr>
          <w:color w:val="000000"/>
          <w:sz w:val="24"/>
          <w:szCs w:val="24"/>
          <w:rtl w:val="0"/>
        </w:rPr>
        <w:t xml:space="preserve">in a consortium, each consortium member must complete and submit their own Attachment 5a – Financial Viability Risk Assessment Tool.</w:t>
      </w: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468" w:lineRule="auto"/>
        <w:ind w:right="336"/>
        <w:rPr>
          <w:color w:val="000000"/>
          <w:sz w:val="24"/>
          <w:szCs w:val="24"/>
        </w:rPr>
      </w:pPr>
      <w:bookmarkStart w:colFirst="0" w:colLast="0" w:name="_heading=h.30j0zll" w:id="2"/>
      <w:bookmarkEnd w:id="2"/>
      <w:r w:rsidDel="00000000" w:rsidR="00000000" w:rsidRPr="00000000">
        <w:rPr>
          <w:color w:val="000000"/>
          <w:sz w:val="24"/>
          <w:szCs w:val="24"/>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June 2023 Guidance Note </w:t>
      </w:r>
      <w:hyperlink r:id="rId10">
        <w:r w:rsidDel="00000000" w:rsidR="00000000" w:rsidRPr="00000000">
          <w:rPr>
            <w:color w:val="0563c1"/>
            <w:sz w:val="24"/>
            <w:szCs w:val="24"/>
            <w:u w:val="single"/>
            <w:rtl w:val="0"/>
          </w:rPr>
          <w:t xml:space="preserve">‘Assessing and Monitoring the Economic and Financial Standing of Bidders and Suppliers’</w:t>
        </w:r>
      </w:hyperlink>
      <w:r w:rsidDel="00000000" w:rsidR="00000000" w:rsidRPr="00000000">
        <w:rPr>
          <w:color w:val="000000"/>
          <w:sz w:val="24"/>
          <w:szCs w:val="24"/>
          <w:rtl w:val="0"/>
        </w:rPr>
        <w:t xml:space="preserve"> (hereafter referred to as ‘The Guidance Note’).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9" w:lineRule="auto"/>
        <w:ind w:right="214"/>
        <w:rPr>
          <w:color w:val="0563c1"/>
          <w:sz w:val="24"/>
          <w:szCs w:val="24"/>
          <w:u w:val="single"/>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165" w:lineRule="auto"/>
        <w:ind w:left="5" w:right="532" w:firstLine="8"/>
        <w:rPr>
          <w:color w:val="000000"/>
        </w:rPr>
      </w:pPr>
      <w:r w:rsidDel="00000000" w:rsidR="00000000" w:rsidRPr="00000000">
        <w:rPr>
          <w:b w:val="1"/>
          <w:sz w:val="24"/>
          <w:szCs w:val="24"/>
          <w:rtl w:val="0"/>
        </w:rPr>
        <w:t xml:space="preserve">RM6361 Multifunctional Devices (MFDs), GovPrint Hardware, Managed Print Services and Digital Workflow Software Services Lots 1, 2, 3 and 4</w:t>
      </w:r>
      <w:r w:rsidDel="00000000" w:rsidR="00000000" w:rsidRPr="00000000">
        <w:rPr>
          <w:color w:val="000000"/>
          <w:sz w:val="24"/>
          <w:szCs w:val="24"/>
          <w:rtl w:val="0"/>
        </w:rPr>
        <w:t xml:space="preserve"> ha</w:t>
      </w:r>
      <w:r w:rsidDel="00000000" w:rsidR="00000000" w:rsidRPr="00000000">
        <w:rPr>
          <w:sz w:val="24"/>
          <w:szCs w:val="24"/>
          <w:rtl w:val="0"/>
        </w:rPr>
        <w:t xml:space="preserve">ve</w:t>
      </w:r>
      <w:r w:rsidDel="00000000" w:rsidR="00000000" w:rsidRPr="00000000">
        <w:rPr>
          <w:color w:val="000000"/>
          <w:sz w:val="24"/>
          <w:szCs w:val="24"/>
          <w:rtl w:val="0"/>
        </w:rPr>
        <w:t xml:space="preserve"> been classified as a </w:t>
      </w:r>
      <w:r w:rsidDel="00000000" w:rsidR="00000000" w:rsidRPr="00000000">
        <w:rPr>
          <w:b w:val="1"/>
          <w:color w:val="000000"/>
          <w:sz w:val="24"/>
          <w:szCs w:val="24"/>
          <w:rtl w:val="0"/>
        </w:rPr>
        <w:t xml:space="preserve">Gold</w:t>
      </w:r>
      <w:r w:rsidDel="00000000" w:rsidR="00000000" w:rsidRPr="00000000">
        <w:rPr>
          <w:color w:val="000000"/>
          <w:sz w:val="24"/>
          <w:szCs w:val="24"/>
          <w:rtl w:val="0"/>
        </w:rPr>
        <w:t xml:space="preserve"> contract, via the Contract Tiering Tool. All Bidders tendering for this framework are required to complete Attachment 5a - Financial Viability Assessment Tool and upload it to Part 1.25 of Attachment 2a Selection Questionnaire in the eSourcing suite. </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65" w:lineRule="auto"/>
        <w:ind w:left="5" w:right="532" w:firstLine="8"/>
        <w:rPr>
          <w:color w:val="000000"/>
        </w:rPr>
      </w:pPr>
      <w:r w:rsidDel="00000000" w:rsidR="00000000" w:rsidRPr="00000000">
        <w:rPr>
          <w:b w:val="1"/>
          <w:sz w:val="24"/>
          <w:szCs w:val="24"/>
          <w:rtl w:val="0"/>
        </w:rPr>
        <w:t xml:space="preserve">RM6361 Multifunctional Devices (MFDs), GovPrint Hardware, Managed Print Services and Digital Workflow Software Services Lot 5 </w:t>
      </w:r>
      <w:r w:rsidDel="00000000" w:rsidR="00000000" w:rsidRPr="00000000">
        <w:rPr>
          <w:color w:val="000000"/>
          <w:sz w:val="24"/>
          <w:szCs w:val="24"/>
          <w:rtl w:val="0"/>
        </w:rPr>
        <w:t xml:space="preserve">has been classified as a </w:t>
      </w:r>
      <w:r w:rsidDel="00000000" w:rsidR="00000000" w:rsidRPr="00000000">
        <w:rPr>
          <w:b w:val="1"/>
          <w:color w:val="000000"/>
          <w:sz w:val="24"/>
          <w:szCs w:val="24"/>
          <w:rtl w:val="0"/>
        </w:rPr>
        <w:t xml:space="preserve">Bronze</w:t>
      </w:r>
      <w:r w:rsidDel="00000000" w:rsidR="00000000" w:rsidRPr="00000000">
        <w:rPr>
          <w:color w:val="000000"/>
          <w:sz w:val="24"/>
          <w:szCs w:val="24"/>
          <w:rtl w:val="0"/>
        </w:rPr>
        <w:t xml:space="preserve"> contract, via the Contract Tiering Tool. You will only be required to complete Attachment 5b - Bronze FVRA Tool if you do not pass the Financial score as set out in part 1.18.1 of Attachment 2a Selection Questionnaire in the eSourcing suite. </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67" w:lineRule="auto"/>
        <w:ind w:left="5" w:right="323" w:firstLine="0"/>
        <w:rPr>
          <w:color w:val="000000"/>
        </w:rPr>
      </w:pPr>
      <w:r w:rsidDel="00000000" w:rsidR="00000000" w:rsidRPr="00000000">
        <w:rPr>
          <w:color w:val="000000"/>
          <w:sz w:val="24"/>
          <w:szCs w:val="24"/>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color w:val="000000"/>
          <w:sz w:val="24"/>
          <w:szCs w:val="24"/>
          <w:rtl w:val="0"/>
        </w:rPr>
        <w:t xml:space="preserve">Please see Appendix 2 for instructions on how and where to submit the required information in the eSourcing suite.  </w:t>
      </w: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70" w:lineRule="auto"/>
        <w:ind w:left="18" w:right="759" w:firstLine="4.000000000000002"/>
        <w:rPr>
          <w:b w:val="1"/>
          <w:color w:val="000000"/>
          <w:sz w:val="28"/>
          <w:szCs w:val="28"/>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32">
      <w:pPr>
        <w:pageBreakBefore w:val="1"/>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b w:val="1"/>
          <w:color w:val="000000"/>
          <w:sz w:val="28"/>
          <w:szCs w:val="28"/>
          <w:rtl w:val="0"/>
        </w:rPr>
        <w:t xml:space="preserve">Instructions and guidance  </w:t>
      </w: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83" w:lineRule="auto"/>
        <w:ind w:left="20" w:right="114" w:firstLine="0"/>
        <w:rPr>
          <w:color w:val="000000"/>
        </w:rPr>
      </w:pPr>
      <w:r w:rsidDel="00000000" w:rsidR="00000000" w:rsidRPr="00000000">
        <w:rPr>
          <w:color w:val="000000"/>
          <w:sz w:val="24"/>
          <w:szCs w:val="24"/>
          <w:rtl w:val="0"/>
        </w:rPr>
        <w:t xml:space="preserve">Before completing Attachment 5a –Financial Viability Risk Assessment Tool, Bidders are advised to review the first tab ‘Bidder Instructions’.  </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66" w:lineRule="auto"/>
        <w:ind w:left="5" w:right="331" w:firstLine="18"/>
        <w:rPr>
          <w:color w:val="000000"/>
        </w:rPr>
      </w:pPr>
      <w:r w:rsidDel="00000000" w:rsidR="00000000" w:rsidRPr="00000000">
        <w:rPr>
          <w:b w:val="1"/>
          <w:color w:val="000000"/>
          <w:sz w:val="24"/>
          <w:szCs w:val="24"/>
          <w:rtl w:val="0"/>
        </w:rPr>
        <w:t xml:space="preserve">Important</w:t>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66" w:lineRule="auto"/>
        <w:ind w:left="5" w:right="331" w:firstLine="0"/>
        <w:rPr>
          <w:color w:val="000000"/>
        </w:rPr>
      </w:pPr>
      <w:r w:rsidDel="00000000" w:rsidR="00000000" w:rsidRPr="00000000">
        <w:rPr>
          <w:color w:val="000000"/>
          <w:sz w:val="24"/>
          <w:szCs w:val="24"/>
          <w:rtl w:val="0"/>
        </w:rPr>
        <w:t xml:space="preserve">On the tab ‘Bidder Instructions’. Make sure you select the correct company/organisation type for the Lead Bidder from the dropdown provided, (row 39) before completing the Attachment 5a. Please ensure you only complete the tabs relevant to your organisation type.</w:t>
      </w:r>
      <w:r w:rsidDel="00000000" w:rsidR="00000000" w:rsidRPr="00000000">
        <w:rPr>
          <w:rtl w:val="0"/>
        </w:rPr>
      </w:r>
    </w:p>
    <w:p w:rsidR="00000000" w:rsidDel="00000000" w:rsidP="00000000" w:rsidRDefault="00000000" w:rsidRPr="00000000" w14:paraId="00000036">
      <w:pPr>
        <w:widowControl w:val="0"/>
        <w:numPr>
          <w:ilvl w:val="0"/>
          <w:numId w:val="1"/>
        </w:numPr>
        <w:pBdr>
          <w:top w:space="0" w:sz="0" w:val="nil"/>
          <w:left w:space="0" w:sz="0" w:val="nil"/>
          <w:bottom w:space="0" w:sz="0" w:val="nil"/>
          <w:right w:space="0" w:sz="0" w:val="nil"/>
          <w:between w:space="0" w:sz="0" w:val="nil"/>
        </w:pBdr>
        <w:spacing w:before="166" w:lineRule="auto"/>
        <w:ind w:left="720" w:right="331" w:hanging="360"/>
        <w:rPr/>
      </w:pPr>
      <w:r w:rsidDel="00000000" w:rsidR="00000000" w:rsidRPr="00000000">
        <w:rPr>
          <w:color w:val="000000"/>
          <w:sz w:val="24"/>
          <w:szCs w:val="24"/>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37">
      <w:pPr>
        <w:widowControl w:val="0"/>
        <w:numPr>
          <w:ilvl w:val="0"/>
          <w:numId w:val="1"/>
        </w:numPr>
        <w:pBdr>
          <w:top w:space="0" w:sz="0" w:val="nil"/>
          <w:left w:space="0" w:sz="0" w:val="nil"/>
          <w:bottom w:space="0" w:sz="0" w:val="nil"/>
          <w:right w:space="0" w:sz="0" w:val="nil"/>
          <w:between w:space="0" w:sz="0" w:val="nil"/>
        </w:pBdr>
        <w:ind w:left="720" w:right="331" w:hanging="360"/>
        <w:rPr/>
      </w:pPr>
      <w:r w:rsidDel="00000000" w:rsidR="00000000" w:rsidRPr="00000000">
        <w:rPr>
          <w:color w:val="000000"/>
          <w:sz w:val="24"/>
          <w:szCs w:val="24"/>
          <w:rtl w:val="0"/>
        </w:rPr>
        <w:t xml:space="preserve">1.1b Lead financial Input - only complete if you are Not for Profit/ Voluntary Organisation</w:t>
      </w:r>
      <w:r w:rsidDel="00000000" w:rsidR="00000000" w:rsidRPr="00000000">
        <w:rPr>
          <w:color w:val="000000"/>
          <w:sz w:val="24"/>
          <w:szCs w:val="24"/>
          <w:highlight w:val="yellow"/>
          <w:rtl w:val="0"/>
        </w:rPr>
        <w:br w:type="textWrapping"/>
      </w:r>
      <w:r w:rsidDel="00000000" w:rsidR="00000000" w:rsidRPr="00000000">
        <w:rPr>
          <w:rtl w:val="0"/>
        </w:rPr>
      </w:r>
    </w:p>
    <w:p w:rsidR="00000000" w:rsidDel="00000000" w:rsidP="00000000" w:rsidRDefault="00000000" w:rsidRPr="00000000" w14:paraId="00000038">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b w:val="1"/>
          <w:color w:val="000000"/>
          <w:sz w:val="24"/>
          <w:szCs w:val="24"/>
          <w:rtl w:val="0"/>
        </w:rPr>
        <w:t xml:space="preserve">Gold</w:t>
      </w:r>
      <w:r w:rsidDel="00000000" w:rsidR="00000000" w:rsidRPr="00000000">
        <w:rPr>
          <w:color w:val="000000"/>
          <w:sz w:val="24"/>
          <w:szCs w:val="24"/>
          <w:rtl w:val="0"/>
        </w:rPr>
        <w:t xml:space="preserve"> Bidders must correctly and accurately complete Attachment 5a –Financial Viability Risk Assessment Tool</w:t>
        <w:br w:type="textWrapping"/>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left="720" w:right="544" w:firstLine="0"/>
        <w:rPr>
          <w:color w:val="000000"/>
        </w:rPr>
      </w:pPr>
      <w:r w:rsidDel="00000000" w:rsidR="00000000" w:rsidRPr="00000000">
        <w:rPr>
          <w:b w:val="1"/>
          <w:color w:val="000000"/>
          <w:sz w:val="24"/>
          <w:szCs w:val="24"/>
          <w:rtl w:val="0"/>
        </w:rPr>
        <w:t xml:space="preserve">Bronze </w:t>
      </w:r>
      <w:r w:rsidDel="00000000" w:rsidR="00000000" w:rsidRPr="00000000">
        <w:rPr>
          <w:color w:val="000000"/>
          <w:sz w:val="24"/>
          <w:szCs w:val="24"/>
          <w:rtl w:val="0"/>
        </w:rPr>
        <w:t xml:space="preserve">Bidders will</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be required to complete Attachment 5b – Bronze FVRA Tool only if they FAIL the financial risk assessment as specified in Attachment 2a Selection Questionnaire – Part 3 Financial Risk</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28" w:lineRule="auto"/>
        <w:ind w:left="992" w:right="175" w:hanging="992"/>
        <w:rPr>
          <w:color w:val="000000"/>
          <w:sz w:val="19"/>
          <w:szCs w:val="19"/>
        </w:rPr>
      </w:pPr>
      <w:r w:rsidDel="00000000" w:rsidR="00000000" w:rsidRPr="00000000">
        <w:rPr>
          <w:rtl w:val="0"/>
        </w:rPr>
      </w:r>
    </w:p>
    <w:p w:rsidR="00000000" w:rsidDel="00000000" w:rsidP="00000000" w:rsidRDefault="00000000" w:rsidRPr="00000000" w14:paraId="0000003B">
      <w:pPr>
        <w:widowControl w:val="0"/>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Means of Proof will be in line with </w:t>
      </w:r>
      <w:hyperlink r:id="rId11">
        <w:r w:rsidDel="00000000" w:rsidR="00000000" w:rsidRPr="00000000">
          <w:rPr>
            <w:color w:val="0563c1"/>
            <w:sz w:val="24"/>
            <w:szCs w:val="24"/>
            <w:u w:val="single"/>
            <w:rtl w:val="0"/>
          </w:rPr>
          <w:t xml:space="preserve">PCR2015 regulation 60</w:t>
        </w:r>
      </w:hyperlink>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7"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D">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Bidders should complete all tabs in line with the instruction found within the Bidder instructions tab of the </w:t>
      </w:r>
      <w:r w:rsidDel="00000000" w:rsidR="00000000" w:rsidRPr="00000000">
        <w:rPr>
          <w:sz w:val="24"/>
          <w:szCs w:val="24"/>
          <w:rtl w:val="0"/>
        </w:rPr>
        <w:t xml:space="preserve">RM6361 </w:t>
      </w:r>
      <w:r w:rsidDel="00000000" w:rsidR="00000000" w:rsidRPr="00000000">
        <w:rPr>
          <w:color w:val="000000"/>
          <w:sz w:val="24"/>
          <w:szCs w:val="24"/>
          <w:rtl w:val="0"/>
        </w:rPr>
        <w:t xml:space="preserve">Financial Viability Risk Assessment Tool</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3F">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41">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 Each consortium member will be required to complete an Attachment 5a –Financial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42">
      <w:pPr>
        <w:widowControl w:val="0"/>
        <w:numPr>
          <w:ilvl w:val="0"/>
          <w:numId w:val="2"/>
        </w:numPr>
        <w:pBdr>
          <w:top w:space="0" w:sz="0" w:val="nil"/>
          <w:left w:space="0" w:sz="0" w:val="nil"/>
          <w:bottom w:space="0" w:sz="0" w:val="nil"/>
          <w:right w:space="0" w:sz="0" w:val="nil"/>
          <w:between w:space="0" w:sz="0" w:val="nil"/>
        </w:pBdr>
        <w:ind w:left="720" w:right="544" w:hanging="360"/>
        <w:rPr/>
      </w:pPr>
      <w:r w:rsidDel="00000000" w:rsidR="00000000" w:rsidRPr="00000000">
        <w:rPr>
          <w:color w:val="000000"/>
          <w:sz w:val="24"/>
          <w:szCs w:val="24"/>
          <w:rtl w:val="0"/>
        </w:rPr>
        <w:t xml:space="preserve">Where the financial information inputted by the Bidder into Attachment 5a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43">
      <w:pPr>
        <w:widowControl w:val="0"/>
        <w:numPr>
          <w:ilvl w:val="2"/>
          <w:numId w:val="2"/>
        </w:numPr>
        <w:pBdr>
          <w:top w:space="0" w:sz="0" w:val="nil"/>
          <w:left w:space="0" w:sz="0" w:val="nil"/>
          <w:bottom w:space="0" w:sz="0" w:val="nil"/>
          <w:right w:space="0" w:sz="0" w:val="nil"/>
          <w:between w:space="0" w:sz="0" w:val="nil"/>
        </w:pBdr>
        <w:ind w:left="2160" w:right="445"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44">
      <w:pPr>
        <w:widowControl w:val="0"/>
        <w:numPr>
          <w:ilvl w:val="2"/>
          <w:numId w:val="2"/>
        </w:numPr>
        <w:pBdr>
          <w:top w:space="0" w:sz="0" w:val="nil"/>
          <w:left w:space="0" w:sz="0" w:val="nil"/>
          <w:bottom w:space="0" w:sz="0" w:val="nil"/>
          <w:right w:space="0" w:sz="0" w:val="nil"/>
          <w:between w:space="0" w:sz="0" w:val="nil"/>
        </w:pBdr>
        <w:ind w:left="2160" w:right="128"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45">
      <w:pPr>
        <w:widowControl w:val="0"/>
        <w:numPr>
          <w:ilvl w:val="0"/>
          <w:numId w:val="2"/>
        </w:numPr>
        <w:pBdr>
          <w:top w:space="0" w:sz="0" w:val="nil"/>
          <w:left w:space="0" w:sz="0" w:val="nil"/>
          <w:bottom w:space="0" w:sz="0" w:val="nil"/>
          <w:right w:space="0" w:sz="0" w:val="nil"/>
          <w:between w:space="0" w:sz="0" w:val="nil"/>
        </w:pBdr>
        <w:ind w:left="720" w:right="278" w:hanging="360"/>
        <w:rPr/>
      </w:pPr>
      <w:r w:rsidDel="00000000" w:rsidR="00000000" w:rsidRPr="00000000">
        <w:rPr>
          <w:color w:val="000000"/>
          <w:sz w:val="24"/>
          <w:szCs w:val="24"/>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46">
      <w:pPr>
        <w:widowControl w:val="0"/>
        <w:numPr>
          <w:ilvl w:val="0"/>
          <w:numId w:val="2"/>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47">
      <w:pPr>
        <w:widowControl w:val="0"/>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All Bidders must provide copies of:</w:t>
      </w:r>
      <w:r w:rsidDel="00000000" w:rsidR="00000000" w:rsidRPr="00000000">
        <w:rPr>
          <w:rtl w:val="0"/>
        </w:rPr>
      </w:r>
    </w:p>
    <w:p w:rsidR="00000000" w:rsidDel="00000000" w:rsidP="00000000" w:rsidRDefault="00000000" w:rsidRPr="00000000" w14:paraId="00000048">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their published accounts for the last 3 years</w:t>
      </w:r>
      <w:r w:rsidDel="00000000" w:rsidR="00000000" w:rsidRPr="00000000">
        <w:rPr>
          <w:rtl w:val="0"/>
        </w:rPr>
      </w:r>
    </w:p>
    <w:p w:rsidR="00000000" w:rsidDel="00000000" w:rsidP="00000000" w:rsidRDefault="00000000" w:rsidRPr="00000000" w14:paraId="00000049">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A">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4B">
      <w:pPr>
        <w:widowControl w:val="0"/>
        <w:numPr>
          <w:ilvl w:val="0"/>
          <w:numId w:val="2"/>
        </w:numPr>
        <w:pBdr>
          <w:top w:space="0" w:sz="0" w:val="nil"/>
          <w:left w:space="0" w:sz="0" w:val="nil"/>
          <w:bottom w:space="0" w:sz="0" w:val="nil"/>
          <w:right w:space="0" w:sz="0" w:val="nil"/>
          <w:between w:space="0" w:sz="0" w:val="nil"/>
        </w:pBdr>
        <w:ind w:left="720" w:right="227" w:hanging="360"/>
        <w:rPr/>
      </w:pPr>
      <w:bookmarkStart w:colFirst="0" w:colLast="0" w:name="_heading=h.1fob9te" w:id="3"/>
      <w:bookmarkEnd w:id="3"/>
      <w:r w:rsidDel="00000000" w:rsidR="00000000" w:rsidRPr="00000000">
        <w:rPr>
          <w:color w:val="000000"/>
          <w:sz w:val="24"/>
          <w:szCs w:val="24"/>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C">
      <w:pPr>
        <w:widowControl w:val="0"/>
        <w:numPr>
          <w:ilvl w:val="0"/>
          <w:numId w:val="2"/>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Each Bidder must set out the following information:</w:t>
      </w:r>
      <w:r w:rsidDel="00000000" w:rsidR="00000000" w:rsidRPr="00000000">
        <w:rPr>
          <w:rtl w:val="0"/>
        </w:rPr>
      </w:r>
    </w:p>
    <w:p w:rsidR="00000000" w:rsidDel="00000000" w:rsidP="00000000" w:rsidRDefault="00000000" w:rsidRPr="00000000" w14:paraId="0000004D">
      <w:pPr>
        <w:widowControl w:val="0"/>
        <w:numPr>
          <w:ilvl w:val="1"/>
          <w:numId w:val="2"/>
        </w:numPr>
        <w:pBdr>
          <w:top w:space="0" w:sz="0" w:val="nil"/>
          <w:left w:space="0" w:sz="0" w:val="nil"/>
          <w:bottom w:space="0" w:sz="0" w:val="nil"/>
          <w:right w:space="0" w:sz="0" w:val="nil"/>
          <w:between w:space="0" w:sz="0" w:val="nil"/>
        </w:pBdr>
        <w:ind w:left="1440" w:right="123" w:hanging="360"/>
        <w:rPr/>
      </w:pP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E">
      <w:pPr>
        <w:widowControl w:val="0"/>
        <w:numPr>
          <w:ilvl w:val="1"/>
          <w:numId w:val="2"/>
        </w:numPr>
        <w:pBdr>
          <w:top w:space="0" w:sz="0" w:val="nil"/>
          <w:left w:space="0" w:sz="0" w:val="nil"/>
          <w:bottom w:space="0" w:sz="0" w:val="nil"/>
          <w:right w:space="0" w:sz="0" w:val="nil"/>
          <w:between w:space="0" w:sz="0" w:val="nil"/>
        </w:pBdr>
        <w:ind w:left="1440" w:right="653" w:hanging="360"/>
        <w:rPr/>
      </w:pP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 Financial Viability Risk Assessment Tool;</w:t>
      </w:r>
      <w:r w:rsidDel="00000000" w:rsidR="00000000" w:rsidRPr="00000000">
        <w:rPr>
          <w:rtl w:val="0"/>
        </w:rPr>
      </w:r>
    </w:p>
    <w:p w:rsidR="00000000" w:rsidDel="00000000" w:rsidP="00000000" w:rsidRDefault="00000000" w:rsidRPr="00000000" w14:paraId="0000004F">
      <w:pPr>
        <w:widowControl w:val="0"/>
        <w:numPr>
          <w:ilvl w:val="1"/>
          <w:numId w:val="2"/>
        </w:numPr>
        <w:pBdr>
          <w:top w:space="0" w:sz="0" w:val="nil"/>
          <w:left w:space="0" w:sz="0" w:val="nil"/>
          <w:bottom w:space="0" w:sz="0" w:val="nil"/>
          <w:right w:space="0" w:sz="0" w:val="nil"/>
          <w:between w:space="0" w:sz="0" w:val="nil"/>
        </w:pBdr>
        <w:ind w:left="1440" w:right="311" w:hanging="360"/>
        <w:rPr/>
      </w:pP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283" w:lineRule="auto"/>
        <w:ind w:left="730" w:right="308" w:firstLine="14.000000000000057"/>
        <w:rPr>
          <w:color w:val="000000"/>
        </w:rPr>
      </w:pPr>
      <w:r w:rsidDel="00000000" w:rsidR="00000000" w:rsidRPr="00000000">
        <w:rPr>
          <w:color w:val="000000"/>
          <w:sz w:val="24"/>
          <w:szCs w:val="24"/>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52">
      <w:pPr>
        <w:pageBreakBefore w:val="1"/>
        <w:widowControl w:val="0"/>
        <w:pBdr>
          <w:top w:space="0" w:sz="0" w:val="nil"/>
          <w:left w:space="0" w:sz="0" w:val="nil"/>
          <w:bottom w:space="0" w:sz="0" w:val="nil"/>
          <w:right w:space="0" w:sz="0" w:val="nil"/>
          <w:between w:space="0" w:sz="0" w:val="nil"/>
        </w:pBdr>
        <w:spacing w:before="760" w:lineRule="auto"/>
        <w:ind w:left="23" w:firstLine="0"/>
        <w:rPr>
          <w:color w:val="000000"/>
        </w:rPr>
      </w:pPr>
      <w:r w:rsidDel="00000000" w:rsidR="00000000" w:rsidRPr="00000000">
        <w:rPr>
          <w:b w:val="1"/>
          <w:color w:val="000000"/>
          <w:sz w:val="28"/>
          <w:szCs w:val="28"/>
          <w:rtl w:val="0"/>
        </w:rPr>
        <w:t xml:space="preserve">Prior to award of Framework Contracts  </w:t>
      </w: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320" w:lineRule="auto"/>
        <w:ind w:left="363" w:right="201" w:hanging="336"/>
        <w:rPr>
          <w:color w:val="000000"/>
          <w:sz w:val="24"/>
          <w:szCs w:val="24"/>
        </w:rPr>
      </w:pPr>
      <w:r w:rsidDel="00000000" w:rsidR="00000000" w:rsidRPr="00000000">
        <w:rPr>
          <w:color w:val="000000"/>
          <w:sz w:val="24"/>
          <w:szCs w:val="24"/>
          <w:rtl w:val="0"/>
        </w:rPr>
        <w:t xml:space="preserve">11. In line with clause 2.4.15 of The Guidance Note, prior to award of the Framework Agreement, Bidders will be individually asked to</w:t>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320" w:line="240" w:lineRule="auto"/>
        <w:ind w:left="1511" w:right="20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320" w:line="240" w:lineRule="auto"/>
        <w:ind w:left="1511" w:right="20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require the Bidder to resubmit Attachment 5a – Financial Viability Risk Assessment Tool using latest available</w:t>
      </w: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9" w:lineRule="auto"/>
        <w:ind w:left="1513" w:right="566" w:hanging="3.0000000000001137"/>
        <w:rPr>
          <w:color w:val="000000"/>
        </w:rPr>
      </w:pPr>
      <w:r w:rsidDel="00000000" w:rsidR="00000000" w:rsidRPr="00000000">
        <w:rPr>
          <w:color w:val="000000"/>
          <w:sz w:val="24"/>
          <w:szCs w:val="24"/>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ind w:right="150"/>
        <w:rPr>
          <w:color w:val="000000"/>
          <w:sz w:val="24"/>
          <w:szCs w:val="24"/>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ind w:left="363" w:right="150" w:firstLine="0"/>
        <w:rPr>
          <w:color w:val="000000"/>
        </w:rPr>
      </w:pPr>
      <w:r w:rsidDel="00000000" w:rsidR="00000000" w:rsidRPr="00000000">
        <w:rPr>
          <w:color w:val="000000"/>
          <w:sz w:val="24"/>
          <w:szCs w:val="24"/>
          <w:rtl w:val="0"/>
        </w:rPr>
        <w:t xml:space="preserve">The resubmitted Attachment 5a –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170" w:lineRule="auto"/>
        <w:ind w:left="363" w:right="281" w:hanging="336"/>
        <w:rPr>
          <w:color w:val="000000"/>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170" w:lineRule="auto"/>
        <w:ind w:left="1508" w:right="550" w:hanging="359.00000000000006"/>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9" w:lineRule="auto"/>
        <w:ind w:left="1502" w:right="555" w:hanging="352"/>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310" w:lineRule="auto"/>
        <w:ind w:left="294" w:right="306" w:hanging="5"/>
        <w:rPr>
          <w:color w:val="000000"/>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64">
      <w:pPr>
        <w:pageBreakBefore w:val="1"/>
        <w:widowControl w:val="0"/>
        <w:pBdr>
          <w:top w:space="0" w:sz="0" w:val="nil"/>
          <w:left w:space="0" w:sz="0" w:val="nil"/>
          <w:bottom w:space="0" w:sz="0" w:val="nil"/>
          <w:right w:space="0" w:sz="0" w:val="nil"/>
          <w:between w:space="0" w:sz="0" w:val="nil"/>
        </w:pBdr>
        <w:ind w:left="6" w:firstLine="0"/>
        <w:rPr>
          <w:color w:val="000000"/>
        </w:rPr>
      </w:pPr>
      <w:r w:rsidDel="00000000" w:rsidR="00000000" w:rsidRPr="00000000">
        <w:rPr>
          <w:b w:val="1"/>
          <w:color w:val="000000"/>
          <w:sz w:val="28"/>
          <w:szCs w:val="28"/>
          <w:rtl w:val="0"/>
        </w:rPr>
        <w:t xml:space="preserve">Appendix 1 – FVRA risk thresholds:</w:t>
      </w: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rPr>
      </w:pPr>
      <w:r w:rsidDel="00000000" w:rsidR="00000000" w:rsidRPr="00000000">
        <w:rPr>
          <w:color w:val="000000"/>
          <w:sz w:val="24"/>
          <w:szCs w:val="24"/>
          <w:rtl w:val="0"/>
        </w:rPr>
        <w:t xml:space="preserve">Risk thresholds for RM6361 </w:t>
      </w:r>
      <w:r w:rsidDel="00000000" w:rsidR="00000000" w:rsidRPr="00000000">
        <w:rPr>
          <w:sz w:val="24"/>
          <w:szCs w:val="24"/>
          <w:rtl w:val="0"/>
        </w:rPr>
        <w:t xml:space="preserve">Multifunctional Devices (MFDs), GovPrint Hardware, Managed Print Services and Digital Workflow Software Services </w:t>
      </w:r>
      <w:r w:rsidDel="00000000" w:rsidR="00000000" w:rsidRPr="00000000">
        <w:rPr>
          <w:color w:val="000000"/>
          <w:sz w:val="24"/>
          <w:szCs w:val="24"/>
          <w:rtl w:val="0"/>
        </w:rPr>
        <w:t xml:space="preserve">(in line with the tab ‘Authority RAG Thresholds’ of Attachment 5a – Financial Viability Risk Assessment Tool)</w:t>
      </w: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sz w:val="24"/>
          <w:szCs w:val="24"/>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8040.0" w:type="dxa"/>
        <w:jc w:val="left"/>
        <w:tblInd w:w="5.0" w:type="dxa"/>
        <w:tblLayout w:type="fixed"/>
        <w:tblLook w:val="0000"/>
      </w:tblPr>
      <w:tblGrid>
        <w:gridCol w:w="450"/>
        <w:gridCol w:w="2955"/>
        <w:gridCol w:w="650.0000000000006"/>
        <w:gridCol w:w="669.9999999999994"/>
        <w:gridCol w:w="810"/>
        <w:gridCol w:w="2505"/>
        <w:tblGridChange w:id="0">
          <w:tblGrid>
            <w:gridCol w:w="450"/>
            <w:gridCol w:w="2955"/>
            <w:gridCol w:w="650.0000000000006"/>
            <w:gridCol w:w="669.9999999999994"/>
            <w:gridCol w:w="810"/>
            <w:gridCol w:w="25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RM6361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6">
            <w:pPr>
              <w:widowControl w:val="0"/>
              <w:spacing w:line="276" w:lineRule="auto"/>
              <w:jc w:val="center"/>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7">
            <w:pPr>
              <w:widowControl w:val="0"/>
              <w:spacing w:line="276" w:lineRule="auto"/>
              <w:jc w:val="center"/>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8">
            <w:pPr>
              <w:widowControl w:val="0"/>
              <w:spacing w:line="276" w:lineRule="auto"/>
              <w:jc w:val="center"/>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sz w:val="20"/>
                <w:szCs w:val="20"/>
                <w:rtl w:val="0"/>
              </w:rPr>
              <w:t xml:space="preserve">Not Assessed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76" w:lineRule="auto"/>
              <w:ind w:left="122" w:firstLine="0"/>
              <w:jc w:val="center"/>
              <w:rPr>
                <w:color w:val="000000"/>
              </w:rPr>
            </w:pPr>
            <w:r w:rsidDel="00000000" w:rsidR="00000000" w:rsidRPr="00000000">
              <w:rPr>
                <w:color w:val="000000"/>
                <w:sz w:val="20"/>
                <w:szCs w:val="20"/>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3</w:t>
            </w: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7</w:t>
            </w: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sz w:val="20"/>
                <w:szCs w:val="20"/>
                <w:rtl w:val="0"/>
              </w:rPr>
              <w:t xml:space="preserve">Higher the better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5">
            <w:pPr>
              <w:widowControl w:val="0"/>
              <w:spacing w:line="276" w:lineRule="auto"/>
              <w:jc w:val="center"/>
              <w:rPr>
                <w:color w:val="000000"/>
                <w:sz w:val="20"/>
                <w:szCs w:val="20"/>
              </w:rPr>
            </w:pPr>
            <w:r w:rsidDel="00000000" w:rsidR="00000000" w:rsidRPr="00000000">
              <w:rPr>
                <w:sz w:val="20"/>
                <w:szCs w:val="20"/>
                <w:rtl w:val="0"/>
              </w:rPr>
              <w:t xml:space="preserve">Not Assessed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sz w:val="20"/>
                <w:szCs w:val="20"/>
                <w:rtl w:val="0"/>
              </w:rPr>
              <w:t xml:space="preserve">Lower the better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4</w:t>
            </w:r>
            <w:r w:rsidDel="00000000" w:rsidR="00000000" w:rsidRPr="00000000">
              <w:rPr>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1">
            <w:pPr>
              <w:widowControl w:val="0"/>
              <w:spacing w:line="276" w:lineRule="auto"/>
              <w:jc w:val="center"/>
              <w:rPr>
                <w:color w:val="000000"/>
                <w:sz w:val="20"/>
                <w:szCs w:val="20"/>
              </w:rPr>
            </w:pPr>
            <w:r w:rsidDel="00000000" w:rsidR="00000000" w:rsidRPr="00000000">
              <w:rPr>
                <w:sz w:val="20"/>
                <w:szCs w:val="20"/>
                <w:rtl w:val="0"/>
              </w:rPr>
              <w:t xml:space="preserve">Lower the better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3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4.5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7">
            <w:pPr>
              <w:widowControl w:val="0"/>
              <w:spacing w:line="276" w:lineRule="auto"/>
              <w:jc w:val="center"/>
              <w:rPr>
                <w:color w:val="000000"/>
                <w:sz w:val="20"/>
                <w:szCs w:val="20"/>
              </w:rPr>
            </w:pPr>
            <w:r w:rsidDel="00000000" w:rsidR="00000000" w:rsidRPr="00000000">
              <w:rPr>
                <w:sz w:val="20"/>
                <w:szCs w:val="20"/>
                <w:rtl w:val="0"/>
              </w:rPr>
              <w:t xml:space="preserve">Higher the better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D">
            <w:pPr>
              <w:widowControl w:val="0"/>
              <w:spacing w:line="276" w:lineRule="auto"/>
              <w:jc w:val="center"/>
              <w:rPr>
                <w:color w:val="000000"/>
                <w:sz w:val="20"/>
                <w:szCs w:val="20"/>
              </w:rPr>
            </w:pPr>
            <w:r w:rsidDel="00000000" w:rsidR="00000000" w:rsidRPr="00000000">
              <w:rPr>
                <w:sz w:val="20"/>
                <w:szCs w:val="20"/>
                <w:rtl w:val="0"/>
              </w:rPr>
              <w:t xml:space="preserve">Higher the better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A3">
            <w:pPr>
              <w:widowControl w:val="0"/>
              <w:spacing w:line="276" w:lineRule="auto"/>
              <w:jc w:val="center"/>
              <w:rPr>
                <w:color w:val="000000"/>
                <w:sz w:val="20"/>
                <w:szCs w:val="20"/>
              </w:rPr>
            </w:pPr>
            <w:r w:rsidDel="00000000" w:rsidR="00000000" w:rsidRPr="00000000">
              <w:rPr>
                <w:sz w:val="20"/>
                <w:szCs w:val="20"/>
                <w:rtl w:val="0"/>
              </w:rPr>
              <w:t xml:space="preserve">Higher the better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A9">
            <w:pPr>
              <w:widowControl w:val="0"/>
              <w:spacing w:line="276" w:lineRule="auto"/>
              <w:jc w:val="center"/>
              <w:rPr>
                <w:color w:val="000000"/>
                <w:sz w:val="20"/>
                <w:szCs w:val="20"/>
              </w:rPr>
            </w:pPr>
            <w:r w:rsidDel="00000000" w:rsidR="00000000" w:rsidRPr="00000000">
              <w:rPr>
                <w:sz w:val="20"/>
                <w:szCs w:val="20"/>
                <w:rtl w:val="0"/>
              </w:rPr>
              <w:t xml:space="preserve">Lower the better</w:t>
            </w:r>
            <w:r w:rsidDel="00000000" w:rsidR="00000000" w:rsidRPr="00000000">
              <w:rPr>
                <w:rtl w:val="0"/>
              </w:rPr>
            </w:r>
          </w:p>
        </w:tc>
      </w:tr>
    </w:tbl>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ind w:left="20" w:firstLine="0"/>
        <w:rPr>
          <w:color w:val="000000"/>
        </w:rPr>
      </w:pPr>
      <w:r w:rsidDel="00000000" w:rsidR="00000000" w:rsidRPr="00000000">
        <w:rPr>
          <w:color w:val="000000"/>
          <w:sz w:val="24"/>
          <w:szCs w:val="24"/>
          <w:rtl w:val="0"/>
        </w:rPr>
        <w:t xml:space="preserve">Notes:</w:t>
      </w: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before="175" w:lineRule="auto"/>
        <w:ind w:left="376" w:right="1892" w:hanging="5"/>
        <w:rPr>
          <w:color w:val="000000"/>
        </w:rPr>
      </w:pPr>
      <w:r w:rsidDel="00000000" w:rsidR="00000000" w:rsidRPr="00000000">
        <w:rPr>
          <w:color w:val="000000"/>
          <w:sz w:val="24"/>
          <w:szCs w:val="24"/>
          <w:rtl w:val="0"/>
        </w:rPr>
        <w:t xml:space="preserve">a) Sourcing Playbook thresholds have been applied as above </w:t>
      </w: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before="7" w:lineRule="auto"/>
        <w:ind w:left="372" w:firstLine="0"/>
        <w:rPr>
          <w:color w:val="000000"/>
        </w:rPr>
      </w:pPr>
      <w:r w:rsidDel="00000000" w:rsidR="00000000" w:rsidRPr="00000000">
        <w:rPr>
          <w:color w:val="000000"/>
          <w:sz w:val="24"/>
          <w:szCs w:val="24"/>
          <w:rtl w:val="0"/>
        </w:rPr>
        <w:t xml:space="preserve">b) 3a will not be assessed  </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B0">
      <w:pPr>
        <w:pageBreakBefore w:val="1"/>
        <w:widowControl w:val="0"/>
        <w:pBdr>
          <w:top w:space="0" w:sz="0" w:val="nil"/>
          <w:left w:space="0" w:sz="0" w:val="nil"/>
          <w:bottom w:space="0" w:sz="0" w:val="nil"/>
          <w:right w:space="0" w:sz="0" w:val="nil"/>
          <w:between w:space="0" w:sz="0" w:val="nil"/>
        </w:pBdr>
        <w:spacing w:before="310" w:lineRule="auto"/>
        <w:ind w:left="6" w:firstLine="0"/>
        <w:rPr>
          <w:color w:val="000000"/>
        </w:rPr>
      </w:pPr>
      <w:r w:rsidDel="00000000" w:rsidR="00000000" w:rsidRPr="00000000">
        <w:rPr>
          <w:color w:val="000000"/>
          <w:sz w:val="28"/>
          <w:szCs w:val="28"/>
          <w:rtl w:val="0"/>
        </w:rPr>
        <w:t xml:space="preserve">Appendix 2 – How and where to submit the required information</w:t>
      </w:r>
      <w:r w:rsidDel="00000000" w:rsidR="00000000" w:rsidRPr="00000000">
        <w:rPr>
          <w:rtl w:val="0"/>
        </w:rPr>
      </w:r>
    </w:p>
    <w:tbl>
      <w:tblPr>
        <w:tblStyle w:val="Table4"/>
        <w:tblW w:w="9244.0" w:type="dxa"/>
        <w:jc w:val="left"/>
        <w:tblInd w:w="102.0" w:type="dxa"/>
        <w:tblLayout w:type="fixed"/>
        <w:tblLook w:val="0000"/>
      </w:tblPr>
      <w:tblGrid>
        <w:gridCol w:w="2582"/>
        <w:gridCol w:w="2409"/>
        <w:gridCol w:w="1985"/>
        <w:gridCol w:w="2268"/>
        <w:tblGridChange w:id="0">
          <w:tblGrid>
            <w:gridCol w:w="2582"/>
            <w:gridCol w:w="2409"/>
            <w:gridCol w:w="1985"/>
            <w:gridCol w:w="2268"/>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b w:val="1"/>
                <w:color w:val="000000"/>
                <w:sz w:val="24"/>
                <w:szCs w:val="24"/>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b w:val="1"/>
                <w:color w:val="000000"/>
                <w:sz w:val="24"/>
                <w:szCs w:val="24"/>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ind w:left="118" w:firstLine="0"/>
              <w:rPr>
                <w:color w:val="000000"/>
              </w:rPr>
            </w:pPr>
            <w:r w:rsidDel="00000000" w:rsidR="00000000" w:rsidRPr="00000000">
              <w:rPr>
                <w:b w:val="1"/>
                <w:color w:val="000000"/>
                <w:sz w:val="24"/>
                <w:szCs w:val="24"/>
                <w:rtl w:val="0"/>
              </w:rPr>
              <w:t xml:space="preserve">Zip folder  </w:t>
            </w: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b w:val="1"/>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b w:val="1"/>
                <w:color w:val="000000"/>
                <w:sz w:val="24"/>
                <w:szCs w:val="24"/>
                <w:rtl w:val="0"/>
              </w:rPr>
              <w:t xml:space="preserve">Question to  </w:t>
            </w: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28" w:lineRule="auto"/>
              <w:ind w:left="129" w:right="184" w:firstLine="0"/>
              <w:rPr>
                <w:color w:val="000000"/>
              </w:rPr>
            </w:pPr>
            <w:r w:rsidDel="00000000" w:rsidR="00000000" w:rsidRPr="00000000">
              <w:rPr>
                <w:b w:val="1"/>
                <w:color w:val="000000"/>
                <w:sz w:val="24"/>
                <w:szCs w:val="24"/>
                <w:rtl w:val="0"/>
              </w:rPr>
              <w:t xml:space="preserve">upload zip folder (qualification  </w:t>
            </w: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before="6" w:lineRule="auto"/>
              <w:ind w:left="122" w:firstLine="0"/>
              <w:rPr>
                <w:color w:val="000000"/>
              </w:rPr>
            </w:pPr>
            <w:r w:rsidDel="00000000" w:rsidR="00000000" w:rsidRPr="00000000">
              <w:rPr>
                <w:b w:val="1"/>
                <w:color w:val="000000"/>
                <w:sz w:val="24"/>
                <w:szCs w:val="24"/>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FVRA_ your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ind w:left="121" w:firstLine="0"/>
              <w:rPr>
                <w:color w:val="000000"/>
                <w:sz w:val="24"/>
                <w:szCs w:val="24"/>
              </w:rPr>
            </w:pPr>
            <w:r w:rsidDel="00000000" w:rsidR="00000000" w:rsidRPr="00000000">
              <w:rPr>
                <w:color w:val="000000"/>
                <w:sz w:val="24"/>
                <w:szCs w:val="24"/>
                <w:rtl w:val="0"/>
              </w:rPr>
              <w:t xml:space="preserve">organisation name</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as a  </w:t>
            </w: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ind w:left="120" w:firstLine="0"/>
              <w:rPr>
                <w:color w:val="000000"/>
              </w:rPr>
            </w:pPr>
            <w:r w:rsidDel="00000000" w:rsidR="00000000" w:rsidRPr="00000000">
              <w:rPr>
                <w:color w:val="000000"/>
                <w:sz w:val="24"/>
                <w:szCs w:val="24"/>
                <w:rtl w:val="0"/>
              </w:rPr>
              <w:t xml:space="preserve">zip folder  </w:t>
            </w: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EFS_ your  </w:t>
            </w: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w:t>
            </w: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28" w:lineRule="auto"/>
              <w:ind w:left="133" w:right="186"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w:t>
            </w:r>
          </w:p>
          <w:p w:rsidR="00000000" w:rsidDel="00000000" w:rsidP="00000000" w:rsidRDefault="00000000" w:rsidRPr="00000000" w14:paraId="000000C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p>
          <w:p w:rsidR="00000000" w:rsidDel="00000000" w:rsidP="00000000" w:rsidRDefault="00000000" w:rsidRPr="00000000" w14:paraId="000000C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28" w:lineRule="auto"/>
              <w:ind w:left="133" w:right="54" w:firstLine="0"/>
              <w:rPr>
                <w:color w:val="000000"/>
                <w:sz w:val="24"/>
                <w:szCs w:val="24"/>
              </w:rPr>
            </w:pPr>
            <w:r w:rsidDel="00000000" w:rsidR="00000000" w:rsidRPr="00000000">
              <w:rPr>
                <w:color w:val="000000"/>
                <w:sz w:val="24"/>
                <w:szCs w:val="24"/>
                <w:rtl w:val="0"/>
              </w:rPr>
              <w:t xml:space="preserve">period_ organisation name</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response to  </w:t>
            </w: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12_ your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 consortium  </w:t>
            </w: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28" w:lineRule="auto"/>
              <w:ind w:left="116" w:right="361" w:firstLine="0"/>
              <w:rPr>
                <w:color w:val="000000"/>
                <w:sz w:val="24"/>
                <w:szCs w:val="24"/>
              </w:rPr>
            </w:pPr>
            <w:r w:rsidDel="00000000" w:rsidR="00000000" w:rsidRPr="00000000">
              <w:rPr>
                <w:color w:val="000000"/>
                <w:sz w:val="24"/>
                <w:szCs w:val="24"/>
                <w:rtl w:val="0"/>
              </w:rPr>
              <w:t xml:space="preserve">Accounts (3 years) for</w:t>
            </w:r>
          </w:p>
          <w:p w:rsidR="00000000" w:rsidDel="00000000" w:rsidP="00000000" w:rsidRDefault="00000000" w:rsidRPr="00000000" w14:paraId="000000D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w:t>
            </w:r>
            <w:r w:rsidDel="00000000" w:rsidR="00000000" w:rsidRPr="00000000">
              <w:rPr>
                <w:rtl w:val="0"/>
              </w:rPr>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ind w:left="216" w:right="696" w:firstLine="0"/>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ind w:left="216" w:firstLine="0"/>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ind w:left="216" w:right="695" w:firstLine="0"/>
              <w:rPr>
                <w:color w:val="000000"/>
              </w:rPr>
            </w:pPr>
            <w:r w:rsidDel="00000000" w:rsidR="00000000" w:rsidRPr="00000000">
              <w:rPr>
                <w:color w:val="000000"/>
                <w:sz w:val="24"/>
                <w:szCs w:val="24"/>
                <w:rtl w:val="0"/>
              </w:rPr>
              <w:t xml:space="preserve">Ultimate 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Period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ind w:left="74" w:hanging="42"/>
              <w:rPr>
                <w:color w:val="000000"/>
                <w:sz w:val="24"/>
                <w:szCs w:val="24"/>
              </w:rPr>
            </w:pPr>
            <w:r w:rsidDel="00000000" w:rsidR="00000000" w:rsidRPr="00000000">
              <w:rPr>
                <w:color w:val="000000"/>
                <w:sz w:val="24"/>
                <w:szCs w:val="24"/>
                <w:rtl w:val="0"/>
              </w:rPr>
              <w:t xml:space="preserve">12_ consortia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ind w:left="74" w:hanging="42"/>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73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Any additional  </w:t>
            </w:r>
            <w:r w:rsidDel="00000000" w:rsidR="00000000" w:rsidRPr="00000000">
              <w:rPr>
                <w:rtl w:val="0"/>
              </w:rPr>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ind w:left="74" w:hanging="42"/>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ind w:left="74" w:hanging="42"/>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before="271" w:lineRule="auto"/>
              <w:ind w:left="74" w:hanging="42"/>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ind w:left="74" w:right="190" w:hanging="42"/>
              <w:rPr>
                <w:color w:val="000000"/>
                <w:sz w:val="24"/>
                <w:szCs w:val="24"/>
              </w:rPr>
            </w:pPr>
            <w:r w:rsidDel="00000000" w:rsidR="00000000" w:rsidRPr="00000000">
              <w:rPr>
                <w:color w:val="000000"/>
                <w:sz w:val="24"/>
                <w:szCs w:val="24"/>
                <w:rtl w:val="0"/>
              </w:rPr>
              <w:t xml:space="preserve">Organisation</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ind w:left="74" w:right="190" w:hanging="42"/>
              <w:rPr>
                <w:color w:val="000000"/>
              </w:rPr>
            </w:pPr>
            <w:r w:rsidDel="00000000" w:rsidR="00000000" w:rsidRPr="00000000">
              <w:rPr>
                <w:color w:val="000000"/>
                <w:sz w:val="24"/>
                <w:szCs w:val="24"/>
                <w:rtl w:val="0"/>
              </w:rPr>
              <w:t xml:space="preserve">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28" w:lineRule="auto"/>
              <w:ind w:left="121" w:right="157" w:firstLine="5"/>
              <w:rPr>
                <w:color w:val="000000"/>
                <w:sz w:val="24"/>
                <w:szCs w:val="24"/>
              </w:rPr>
            </w:pPr>
            <w:r w:rsidDel="00000000" w:rsidR="00000000" w:rsidRPr="00000000">
              <w:rPr>
                <w:color w:val="000000"/>
                <w:sz w:val="24"/>
                <w:szCs w:val="24"/>
                <w:rtl w:val="0"/>
              </w:rPr>
              <w:t xml:space="preserve">AdFVRA_ your organisation  </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tbl>
      <w:tblPr>
        <w:tblStyle w:val="Table5"/>
        <w:tblW w:w="9244.0" w:type="dxa"/>
        <w:jc w:val="left"/>
        <w:tblInd w:w="102.0" w:type="dxa"/>
        <w:tblLayout w:type="fixed"/>
        <w:tblLook w:val="0000"/>
      </w:tblPr>
      <w:tblGrid>
        <w:gridCol w:w="2582"/>
        <w:gridCol w:w="2409"/>
        <w:gridCol w:w="1985"/>
        <w:gridCol w:w="2268"/>
        <w:tblGridChange w:id="0">
          <w:tblGrid>
            <w:gridCol w:w="2582"/>
            <w:gridCol w:w="2409"/>
            <w:gridCol w:w="1985"/>
            <w:gridCol w:w="2268"/>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ind w:right="1314"/>
              <w:jc w:val="right"/>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ind w:left="-210" w:right="1002" w:firstLine="0"/>
              <w:jc w:val="center"/>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2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28" w:lineRule="auto"/>
              <w:ind w:left="128" w:right="121" w:firstLine="0"/>
              <w:rPr>
                <w:color w:val="00000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12_ consortium  </w:t>
            </w: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Any additional  </w:t>
            </w: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271" w:lineRule="auto"/>
              <w:ind w:left="116" w:firstLine="0"/>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456" w:lineRule="auto"/>
              <w:ind w:left="121" w:right="190" w:firstLine="0"/>
              <w:rPr>
                <w:color w:val="00000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28" w:lineRule="auto"/>
              <w:ind w:left="121" w:right="63" w:hanging="5"/>
              <w:rPr>
                <w:color w:val="000000"/>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28" w:lineRule="auto"/>
        <w:ind w:right="175"/>
        <w:rPr>
          <w:color w:val="000000"/>
          <w:sz w:val="19"/>
          <w:szCs w:val="19"/>
        </w:rPr>
      </w:pP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28" w:lineRule="auto"/>
        <w:ind w:right="175"/>
        <w:rPr>
          <w:color w:val="000000"/>
        </w:rPr>
      </w:pPr>
      <w:r w:rsidDel="00000000" w:rsidR="00000000" w:rsidRPr="00000000">
        <w:rPr>
          <w:rtl w:val="0"/>
        </w:rPr>
      </w:r>
    </w:p>
    <w:sectPr>
      <w:footerReference r:id="rId12" w:type="default"/>
      <w:pgSz w:h="16820" w:w="11906" w:orient="portrait"/>
      <w:pgMar w:bottom="538" w:top="977" w:left="1437" w:right="12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4513"/>
        <w:tab w:val="right" w:leader="none" w:pos="9026"/>
      </w:tabs>
      <w:rPr>
        <w:color w:val="000000"/>
        <w:sz w:val="18"/>
        <w:szCs w:val="18"/>
      </w:rPr>
    </w:pPr>
    <w:r w:rsidDel="00000000" w:rsidR="00000000" w:rsidRPr="00000000">
      <w:rPr>
        <w:color w:val="000000"/>
        <w:sz w:val="18"/>
        <w:szCs w:val="18"/>
        <w:rtl w:val="0"/>
      </w:rPr>
      <w:t xml:space="preserve">SGG G157 Attachment 5 Financial Viability Risk Assessment Instructions v4.0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o"/>
      <w:lvlJc w:val="left"/>
      <w:pPr>
        <w:ind w:left="1511" w:hanging="360"/>
      </w:pPr>
      <w:rPr>
        <w:rFonts w:ascii="Courier New" w:cs="Courier New" w:eastAsia="Courier New" w:hAnsi="Courier New"/>
      </w:rPr>
    </w:lvl>
    <w:lvl w:ilvl="1">
      <w:start w:val="1"/>
      <w:numFmt w:val="bullet"/>
      <w:lvlText w:val="o"/>
      <w:lvlJc w:val="left"/>
      <w:pPr>
        <w:ind w:left="2231" w:hanging="360"/>
      </w:pPr>
      <w:rPr>
        <w:rFonts w:ascii="Courier New" w:cs="Courier New" w:eastAsia="Courier New" w:hAnsi="Courier New"/>
      </w:rPr>
    </w:lvl>
    <w:lvl w:ilvl="2">
      <w:start w:val="1"/>
      <w:numFmt w:val="bullet"/>
      <w:lvlText w:val="▪"/>
      <w:lvlJc w:val="left"/>
      <w:pPr>
        <w:ind w:left="2951" w:hanging="360"/>
      </w:pPr>
      <w:rPr>
        <w:rFonts w:ascii="Noto Sans Symbols" w:cs="Noto Sans Symbols" w:eastAsia="Noto Sans Symbols" w:hAnsi="Noto Sans Symbols"/>
      </w:rPr>
    </w:lvl>
    <w:lvl w:ilvl="3">
      <w:start w:val="1"/>
      <w:numFmt w:val="bullet"/>
      <w:lvlText w:val="●"/>
      <w:lvlJc w:val="left"/>
      <w:pPr>
        <w:ind w:left="3671" w:hanging="360"/>
      </w:pPr>
      <w:rPr>
        <w:rFonts w:ascii="Noto Sans Symbols" w:cs="Noto Sans Symbols" w:eastAsia="Noto Sans Symbols" w:hAnsi="Noto Sans Symbols"/>
      </w:rPr>
    </w:lvl>
    <w:lvl w:ilvl="4">
      <w:start w:val="1"/>
      <w:numFmt w:val="bullet"/>
      <w:lvlText w:val="o"/>
      <w:lvlJc w:val="left"/>
      <w:pPr>
        <w:ind w:left="4391" w:hanging="360"/>
      </w:pPr>
      <w:rPr>
        <w:rFonts w:ascii="Courier New" w:cs="Courier New" w:eastAsia="Courier New" w:hAnsi="Courier New"/>
      </w:rPr>
    </w:lvl>
    <w:lvl w:ilvl="5">
      <w:start w:val="1"/>
      <w:numFmt w:val="bullet"/>
      <w:lvlText w:val="▪"/>
      <w:lvlJc w:val="left"/>
      <w:pPr>
        <w:ind w:left="5111" w:hanging="360"/>
      </w:pPr>
      <w:rPr>
        <w:rFonts w:ascii="Noto Sans Symbols" w:cs="Noto Sans Symbols" w:eastAsia="Noto Sans Symbols" w:hAnsi="Noto Sans Symbols"/>
      </w:rPr>
    </w:lvl>
    <w:lvl w:ilvl="6">
      <w:start w:val="1"/>
      <w:numFmt w:val="bullet"/>
      <w:lvlText w:val="●"/>
      <w:lvlJc w:val="left"/>
      <w:pPr>
        <w:ind w:left="5831" w:hanging="360"/>
      </w:pPr>
      <w:rPr>
        <w:rFonts w:ascii="Noto Sans Symbols" w:cs="Noto Sans Symbols" w:eastAsia="Noto Sans Symbols" w:hAnsi="Noto Sans Symbols"/>
      </w:rPr>
    </w:lvl>
    <w:lvl w:ilvl="7">
      <w:start w:val="1"/>
      <w:numFmt w:val="bullet"/>
      <w:lvlText w:val="o"/>
      <w:lvlJc w:val="left"/>
      <w:pPr>
        <w:ind w:left="6551" w:hanging="360"/>
      </w:pPr>
      <w:rPr>
        <w:rFonts w:ascii="Courier New" w:cs="Courier New" w:eastAsia="Courier New" w:hAnsi="Courier New"/>
      </w:rPr>
    </w:lvl>
    <w:lvl w:ilvl="8">
      <w:start w:val="1"/>
      <w:numFmt w:val="bullet"/>
      <w:lvlText w:val="▪"/>
      <w:lvlJc w:val="left"/>
      <w:pPr>
        <w:ind w:left="7271" w:hanging="360"/>
      </w:pPr>
      <w:rPr>
        <w:rFonts w:ascii="Noto Sans Symbols" w:cs="Noto Sans Symbols" w:eastAsia="Noto Sans Symbols" w:hAnsi="Noto Sans Symbols"/>
      </w:rPr>
    </w:lvl>
  </w:abstractNum>
  <w:abstractNum w:abstractNumId="4">
    <w:lvl w:ilvl="0">
      <w:start w:val="1"/>
      <w:numFmt w:val="bullet"/>
      <w:lvlText w:val="●"/>
      <w:lvlJc w:val="left"/>
      <w:pPr>
        <w:ind w:left="762" w:hanging="360"/>
      </w:pPr>
      <w:rPr>
        <w:rFonts w:ascii="Noto Sans Symbols" w:cs="Noto Sans Symbols" w:eastAsia="Noto Sans Symbols" w:hAnsi="Noto Sans Symbols"/>
      </w:rPr>
    </w:lvl>
    <w:lvl w:ilvl="1">
      <w:start w:val="1"/>
      <w:numFmt w:val="bullet"/>
      <w:lvlText w:val="o"/>
      <w:lvlJc w:val="left"/>
      <w:pPr>
        <w:ind w:left="1482" w:hanging="360"/>
      </w:pPr>
      <w:rPr>
        <w:rFonts w:ascii="Courier New" w:cs="Courier New" w:eastAsia="Courier New" w:hAnsi="Courier New"/>
      </w:rPr>
    </w:lvl>
    <w:lvl w:ilvl="2">
      <w:start w:val="1"/>
      <w:numFmt w:val="bullet"/>
      <w:lvlText w:val="▪"/>
      <w:lvlJc w:val="left"/>
      <w:pPr>
        <w:ind w:left="2202" w:hanging="360"/>
      </w:pPr>
      <w:rPr>
        <w:rFonts w:ascii="Noto Sans Symbols" w:cs="Noto Sans Symbols" w:eastAsia="Noto Sans Symbols" w:hAnsi="Noto Sans Symbols"/>
      </w:rPr>
    </w:lvl>
    <w:lvl w:ilvl="3">
      <w:start w:val="1"/>
      <w:numFmt w:val="bullet"/>
      <w:lvlText w:val="●"/>
      <w:lvlJc w:val="left"/>
      <w:pPr>
        <w:ind w:left="2922" w:hanging="360"/>
      </w:pPr>
      <w:rPr>
        <w:rFonts w:ascii="Noto Sans Symbols" w:cs="Noto Sans Symbols" w:eastAsia="Noto Sans Symbols" w:hAnsi="Noto Sans Symbols"/>
      </w:rPr>
    </w:lvl>
    <w:lvl w:ilvl="4">
      <w:start w:val="1"/>
      <w:numFmt w:val="bullet"/>
      <w:lvlText w:val="o"/>
      <w:lvlJc w:val="left"/>
      <w:pPr>
        <w:ind w:left="3642" w:hanging="360"/>
      </w:pPr>
      <w:rPr>
        <w:rFonts w:ascii="Courier New" w:cs="Courier New" w:eastAsia="Courier New" w:hAnsi="Courier New"/>
      </w:rPr>
    </w:lvl>
    <w:lvl w:ilvl="5">
      <w:start w:val="1"/>
      <w:numFmt w:val="bullet"/>
      <w:lvlText w:val="▪"/>
      <w:lvlJc w:val="left"/>
      <w:pPr>
        <w:ind w:left="4362" w:hanging="360"/>
      </w:pPr>
      <w:rPr>
        <w:rFonts w:ascii="Noto Sans Symbols" w:cs="Noto Sans Symbols" w:eastAsia="Noto Sans Symbols" w:hAnsi="Noto Sans Symbols"/>
      </w:rPr>
    </w:lvl>
    <w:lvl w:ilvl="6">
      <w:start w:val="1"/>
      <w:numFmt w:val="bullet"/>
      <w:lvlText w:val="●"/>
      <w:lvlJc w:val="left"/>
      <w:pPr>
        <w:ind w:left="5082" w:hanging="360"/>
      </w:pPr>
      <w:rPr>
        <w:rFonts w:ascii="Noto Sans Symbols" w:cs="Noto Sans Symbols" w:eastAsia="Noto Sans Symbols" w:hAnsi="Noto Sans Symbols"/>
      </w:rPr>
    </w:lvl>
    <w:lvl w:ilvl="7">
      <w:start w:val="1"/>
      <w:numFmt w:val="bullet"/>
      <w:lvlText w:val="o"/>
      <w:lvlJc w:val="left"/>
      <w:pPr>
        <w:ind w:left="5802" w:hanging="360"/>
      </w:pPr>
      <w:rPr>
        <w:rFonts w:ascii="Courier New" w:cs="Courier New" w:eastAsia="Courier New" w:hAnsi="Courier New"/>
      </w:rPr>
    </w:lvl>
    <w:lvl w:ilvl="8">
      <w:start w:val="1"/>
      <w:numFmt w:val="bullet"/>
      <w:lvlText w:val="▪"/>
      <w:lvlJc w:val="left"/>
      <w:pPr>
        <w:ind w:left="652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tandard" w:customStyle="1">
    <w:name w:val="Standard"/>
    <w:pPr>
      <w:suppressAutoHyphens w:val="1"/>
      <w:spacing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cs="Segoe UI" w:eastAsia="Segoe UI" w:hAnsi="Segoe UI"/>
      <w:sz w:val="18"/>
      <w:szCs w:val="18"/>
    </w:rPr>
  </w:style>
  <w:style w:type="paragraph" w:styleId="CommentSubject">
    <w:name w:val="annotation subject"/>
    <w:basedOn w:val="CommentText"/>
    <w:rPr>
      <w:b w:val="1"/>
      <w:bCs w:val="1"/>
    </w:rPr>
  </w:style>
  <w:style w:type="paragraph" w:styleId="ListParagraph">
    <w:name w:val="List Paragraph"/>
    <w:basedOn w:val="Normal"/>
    <w:pPr>
      <w:ind w:left="720"/>
    </w:p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cs="Segoe UI" w:eastAsia="Segoe UI" w:hAnsi="Segoe UI"/>
      <w:sz w:val="18"/>
      <w:szCs w:val="18"/>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sz w:val="24"/>
      <w:u w:val="none"/>
    </w:rPr>
  </w:style>
  <w:style w:type="character" w:styleId="ListLabel2" w:customStyle="1">
    <w:name w:val="ListLabel 2"/>
    <w:rPr>
      <w:u w:val="none"/>
    </w:rPr>
  </w:style>
  <w:style w:type="character" w:styleId="ListLabel3" w:customStyle="1">
    <w:name w:val="ListLabel 3"/>
    <w:rPr>
      <w:u w:val="none"/>
    </w:rPr>
  </w:style>
  <w:style w:type="character" w:styleId="ListLabel4" w:customStyle="1">
    <w:name w:val="ListLabel 4"/>
    <w:rPr>
      <w:u w:val="none"/>
    </w:rPr>
  </w:style>
  <w:style w:type="character" w:styleId="ListLabel5" w:customStyle="1">
    <w:name w:val="ListLabel 5"/>
    <w:rPr>
      <w:u w:val="none"/>
    </w:rPr>
  </w:style>
  <w:style w:type="character" w:styleId="ListLabel6" w:customStyle="1">
    <w:name w:val="ListLabel 6"/>
    <w:rPr>
      <w:u w:val="none"/>
    </w:rPr>
  </w:style>
  <w:style w:type="character" w:styleId="ListLabel7" w:customStyle="1">
    <w:name w:val="ListLabel 7"/>
    <w:rPr>
      <w:u w:val="none"/>
    </w:rPr>
  </w:style>
  <w:style w:type="character" w:styleId="ListLabel8" w:customStyle="1">
    <w:name w:val="ListLabel 8"/>
    <w:rPr>
      <w:u w:val="none"/>
    </w:rPr>
  </w:style>
  <w:style w:type="character" w:styleId="ListLabel9" w:customStyle="1">
    <w:name w:val="ListLabel 9"/>
    <w:rPr>
      <w:u w:val="none"/>
    </w:rPr>
  </w:style>
  <w:style w:type="character" w:styleId="ListLabel10" w:customStyle="1">
    <w:name w:val="ListLabel 10"/>
    <w:rPr>
      <w:color w:val="1155cc"/>
      <w:sz w:val="24"/>
      <w:szCs w:val="24"/>
      <w:u w:val="single"/>
    </w:rPr>
  </w:style>
  <w:style w:type="character" w:styleId="Internetlink" w:customStyle="1">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styleId="HeaderChar" w:customStyle="1">
    <w:name w:val="Header Char"/>
    <w:basedOn w:val="DefaultParagraphFont"/>
    <w:rPr>
      <w:rFonts w:cs="Mangal"/>
      <w:szCs w:val="20"/>
    </w:rPr>
  </w:style>
  <w:style w:type="paragraph" w:styleId="Footer">
    <w:name w:val="footer"/>
    <w:basedOn w:val="Normal"/>
    <w:uiPriority w:val="99"/>
    <w:pPr>
      <w:tabs>
        <w:tab w:val="center" w:pos="4513"/>
        <w:tab w:val="right" w:pos="9026"/>
      </w:tabs>
    </w:pPr>
    <w:rPr>
      <w:rFonts w:cs="Mangal"/>
      <w:szCs w:val="20"/>
    </w:rPr>
  </w:style>
  <w:style w:type="character" w:styleId="FooterChar" w:customStyle="1">
    <w:name w:val="Footer Char"/>
    <w:basedOn w:val="DefaultParagraphFont"/>
    <w:uiPriority w:val="99"/>
    <w:rPr>
      <w:rFonts w:cs="Mangal"/>
      <w:szCs w:val="20"/>
    </w:rPr>
  </w:style>
  <w:style w:type="paragraph" w:styleId="NormalWeb">
    <w:name w:val="Normal (Web)"/>
    <w:basedOn w:val="Normal"/>
    <w:pPr>
      <w:suppressAutoHyphens w:val="0"/>
      <w:spacing w:after="100" w:before="100"/>
    </w:pPr>
    <w:rPr>
      <w:rFonts w:ascii="Times New Roman" w:cs="Times New Roman" w:eastAsia="Times New Roman" w:hAnsi="Times New Roman"/>
      <w:sz w:val="24"/>
      <w:szCs w:val="24"/>
    </w:rPr>
  </w:style>
  <w:style w:type="numbering" w:styleId="NoList1" w:customStyle="1">
    <w:name w:val="No List_1"/>
    <w:basedOn w:val="NoList"/>
  </w:style>
  <w:style w:type="numbering" w:styleId="WWNum1" w:customStyle="1">
    <w:name w:val="WWNum1"/>
    <w:basedOn w:val="NoList"/>
  </w:style>
  <w:style w:type="numbering" w:styleId="WWNum2" w:customStyle="1">
    <w:name w:val="WWNum2"/>
    <w:basedOn w:val="NoList"/>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character" w:styleId="Hyperlink">
    <w:name w:val="Hyperlink"/>
    <w:basedOn w:val="DefaultParagraphFont"/>
    <w:uiPriority w:val="99"/>
    <w:unhideWhenUsed w:val="1"/>
    <w:rsid w:val="00DE33BA"/>
    <w:rPr>
      <w:color w:val="0563c1" w:themeColor="hyperlink"/>
      <w:u w:val="single"/>
    </w:rPr>
  </w:style>
  <w:style w:type="character" w:styleId="UnresolvedMention">
    <w:name w:val="Unresolved Mention"/>
    <w:basedOn w:val="DefaultParagraphFont"/>
    <w:uiPriority w:val="99"/>
    <w:semiHidden w:val="1"/>
    <w:unhideWhenUsed w:val="1"/>
    <w:rsid w:val="00DE33BA"/>
    <w:rPr>
      <w:color w:val="605e5c"/>
      <w:shd w:color="auto" w:fill="e1dfdd" w:val="clear"/>
    </w:rPr>
  </w:style>
  <w:style w:type="character" w:styleId="FollowedHyperlink">
    <w:name w:val="FollowedHyperlink"/>
    <w:basedOn w:val="DefaultParagraphFont"/>
    <w:uiPriority w:val="99"/>
    <w:semiHidden w:val="1"/>
    <w:unhideWhenUsed w:val="1"/>
    <w:rsid w:val="00564246"/>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egislation.gov.uk/uksi/2015/102/regulation/60/made" TargetMode="External"/><Relationship Id="rId10" Type="http://schemas.openxmlformats.org/officeDocument/2006/relationships/hyperlink" Target="https://assets.publishing.service.gov.uk/government/uploads/system/uploads/attachment_data/file/1163542/EFS_Guidance_Note.pdf" TargetMode="External"/><Relationship Id="rId12" Type="http://schemas.openxmlformats.org/officeDocument/2006/relationships/footer" Target="footer1.xml"/><Relationship Id="rId9" Type="http://schemas.openxmlformats.org/officeDocument/2006/relationships/hyperlink" Target="https://assets.publishing.service.gov.uk/government/uploads/system/uploads/attachment_data/file/1163766/Sourcing_Playbook_Final.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1163542/EFS_Guidance_Not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TpztQE51uX52bfgEiaiNsGpzxQ==">CgMxLjAyCGguZ2pkZ3hzMgloLjN6bnlzaDcyCWguMzBqMHpsbDIJaC4xZm9iOXRlOAByITFLdUpNTEt3dVhZeVJ4WkVZS2ZXYVJxOWI1bTZuTWx4Mw==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2024-01-17T19:58:00Z</dcterms:created>
  <dc:creator>Caroline Bradshaw</dc:creator>
</cp:coreProperties>
</file>