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52553" w14:textId="0D0BB838" w:rsidR="00654351" w:rsidRPr="00654351" w:rsidRDefault="00654351" w:rsidP="00654351">
      <w:pPr>
        <w:rPr>
          <w:rFonts w:ascii="Arial" w:hAnsi="Arial" w:cs="Arial"/>
          <w:b/>
          <w:bCs/>
        </w:rPr>
      </w:pPr>
      <w:r w:rsidRPr="00654351">
        <w:rPr>
          <w:rFonts w:ascii="Arial" w:hAnsi="Arial" w:cs="Arial"/>
          <w:b/>
          <w:bCs/>
        </w:rPr>
        <w:t>Cash Collection – Request for Quotes</w:t>
      </w:r>
    </w:p>
    <w:p w14:paraId="0CBC1F51" w14:textId="77777777" w:rsidR="00115A81" w:rsidRDefault="00115A81">
      <w:pPr>
        <w:rPr>
          <w:noProof/>
          <w:lang w:eastAsia="en-GB"/>
        </w:rPr>
      </w:pPr>
    </w:p>
    <w:p w14:paraId="280A2C69" w14:textId="531C52DA" w:rsidR="00115A81" w:rsidRPr="00116FBC" w:rsidRDefault="00115A81" w:rsidP="00115A81">
      <w:pPr>
        <w:rPr>
          <w:rFonts w:ascii="Arial" w:hAnsi="Arial" w:cs="Arial"/>
          <w:bCs/>
        </w:rPr>
      </w:pPr>
      <w:r w:rsidRPr="000C49B0">
        <w:rPr>
          <w:rFonts w:ascii="Arial" w:hAnsi="Arial" w:cs="Arial"/>
          <w:b/>
          <w:bCs/>
        </w:rPr>
        <w:t>Introduction:</w:t>
      </w:r>
      <w:r w:rsidRPr="000C49B0">
        <w:rPr>
          <w:rFonts w:ascii="Arial" w:hAnsi="Arial" w:cs="Arial"/>
          <w:b/>
          <w:bCs/>
          <w:color w:val="C00000"/>
        </w:rPr>
        <w:t xml:space="preserve"> </w:t>
      </w:r>
      <w:r w:rsidRPr="00116FBC">
        <w:rPr>
          <w:rFonts w:ascii="Arial" w:hAnsi="Arial" w:cs="Arial"/>
          <w:bCs/>
        </w:rPr>
        <w:t xml:space="preserve">The London Borough of Lambeth </w:t>
      </w:r>
      <w:r w:rsidR="00C31F80">
        <w:rPr>
          <w:rFonts w:ascii="Arial" w:hAnsi="Arial" w:cs="Arial"/>
          <w:bCs/>
        </w:rPr>
        <w:t xml:space="preserve">is </w:t>
      </w:r>
      <w:r w:rsidR="00654351">
        <w:rPr>
          <w:rFonts w:ascii="Arial" w:hAnsi="Arial" w:cs="Arial"/>
          <w:bCs/>
        </w:rPr>
        <w:t>seeking a supplier to deliver</w:t>
      </w:r>
      <w:r w:rsidR="00C31F80">
        <w:rPr>
          <w:rFonts w:ascii="Arial" w:hAnsi="Arial" w:cs="Arial"/>
          <w:bCs/>
        </w:rPr>
        <w:t xml:space="preserve"> a contract</w:t>
      </w:r>
      <w:r w:rsidRPr="00116FBC">
        <w:rPr>
          <w:rFonts w:ascii="Arial" w:hAnsi="Arial" w:cs="Arial"/>
          <w:bCs/>
        </w:rPr>
        <w:t xml:space="preserve"> for a Cash Collection and Cash in Transit Service. The Authority expect</w:t>
      </w:r>
      <w:r w:rsidR="00C31F80">
        <w:rPr>
          <w:rFonts w:ascii="Arial" w:hAnsi="Arial" w:cs="Arial"/>
          <w:bCs/>
        </w:rPr>
        <w:t>s</w:t>
      </w:r>
      <w:r w:rsidRPr="00116FBC">
        <w:rPr>
          <w:rFonts w:ascii="Arial" w:hAnsi="Arial" w:cs="Arial"/>
          <w:bCs/>
        </w:rPr>
        <w:t xml:space="preserve"> the successful Contractor to deliver a range of Cash Collection</w:t>
      </w:r>
      <w:r w:rsidR="00EC3A68">
        <w:rPr>
          <w:rFonts w:ascii="Arial" w:hAnsi="Arial" w:cs="Arial"/>
          <w:bCs/>
        </w:rPr>
        <w:t>/Delivery</w:t>
      </w:r>
      <w:r w:rsidRPr="00116FBC">
        <w:rPr>
          <w:rFonts w:ascii="Arial" w:hAnsi="Arial" w:cs="Arial"/>
          <w:bCs/>
        </w:rPr>
        <w:t xml:space="preserve"> services including the following:</w:t>
      </w:r>
    </w:p>
    <w:p w14:paraId="295684A6" w14:textId="77777777" w:rsidR="00115A81" w:rsidRPr="00116FBC" w:rsidRDefault="00115A81" w:rsidP="00115A81">
      <w:pPr>
        <w:rPr>
          <w:rFonts w:ascii="Arial" w:hAnsi="Arial" w:cs="Arial"/>
          <w:bCs/>
        </w:rPr>
      </w:pPr>
    </w:p>
    <w:p w14:paraId="772B993C" w14:textId="77777777" w:rsidR="00115A81" w:rsidRPr="00116FBC" w:rsidRDefault="00115A81" w:rsidP="00662E8E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116FBC">
        <w:rPr>
          <w:rFonts w:ascii="Arial" w:hAnsi="Arial" w:cs="Arial"/>
          <w:bCs/>
        </w:rPr>
        <w:t xml:space="preserve">The secure collection of </w:t>
      </w:r>
      <w:r w:rsidR="00FA3A03" w:rsidRPr="00116FBC">
        <w:rPr>
          <w:rFonts w:ascii="Arial" w:hAnsi="Arial" w:cs="Arial"/>
          <w:bCs/>
        </w:rPr>
        <w:t>cash/cheques</w:t>
      </w:r>
      <w:r w:rsidR="00272519" w:rsidRPr="00116FBC">
        <w:rPr>
          <w:rFonts w:ascii="Arial" w:hAnsi="Arial" w:cs="Arial"/>
          <w:bCs/>
        </w:rPr>
        <w:t xml:space="preserve"> from the sites specified within (Appendix 1 Cash Collection Sites and Schedules)</w:t>
      </w:r>
    </w:p>
    <w:p w14:paraId="5EA29732" w14:textId="77777777" w:rsidR="00272519" w:rsidRPr="00116FBC" w:rsidRDefault="00272519" w:rsidP="00662E8E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116FBC">
        <w:rPr>
          <w:rFonts w:ascii="Arial" w:hAnsi="Arial" w:cs="Arial"/>
          <w:bCs/>
        </w:rPr>
        <w:t>The secure storage of all cash/cheques whilst in transit</w:t>
      </w:r>
    </w:p>
    <w:p w14:paraId="1E8F3182" w14:textId="77777777" w:rsidR="00272519" w:rsidRPr="00116FBC" w:rsidRDefault="00272519" w:rsidP="00662E8E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116FBC">
        <w:rPr>
          <w:rFonts w:ascii="Arial" w:hAnsi="Arial" w:cs="Arial"/>
          <w:bCs/>
        </w:rPr>
        <w:t>The processing, reconciliation, banking and accurate recording of any cash/cheques collected from the sites specified within (Appendix 1 Cash Collection Sites and Schedules)</w:t>
      </w:r>
    </w:p>
    <w:p w14:paraId="766B019E" w14:textId="77777777" w:rsidR="00272519" w:rsidRPr="00116FBC" w:rsidRDefault="00272519" w:rsidP="00662E8E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116FBC">
        <w:rPr>
          <w:rFonts w:ascii="Arial" w:hAnsi="Arial" w:cs="Arial"/>
          <w:bCs/>
        </w:rPr>
        <w:t>The provision of a change float service as specified by the authority within the Schedule 2 – Authority Requirements document.</w:t>
      </w:r>
    </w:p>
    <w:p w14:paraId="022A0FDA" w14:textId="77777777" w:rsidR="00272519" w:rsidRPr="00116FBC" w:rsidRDefault="00272519" w:rsidP="00662E8E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116FBC">
        <w:rPr>
          <w:rFonts w:ascii="Arial" w:hAnsi="Arial" w:cs="Arial"/>
          <w:bCs/>
        </w:rPr>
        <w:t>The onward delivery/depositing of any cash requested by the Authority to a nominated Cash receiving facility or bank account</w:t>
      </w:r>
    </w:p>
    <w:p w14:paraId="22AEBEA4" w14:textId="77777777" w:rsidR="00272519" w:rsidRDefault="00272519" w:rsidP="00662E8E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116FBC">
        <w:rPr>
          <w:rFonts w:ascii="Arial" w:hAnsi="Arial" w:cs="Arial"/>
          <w:bCs/>
        </w:rPr>
        <w:t xml:space="preserve">A secure facility where cash/cheques can be stored overnight. </w:t>
      </w:r>
    </w:p>
    <w:p w14:paraId="24D46602" w14:textId="77777777" w:rsidR="00C31F80" w:rsidRPr="00116FBC" w:rsidRDefault="00C31F80" w:rsidP="00662E8E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Automated ordering system for cash deliveries</w:t>
      </w:r>
    </w:p>
    <w:p w14:paraId="035A2FB3" w14:textId="77777777" w:rsidR="006252F7" w:rsidRPr="00116FBC" w:rsidRDefault="006252F7" w:rsidP="006252F7">
      <w:pPr>
        <w:rPr>
          <w:rFonts w:ascii="Arial" w:hAnsi="Arial" w:cs="Arial"/>
          <w:b/>
          <w:bCs/>
        </w:rPr>
      </w:pPr>
    </w:p>
    <w:p w14:paraId="35E498C1" w14:textId="568C3859" w:rsidR="00115A81" w:rsidRPr="00116FBC" w:rsidRDefault="00272519" w:rsidP="006252F7">
      <w:pPr>
        <w:rPr>
          <w:rFonts w:ascii="Arial" w:hAnsi="Arial" w:cs="Arial"/>
          <w:bCs/>
        </w:rPr>
      </w:pPr>
      <w:r w:rsidRPr="00116FBC">
        <w:rPr>
          <w:rFonts w:ascii="Arial" w:hAnsi="Arial" w:cs="Arial"/>
          <w:b/>
          <w:bCs/>
        </w:rPr>
        <w:t>Contract</w:t>
      </w:r>
      <w:r w:rsidR="00115A81" w:rsidRPr="00116FBC">
        <w:rPr>
          <w:rFonts w:ascii="Arial" w:hAnsi="Arial" w:cs="Arial"/>
          <w:b/>
          <w:bCs/>
        </w:rPr>
        <w:t xml:space="preserve"> Description:</w:t>
      </w:r>
      <w:r w:rsidR="00115A81" w:rsidRPr="00116FBC">
        <w:rPr>
          <w:rFonts w:ascii="Arial" w:hAnsi="Arial" w:cs="Arial"/>
        </w:rPr>
        <w:t xml:space="preserve"> </w:t>
      </w:r>
      <w:r w:rsidR="00D86990" w:rsidRPr="00116FBC">
        <w:rPr>
          <w:rFonts w:ascii="Arial" w:hAnsi="Arial" w:cs="Arial"/>
        </w:rPr>
        <w:t>The London Borough of Lambeth</w:t>
      </w:r>
      <w:r w:rsidR="004A377A" w:rsidRPr="00116FBC">
        <w:rPr>
          <w:rFonts w:ascii="Arial" w:hAnsi="Arial" w:cs="Arial"/>
        </w:rPr>
        <w:t xml:space="preserve"> is </w:t>
      </w:r>
      <w:r w:rsidR="00654351">
        <w:rPr>
          <w:rFonts w:ascii="Arial" w:hAnsi="Arial" w:cs="Arial"/>
        </w:rPr>
        <w:t>seeking to award</w:t>
      </w:r>
      <w:r w:rsidR="004A377A" w:rsidRPr="00116FBC">
        <w:rPr>
          <w:rFonts w:ascii="Arial" w:hAnsi="Arial" w:cs="Arial"/>
        </w:rPr>
        <w:t xml:space="preserve"> a </w:t>
      </w:r>
      <w:proofErr w:type="gramStart"/>
      <w:r w:rsidR="004A377A" w:rsidRPr="00116FBC">
        <w:rPr>
          <w:rFonts w:ascii="Arial" w:hAnsi="Arial" w:cs="Arial"/>
        </w:rPr>
        <w:t>12 month</w:t>
      </w:r>
      <w:proofErr w:type="gramEnd"/>
      <w:r w:rsidR="004A377A" w:rsidRPr="00116FBC">
        <w:rPr>
          <w:rFonts w:ascii="Arial" w:hAnsi="Arial" w:cs="Arial"/>
        </w:rPr>
        <w:t xml:space="preserve"> contract for a cash collection and delivery service. The Authority</w:t>
      </w:r>
      <w:r w:rsidR="00D86990" w:rsidRPr="00116FBC">
        <w:rPr>
          <w:rFonts w:ascii="Arial" w:hAnsi="Arial" w:cs="Arial"/>
        </w:rPr>
        <w:t xml:space="preserve"> receives cash/cheque payments at </w:t>
      </w:r>
      <w:proofErr w:type="gramStart"/>
      <w:r w:rsidR="00D86990" w:rsidRPr="00116FBC">
        <w:rPr>
          <w:rFonts w:ascii="Arial" w:hAnsi="Arial" w:cs="Arial"/>
        </w:rPr>
        <w:t>a number of</w:t>
      </w:r>
      <w:proofErr w:type="gramEnd"/>
      <w:r w:rsidR="00D86990" w:rsidRPr="00116FBC">
        <w:rPr>
          <w:rFonts w:ascii="Arial" w:hAnsi="Arial" w:cs="Arial"/>
        </w:rPr>
        <w:t xml:space="preserve"> sites </w:t>
      </w:r>
      <w:r w:rsidR="00C31F80">
        <w:rPr>
          <w:rFonts w:ascii="Arial" w:hAnsi="Arial" w:cs="Arial"/>
        </w:rPr>
        <w:t xml:space="preserve">across the Borough of Lambeth </w:t>
      </w:r>
      <w:r w:rsidR="00D86990" w:rsidRPr="00116FBC">
        <w:rPr>
          <w:rFonts w:ascii="Arial" w:hAnsi="Arial" w:cs="Arial"/>
        </w:rPr>
        <w:t>which include libraries, cemeteries and administrative buildings.</w:t>
      </w:r>
      <w:r w:rsidR="00D86990" w:rsidRPr="00116FBC">
        <w:t xml:space="preserve"> </w:t>
      </w:r>
      <w:r w:rsidR="00D86990" w:rsidRPr="00116FBC">
        <w:rPr>
          <w:rFonts w:ascii="Arial" w:hAnsi="Arial" w:cs="Arial"/>
        </w:rPr>
        <w:t>All monies</w:t>
      </w:r>
      <w:r w:rsidR="00C31F80">
        <w:rPr>
          <w:rFonts w:ascii="Arial" w:hAnsi="Arial" w:cs="Arial"/>
        </w:rPr>
        <w:t xml:space="preserve"> must be</w:t>
      </w:r>
      <w:r w:rsidR="00D86990" w:rsidRPr="00116FBC">
        <w:rPr>
          <w:rFonts w:ascii="Arial" w:hAnsi="Arial" w:cs="Arial"/>
        </w:rPr>
        <w:t xml:space="preserve"> collected according to the schedule provided and banked into the Authorities bank account within 48 hours of collection. The sites to be serviced and collection frequencies are listed within (Appendix 1 Cash Collection Sites and Schedules). </w:t>
      </w:r>
    </w:p>
    <w:p w14:paraId="1DC4FCD5" w14:textId="77777777" w:rsidR="00D86990" w:rsidRPr="00116FBC" w:rsidRDefault="00D86990" w:rsidP="00D86990">
      <w:pPr>
        <w:rPr>
          <w:rFonts w:ascii="Arial" w:hAnsi="Arial" w:cs="Arial"/>
        </w:rPr>
      </w:pPr>
      <w:r w:rsidRPr="00116FBC">
        <w:rPr>
          <w:rFonts w:ascii="Arial" w:hAnsi="Arial" w:cs="Arial"/>
        </w:rPr>
        <w:t xml:space="preserve">Schedule 2 – Outlines the Authority Requirements concerning the cash collection services and includes </w:t>
      </w:r>
      <w:r w:rsidR="004A377A" w:rsidRPr="00116FBC">
        <w:rPr>
          <w:rFonts w:ascii="Arial" w:hAnsi="Arial" w:cs="Arial"/>
        </w:rPr>
        <w:t>information around insurances, floats and expectations from the service provider.</w:t>
      </w:r>
    </w:p>
    <w:p w14:paraId="29242D41" w14:textId="77777777" w:rsidR="004A377A" w:rsidRPr="00116FBC" w:rsidRDefault="004A377A" w:rsidP="00D86990">
      <w:pPr>
        <w:rPr>
          <w:rFonts w:ascii="Arial" w:hAnsi="Arial" w:cs="Arial"/>
        </w:rPr>
      </w:pPr>
    </w:p>
    <w:p w14:paraId="6BE8E117" w14:textId="64ED9FA7" w:rsidR="004A377A" w:rsidRPr="00116FBC" w:rsidRDefault="00C31F80" w:rsidP="00D869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The Authority has a </w:t>
      </w:r>
      <w:r w:rsidR="004A377A" w:rsidRPr="00116FBC">
        <w:rPr>
          <w:rFonts w:ascii="Arial" w:hAnsi="Arial" w:cs="Arial"/>
        </w:rPr>
        <w:t xml:space="preserve">requirement for </w:t>
      </w:r>
      <w:r>
        <w:rPr>
          <w:rFonts w:ascii="Arial" w:hAnsi="Arial" w:cs="Arial"/>
        </w:rPr>
        <w:t xml:space="preserve">a call-off service for </w:t>
      </w:r>
      <w:r w:rsidR="004A377A" w:rsidRPr="00116FBC">
        <w:rPr>
          <w:rFonts w:ascii="Arial" w:hAnsi="Arial" w:cs="Arial"/>
        </w:rPr>
        <w:t xml:space="preserve">cash deliveries to the Authorities cash office at The Civic Centre. The Authority will provide a list of nominated staff permitted to place such orders to the successful bidder once the contract is awarded. </w:t>
      </w:r>
    </w:p>
    <w:p w14:paraId="60101E53" w14:textId="77777777" w:rsidR="00115A81" w:rsidRPr="00116FBC" w:rsidRDefault="00115A81" w:rsidP="00115A81">
      <w:pPr>
        <w:ind w:left="360"/>
        <w:rPr>
          <w:rFonts w:ascii="Arial" w:hAnsi="Arial" w:cs="Arial"/>
          <w:b/>
        </w:rPr>
      </w:pPr>
    </w:p>
    <w:p w14:paraId="65683070" w14:textId="77777777" w:rsidR="00115A81" w:rsidRPr="00116FBC" w:rsidRDefault="004A2C8A" w:rsidP="00115A81">
      <w:pPr>
        <w:rPr>
          <w:rFonts w:ascii="Arial" w:hAnsi="Arial" w:cs="Arial"/>
          <w:u w:val="single"/>
        </w:rPr>
      </w:pPr>
      <w:r w:rsidRPr="00116FBC">
        <w:rPr>
          <w:rFonts w:ascii="Arial" w:hAnsi="Arial" w:cs="Arial"/>
          <w:u w:val="single"/>
        </w:rPr>
        <w:t>Bidders should include within their proposals:</w:t>
      </w:r>
    </w:p>
    <w:p w14:paraId="6917342B" w14:textId="77777777" w:rsidR="004A2C8A" w:rsidRPr="00116FBC" w:rsidRDefault="004A2C8A" w:rsidP="00115A81">
      <w:pPr>
        <w:rPr>
          <w:rFonts w:ascii="Arial" w:hAnsi="Arial" w:cs="Arial"/>
          <w:u w:val="single"/>
        </w:rPr>
      </w:pPr>
    </w:p>
    <w:p w14:paraId="3A393CA6" w14:textId="77777777" w:rsidR="004A2C8A" w:rsidRPr="00116FBC" w:rsidRDefault="004A2C8A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6FBC">
        <w:rPr>
          <w:rFonts w:ascii="Arial" w:hAnsi="Arial" w:cs="Arial"/>
        </w:rPr>
        <w:t>An Introduction to the</w:t>
      </w:r>
      <w:r w:rsidR="006252F7" w:rsidRPr="00116FBC">
        <w:rPr>
          <w:rFonts w:ascii="Arial" w:hAnsi="Arial" w:cs="Arial"/>
        </w:rPr>
        <w:t xml:space="preserve"> c</w:t>
      </w:r>
      <w:r w:rsidRPr="00116FBC">
        <w:rPr>
          <w:rFonts w:ascii="Arial" w:hAnsi="Arial" w:cs="Arial"/>
        </w:rPr>
        <w:t>ompany</w:t>
      </w:r>
      <w:r w:rsidR="006252F7" w:rsidRPr="00116FBC">
        <w:rPr>
          <w:rFonts w:ascii="Arial" w:hAnsi="Arial" w:cs="Arial"/>
        </w:rPr>
        <w:t xml:space="preserve"> outlining experience within this service industry.</w:t>
      </w:r>
    </w:p>
    <w:p w14:paraId="40D87CC7" w14:textId="77777777" w:rsidR="004A2C8A" w:rsidRPr="00116FBC" w:rsidRDefault="004A2C8A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6FBC">
        <w:rPr>
          <w:rFonts w:ascii="Arial" w:hAnsi="Arial" w:cs="Arial"/>
        </w:rPr>
        <w:t>A Mobilisation Plan</w:t>
      </w:r>
      <w:r w:rsidR="006252F7" w:rsidRPr="00116FBC">
        <w:rPr>
          <w:rFonts w:ascii="Arial" w:hAnsi="Arial" w:cs="Arial"/>
        </w:rPr>
        <w:t>.</w:t>
      </w:r>
    </w:p>
    <w:p w14:paraId="4C37BB47" w14:textId="77777777" w:rsidR="004A2C8A" w:rsidRPr="00116FBC" w:rsidRDefault="004A2C8A" w:rsidP="004A2C8A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116FBC">
        <w:rPr>
          <w:rFonts w:ascii="Arial" w:hAnsi="Arial" w:cs="Arial"/>
        </w:rPr>
        <w:t>A Service Delivery Plan</w:t>
      </w:r>
      <w:r w:rsidR="006252F7" w:rsidRPr="00116FBC">
        <w:rPr>
          <w:rFonts w:ascii="Arial" w:hAnsi="Arial" w:cs="Arial"/>
        </w:rPr>
        <w:t>.</w:t>
      </w:r>
    </w:p>
    <w:p w14:paraId="11187C98" w14:textId="77777777" w:rsidR="004A2C8A" w:rsidRPr="00116FBC" w:rsidRDefault="004A2C8A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6FBC">
        <w:rPr>
          <w:rFonts w:ascii="Arial" w:hAnsi="Arial" w:cs="Arial"/>
        </w:rPr>
        <w:t xml:space="preserve">Resources and </w:t>
      </w:r>
      <w:r w:rsidR="006252F7" w:rsidRPr="00116FBC">
        <w:rPr>
          <w:rFonts w:ascii="Arial" w:hAnsi="Arial" w:cs="Arial"/>
        </w:rPr>
        <w:t>T</w:t>
      </w:r>
      <w:r w:rsidRPr="00116FBC">
        <w:rPr>
          <w:rFonts w:ascii="Arial" w:hAnsi="Arial" w:cs="Arial"/>
        </w:rPr>
        <w:t>raining information</w:t>
      </w:r>
      <w:r w:rsidR="006252F7" w:rsidRPr="00116FBC">
        <w:rPr>
          <w:rFonts w:ascii="Arial" w:hAnsi="Arial" w:cs="Arial"/>
        </w:rPr>
        <w:t>.</w:t>
      </w:r>
    </w:p>
    <w:p w14:paraId="737098F9" w14:textId="25CB8F9D" w:rsidR="004A2C8A" w:rsidRPr="00116FBC" w:rsidRDefault="004A2C8A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6FBC">
        <w:rPr>
          <w:rFonts w:ascii="Arial" w:hAnsi="Arial" w:cs="Arial"/>
        </w:rPr>
        <w:t xml:space="preserve">Vehicle </w:t>
      </w:r>
      <w:r w:rsidR="006252F7" w:rsidRPr="00116FBC">
        <w:rPr>
          <w:rFonts w:ascii="Arial" w:hAnsi="Arial" w:cs="Arial"/>
        </w:rPr>
        <w:t>I</w:t>
      </w:r>
      <w:r w:rsidRPr="00116FBC">
        <w:rPr>
          <w:rFonts w:ascii="Arial" w:hAnsi="Arial" w:cs="Arial"/>
        </w:rPr>
        <w:t>nformation (</w:t>
      </w:r>
      <w:r w:rsidR="00654351" w:rsidRPr="00116FBC">
        <w:rPr>
          <w:rFonts w:ascii="Arial" w:hAnsi="Arial" w:cs="Arial"/>
        </w:rPr>
        <w:t>i.e.</w:t>
      </w:r>
      <w:r w:rsidRPr="00116FBC">
        <w:rPr>
          <w:rFonts w:ascii="Arial" w:hAnsi="Arial" w:cs="Arial"/>
        </w:rPr>
        <w:t xml:space="preserve"> type of vehicle, trackers etc).</w:t>
      </w:r>
    </w:p>
    <w:p w14:paraId="41A98CC8" w14:textId="77777777" w:rsidR="004A2C8A" w:rsidRPr="00116FBC" w:rsidRDefault="004A2C8A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6FBC">
        <w:rPr>
          <w:rFonts w:ascii="Arial" w:hAnsi="Arial" w:cs="Arial"/>
        </w:rPr>
        <w:t>Cash Collection and Banking Process (this can be as an illustration)</w:t>
      </w:r>
      <w:r w:rsidR="006252F7" w:rsidRPr="00116FBC">
        <w:rPr>
          <w:rFonts w:ascii="Arial" w:hAnsi="Arial" w:cs="Arial"/>
        </w:rPr>
        <w:t>.</w:t>
      </w:r>
    </w:p>
    <w:p w14:paraId="208AA61B" w14:textId="77777777" w:rsidR="004A2C8A" w:rsidRPr="00116FBC" w:rsidRDefault="00C31F80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Automated </w:t>
      </w:r>
      <w:r w:rsidR="004A2C8A" w:rsidRPr="00116FBC">
        <w:rPr>
          <w:rFonts w:ascii="Arial" w:hAnsi="Arial" w:cs="Arial"/>
        </w:rPr>
        <w:t>Change/Cash ordering Process</w:t>
      </w:r>
      <w:r w:rsidR="006252F7" w:rsidRPr="00116FBC">
        <w:rPr>
          <w:rFonts w:ascii="Arial" w:hAnsi="Arial" w:cs="Arial"/>
        </w:rPr>
        <w:t>.</w:t>
      </w:r>
    </w:p>
    <w:p w14:paraId="02131E4C" w14:textId="77777777" w:rsidR="006252F7" w:rsidRPr="00116FBC" w:rsidRDefault="006252F7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6FBC">
        <w:rPr>
          <w:rFonts w:ascii="Arial" w:hAnsi="Arial" w:cs="Arial"/>
        </w:rPr>
        <w:t>Risk Assessment and Method Statements.</w:t>
      </w:r>
    </w:p>
    <w:p w14:paraId="327DFDD6" w14:textId="77777777" w:rsidR="006252F7" w:rsidRPr="00116FBC" w:rsidRDefault="006252F7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6FBC">
        <w:rPr>
          <w:rFonts w:ascii="Arial" w:hAnsi="Arial" w:cs="Arial"/>
        </w:rPr>
        <w:t>Health &amp; Safety.</w:t>
      </w:r>
    </w:p>
    <w:p w14:paraId="267FC560" w14:textId="77777777" w:rsidR="006252F7" w:rsidRDefault="006252F7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Performance &amp; Quality Management. (should include Periodic Service Reviews)</w:t>
      </w:r>
    </w:p>
    <w:p w14:paraId="0EC3BB0F" w14:textId="77777777" w:rsidR="006252F7" w:rsidRDefault="006252F7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Contingency Planning</w:t>
      </w:r>
    </w:p>
    <w:p w14:paraId="05EBF75C" w14:textId="77777777" w:rsidR="006252F7" w:rsidRPr="004A2C8A" w:rsidRDefault="006252F7" w:rsidP="004A2C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Service Level Agreements</w:t>
      </w:r>
    </w:p>
    <w:p w14:paraId="157D7EB0" w14:textId="77777777" w:rsidR="00CA6835" w:rsidRDefault="00CA6835" w:rsidP="00115A81">
      <w:pPr>
        <w:rPr>
          <w:rFonts w:ascii="Arial" w:hAnsi="Arial" w:cs="Arial"/>
          <w:b/>
        </w:rPr>
      </w:pPr>
    </w:p>
    <w:p w14:paraId="0A71D333" w14:textId="77777777" w:rsidR="00CA6835" w:rsidRDefault="00CA6835" w:rsidP="00115A81">
      <w:pPr>
        <w:rPr>
          <w:rFonts w:ascii="Arial" w:hAnsi="Arial" w:cs="Arial"/>
          <w:b/>
        </w:rPr>
      </w:pPr>
    </w:p>
    <w:p w14:paraId="4BBFF3EA" w14:textId="77777777" w:rsidR="00CA6835" w:rsidRDefault="00CA6835" w:rsidP="00115A81">
      <w:pPr>
        <w:rPr>
          <w:rFonts w:ascii="Arial" w:hAnsi="Arial" w:cs="Arial"/>
          <w:b/>
        </w:rPr>
      </w:pPr>
    </w:p>
    <w:p w14:paraId="1DFD2E2E" w14:textId="77777777" w:rsidR="00CA6835" w:rsidRDefault="00CA6835" w:rsidP="00115A81">
      <w:pPr>
        <w:rPr>
          <w:rFonts w:ascii="Arial" w:hAnsi="Arial" w:cs="Arial"/>
          <w:b/>
        </w:rPr>
      </w:pPr>
    </w:p>
    <w:p w14:paraId="3DE26738" w14:textId="77777777" w:rsidR="00115A81" w:rsidRPr="008933E8" w:rsidRDefault="00115A81" w:rsidP="00115A81">
      <w:pPr>
        <w:rPr>
          <w:rFonts w:ascii="Arial" w:hAnsi="Arial" w:cs="Arial"/>
          <w:b/>
        </w:rPr>
      </w:pPr>
      <w:r w:rsidRPr="00C47D5E">
        <w:rPr>
          <w:rFonts w:ascii="Arial" w:hAnsi="Arial" w:cs="Arial"/>
          <w:b/>
        </w:rPr>
        <w:t>Timeline</w:t>
      </w:r>
    </w:p>
    <w:p w14:paraId="319EB7B8" w14:textId="77777777" w:rsidR="00115A81" w:rsidRPr="000C49B0" w:rsidRDefault="00115A81" w:rsidP="00115A81">
      <w:pPr>
        <w:rPr>
          <w:rFonts w:ascii="Arial" w:hAnsi="Arial" w:cs="Arial"/>
          <w:b/>
          <w:color w:val="C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454"/>
      </w:tblGrid>
      <w:tr w:rsidR="00115A81" w:rsidRPr="000C49B0" w14:paraId="680508DA" w14:textId="77777777" w:rsidTr="00682372">
        <w:tc>
          <w:tcPr>
            <w:tcW w:w="4068" w:type="dxa"/>
          </w:tcPr>
          <w:p w14:paraId="30FAE8A8" w14:textId="77777777" w:rsidR="00115A81" w:rsidRPr="00004EC3" w:rsidRDefault="00115A81" w:rsidP="00682372">
            <w:pPr>
              <w:rPr>
                <w:rFonts w:ascii="Arial" w:hAnsi="Arial" w:cs="Arial"/>
              </w:rPr>
            </w:pPr>
            <w:r w:rsidRPr="00004EC3">
              <w:rPr>
                <w:rFonts w:ascii="Arial" w:hAnsi="Arial" w:cs="Arial"/>
              </w:rPr>
              <w:t>Tender documents sent out</w:t>
            </w:r>
          </w:p>
        </w:tc>
        <w:tc>
          <w:tcPr>
            <w:tcW w:w="4454" w:type="dxa"/>
          </w:tcPr>
          <w:p w14:paraId="24BC5491" w14:textId="4B2C57B7" w:rsidR="00115A81" w:rsidRPr="00C47D5E" w:rsidRDefault="00CA7F16" w:rsidP="00893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7</w:t>
            </w:r>
            <w:r w:rsidRPr="00CA7F1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C47D5E" w:rsidRPr="00C47D5E">
              <w:rPr>
                <w:rFonts w:ascii="Arial" w:hAnsi="Arial" w:cs="Arial"/>
              </w:rPr>
              <w:t>May 2019</w:t>
            </w:r>
          </w:p>
        </w:tc>
      </w:tr>
      <w:tr w:rsidR="00115A81" w:rsidRPr="000C49B0" w14:paraId="0CEC5BCE" w14:textId="77777777" w:rsidTr="00682372">
        <w:tc>
          <w:tcPr>
            <w:tcW w:w="4068" w:type="dxa"/>
          </w:tcPr>
          <w:p w14:paraId="24318CA8" w14:textId="77777777" w:rsidR="00115A81" w:rsidRPr="00004EC3" w:rsidRDefault="00115A81" w:rsidP="00682372">
            <w:pPr>
              <w:rPr>
                <w:rFonts w:ascii="Arial" w:hAnsi="Arial" w:cs="Arial"/>
              </w:rPr>
            </w:pPr>
            <w:r w:rsidRPr="00004EC3">
              <w:rPr>
                <w:rFonts w:ascii="Arial" w:hAnsi="Arial" w:cs="Arial"/>
              </w:rPr>
              <w:lastRenderedPageBreak/>
              <w:t>Closing date for responses</w:t>
            </w:r>
          </w:p>
        </w:tc>
        <w:tc>
          <w:tcPr>
            <w:tcW w:w="4454" w:type="dxa"/>
          </w:tcPr>
          <w:p w14:paraId="1BEDCD5E" w14:textId="3741A686" w:rsidR="00115A81" w:rsidRPr="00C47D5E" w:rsidRDefault="008932D8" w:rsidP="00C47D5E">
            <w:pPr>
              <w:rPr>
                <w:rFonts w:ascii="Arial" w:hAnsi="Arial" w:cs="Arial"/>
              </w:rPr>
            </w:pPr>
            <w:r w:rsidRPr="00C47D5E">
              <w:rPr>
                <w:rFonts w:ascii="Arial" w:hAnsi="Arial" w:cs="Arial"/>
              </w:rPr>
              <w:t xml:space="preserve">Monday </w:t>
            </w:r>
            <w:r w:rsidR="00C47D5E" w:rsidRPr="00C47D5E">
              <w:rPr>
                <w:rFonts w:ascii="Arial" w:hAnsi="Arial" w:cs="Arial"/>
              </w:rPr>
              <w:t>3</w:t>
            </w:r>
            <w:r w:rsidR="00C47D5E" w:rsidRPr="00C47D5E">
              <w:rPr>
                <w:rFonts w:ascii="Arial" w:hAnsi="Arial" w:cs="Arial"/>
                <w:vertAlign w:val="superscript"/>
              </w:rPr>
              <w:t>rd</w:t>
            </w:r>
            <w:r w:rsidR="00C47D5E" w:rsidRPr="00C47D5E">
              <w:rPr>
                <w:rFonts w:ascii="Arial" w:hAnsi="Arial" w:cs="Arial"/>
              </w:rPr>
              <w:t xml:space="preserve"> June 2019</w:t>
            </w:r>
            <w:r w:rsidR="006252F7" w:rsidRPr="00C47D5E">
              <w:rPr>
                <w:rFonts w:ascii="Arial" w:hAnsi="Arial" w:cs="Arial"/>
              </w:rPr>
              <w:t xml:space="preserve"> (by 5pm)</w:t>
            </w:r>
          </w:p>
        </w:tc>
      </w:tr>
      <w:tr w:rsidR="00115A81" w:rsidRPr="000C49B0" w14:paraId="68E0CCDA" w14:textId="77777777" w:rsidTr="00682372">
        <w:tc>
          <w:tcPr>
            <w:tcW w:w="4068" w:type="dxa"/>
          </w:tcPr>
          <w:p w14:paraId="628A9A57" w14:textId="77777777" w:rsidR="00115A81" w:rsidRPr="00004EC3" w:rsidRDefault="00115A81" w:rsidP="00682372">
            <w:pPr>
              <w:rPr>
                <w:rFonts w:ascii="Arial" w:hAnsi="Arial" w:cs="Arial"/>
              </w:rPr>
            </w:pPr>
            <w:r w:rsidRPr="00004EC3">
              <w:rPr>
                <w:rFonts w:ascii="Arial" w:hAnsi="Arial" w:cs="Arial"/>
              </w:rPr>
              <w:t>Contract Awarded</w:t>
            </w:r>
          </w:p>
        </w:tc>
        <w:tc>
          <w:tcPr>
            <w:tcW w:w="4454" w:type="dxa"/>
          </w:tcPr>
          <w:p w14:paraId="7A4FF7C2" w14:textId="7B8DD34F" w:rsidR="00115A81" w:rsidRPr="00C47D5E" w:rsidRDefault="00116FBC" w:rsidP="00C47D5E">
            <w:pPr>
              <w:rPr>
                <w:rFonts w:ascii="Arial" w:hAnsi="Arial" w:cs="Arial"/>
              </w:rPr>
            </w:pPr>
            <w:r w:rsidRPr="00C47D5E">
              <w:rPr>
                <w:rFonts w:ascii="Arial" w:hAnsi="Arial" w:cs="Arial"/>
              </w:rPr>
              <w:t xml:space="preserve">Monday </w:t>
            </w:r>
            <w:r w:rsidR="00C47D5E" w:rsidRPr="00C47D5E">
              <w:rPr>
                <w:rFonts w:ascii="Arial" w:hAnsi="Arial" w:cs="Arial"/>
              </w:rPr>
              <w:t>10</w:t>
            </w:r>
            <w:r w:rsidR="00C47D5E" w:rsidRPr="00C47D5E">
              <w:rPr>
                <w:rFonts w:ascii="Arial" w:hAnsi="Arial" w:cs="Arial"/>
                <w:vertAlign w:val="superscript"/>
              </w:rPr>
              <w:t>th</w:t>
            </w:r>
            <w:r w:rsidR="00C47D5E" w:rsidRPr="00C47D5E">
              <w:rPr>
                <w:rFonts w:ascii="Arial" w:hAnsi="Arial" w:cs="Arial"/>
              </w:rPr>
              <w:t xml:space="preserve"> June </w:t>
            </w:r>
            <w:r w:rsidRPr="00C47D5E">
              <w:rPr>
                <w:rFonts w:ascii="Arial" w:hAnsi="Arial" w:cs="Arial"/>
              </w:rPr>
              <w:t>2019</w:t>
            </w:r>
            <w:r w:rsidR="00C47D5E" w:rsidRPr="00C47D5E">
              <w:rPr>
                <w:rFonts w:ascii="Arial" w:hAnsi="Arial" w:cs="Arial"/>
              </w:rPr>
              <w:t xml:space="preserve"> (by 5pm)</w:t>
            </w:r>
          </w:p>
        </w:tc>
      </w:tr>
    </w:tbl>
    <w:p w14:paraId="131FBF4F" w14:textId="77777777" w:rsidR="00115A81" w:rsidRPr="000C49B0" w:rsidRDefault="00115A81" w:rsidP="00115A81">
      <w:pPr>
        <w:rPr>
          <w:rFonts w:ascii="Arial" w:hAnsi="Arial" w:cs="Arial"/>
          <w:b/>
          <w:color w:val="C00000"/>
        </w:rPr>
      </w:pPr>
    </w:p>
    <w:p w14:paraId="43FAF3B2" w14:textId="77777777" w:rsidR="00115A81" w:rsidRPr="009551A7" w:rsidRDefault="00115A81" w:rsidP="00115A81">
      <w:pPr>
        <w:rPr>
          <w:rFonts w:ascii="Arial" w:hAnsi="Arial" w:cs="Arial"/>
          <w:b/>
        </w:rPr>
      </w:pPr>
      <w:r w:rsidRPr="009551A7">
        <w:rPr>
          <w:rFonts w:ascii="Arial" w:hAnsi="Arial" w:cs="Arial"/>
          <w:b/>
        </w:rPr>
        <w:t>Selection criteria</w:t>
      </w:r>
    </w:p>
    <w:p w14:paraId="0D63BDC6" w14:textId="77777777" w:rsidR="00115A81" w:rsidRDefault="00115A81" w:rsidP="00115A81">
      <w:pPr>
        <w:rPr>
          <w:rFonts w:ascii="Arial" w:hAnsi="Arial" w:cs="Arial"/>
        </w:rPr>
      </w:pPr>
      <w:r w:rsidRPr="009551A7">
        <w:rPr>
          <w:rFonts w:ascii="Arial" w:hAnsi="Arial" w:cs="Arial"/>
        </w:rPr>
        <w:t xml:space="preserve">The contract </w:t>
      </w:r>
      <w:r w:rsidR="00116FBC">
        <w:rPr>
          <w:rFonts w:ascii="Arial" w:hAnsi="Arial" w:cs="Arial"/>
        </w:rPr>
        <w:t xml:space="preserve">will be awarded </w:t>
      </w:r>
      <w:proofErr w:type="gramStart"/>
      <w:r w:rsidR="00116FBC">
        <w:rPr>
          <w:rFonts w:ascii="Arial" w:hAnsi="Arial" w:cs="Arial"/>
        </w:rPr>
        <w:t>on the basis of</w:t>
      </w:r>
      <w:proofErr w:type="gramEnd"/>
      <w:r w:rsidR="00116FBC">
        <w:rPr>
          <w:rFonts w:ascii="Arial" w:hAnsi="Arial" w:cs="Arial"/>
        </w:rPr>
        <w:t xml:space="preserve"> 40% quality and 6</w:t>
      </w:r>
      <w:r>
        <w:rPr>
          <w:rFonts w:ascii="Arial" w:hAnsi="Arial" w:cs="Arial"/>
        </w:rPr>
        <w:t>0% price</w:t>
      </w:r>
    </w:p>
    <w:p w14:paraId="4673FAB2" w14:textId="77777777" w:rsidR="00115A81" w:rsidRPr="009551A7" w:rsidRDefault="00115A81" w:rsidP="00115A81">
      <w:pPr>
        <w:rPr>
          <w:rFonts w:ascii="Arial" w:hAnsi="Arial" w:cs="Arial"/>
          <w:snapToGrid w:val="0"/>
        </w:rPr>
      </w:pPr>
    </w:p>
    <w:p w14:paraId="6A65471E" w14:textId="77777777" w:rsidR="00115A81" w:rsidRPr="00116FBC" w:rsidRDefault="00115A81" w:rsidP="002A6108">
      <w:pPr>
        <w:numPr>
          <w:ilvl w:val="0"/>
          <w:numId w:val="5"/>
        </w:numPr>
        <w:rPr>
          <w:rFonts w:ascii="Arial" w:hAnsi="Arial" w:cs="Arial"/>
          <w:snapToGrid w:val="0"/>
        </w:rPr>
      </w:pPr>
      <w:r w:rsidRPr="00116FBC">
        <w:rPr>
          <w:rFonts w:ascii="Arial" w:hAnsi="Arial" w:cs="Arial"/>
        </w:rPr>
        <w:t xml:space="preserve">Price </w:t>
      </w:r>
      <w:r w:rsidR="00116FBC">
        <w:rPr>
          <w:rFonts w:ascii="Arial" w:hAnsi="Arial" w:cs="Arial"/>
        </w:rPr>
        <w:t>6</w:t>
      </w:r>
      <w:r w:rsidRPr="00116FBC">
        <w:rPr>
          <w:rFonts w:ascii="Arial" w:hAnsi="Arial" w:cs="Arial"/>
        </w:rPr>
        <w:t xml:space="preserve">0% </w:t>
      </w:r>
      <w:r w:rsidR="00116FBC">
        <w:rPr>
          <w:rFonts w:ascii="Arial" w:hAnsi="Arial" w:cs="Arial"/>
        </w:rPr>
        <w:t>(</w:t>
      </w:r>
      <w:r w:rsidRPr="00116FBC">
        <w:rPr>
          <w:rFonts w:ascii="Arial" w:hAnsi="Arial" w:cs="Arial"/>
        </w:rPr>
        <w:t>All prices must be exclusive of VAT</w:t>
      </w:r>
      <w:r w:rsidR="00116FBC">
        <w:rPr>
          <w:rFonts w:ascii="Arial" w:hAnsi="Arial" w:cs="Arial"/>
        </w:rPr>
        <w:t>)</w:t>
      </w:r>
      <w:r w:rsidRPr="00116FBC">
        <w:rPr>
          <w:rFonts w:ascii="Arial" w:hAnsi="Arial" w:cs="Arial"/>
        </w:rPr>
        <w:t>.</w:t>
      </w:r>
    </w:p>
    <w:p w14:paraId="4A663C8A" w14:textId="77777777" w:rsidR="00115A81" w:rsidRPr="001121D5" w:rsidRDefault="00115A81" w:rsidP="00115A81">
      <w:pPr>
        <w:ind w:left="720"/>
        <w:rPr>
          <w:rFonts w:ascii="Arial" w:hAnsi="Arial" w:cs="Arial"/>
          <w:snapToGrid w:val="0"/>
        </w:rPr>
      </w:pPr>
    </w:p>
    <w:p w14:paraId="4F2D5086" w14:textId="77777777" w:rsidR="00115A81" w:rsidRPr="001121D5" w:rsidRDefault="00115A81" w:rsidP="00115A81">
      <w:pPr>
        <w:numPr>
          <w:ilvl w:val="0"/>
          <w:numId w:val="5"/>
        </w:numPr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Quality </w:t>
      </w:r>
      <w:r w:rsidR="00116FBC">
        <w:rPr>
          <w:rFonts w:ascii="Arial" w:hAnsi="Arial" w:cs="Arial"/>
        </w:rPr>
        <w:t xml:space="preserve">40% </w:t>
      </w:r>
      <w:r>
        <w:rPr>
          <w:rFonts w:ascii="Arial" w:hAnsi="Arial" w:cs="Arial"/>
        </w:rPr>
        <w:t>will be evaluated using the following scoring methodology</w:t>
      </w:r>
    </w:p>
    <w:p w14:paraId="18770F15" w14:textId="77777777" w:rsidR="00115A81" w:rsidRDefault="00115A81" w:rsidP="00115A81">
      <w:pPr>
        <w:ind w:left="72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15A81" w:rsidRPr="00466D65" w14:paraId="70466152" w14:textId="77777777" w:rsidTr="00682372">
        <w:tc>
          <w:tcPr>
            <w:tcW w:w="1420" w:type="dxa"/>
            <w:shd w:val="clear" w:color="auto" w:fill="auto"/>
          </w:tcPr>
          <w:p w14:paraId="2A8A4969" w14:textId="77777777" w:rsidR="00115A81" w:rsidRPr="00466D65" w:rsidRDefault="00115A81" w:rsidP="00682372">
            <w:pPr>
              <w:jc w:val="center"/>
              <w:rPr>
                <w:rFonts w:ascii="Arial" w:hAnsi="Arial" w:cs="Arial"/>
              </w:rPr>
            </w:pPr>
            <w:r w:rsidRPr="00466D65">
              <w:rPr>
                <w:rFonts w:ascii="Arial" w:hAnsi="Arial" w:cs="Arial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14:paraId="162EFE24" w14:textId="77777777" w:rsidR="00115A81" w:rsidRPr="00466D65" w:rsidRDefault="00115A81" w:rsidP="00682372">
            <w:pPr>
              <w:jc w:val="center"/>
              <w:rPr>
                <w:rFonts w:ascii="Arial" w:hAnsi="Arial" w:cs="Arial"/>
              </w:rPr>
            </w:pPr>
            <w:r w:rsidRPr="00466D65">
              <w:rPr>
                <w:rFonts w:ascii="Arial" w:hAnsi="Arial" w:cs="Arial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14:paraId="23D85903" w14:textId="77777777" w:rsidR="00115A81" w:rsidRPr="00466D65" w:rsidRDefault="00115A81" w:rsidP="00682372">
            <w:pPr>
              <w:jc w:val="center"/>
              <w:rPr>
                <w:rFonts w:ascii="Arial" w:hAnsi="Arial" w:cs="Arial"/>
              </w:rPr>
            </w:pPr>
            <w:r w:rsidRPr="00466D65">
              <w:rPr>
                <w:rFonts w:ascii="Arial" w:hAnsi="Arial" w:cs="Arial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DDB88D4" w14:textId="77777777" w:rsidR="00115A81" w:rsidRPr="00466D65" w:rsidRDefault="00115A81" w:rsidP="00682372">
            <w:pPr>
              <w:jc w:val="center"/>
              <w:rPr>
                <w:rFonts w:ascii="Arial" w:hAnsi="Arial" w:cs="Arial"/>
              </w:rPr>
            </w:pPr>
            <w:r w:rsidRPr="00466D65">
              <w:rPr>
                <w:rFonts w:ascii="Arial" w:hAnsi="Arial" w:cs="Arial"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14:paraId="2A1D0475" w14:textId="77777777" w:rsidR="00115A81" w:rsidRPr="00466D65" w:rsidRDefault="00115A81" w:rsidP="00682372">
            <w:pPr>
              <w:jc w:val="center"/>
              <w:rPr>
                <w:rFonts w:ascii="Arial" w:hAnsi="Arial" w:cs="Arial"/>
              </w:rPr>
            </w:pPr>
            <w:r w:rsidRPr="00466D65">
              <w:rPr>
                <w:rFonts w:ascii="Arial" w:hAnsi="Arial" w:cs="Arial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14:paraId="3640D55F" w14:textId="77777777" w:rsidR="00115A81" w:rsidRPr="00466D65" w:rsidRDefault="00115A81" w:rsidP="00682372">
            <w:pPr>
              <w:jc w:val="center"/>
              <w:rPr>
                <w:rFonts w:ascii="Arial" w:hAnsi="Arial" w:cs="Arial"/>
              </w:rPr>
            </w:pPr>
            <w:r w:rsidRPr="00466D65">
              <w:rPr>
                <w:rFonts w:ascii="Arial" w:hAnsi="Arial" w:cs="Arial"/>
              </w:rPr>
              <w:t>5</w:t>
            </w:r>
          </w:p>
        </w:tc>
      </w:tr>
      <w:tr w:rsidR="00115A81" w:rsidRPr="00466D65" w14:paraId="0E052583" w14:textId="77777777" w:rsidTr="00682372">
        <w:tc>
          <w:tcPr>
            <w:tcW w:w="1420" w:type="dxa"/>
            <w:shd w:val="clear" w:color="auto" w:fill="auto"/>
          </w:tcPr>
          <w:p w14:paraId="57106F63" w14:textId="77777777" w:rsidR="00115A81" w:rsidRPr="00466D65" w:rsidRDefault="00115A81" w:rsidP="00682372">
            <w:pPr>
              <w:rPr>
                <w:b/>
                <w:sz w:val="16"/>
                <w:szCs w:val="16"/>
              </w:rPr>
            </w:pPr>
            <w:r w:rsidRPr="00466D65">
              <w:rPr>
                <w:b/>
                <w:sz w:val="16"/>
                <w:szCs w:val="16"/>
              </w:rPr>
              <w:t>Unacceptable</w:t>
            </w:r>
          </w:p>
          <w:p w14:paraId="2C8E18AF" w14:textId="77777777" w:rsidR="00115A81" w:rsidRPr="00466D65" w:rsidRDefault="00115A81" w:rsidP="00682372">
            <w:pPr>
              <w:rPr>
                <w:rFonts w:ascii="Arial" w:hAnsi="Arial" w:cs="Arial"/>
              </w:rPr>
            </w:pPr>
            <w:r w:rsidRPr="00466D65">
              <w:rPr>
                <w:sz w:val="16"/>
                <w:szCs w:val="16"/>
              </w:rPr>
              <w:t>The information is either omitted or fundamentally unacceptable to COUNCIL evaluating officers</w:t>
            </w:r>
          </w:p>
        </w:tc>
        <w:tc>
          <w:tcPr>
            <w:tcW w:w="1420" w:type="dxa"/>
            <w:shd w:val="clear" w:color="auto" w:fill="auto"/>
          </w:tcPr>
          <w:p w14:paraId="6255C4BE" w14:textId="77777777" w:rsidR="00115A81" w:rsidRPr="00466D65" w:rsidRDefault="00115A81" w:rsidP="00682372">
            <w:pPr>
              <w:rPr>
                <w:b/>
                <w:sz w:val="16"/>
                <w:szCs w:val="16"/>
              </w:rPr>
            </w:pPr>
            <w:r w:rsidRPr="00466D65">
              <w:rPr>
                <w:b/>
                <w:sz w:val="16"/>
                <w:szCs w:val="16"/>
              </w:rPr>
              <w:t>Poor</w:t>
            </w:r>
          </w:p>
          <w:p w14:paraId="0F699EB1" w14:textId="77777777" w:rsidR="00115A81" w:rsidRPr="00466D65" w:rsidRDefault="00115A81" w:rsidP="00682372">
            <w:pPr>
              <w:rPr>
                <w:rFonts w:ascii="Arial" w:hAnsi="Arial" w:cs="Arial"/>
              </w:rPr>
            </w:pPr>
            <w:r w:rsidRPr="00466D65">
              <w:rPr>
                <w:sz w:val="16"/>
                <w:szCs w:val="16"/>
              </w:rPr>
              <w:t>The information submitted has major omissions or does not demonstrate compliance with requirements</w:t>
            </w:r>
          </w:p>
        </w:tc>
        <w:tc>
          <w:tcPr>
            <w:tcW w:w="1420" w:type="dxa"/>
            <w:shd w:val="clear" w:color="auto" w:fill="auto"/>
          </w:tcPr>
          <w:p w14:paraId="61F9B4D4" w14:textId="77777777" w:rsidR="00115A81" w:rsidRPr="00466D65" w:rsidRDefault="00115A81" w:rsidP="00682372">
            <w:pPr>
              <w:rPr>
                <w:b/>
                <w:sz w:val="16"/>
                <w:szCs w:val="16"/>
              </w:rPr>
            </w:pPr>
            <w:r w:rsidRPr="00466D65">
              <w:rPr>
                <w:b/>
                <w:sz w:val="16"/>
                <w:szCs w:val="16"/>
              </w:rPr>
              <w:t>Inadequate</w:t>
            </w:r>
          </w:p>
          <w:p w14:paraId="439B22A0" w14:textId="77777777" w:rsidR="00115A81" w:rsidRPr="00466D65" w:rsidRDefault="00115A81" w:rsidP="00682372">
            <w:pPr>
              <w:rPr>
                <w:rFonts w:ascii="Arial" w:hAnsi="Arial" w:cs="Arial"/>
              </w:rPr>
            </w:pPr>
            <w:r w:rsidRPr="00466D65">
              <w:rPr>
                <w:sz w:val="16"/>
                <w:szCs w:val="16"/>
              </w:rPr>
              <w:t>The information submitted has some minor omissions or demonstrates only limited compliance with requirements</w:t>
            </w:r>
          </w:p>
        </w:tc>
        <w:tc>
          <w:tcPr>
            <w:tcW w:w="1420" w:type="dxa"/>
            <w:shd w:val="clear" w:color="auto" w:fill="auto"/>
          </w:tcPr>
          <w:p w14:paraId="318C2666" w14:textId="77777777" w:rsidR="00115A81" w:rsidRPr="00466D65" w:rsidRDefault="00115A81" w:rsidP="00682372">
            <w:pPr>
              <w:rPr>
                <w:b/>
                <w:sz w:val="16"/>
                <w:szCs w:val="16"/>
              </w:rPr>
            </w:pPr>
            <w:r w:rsidRPr="00466D65">
              <w:rPr>
                <w:b/>
                <w:sz w:val="16"/>
                <w:szCs w:val="16"/>
              </w:rPr>
              <w:t>Satisfactory</w:t>
            </w:r>
          </w:p>
          <w:p w14:paraId="68A9DB76" w14:textId="77777777" w:rsidR="00115A81" w:rsidRPr="00466D65" w:rsidRDefault="00115A81" w:rsidP="00682372">
            <w:pPr>
              <w:rPr>
                <w:rFonts w:ascii="Arial" w:hAnsi="Arial" w:cs="Arial"/>
              </w:rPr>
            </w:pPr>
            <w:r w:rsidRPr="00466D65">
              <w:rPr>
                <w:sz w:val="16"/>
                <w:szCs w:val="16"/>
              </w:rPr>
              <w:t>The information submitted meets COUNCIL’s requirements in demonstrating compliance with requirements</w:t>
            </w:r>
          </w:p>
        </w:tc>
        <w:tc>
          <w:tcPr>
            <w:tcW w:w="1421" w:type="dxa"/>
            <w:shd w:val="clear" w:color="auto" w:fill="auto"/>
          </w:tcPr>
          <w:p w14:paraId="575537D9" w14:textId="77777777" w:rsidR="00115A81" w:rsidRPr="00466D65" w:rsidRDefault="00115A81" w:rsidP="00682372">
            <w:pPr>
              <w:rPr>
                <w:b/>
                <w:sz w:val="16"/>
                <w:szCs w:val="16"/>
              </w:rPr>
            </w:pPr>
            <w:r w:rsidRPr="00466D65">
              <w:rPr>
                <w:b/>
                <w:sz w:val="16"/>
                <w:szCs w:val="16"/>
              </w:rPr>
              <w:t>Good</w:t>
            </w:r>
          </w:p>
          <w:p w14:paraId="7B4C74F1" w14:textId="77777777" w:rsidR="00115A81" w:rsidRPr="00466D65" w:rsidRDefault="00115A81" w:rsidP="00682372">
            <w:pPr>
              <w:rPr>
                <w:rFonts w:ascii="Arial" w:hAnsi="Arial" w:cs="Arial"/>
              </w:rPr>
            </w:pPr>
            <w:r w:rsidRPr="00466D65">
              <w:rPr>
                <w:sz w:val="16"/>
                <w:szCs w:val="16"/>
              </w:rPr>
              <w:t>The information submitted provides strong evidence of compliance with requirements</w:t>
            </w:r>
          </w:p>
        </w:tc>
        <w:tc>
          <w:tcPr>
            <w:tcW w:w="1421" w:type="dxa"/>
            <w:shd w:val="clear" w:color="auto" w:fill="auto"/>
          </w:tcPr>
          <w:p w14:paraId="3F2F3E15" w14:textId="77777777" w:rsidR="00115A81" w:rsidRPr="00466D65" w:rsidRDefault="00115A81" w:rsidP="00682372">
            <w:pPr>
              <w:rPr>
                <w:b/>
                <w:sz w:val="16"/>
                <w:szCs w:val="16"/>
              </w:rPr>
            </w:pPr>
            <w:r w:rsidRPr="00466D65">
              <w:rPr>
                <w:b/>
                <w:sz w:val="16"/>
                <w:szCs w:val="16"/>
              </w:rPr>
              <w:t>Excellent</w:t>
            </w:r>
          </w:p>
          <w:p w14:paraId="126D8146" w14:textId="77777777" w:rsidR="00115A81" w:rsidRPr="00466D65" w:rsidRDefault="00115A81" w:rsidP="00682372">
            <w:pPr>
              <w:rPr>
                <w:rFonts w:ascii="Arial" w:hAnsi="Arial" w:cs="Arial"/>
              </w:rPr>
            </w:pPr>
            <w:r w:rsidRPr="00466D65">
              <w:rPr>
                <w:sz w:val="16"/>
                <w:szCs w:val="16"/>
              </w:rPr>
              <w:t>The information submitted meets all expectations and provides strong evidence of the compliance with requirements to a very high standard</w:t>
            </w:r>
          </w:p>
        </w:tc>
      </w:tr>
    </w:tbl>
    <w:p w14:paraId="2115A27A" w14:textId="77777777" w:rsidR="00662E8E" w:rsidRDefault="00662E8E" w:rsidP="00662E8E">
      <w:pPr>
        <w:rPr>
          <w:rFonts w:ascii="Arial" w:hAnsi="Arial" w:cs="Arial"/>
          <w:snapToGrid w:val="0"/>
        </w:rPr>
      </w:pPr>
    </w:p>
    <w:p w14:paraId="41CC2793" w14:textId="77777777" w:rsidR="00662E8E" w:rsidRDefault="00662E8E" w:rsidP="00662E8E">
      <w:pPr>
        <w:rPr>
          <w:rFonts w:ascii="Arial" w:hAnsi="Arial" w:cs="Arial"/>
          <w:snapToGrid w:val="0"/>
        </w:rPr>
      </w:pPr>
    </w:p>
    <w:tbl>
      <w:tblPr>
        <w:tblStyle w:val="TableGrid"/>
        <w:tblW w:w="0" w:type="auto"/>
        <w:tblInd w:w="1608" w:type="dxa"/>
        <w:tblLook w:val="01E0" w:firstRow="1" w:lastRow="1" w:firstColumn="1" w:lastColumn="1" w:noHBand="0" w:noVBand="0"/>
      </w:tblPr>
      <w:tblGrid>
        <w:gridCol w:w="5200"/>
        <w:gridCol w:w="1800"/>
      </w:tblGrid>
      <w:tr w:rsidR="00662E8E" w:rsidRPr="00DD6A2C" w14:paraId="6D555286" w14:textId="77777777" w:rsidTr="00040113">
        <w:tc>
          <w:tcPr>
            <w:tcW w:w="7000" w:type="dxa"/>
            <w:gridSpan w:val="2"/>
            <w:shd w:val="clear" w:color="auto" w:fill="D9D9D9"/>
          </w:tcPr>
          <w:p w14:paraId="1C43BA78" w14:textId="77777777" w:rsidR="00662E8E" w:rsidRPr="00DD6A2C" w:rsidRDefault="00662E8E" w:rsidP="00040113">
            <w:pPr>
              <w:pStyle w:val="afterhead3"/>
              <w:ind w:left="0"/>
              <w:jc w:val="center"/>
              <w:rPr>
                <w:b/>
              </w:rPr>
            </w:pPr>
            <w:r>
              <w:rPr>
                <w:b/>
              </w:rPr>
              <w:t>Table 1 - High Level Evaluation Criteria</w:t>
            </w:r>
          </w:p>
        </w:tc>
      </w:tr>
      <w:tr w:rsidR="00662E8E" w:rsidRPr="00DD6A2C" w14:paraId="0DFB7025" w14:textId="77777777" w:rsidTr="00040113">
        <w:tc>
          <w:tcPr>
            <w:tcW w:w="5200" w:type="dxa"/>
          </w:tcPr>
          <w:p w14:paraId="7D4BE313" w14:textId="77777777" w:rsidR="00662E8E" w:rsidRPr="00DD6A2C" w:rsidRDefault="00662E8E" w:rsidP="00040113">
            <w:pPr>
              <w:pStyle w:val="afterhead3"/>
              <w:ind w:left="0"/>
              <w:rPr>
                <w:b/>
              </w:rPr>
            </w:pPr>
            <w:r w:rsidRPr="00DD6A2C">
              <w:rPr>
                <w:b/>
              </w:rPr>
              <w:t>Tier 1 Criteria</w:t>
            </w:r>
          </w:p>
        </w:tc>
        <w:tc>
          <w:tcPr>
            <w:tcW w:w="1800" w:type="dxa"/>
          </w:tcPr>
          <w:p w14:paraId="63534E9B" w14:textId="77777777" w:rsidR="00662E8E" w:rsidRPr="00DD6A2C" w:rsidRDefault="00662E8E" w:rsidP="00040113">
            <w:pPr>
              <w:pStyle w:val="afterhead3"/>
              <w:ind w:left="0"/>
              <w:rPr>
                <w:b/>
              </w:rPr>
            </w:pPr>
            <w:r w:rsidRPr="00DD6A2C">
              <w:rPr>
                <w:b/>
              </w:rPr>
              <w:t>Weighting</w:t>
            </w:r>
            <w:r>
              <w:rPr>
                <w:b/>
              </w:rPr>
              <w:t xml:space="preserve"> %</w:t>
            </w:r>
          </w:p>
        </w:tc>
      </w:tr>
      <w:tr w:rsidR="00662E8E" w:rsidRPr="00B42350" w14:paraId="542F0E91" w14:textId="77777777" w:rsidTr="00040113">
        <w:tc>
          <w:tcPr>
            <w:tcW w:w="5200" w:type="dxa"/>
          </w:tcPr>
          <w:p w14:paraId="5B984194" w14:textId="4936D04D" w:rsidR="00662E8E" w:rsidRDefault="00662E8E" w:rsidP="00040113">
            <w:pPr>
              <w:pStyle w:val="afterhead3"/>
              <w:ind w:left="0"/>
              <w:rPr>
                <w:b/>
              </w:rPr>
            </w:pPr>
            <w:r w:rsidRPr="00B42350">
              <w:rPr>
                <w:b/>
              </w:rPr>
              <w:t>Service Deliverability</w:t>
            </w:r>
          </w:p>
          <w:p w14:paraId="64CE31F0" w14:textId="7562B2BA" w:rsidR="00662E8E" w:rsidRDefault="00662E8E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Capacity &amp; Resources</w:t>
            </w:r>
            <w:r w:rsidR="00ED2E29">
              <w:rPr>
                <w:b/>
              </w:rPr>
              <w:t xml:space="preserve"> – 5%</w:t>
            </w:r>
          </w:p>
          <w:p w14:paraId="4FCA81A1" w14:textId="666F84AD" w:rsidR="00662E8E" w:rsidRDefault="00662E8E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Method Statements</w:t>
            </w:r>
            <w:r w:rsidR="00ED2E29">
              <w:rPr>
                <w:b/>
              </w:rPr>
              <w:t xml:space="preserve"> 5%</w:t>
            </w:r>
          </w:p>
          <w:p w14:paraId="05FE7813" w14:textId="78CB6055" w:rsidR="00662E8E" w:rsidRDefault="00662E8E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 xml:space="preserve">Banking and Collection Methods </w:t>
            </w:r>
            <w:r w:rsidR="00E044DD">
              <w:rPr>
                <w:b/>
              </w:rPr>
              <w:t>– 5%</w:t>
            </w:r>
          </w:p>
          <w:p w14:paraId="0815D91D" w14:textId="5164BF62" w:rsidR="00ED2E29" w:rsidRDefault="00ED2E29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Experience within the Industry</w:t>
            </w:r>
            <w:r w:rsidR="00E044DD">
              <w:rPr>
                <w:b/>
              </w:rPr>
              <w:t xml:space="preserve"> - 5%</w:t>
            </w:r>
          </w:p>
          <w:p w14:paraId="7D6D1C3C" w14:textId="6D1A8353" w:rsidR="00ED2E29" w:rsidRDefault="00ED2E29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“Call off” Processes</w:t>
            </w:r>
            <w:r w:rsidR="00E044DD">
              <w:rPr>
                <w:b/>
              </w:rPr>
              <w:t xml:space="preserve"> – 5%</w:t>
            </w:r>
          </w:p>
          <w:p w14:paraId="69263279" w14:textId="438F9D32" w:rsidR="00ED2E29" w:rsidRDefault="00ED2E29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Contingency Planning</w:t>
            </w:r>
            <w:r w:rsidR="00E044DD">
              <w:rPr>
                <w:b/>
              </w:rPr>
              <w:t xml:space="preserve"> – 5%</w:t>
            </w:r>
          </w:p>
          <w:p w14:paraId="5D72E08C" w14:textId="71BDC512" w:rsidR="00ED2E29" w:rsidRDefault="00ED2E29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Performance and Quality Management</w:t>
            </w:r>
            <w:r w:rsidR="00E044DD">
              <w:rPr>
                <w:b/>
              </w:rPr>
              <w:t xml:space="preserve"> – 5%</w:t>
            </w:r>
          </w:p>
          <w:p w14:paraId="0209FB22" w14:textId="5F04ACC4" w:rsidR="00ED2E29" w:rsidRPr="00B42350" w:rsidRDefault="00ED2E29" w:rsidP="00ED2E29">
            <w:pPr>
              <w:pStyle w:val="afterhead3"/>
              <w:numPr>
                <w:ilvl w:val="0"/>
                <w:numId w:val="12"/>
              </w:numPr>
              <w:spacing w:before="0"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Contract Mobilisation</w:t>
            </w:r>
            <w:r w:rsidR="00E044DD">
              <w:rPr>
                <w:b/>
              </w:rPr>
              <w:t xml:space="preserve"> – 5%</w:t>
            </w:r>
          </w:p>
        </w:tc>
        <w:tc>
          <w:tcPr>
            <w:tcW w:w="1800" w:type="dxa"/>
          </w:tcPr>
          <w:p w14:paraId="53F409F6" w14:textId="313B4C79" w:rsidR="00662E8E" w:rsidRPr="00B42350" w:rsidRDefault="00662E8E" w:rsidP="00040113">
            <w:pPr>
              <w:pStyle w:val="afterhead3"/>
              <w:ind w:left="0"/>
              <w:rPr>
                <w:b/>
              </w:rPr>
            </w:pPr>
            <w:r>
              <w:rPr>
                <w:b/>
              </w:rPr>
              <w:t>40%</w:t>
            </w:r>
          </w:p>
        </w:tc>
      </w:tr>
      <w:tr w:rsidR="00662E8E" w:rsidRPr="00B42350" w14:paraId="37489060" w14:textId="77777777" w:rsidTr="00040113">
        <w:tc>
          <w:tcPr>
            <w:tcW w:w="5200" w:type="dxa"/>
          </w:tcPr>
          <w:p w14:paraId="2C4EA63F" w14:textId="77777777" w:rsidR="00662E8E" w:rsidRPr="00B42350" w:rsidRDefault="00662E8E" w:rsidP="00040113">
            <w:pPr>
              <w:pStyle w:val="afterhead3"/>
              <w:spacing w:line="240" w:lineRule="auto"/>
              <w:ind w:left="0"/>
              <w:rPr>
                <w:b/>
              </w:rPr>
            </w:pPr>
            <w:r w:rsidRPr="00B42350">
              <w:rPr>
                <w:b/>
              </w:rPr>
              <w:t>Finance:</w:t>
            </w:r>
          </w:p>
          <w:p w14:paraId="604C82FF" w14:textId="1DC998CD" w:rsidR="00662E8E" w:rsidRDefault="00662E8E" w:rsidP="00662E8E">
            <w:pPr>
              <w:pStyle w:val="afterhead3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B42350">
              <w:rPr>
                <w:b/>
              </w:rPr>
              <w:t>Price</w:t>
            </w:r>
            <w:r w:rsidR="00E044DD">
              <w:rPr>
                <w:b/>
              </w:rPr>
              <w:t xml:space="preserve"> – 20%</w:t>
            </w:r>
          </w:p>
          <w:p w14:paraId="1F018E1D" w14:textId="0C25B548" w:rsidR="00ED2E29" w:rsidRDefault="00ED2E29" w:rsidP="00662E8E">
            <w:pPr>
              <w:pStyle w:val="afterhead3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Reporting</w:t>
            </w:r>
            <w:r w:rsidR="00E044DD">
              <w:rPr>
                <w:b/>
              </w:rPr>
              <w:t xml:space="preserve"> - 20%</w:t>
            </w:r>
          </w:p>
          <w:p w14:paraId="724A4EBE" w14:textId="23EF8BEB" w:rsidR="00662E8E" w:rsidRPr="00B42350" w:rsidRDefault="00662E8E" w:rsidP="00E044DD">
            <w:pPr>
              <w:pStyle w:val="afterhead3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B42350">
              <w:rPr>
                <w:b/>
              </w:rPr>
              <w:t xml:space="preserve">Payment Mechanism </w:t>
            </w:r>
            <w:r w:rsidR="00E044DD">
              <w:rPr>
                <w:b/>
              </w:rPr>
              <w:t>– 20%</w:t>
            </w:r>
          </w:p>
        </w:tc>
        <w:tc>
          <w:tcPr>
            <w:tcW w:w="1800" w:type="dxa"/>
          </w:tcPr>
          <w:p w14:paraId="27BBD49F" w14:textId="77777777" w:rsidR="00662E8E" w:rsidRDefault="00662E8E" w:rsidP="00040113">
            <w:pPr>
              <w:pStyle w:val="afterhead3"/>
              <w:spacing w:line="240" w:lineRule="auto"/>
              <w:ind w:left="0"/>
              <w:rPr>
                <w:b/>
              </w:rPr>
            </w:pPr>
          </w:p>
          <w:p w14:paraId="725EBB69" w14:textId="2D2BEEE4" w:rsidR="00662E8E" w:rsidRPr="00B42350" w:rsidRDefault="00662E8E" w:rsidP="00040113">
            <w:pPr>
              <w:pStyle w:val="afterhead3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60%</w:t>
            </w:r>
          </w:p>
        </w:tc>
      </w:tr>
      <w:tr w:rsidR="00662E8E" w:rsidRPr="00B42350" w14:paraId="2458B218" w14:textId="77777777" w:rsidTr="00040113">
        <w:tc>
          <w:tcPr>
            <w:tcW w:w="5200" w:type="dxa"/>
          </w:tcPr>
          <w:p w14:paraId="3791F548" w14:textId="77777777" w:rsidR="00662E8E" w:rsidRPr="00B42350" w:rsidRDefault="00662E8E" w:rsidP="00040113">
            <w:pPr>
              <w:pStyle w:val="afterhead3"/>
              <w:ind w:left="0"/>
              <w:rPr>
                <w:b/>
              </w:rPr>
            </w:pPr>
            <w:r w:rsidRPr="00B42350">
              <w:rPr>
                <w:b/>
              </w:rPr>
              <w:t>Total</w:t>
            </w:r>
          </w:p>
        </w:tc>
        <w:tc>
          <w:tcPr>
            <w:tcW w:w="1800" w:type="dxa"/>
          </w:tcPr>
          <w:p w14:paraId="757BAAE9" w14:textId="37D789D8" w:rsidR="00662E8E" w:rsidRPr="00B42350" w:rsidRDefault="00662E8E" w:rsidP="00040113">
            <w:pPr>
              <w:pStyle w:val="afterhead3"/>
              <w:ind w:left="0"/>
              <w:rPr>
                <w:b/>
              </w:rPr>
            </w:pPr>
            <w:r w:rsidRPr="00B42350">
              <w:rPr>
                <w:b/>
              </w:rPr>
              <w:t>100</w:t>
            </w:r>
            <w:r w:rsidR="00E044DD">
              <w:rPr>
                <w:b/>
              </w:rPr>
              <w:t>%</w:t>
            </w:r>
          </w:p>
        </w:tc>
      </w:tr>
    </w:tbl>
    <w:p w14:paraId="5016F862" w14:textId="77777777" w:rsidR="00662E8E" w:rsidRDefault="00662E8E" w:rsidP="00662E8E">
      <w:pPr>
        <w:rPr>
          <w:rFonts w:ascii="Arial" w:hAnsi="Arial" w:cs="Arial"/>
          <w:snapToGrid w:val="0"/>
        </w:rPr>
      </w:pPr>
    </w:p>
    <w:p w14:paraId="2E8343D1" w14:textId="2B7A3AB5" w:rsidR="00E044DD" w:rsidRDefault="00C47D5E" w:rsidP="00C47D5E">
      <w:pPr>
        <w:tabs>
          <w:tab w:val="left" w:pos="5865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</w:p>
    <w:p w14:paraId="33F60257" w14:textId="2BA41C9E" w:rsidR="00115A81" w:rsidRPr="009551A7" w:rsidRDefault="00654351" w:rsidP="00115A8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Submissions</w:t>
      </w:r>
      <w:r w:rsidR="00115A81" w:rsidRPr="00C47D5E">
        <w:rPr>
          <w:rFonts w:ascii="Arial" w:hAnsi="Arial" w:cs="Arial"/>
        </w:rPr>
        <w:t xml:space="preserve"> received after </w:t>
      </w:r>
      <w:r w:rsidR="00116FBC" w:rsidRPr="00C47D5E">
        <w:rPr>
          <w:rFonts w:ascii="Arial" w:hAnsi="Arial" w:cs="Arial"/>
        </w:rPr>
        <w:t xml:space="preserve">5pm </w:t>
      </w:r>
      <w:r w:rsidR="00C47D5E" w:rsidRPr="00C47D5E">
        <w:rPr>
          <w:rFonts w:ascii="Arial" w:hAnsi="Arial" w:cs="Arial"/>
        </w:rPr>
        <w:t>Monday 3</w:t>
      </w:r>
      <w:r w:rsidR="00C47D5E" w:rsidRPr="00C47D5E">
        <w:rPr>
          <w:rFonts w:ascii="Arial" w:hAnsi="Arial" w:cs="Arial"/>
          <w:vertAlign w:val="superscript"/>
        </w:rPr>
        <w:t>rd</w:t>
      </w:r>
      <w:r w:rsidR="00C47D5E" w:rsidRPr="00C47D5E">
        <w:rPr>
          <w:rFonts w:ascii="Arial" w:hAnsi="Arial" w:cs="Arial"/>
        </w:rPr>
        <w:t xml:space="preserve"> June 2019</w:t>
      </w:r>
      <w:r w:rsidR="00115A81" w:rsidRPr="009551A7">
        <w:rPr>
          <w:rFonts w:ascii="Arial" w:hAnsi="Arial" w:cs="Arial"/>
        </w:rPr>
        <w:t xml:space="preserve"> will not be considered.</w:t>
      </w:r>
    </w:p>
    <w:p w14:paraId="7FC48876" w14:textId="77777777" w:rsidR="00115A81" w:rsidRPr="000C49B0" w:rsidRDefault="00115A81" w:rsidP="00115A81">
      <w:pPr>
        <w:rPr>
          <w:rFonts w:ascii="Arial" w:hAnsi="Arial" w:cs="Arial"/>
          <w:color w:val="C00000"/>
        </w:rPr>
      </w:pPr>
    </w:p>
    <w:p w14:paraId="31B4144C" w14:textId="77777777" w:rsidR="00115A81" w:rsidRPr="009551A7" w:rsidRDefault="00115A81" w:rsidP="00115A81">
      <w:pPr>
        <w:rPr>
          <w:rFonts w:ascii="Arial" w:hAnsi="Arial" w:cs="Arial"/>
          <w:b/>
        </w:rPr>
      </w:pPr>
      <w:r w:rsidRPr="009551A7">
        <w:rPr>
          <w:rFonts w:ascii="Arial" w:hAnsi="Arial" w:cs="Arial"/>
          <w:b/>
        </w:rPr>
        <w:t>Contact Details</w:t>
      </w:r>
    </w:p>
    <w:p w14:paraId="718965CA" w14:textId="78FDA442" w:rsidR="00116FBC" w:rsidRPr="009551A7" w:rsidRDefault="00115A81" w:rsidP="00115A81">
      <w:pPr>
        <w:rPr>
          <w:rFonts w:ascii="Arial" w:hAnsi="Arial" w:cs="Arial"/>
        </w:rPr>
      </w:pPr>
      <w:r w:rsidRPr="009551A7">
        <w:rPr>
          <w:rFonts w:ascii="Arial" w:hAnsi="Arial" w:cs="Arial"/>
        </w:rPr>
        <w:t xml:space="preserve">Please return </w:t>
      </w:r>
      <w:r>
        <w:rPr>
          <w:rFonts w:ascii="Arial" w:hAnsi="Arial" w:cs="Arial"/>
        </w:rPr>
        <w:t xml:space="preserve">your response to the </w:t>
      </w:r>
      <w:r w:rsidR="004F1BD4">
        <w:rPr>
          <w:rFonts w:ascii="Arial" w:hAnsi="Arial" w:cs="Arial"/>
        </w:rPr>
        <w:t>requirement</w:t>
      </w:r>
      <w:r w:rsidR="00116FBC">
        <w:rPr>
          <w:rFonts w:ascii="Arial" w:hAnsi="Arial" w:cs="Arial"/>
        </w:rPr>
        <w:t xml:space="preserve"> </w:t>
      </w:r>
      <w:r w:rsidRPr="009551A7">
        <w:rPr>
          <w:rFonts w:ascii="Arial" w:hAnsi="Arial" w:cs="Arial"/>
        </w:rPr>
        <w:t xml:space="preserve">via email to: </w:t>
      </w:r>
      <w:hyperlink r:id="rId7" w:history="1">
        <w:r w:rsidR="00116FBC" w:rsidRPr="00AA0BA4">
          <w:rPr>
            <w:rStyle w:val="Hyperlink"/>
            <w:rFonts w:ascii="Arial" w:hAnsi="Arial" w:cs="Arial"/>
          </w:rPr>
          <w:t>sowusu@lambeth.gov.uk</w:t>
        </w:r>
      </w:hyperlink>
      <w:r w:rsidR="00116FBC">
        <w:rPr>
          <w:rFonts w:ascii="Arial" w:hAnsi="Arial" w:cs="Arial"/>
        </w:rPr>
        <w:t xml:space="preserve"> </w:t>
      </w:r>
    </w:p>
    <w:sectPr w:rsidR="00116FBC" w:rsidRPr="00955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89C8E" w14:textId="77777777" w:rsidR="008D024E" w:rsidRDefault="008D024E" w:rsidP="00115A81">
      <w:r>
        <w:separator/>
      </w:r>
    </w:p>
  </w:endnote>
  <w:endnote w:type="continuationSeparator" w:id="0">
    <w:p w14:paraId="7EBD811D" w14:textId="77777777" w:rsidR="008D024E" w:rsidRDefault="008D024E" w:rsidP="0011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59531" w14:textId="77777777" w:rsidR="00654351" w:rsidRDefault="00654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AD35" w14:textId="77777777" w:rsidR="00654351" w:rsidRDefault="00654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8107" w14:textId="77777777" w:rsidR="00654351" w:rsidRDefault="00654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50E4" w14:textId="77777777" w:rsidR="008D024E" w:rsidRDefault="008D024E" w:rsidP="00115A81">
      <w:r>
        <w:separator/>
      </w:r>
    </w:p>
  </w:footnote>
  <w:footnote w:type="continuationSeparator" w:id="0">
    <w:p w14:paraId="1C7C1C85" w14:textId="77777777" w:rsidR="008D024E" w:rsidRDefault="008D024E" w:rsidP="0011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4EE9" w14:textId="77777777" w:rsidR="00654351" w:rsidRDefault="00654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052D" w14:textId="48DA2CC2" w:rsidR="00116FBC" w:rsidRDefault="00116FBC">
    <w:pPr>
      <w:pStyle w:val="Header"/>
    </w:pPr>
    <w:r>
      <w:t xml:space="preserve">London Borough of Lambeth Cash Collection Service </w:t>
    </w:r>
    <w:r w:rsidR="00654351">
      <w:t>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D1C65" w14:textId="77777777" w:rsidR="00654351" w:rsidRDefault="00654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CD8"/>
    <w:multiLevelType w:val="hybridMultilevel"/>
    <w:tmpl w:val="3EBE8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0FE5"/>
    <w:multiLevelType w:val="hybridMultilevel"/>
    <w:tmpl w:val="DF80BF02"/>
    <w:lvl w:ilvl="0" w:tplc="0809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63D48AE"/>
    <w:multiLevelType w:val="hybridMultilevel"/>
    <w:tmpl w:val="1F963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B7D"/>
    <w:multiLevelType w:val="hybridMultilevel"/>
    <w:tmpl w:val="B21A3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4E8D"/>
    <w:multiLevelType w:val="hybridMultilevel"/>
    <w:tmpl w:val="34061E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347991"/>
    <w:multiLevelType w:val="hybridMultilevel"/>
    <w:tmpl w:val="252C4E40"/>
    <w:lvl w:ilvl="0" w:tplc="42984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3F6"/>
    <w:multiLevelType w:val="hybridMultilevel"/>
    <w:tmpl w:val="8304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562"/>
    <w:multiLevelType w:val="hybridMultilevel"/>
    <w:tmpl w:val="DA685C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4178D4"/>
    <w:multiLevelType w:val="hybridMultilevel"/>
    <w:tmpl w:val="322C0A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D5610"/>
    <w:multiLevelType w:val="hybridMultilevel"/>
    <w:tmpl w:val="B6D21F48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731A0F8C"/>
    <w:multiLevelType w:val="hybridMultilevel"/>
    <w:tmpl w:val="78CA3FF4"/>
    <w:lvl w:ilvl="0" w:tplc="591CF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77E4E"/>
    <w:multiLevelType w:val="hybridMultilevel"/>
    <w:tmpl w:val="9584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70"/>
    <w:rsid w:val="000B35AB"/>
    <w:rsid w:val="00115A81"/>
    <w:rsid w:val="00116FBC"/>
    <w:rsid w:val="00191676"/>
    <w:rsid w:val="00272519"/>
    <w:rsid w:val="004A08E2"/>
    <w:rsid w:val="004A2C8A"/>
    <w:rsid w:val="004A377A"/>
    <w:rsid w:val="004F1BD4"/>
    <w:rsid w:val="005C6FCF"/>
    <w:rsid w:val="006252F7"/>
    <w:rsid w:val="00654351"/>
    <w:rsid w:val="00662E8E"/>
    <w:rsid w:val="007147E1"/>
    <w:rsid w:val="007276F6"/>
    <w:rsid w:val="008021A5"/>
    <w:rsid w:val="008932D8"/>
    <w:rsid w:val="008B47A4"/>
    <w:rsid w:val="008D024E"/>
    <w:rsid w:val="00926E70"/>
    <w:rsid w:val="00950D3E"/>
    <w:rsid w:val="00AB34E3"/>
    <w:rsid w:val="00AD7AA4"/>
    <w:rsid w:val="00BD335C"/>
    <w:rsid w:val="00C31F80"/>
    <w:rsid w:val="00C47D5E"/>
    <w:rsid w:val="00CA6835"/>
    <w:rsid w:val="00CA7F16"/>
    <w:rsid w:val="00D86990"/>
    <w:rsid w:val="00E044DD"/>
    <w:rsid w:val="00EC3A68"/>
    <w:rsid w:val="00ED2E29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C30B"/>
  <w15:chartTrackingRefBased/>
  <w15:docId w15:val="{95F63869-C22D-4BE5-AD35-F79DB552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A8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A81"/>
  </w:style>
  <w:style w:type="paragraph" w:styleId="Footer">
    <w:name w:val="footer"/>
    <w:basedOn w:val="Normal"/>
    <w:link w:val="FooterChar"/>
    <w:uiPriority w:val="99"/>
    <w:unhideWhenUsed/>
    <w:rsid w:val="00115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A81"/>
  </w:style>
  <w:style w:type="paragraph" w:styleId="ListParagraph">
    <w:name w:val="List Paragraph"/>
    <w:basedOn w:val="Normal"/>
    <w:uiPriority w:val="34"/>
    <w:qFormat/>
    <w:rsid w:val="00115A81"/>
    <w:pPr>
      <w:ind w:left="720"/>
    </w:pPr>
  </w:style>
  <w:style w:type="character" w:styleId="Hyperlink">
    <w:name w:val="Hyperlink"/>
    <w:basedOn w:val="DefaultParagraphFont"/>
    <w:uiPriority w:val="99"/>
    <w:unhideWhenUsed/>
    <w:rsid w:val="00116F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1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F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F8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F8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62E8E"/>
    <w:pPr>
      <w:widowControl w:val="0"/>
      <w:spacing w:after="120" w:line="240" w:lineRule="exac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terhead3">
    <w:name w:val="afterhead 3"/>
    <w:basedOn w:val="Normal"/>
    <w:link w:val="afterhead3Char"/>
    <w:rsid w:val="00662E8E"/>
    <w:pPr>
      <w:widowControl w:val="0"/>
      <w:spacing w:before="120" w:after="120" w:line="360" w:lineRule="auto"/>
      <w:ind w:left="1843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afterhead3Char">
    <w:name w:val="afterhead 3 Char"/>
    <w:basedOn w:val="DefaultParagraphFont"/>
    <w:link w:val="afterhead3"/>
    <w:rsid w:val="00662E8E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wusu@lambeth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Owusu,Stewart</dc:creator>
  <cp:keywords/>
  <dc:description/>
  <cp:lastModifiedBy>Bailey3,Ashaki</cp:lastModifiedBy>
  <cp:revision>6</cp:revision>
  <dcterms:created xsi:type="dcterms:W3CDTF">2019-05-02T15:00:00Z</dcterms:created>
  <dcterms:modified xsi:type="dcterms:W3CDTF">2019-05-07T08:29:00Z</dcterms:modified>
</cp:coreProperties>
</file>