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D2A" w:rsidRDefault="002063F5">
      <w:pPr>
        <w:spacing w:after="160" w:line="259" w:lineRule="auto"/>
        <w:ind w:firstLine="0"/>
      </w:pPr>
      <w:r>
        <w:t xml:space="preserve"> </w:t>
      </w:r>
    </w:p>
    <w:p w:rsidR="00621D2A" w:rsidRDefault="002063F5">
      <w:pPr>
        <w:spacing w:after="0" w:line="259" w:lineRule="auto"/>
        <w:ind w:left="14" w:firstLine="0"/>
      </w:pPr>
      <w:r>
        <w:rPr>
          <w:rFonts w:ascii="Arial" w:eastAsia="Arial" w:hAnsi="Arial" w:cs="Arial"/>
          <w:sz w:val="20"/>
        </w:rPr>
        <w:t xml:space="preserve"> </w:t>
      </w:r>
      <w:r>
        <w:t xml:space="preserve"> </w:t>
      </w:r>
    </w:p>
    <w:p w:rsidR="00621D2A" w:rsidRDefault="002063F5">
      <w:pPr>
        <w:spacing w:after="137" w:line="259" w:lineRule="auto"/>
        <w:ind w:left="15" w:firstLine="0"/>
      </w:pPr>
      <w:r>
        <w:rPr>
          <w:noProof/>
        </w:rPr>
        <w:drawing>
          <wp:inline distT="0" distB="0" distL="0" distR="0">
            <wp:extent cx="1864360" cy="1555750"/>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7"/>
                    <a:stretch>
                      <a:fillRect/>
                    </a:stretch>
                  </pic:blipFill>
                  <pic:spPr>
                    <a:xfrm>
                      <a:off x="0" y="0"/>
                      <a:ext cx="1864360" cy="1555750"/>
                    </a:xfrm>
                    <a:prstGeom prst="rect">
                      <a:avLst/>
                    </a:prstGeom>
                  </pic:spPr>
                </pic:pic>
              </a:graphicData>
            </a:graphic>
          </wp:inline>
        </w:drawing>
      </w:r>
      <w:r>
        <w:rPr>
          <w:rFonts w:ascii="Arial" w:eastAsia="Arial" w:hAnsi="Arial" w:cs="Arial"/>
          <w:sz w:val="20"/>
        </w:rPr>
        <w:t xml:space="preserve"> </w:t>
      </w:r>
      <w:r>
        <w:t xml:space="preserve"> </w:t>
      </w:r>
    </w:p>
    <w:p w:rsidR="00621D2A" w:rsidRDefault="002063F5">
      <w:pPr>
        <w:spacing w:after="238" w:line="259" w:lineRule="auto"/>
        <w:ind w:left="14" w:firstLine="0"/>
      </w:pPr>
      <w:r>
        <w:rPr>
          <w:sz w:val="20"/>
        </w:rPr>
        <w:t xml:space="preserve"> </w:t>
      </w:r>
      <w:r>
        <w:t xml:space="preserve"> </w:t>
      </w:r>
    </w:p>
    <w:p w:rsidR="00621D2A" w:rsidRDefault="002063F5">
      <w:pPr>
        <w:spacing w:after="260" w:line="259" w:lineRule="auto"/>
        <w:ind w:left="14" w:firstLine="0"/>
      </w:pPr>
      <w:r>
        <w:rPr>
          <w:sz w:val="20"/>
        </w:rPr>
        <w:t xml:space="preserve"> </w:t>
      </w:r>
      <w:r>
        <w:t xml:space="preserve"> </w:t>
      </w:r>
    </w:p>
    <w:p w:rsidR="00621D2A" w:rsidRDefault="002063F5">
      <w:pPr>
        <w:spacing w:after="215"/>
        <w:ind w:right="7"/>
      </w:pPr>
      <w:r>
        <w:t xml:space="preserve">G-Cloud 10 Call-Off Contract  </w:t>
      </w:r>
    </w:p>
    <w:p w:rsidR="00621D2A" w:rsidRDefault="002063F5">
      <w:pPr>
        <w:spacing w:after="221" w:line="259" w:lineRule="auto"/>
        <w:ind w:left="14" w:firstLine="0"/>
      </w:pPr>
      <w:r>
        <w:t xml:space="preserve">  </w:t>
      </w:r>
    </w:p>
    <w:p w:rsidR="00621D2A" w:rsidRDefault="002063F5">
      <w:pPr>
        <w:spacing w:after="251" w:line="259" w:lineRule="auto"/>
        <w:ind w:left="14" w:firstLine="0"/>
      </w:pPr>
      <w:r>
        <w:t xml:space="preserve">  </w:t>
      </w:r>
    </w:p>
    <w:p w:rsidR="00621D2A" w:rsidRDefault="002063F5">
      <w:pPr>
        <w:spacing w:after="0"/>
        <w:ind w:left="36" w:right="7"/>
      </w:pPr>
      <w:r>
        <w:t xml:space="preserve">This Call-Off Contract for the G-Cloud 10 Framework Agreement (RM1557.10) includes: </w:t>
      </w:r>
      <w:r>
        <w:rPr>
          <w:rFonts w:ascii="Arial" w:eastAsia="Arial" w:hAnsi="Arial" w:cs="Arial"/>
          <w:b/>
        </w:rPr>
        <w:t xml:space="preserve">Part A - Order </w:t>
      </w:r>
    </w:p>
    <w:p w:rsidR="00621D2A" w:rsidRDefault="002063F5">
      <w:pPr>
        <w:tabs>
          <w:tab w:val="right" w:pos="10630"/>
        </w:tabs>
        <w:spacing w:after="15" w:line="247" w:lineRule="auto"/>
        <w:ind w:left="-5" w:firstLine="0"/>
      </w:pPr>
      <w:r>
        <w:rPr>
          <w:rFonts w:ascii="Arial" w:eastAsia="Arial" w:hAnsi="Arial" w:cs="Arial"/>
          <w:b/>
        </w:rPr>
        <w:t xml:space="preserve">Form </w:t>
      </w:r>
      <w:r>
        <w:rPr>
          <w:rFonts w:ascii="Arial" w:eastAsia="Arial" w:hAnsi="Arial" w:cs="Arial"/>
          <w:b/>
        </w:rPr>
        <w:tab/>
      </w:r>
      <w:r>
        <w:rPr>
          <w:rFonts w:ascii="Arial" w:eastAsia="Arial" w:hAnsi="Arial" w:cs="Arial"/>
        </w:rPr>
        <w:t>Error! Bookmark not defined.</w:t>
      </w:r>
      <w:r>
        <w:rPr>
          <w:rFonts w:ascii="Arial" w:eastAsia="Arial" w:hAnsi="Arial" w:cs="Arial"/>
          <w:b/>
        </w:rPr>
        <w:t xml:space="preserve"> </w:t>
      </w:r>
    </w:p>
    <w:sdt>
      <w:sdtPr>
        <w:rPr>
          <w:rFonts w:ascii="Corbel" w:eastAsia="Corbel" w:hAnsi="Corbel" w:cs="Corbel"/>
          <w:sz w:val="24"/>
        </w:rPr>
        <w:id w:val="-590311549"/>
        <w:docPartObj>
          <w:docPartGallery w:val="Table of Contents"/>
        </w:docPartObj>
      </w:sdtPr>
      <w:sdtContent>
        <w:p w:rsidR="00621D2A" w:rsidRDefault="002063F5">
          <w:pPr>
            <w:pStyle w:val="TOC1"/>
            <w:tabs>
              <w:tab w:val="right" w:pos="10630"/>
            </w:tabs>
          </w:pPr>
          <w:r>
            <w:fldChar w:fldCharType="begin"/>
          </w:r>
          <w:r>
            <w:instrText xml:space="preserve"> TOC \o "1-1" \h \z \u </w:instrText>
          </w:r>
          <w:r>
            <w:fldChar w:fldCharType="separate"/>
          </w:r>
          <w:hyperlink w:anchor="_Toc73316">
            <w:r>
              <w:rPr>
                <w:rFonts w:ascii="Arial" w:eastAsia="Arial" w:hAnsi="Arial" w:cs="Arial"/>
                <w:b/>
                <w:sz w:val="24"/>
              </w:rPr>
              <w:t>Schedule 1 - Services</w:t>
            </w:r>
            <w:r>
              <w:tab/>
            </w:r>
            <w:r>
              <w:fldChar w:fldCharType="begin"/>
            </w:r>
            <w:r>
              <w:instrText>PAGEREF _Toc73316 \h</w:instrText>
            </w:r>
            <w:r>
              <w:fldChar w:fldCharType="separate"/>
            </w:r>
            <w:r>
              <w:rPr>
                <w:rFonts w:ascii="Arial" w:eastAsia="Arial" w:hAnsi="Arial" w:cs="Arial"/>
                <w:b/>
                <w:sz w:val="24"/>
              </w:rPr>
              <w:t xml:space="preserve">8 </w:t>
            </w:r>
            <w:r>
              <w:fldChar w:fldCharType="end"/>
            </w:r>
          </w:hyperlink>
        </w:p>
        <w:p w:rsidR="00621D2A" w:rsidRDefault="00BA783F">
          <w:pPr>
            <w:pStyle w:val="TOC1"/>
            <w:tabs>
              <w:tab w:val="right" w:pos="10630"/>
            </w:tabs>
          </w:pPr>
          <w:hyperlink w:anchor="_Toc73317">
            <w:r w:rsidR="002063F5">
              <w:rPr>
                <w:rFonts w:ascii="Arial" w:eastAsia="Arial" w:hAnsi="Arial" w:cs="Arial"/>
                <w:b/>
                <w:sz w:val="24"/>
              </w:rPr>
              <w:t>Schedule 2 - Call-Off Contract charges</w:t>
            </w:r>
            <w:r w:rsidR="002063F5">
              <w:tab/>
            </w:r>
            <w:r w:rsidR="002063F5">
              <w:fldChar w:fldCharType="begin"/>
            </w:r>
            <w:r w:rsidR="002063F5">
              <w:instrText>PAGEREF _Toc73317 \h</w:instrText>
            </w:r>
            <w:r w:rsidR="002063F5">
              <w:fldChar w:fldCharType="separate"/>
            </w:r>
            <w:r w:rsidR="002063F5">
              <w:rPr>
                <w:rFonts w:ascii="Arial" w:eastAsia="Arial" w:hAnsi="Arial" w:cs="Arial"/>
                <w:b/>
                <w:sz w:val="24"/>
              </w:rPr>
              <w:t xml:space="preserve">9 </w:t>
            </w:r>
            <w:r w:rsidR="002063F5">
              <w:fldChar w:fldCharType="end"/>
            </w:r>
          </w:hyperlink>
        </w:p>
        <w:p w:rsidR="00621D2A" w:rsidRDefault="00BA783F">
          <w:pPr>
            <w:pStyle w:val="TOC1"/>
            <w:tabs>
              <w:tab w:val="right" w:pos="10630"/>
            </w:tabs>
          </w:pPr>
          <w:hyperlink w:anchor="_Toc73318">
            <w:r w:rsidR="002063F5">
              <w:rPr>
                <w:rFonts w:ascii="Arial" w:eastAsia="Arial" w:hAnsi="Arial" w:cs="Arial"/>
                <w:b/>
                <w:sz w:val="24"/>
              </w:rPr>
              <w:t>Part B - Terms and conditions</w:t>
            </w:r>
            <w:r w:rsidR="002063F5">
              <w:tab/>
            </w:r>
            <w:r w:rsidR="002063F5">
              <w:fldChar w:fldCharType="begin"/>
            </w:r>
            <w:r w:rsidR="002063F5">
              <w:instrText>PAGEREF _Toc73318 \h</w:instrText>
            </w:r>
            <w:r w:rsidR="002063F5">
              <w:fldChar w:fldCharType="separate"/>
            </w:r>
            <w:r w:rsidR="002063F5">
              <w:rPr>
                <w:rFonts w:ascii="Arial" w:eastAsia="Arial" w:hAnsi="Arial" w:cs="Arial"/>
                <w:b/>
                <w:sz w:val="24"/>
              </w:rPr>
              <w:t xml:space="preserve">9 </w:t>
            </w:r>
            <w:r w:rsidR="002063F5">
              <w:fldChar w:fldCharType="end"/>
            </w:r>
          </w:hyperlink>
        </w:p>
        <w:p w:rsidR="00621D2A" w:rsidRDefault="00BA783F">
          <w:pPr>
            <w:pStyle w:val="TOC1"/>
            <w:tabs>
              <w:tab w:val="right" w:pos="10630"/>
            </w:tabs>
          </w:pPr>
          <w:hyperlink w:anchor="_Toc73319">
            <w:r w:rsidR="002063F5">
              <w:rPr>
                <w:rFonts w:ascii="Arial" w:eastAsia="Arial" w:hAnsi="Arial" w:cs="Arial"/>
                <w:b/>
                <w:sz w:val="24"/>
              </w:rPr>
              <w:t>Schedule 3 - Collaboration agreement</w:t>
            </w:r>
            <w:r w:rsidR="002063F5">
              <w:tab/>
            </w:r>
            <w:r w:rsidR="002063F5">
              <w:fldChar w:fldCharType="begin"/>
            </w:r>
            <w:r w:rsidR="002063F5">
              <w:instrText>PAGEREF _Toc73319 \h</w:instrText>
            </w:r>
            <w:r w:rsidR="002063F5">
              <w:fldChar w:fldCharType="separate"/>
            </w:r>
            <w:r w:rsidR="002063F5">
              <w:rPr>
                <w:rFonts w:ascii="Arial" w:eastAsia="Arial" w:hAnsi="Arial" w:cs="Arial"/>
                <w:b/>
                <w:sz w:val="24"/>
              </w:rPr>
              <w:t xml:space="preserve">31 </w:t>
            </w:r>
            <w:r w:rsidR="002063F5">
              <w:fldChar w:fldCharType="end"/>
            </w:r>
          </w:hyperlink>
        </w:p>
        <w:p w:rsidR="00621D2A" w:rsidRDefault="00BA783F">
          <w:pPr>
            <w:pStyle w:val="TOC1"/>
            <w:tabs>
              <w:tab w:val="right" w:pos="10630"/>
            </w:tabs>
          </w:pPr>
          <w:hyperlink w:anchor="_Toc73320">
            <w:r w:rsidR="002063F5">
              <w:rPr>
                <w:rFonts w:ascii="Arial" w:eastAsia="Arial" w:hAnsi="Arial" w:cs="Arial"/>
                <w:b/>
                <w:sz w:val="24"/>
              </w:rPr>
              <w:t>Schedule 4 - Alternative clauses</w:t>
            </w:r>
            <w:r w:rsidR="002063F5">
              <w:tab/>
            </w:r>
            <w:r w:rsidR="002063F5">
              <w:fldChar w:fldCharType="begin"/>
            </w:r>
            <w:r w:rsidR="002063F5">
              <w:instrText>PAGEREF _Toc73320 \h</w:instrText>
            </w:r>
            <w:r w:rsidR="002063F5">
              <w:fldChar w:fldCharType="separate"/>
            </w:r>
            <w:r w:rsidR="002063F5">
              <w:rPr>
                <w:rFonts w:ascii="Arial" w:eastAsia="Arial" w:hAnsi="Arial" w:cs="Arial"/>
                <w:b/>
                <w:sz w:val="24"/>
              </w:rPr>
              <w:t xml:space="preserve">31 </w:t>
            </w:r>
            <w:r w:rsidR="002063F5">
              <w:fldChar w:fldCharType="end"/>
            </w:r>
          </w:hyperlink>
        </w:p>
        <w:p w:rsidR="00621D2A" w:rsidRDefault="00BA783F">
          <w:pPr>
            <w:pStyle w:val="TOC1"/>
            <w:tabs>
              <w:tab w:val="right" w:pos="10630"/>
            </w:tabs>
          </w:pPr>
          <w:hyperlink w:anchor="_Toc73321">
            <w:r w:rsidR="002063F5">
              <w:rPr>
                <w:rFonts w:ascii="Arial" w:eastAsia="Arial" w:hAnsi="Arial" w:cs="Arial"/>
                <w:b/>
                <w:sz w:val="24"/>
              </w:rPr>
              <w:t>Schedule 5 - Guarantee</w:t>
            </w:r>
            <w:r w:rsidR="002063F5">
              <w:tab/>
            </w:r>
            <w:r w:rsidR="002063F5">
              <w:fldChar w:fldCharType="begin"/>
            </w:r>
            <w:r w:rsidR="002063F5">
              <w:instrText>PAGEREF _Toc73321 \h</w:instrText>
            </w:r>
            <w:r w:rsidR="002063F5">
              <w:fldChar w:fldCharType="separate"/>
            </w:r>
            <w:r w:rsidR="002063F5">
              <w:rPr>
                <w:rFonts w:ascii="Arial" w:eastAsia="Arial" w:hAnsi="Arial" w:cs="Arial"/>
                <w:b/>
                <w:sz w:val="24"/>
              </w:rPr>
              <w:t xml:space="preserve">31 </w:t>
            </w:r>
            <w:r w:rsidR="002063F5">
              <w:fldChar w:fldCharType="end"/>
            </w:r>
          </w:hyperlink>
        </w:p>
        <w:p w:rsidR="00621D2A" w:rsidRDefault="00BA783F">
          <w:pPr>
            <w:pStyle w:val="TOC1"/>
            <w:tabs>
              <w:tab w:val="right" w:pos="10630"/>
            </w:tabs>
          </w:pPr>
          <w:hyperlink w:anchor="_Toc73322">
            <w:r w:rsidR="002063F5">
              <w:rPr>
                <w:rFonts w:ascii="Arial" w:eastAsia="Arial" w:hAnsi="Arial" w:cs="Arial"/>
                <w:b/>
                <w:sz w:val="24"/>
              </w:rPr>
              <w:t>Schedule 6 - Glossary and interpretations</w:t>
            </w:r>
            <w:r w:rsidR="002063F5">
              <w:tab/>
            </w:r>
            <w:r w:rsidR="002063F5">
              <w:fldChar w:fldCharType="begin"/>
            </w:r>
            <w:r w:rsidR="002063F5">
              <w:instrText>PAGEREF _Toc73322 \h</w:instrText>
            </w:r>
            <w:r w:rsidR="002063F5">
              <w:fldChar w:fldCharType="separate"/>
            </w:r>
            <w:r w:rsidR="002063F5">
              <w:rPr>
                <w:rFonts w:ascii="Arial" w:eastAsia="Arial" w:hAnsi="Arial" w:cs="Arial"/>
                <w:b/>
                <w:sz w:val="24"/>
              </w:rPr>
              <w:t xml:space="preserve">31 </w:t>
            </w:r>
            <w:r w:rsidR="002063F5">
              <w:fldChar w:fldCharType="end"/>
            </w:r>
          </w:hyperlink>
        </w:p>
        <w:p w:rsidR="00621D2A" w:rsidRDefault="00BA783F">
          <w:pPr>
            <w:pStyle w:val="TOC1"/>
            <w:tabs>
              <w:tab w:val="right" w:pos="10630"/>
            </w:tabs>
          </w:pPr>
          <w:hyperlink w:anchor="_Toc73323">
            <w:r w:rsidR="002063F5">
              <w:rPr>
                <w:rFonts w:ascii="Arial" w:eastAsia="Arial" w:hAnsi="Arial" w:cs="Arial"/>
                <w:b/>
                <w:sz w:val="24"/>
              </w:rPr>
              <w:t>Schedule 7 - Processing, Personal Data and Data Subjects</w:t>
            </w:r>
            <w:r w:rsidR="002063F5">
              <w:tab/>
            </w:r>
            <w:r w:rsidR="002063F5">
              <w:fldChar w:fldCharType="begin"/>
            </w:r>
            <w:r w:rsidR="002063F5">
              <w:instrText>PAGEREF _Toc73323 \h</w:instrText>
            </w:r>
            <w:r w:rsidR="002063F5">
              <w:fldChar w:fldCharType="separate"/>
            </w:r>
            <w:r w:rsidR="002063F5">
              <w:rPr>
                <w:rFonts w:ascii="Arial" w:eastAsia="Arial" w:hAnsi="Arial" w:cs="Arial"/>
                <w:b/>
                <w:sz w:val="24"/>
              </w:rPr>
              <w:t xml:space="preserve">44 </w:t>
            </w:r>
            <w:r w:rsidR="002063F5">
              <w:fldChar w:fldCharType="end"/>
            </w:r>
          </w:hyperlink>
        </w:p>
        <w:p w:rsidR="00621D2A" w:rsidRDefault="002063F5">
          <w:r>
            <w:fldChar w:fldCharType="end"/>
          </w:r>
        </w:p>
      </w:sdtContent>
    </w:sdt>
    <w:p w:rsidR="00621D2A" w:rsidRDefault="002063F5">
      <w:pPr>
        <w:spacing w:after="280" w:line="259" w:lineRule="auto"/>
        <w:ind w:left="14" w:firstLine="0"/>
      </w:pPr>
      <w:r>
        <w:t xml:space="preserve"> </w:t>
      </w:r>
    </w:p>
    <w:p w:rsidR="00621D2A" w:rsidRDefault="002063F5">
      <w:pPr>
        <w:pStyle w:val="Heading2"/>
        <w:spacing w:after="0"/>
      </w:pPr>
      <w:r>
        <w:t xml:space="preserve">Part A - Order Form </w:t>
      </w:r>
      <w:r>
        <w:rPr>
          <w:rFonts w:ascii="Arial" w:eastAsia="Arial" w:hAnsi="Arial" w:cs="Arial"/>
          <w:sz w:val="22"/>
        </w:rPr>
        <w:t xml:space="preserve"> </w:t>
      </w:r>
      <w:r>
        <w:rPr>
          <w:b w:val="0"/>
        </w:rPr>
        <w:t xml:space="preserve"> </w:t>
      </w:r>
    </w:p>
    <w:tbl>
      <w:tblPr>
        <w:tblStyle w:val="TableGrid"/>
        <w:tblW w:w="10634" w:type="dxa"/>
        <w:tblInd w:w="34" w:type="dxa"/>
        <w:tblCellMar>
          <w:left w:w="91" w:type="dxa"/>
          <w:bottom w:w="144" w:type="dxa"/>
          <w:right w:w="115" w:type="dxa"/>
        </w:tblCellMar>
        <w:tblLook w:val="04A0" w:firstRow="1" w:lastRow="0" w:firstColumn="1" w:lastColumn="0" w:noHBand="0" w:noVBand="1"/>
      </w:tblPr>
      <w:tblGrid>
        <w:gridCol w:w="5317"/>
        <w:gridCol w:w="5317"/>
      </w:tblGrid>
      <w:tr w:rsidR="00621D2A">
        <w:trPr>
          <w:trHeight w:val="697"/>
        </w:trPr>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b/>
              </w:rPr>
              <w:t xml:space="preserve">Digital Marketplace service ID number: </w:t>
            </w:r>
            <w:r>
              <w:t xml:space="preserve"> </w:t>
            </w:r>
          </w:p>
        </w:tc>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rFonts w:ascii="Calibri" w:eastAsia="Calibri" w:hAnsi="Calibri" w:cs="Calibri"/>
                <w:sz w:val="20"/>
              </w:rPr>
              <w:t>471493705133523</w:t>
            </w:r>
            <w:r>
              <w:t xml:space="preserve">  </w:t>
            </w:r>
          </w:p>
        </w:tc>
      </w:tr>
      <w:tr w:rsidR="00621D2A">
        <w:trPr>
          <w:trHeight w:val="636"/>
        </w:trPr>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rFonts w:ascii="Calibri" w:eastAsia="Calibri" w:hAnsi="Calibri" w:cs="Calibri"/>
                <w:sz w:val="20"/>
              </w:rPr>
              <w:lastRenderedPageBreak/>
              <w:t xml:space="preserve">Call-Off Contract reference: </w:t>
            </w:r>
            <w:r>
              <w:t xml:space="preserve"> </w:t>
            </w:r>
          </w:p>
        </w:tc>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rFonts w:ascii="Calibri" w:eastAsia="Calibri" w:hAnsi="Calibri" w:cs="Calibri"/>
                <w:sz w:val="20"/>
              </w:rPr>
              <w:t xml:space="preserve">ITPD0088 </w:t>
            </w:r>
            <w:r>
              <w:t xml:space="preserve"> </w:t>
            </w:r>
          </w:p>
        </w:tc>
      </w:tr>
      <w:tr w:rsidR="00621D2A">
        <w:trPr>
          <w:trHeight w:val="696"/>
        </w:trPr>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b/>
              </w:rPr>
              <w:t xml:space="preserve">Call-Off Contract title: </w:t>
            </w:r>
            <w:r>
              <w:t xml:space="preserve"> </w:t>
            </w:r>
          </w:p>
        </w:tc>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t xml:space="preserve">Behavioural Maturity Measurement Service  </w:t>
            </w:r>
          </w:p>
        </w:tc>
      </w:tr>
      <w:tr w:rsidR="00621D2A">
        <w:trPr>
          <w:trHeight w:val="2768"/>
        </w:trPr>
        <w:tc>
          <w:tcPr>
            <w:tcW w:w="531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Call-Off Contract description: </w:t>
            </w:r>
            <w:r>
              <w:t xml:space="preserve"> </w:t>
            </w:r>
          </w:p>
        </w:tc>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rFonts w:ascii="Arial" w:eastAsia="Arial" w:hAnsi="Arial" w:cs="Arial"/>
                <w:sz w:val="20"/>
              </w:rPr>
              <w:t xml:space="preserve">Support with running and developing the Behavioural </w:t>
            </w:r>
            <w:r>
              <w:t xml:space="preserve"> </w:t>
            </w:r>
          </w:p>
          <w:p w:rsidR="00621D2A" w:rsidRDefault="002063F5">
            <w:pPr>
              <w:spacing w:after="0" w:line="231" w:lineRule="auto"/>
              <w:ind w:left="0" w:firstLine="0"/>
            </w:pPr>
            <w:r>
              <w:rPr>
                <w:rFonts w:ascii="Arial" w:eastAsia="Arial" w:hAnsi="Arial" w:cs="Arial"/>
                <w:sz w:val="20"/>
              </w:rPr>
              <w:t xml:space="preserve">Maturity Framework, training and coaching the BMF Facilitator Community, developing and supporting the content production, delivery and training of products in line with the Collaboration Routemap, supporting the transfer of collaborative capability (facilitation skills, behavioural expertise) into the BM Team.  </w:t>
            </w:r>
            <w:r>
              <w:t xml:space="preserve"> </w:t>
            </w:r>
          </w:p>
          <w:p w:rsidR="00621D2A" w:rsidRDefault="002063F5">
            <w:pPr>
              <w:spacing w:after="39" w:line="216" w:lineRule="auto"/>
              <w:ind w:left="0" w:firstLine="0"/>
            </w:pPr>
            <w:r>
              <w:rPr>
                <w:rFonts w:ascii="Arial" w:eastAsia="Arial" w:hAnsi="Arial" w:cs="Arial"/>
                <w:sz w:val="20"/>
              </w:rPr>
              <w:t xml:space="preserve">Provision of a data tool to undertake survey analysis and provision of survey reports. </w:t>
            </w:r>
            <w:r>
              <w:rPr>
                <w:rFonts w:ascii="Arial" w:eastAsia="Arial" w:hAnsi="Arial" w:cs="Arial"/>
              </w:rPr>
              <w:t xml:space="preserve"> </w:t>
            </w:r>
            <w:r>
              <w:t xml:space="preserve"> </w:t>
            </w:r>
          </w:p>
          <w:p w:rsidR="00621D2A" w:rsidRDefault="002063F5">
            <w:pPr>
              <w:spacing w:after="0" w:line="259" w:lineRule="auto"/>
              <w:ind w:left="0" w:firstLine="0"/>
            </w:pPr>
            <w:r>
              <w:t xml:space="preserve">  </w:t>
            </w:r>
          </w:p>
        </w:tc>
      </w:tr>
      <w:tr w:rsidR="00621D2A">
        <w:trPr>
          <w:trHeight w:val="694"/>
        </w:trPr>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b/>
              </w:rPr>
              <w:t xml:space="preserve">Start date:  </w:t>
            </w:r>
            <w:r>
              <w:t xml:space="preserve"> </w:t>
            </w:r>
            <w:bookmarkStart w:id="0" w:name="_GoBack"/>
            <w:bookmarkEnd w:id="0"/>
          </w:p>
        </w:tc>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t xml:space="preserve">01/02/2019  </w:t>
            </w:r>
          </w:p>
        </w:tc>
      </w:tr>
      <w:tr w:rsidR="00621D2A">
        <w:trPr>
          <w:trHeight w:val="694"/>
        </w:trPr>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b/>
              </w:rPr>
              <w:t xml:space="preserve">Expiry date: </w:t>
            </w:r>
            <w:r>
              <w:t xml:space="preserve"> </w:t>
            </w:r>
          </w:p>
        </w:tc>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t xml:space="preserve">31/01/2020  </w:t>
            </w:r>
          </w:p>
        </w:tc>
      </w:tr>
      <w:tr w:rsidR="00621D2A">
        <w:trPr>
          <w:trHeight w:val="694"/>
        </w:trPr>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b/>
              </w:rPr>
              <w:t xml:space="preserve">Call-Off Contract value: </w:t>
            </w:r>
            <w:r>
              <w:t xml:space="preserve"> </w:t>
            </w:r>
          </w:p>
        </w:tc>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t xml:space="preserve">£90,000  </w:t>
            </w:r>
          </w:p>
        </w:tc>
      </w:tr>
      <w:tr w:rsidR="00621D2A">
        <w:trPr>
          <w:trHeight w:val="696"/>
        </w:trPr>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b/>
              </w:rPr>
              <w:t xml:space="preserve">Charging method: </w:t>
            </w:r>
            <w:r>
              <w:t xml:space="preserve"> </w:t>
            </w:r>
          </w:p>
        </w:tc>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t xml:space="preserve">Invoice (BACs)  </w:t>
            </w:r>
          </w:p>
        </w:tc>
      </w:tr>
      <w:tr w:rsidR="00621D2A">
        <w:trPr>
          <w:trHeight w:val="694"/>
        </w:trPr>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b/>
              </w:rPr>
              <w:t xml:space="preserve">Purchase order number: </w:t>
            </w:r>
            <w:r>
              <w:t xml:space="preserve"> </w:t>
            </w:r>
          </w:p>
        </w:tc>
        <w:tc>
          <w:tcPr>
            <w:tcW w:w="5317"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t xml:space="preserve">TBC  </w:t>
            </w:r>
          </w:p>
        </w:tc>
      </w:tr>
    </w:tbl>
    <w:p w:rsidR="00621D2A" w:rsidRDefault="002063F5">
      <w:pPr>
        <w:spacing w:after="221" w:line="259" w:lineRule="auto"/>
        <w:ind w:left="14" w:firstLine="0"/>
      </w:pPr>
      <w:r>
        <w:t xml:space="preserve">  </w:t>
      </w:r>
    </w:p>
    <w:p w:rsidR="00621D2A" w:rsidRDefault="002063F5">
      <w:pPr>
        <w:spacing w:after="215"/>
        <w:ind w:right="7"/>
      </w:pPr>
      <w:r>
        <w:t xml:space="preserve">This Order Form is issued under the G-Cloud 10 Framework Agreement (RM1557.10).   </w:t>
      </w:r>
    </w:p>
    <w:p w:rsidR="00621D2A" w:rsidRDefault="002063F5">
      <w:pPr>
        <w:spacing w:after="213"/>
        <w:ind w:right="7"/>
      </w:pPr>
      <w:r>
        <w:t xml:space="preserve">Buyers can use this order form to specify their G-Cloud service requirements when placing an Order.  </w:t>
      </w:r>
    </w:p>
    <w:p w:rsidR="00621D2A" w:rsidRDefault="002063F5">
      <w:pPr>
        <w:spacing w:after="208"/>
        <w:ind w:right="7"/>
      </w:pPr>
      <w:r>
        <w:t xml:space="preserve">The Order Form cannot be used to alter existing terms or add any extra terms that materially change the Deliverables offered by the Supplier and defined in the Application.  </w:t>
      </w:r>
    </w:p>
    <w:p w:rsidR="00621D2A" w:rsidRDefault="002063F5">
      <w:pPr>
        <w:spacing w:after="0"/>
        <w:ind w:right="7"/>
      </w:pPr>
      <w:r>
        <w:t xml:space="preserve">There are terms in the Call-Off Contract that may be defined in the Order Form. These are identified in the contract with square brackets.  </w:t>
      </w:r>
    </w:p>
    <w:tbl>
      <w:tblPr>
        <w:tblStyle w:val="TableGrid"/>
        <w:tblW w:w="10658" w:type="dxa"/>
        <w:tblInd w:w="29" w:type="dxa"/>
        <w:tblCellMar>
          <w:top w:w="220" w:type="dxa"/>
          <w:left w:w="89" w:type="dxa"/>
          <w:bottom w:w="154" w:type="dxa"/>
          <w:right w:w="115" w:type="dxa"/>
        </w:tblCellMar>
        <w:tblLook w:val="04A0" w:firstRow="1" w:lastRow="0" w:firstColumn="1" w:lastColumn="0" w:noHBand="0" w:noVBand="1"/>
      </w:tblPr>
      <w:tblGrid>
        <w:gridCol w:w="2148"/>
        <w:gridCol w:w="8510"/>
      </w:tblGrid>
      <w:tr w:rsidR="00621D2A">
        <w:trPr>
          <w:trHeight w:val="2761"/>
        </w:trPr>
        <w:tc>
          <w:tcPr>
            <w:tcW w:w="2148"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2" w:firstLine="0"/>
            </w:pPr>
            <w:r>
              <w:rPr>
                <w:b/>
              </w:rPr>
              <w:lastRenderedPageBreak/>
              <w:t xml:space="preserve">From: the Buyer </w:t>
            </w:r>
            <w:r>
              <w:t xml:space="preserve"> </w:t>
            </w:r>
          </w:p>
        </w:tc>
        <w:tc>
          <w:tcPr>
            <w:tcW w:w="8510"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75" w:lineRule="auto"/>
              <w:ind w:left="0" w:right="3280" w:firstLine="0"/>
            </w:pPr>
            <w:r>
              <w:t xml:space="preserve">Highways England Company Limited  Buyer’s main address:   </w:t>
            </w:r>
          </w:p>
          <w:p w:rsidR="00621D2A" w:rsidRDefault="002063F5">
            <w:pPr>
              <w:spacing w:after="23" w:line="259" w:lineRule="auto"/>
              <w:ind w:left="0" w:firstLine="0"/>
            </w:pPr>
            <w:r>
              <w:t xml:space="preserve">Bridge House   </w:t>
            </w:r>
          </w:p>
          <w:p w:rsidR="00621D2A" w:rsidRDefault="002063F5">
            <w:pPr>
              <w:spacing w:after="20" w:line="259" w:lineRule="auto"/>
              <w:ind w:left="0" w:firstLine="0"/>
            </w:pPr>
            <w:r>
              <w:t xml:space="preserve">Walnut Tree Close   </w:t>
            </w:r>
          </w:p>
          <w:p w:rsidR="00621D2A" w:rsidRDefault="002063F5">
            <w:pPr>
              <w:spacing w:after="20" w:line="259" w:lineRule="auto"/>
              <w:ind w:left="0" w:firstLine="0"/>
            </w:pPr>
            <w:r>
              <w:t xml:space="preserve">Guildford   </w:t>
            </w:r>
          </w:p>
          <w:p w:rsidR="00621D2A" w:rsidRDefault="002063F5">
            <w:pPr>
              <w:spacing w:after="22" w:line="259" w:lineRule="auto"/>
              <w:ind w:left="0" w:firstLine="0"/>
            </w:pPr>
            <w:r>
              <w:t xml:space="preserve">Surrey   </w:t>
            </w:r>
          </w:p>
          <w:p w:rsidR="00621D2A" w:rsidRDefault="002063F5">
            <w:pPr>
              <w:spacing w:after="0" w:line="259" w:lineRule="auto"/>
              <w:ind w:left="0" w:firstLine="0"/>
            </w:pPr>
            <w:r>
              <w:t xml:space="preserve">GU1 4GA  </w:t>
            </w:r>
          </w:p>
        </w:tc>
      </w:tr>
      <w:tr w:rsidR="00621D2A">
        <w:trPr>
          <w:trHeight w:val="3773"/>
        </w:trPr>
        <w:tc>
          <w:tcPr>
            <w:tcW w:w="2148" w:type="dxa"/>
            <w:tcBorders>
              <w:top w:val="single" w:sz="8" w:space="0" w:color="000001"/>
              <w:left w:val="single" w:sz="8" w:space="0" w:color="000001"/>
              <w:bottom w:val="single" w:sz="8" w:space="0" w:color="000001"/>
              <w:right w:val="single" w:sz="8" w:space="0" w:color="000001"/>
            </w:tcBorders>
          </w:tcPr>
          <w:p w:rsidR="00621D2A" w:rsidRDefault="002063F5">
            <w:pPr>
              <w:spacing w:after="20" w:line="259" w:lineRule="auto"/>
              <w:ind w:left="2" w:firstLine="0"/>
            </w:pPr>
            <w:r>
              <w:rPr>
                <w:b/>
              </w:rPr>
              <w:t xml:space="preserve">To: the Supplier </w:t>
            </w:r>
            <w:r>
              <w:t xml:space="preserve"> </w:t>
            </w:r>
          </w:p>
          <w:p w:rsidR="00621D2A" w:rsidRDefault="002063F5">
            <w:pPr>
              <w:spacing w:after="22" w:line="259" w:lineRule="auto"/>
              <w:ind w:left="2" w:firstLine="0"/>
            </w:pPr>
            <w:r>
              <w:rPr>
                <w:b/>
              </w:rPr>
              <w:t xml:space="preserve"> </w:t>
            </w:r>
            <w:r>
              <w:t xml:space="preserve"> </w:t>
            </w:r>
          </w:p>
          <w:p w:rsidR="00621D2A" w:rsidRDefault="002063F5">
            <w:pPr>
              <w:spacing w:after="20" w:line="259" w:lineRule="auto"/>
              <w:ind w:left="2" w:firstLine="0"/>
            </w:pPr>
            <w:r>
              <w:rPr>
                <w:b/>
              </w:rPr>
              <w:t xml:space="preserve"> </w:t>
            </w:r>
            <w:r>
              <w:t xml:space="preserve"> </w:t>
            </w:r>
          </w:p>
          <w:p w:rsidR="00621D2A" w:rsidRDefault="002063F5">
            <w:pPr>
              <w:spacing w:after="0" w:line="259" w:lineRule="auto"/>
              <w:ind w:left="2" w:firstLine="0"/>
            </w:pPr>
            <w:r>
              <w:rPr>
                <w:b/>
              </w:rPr>
              <w:t xml:space="preserve"> </w:t>
            </w:r>
            <w:r>
              <w:t xml:space="preserve"> </w:t>
            </w:r>
          </w:p>
        </w:tc>
        <w:tc>
          <w:tcPr>
            <w:tcW w:w="8510"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20" w:line="259" w:lineRule="auto"/>
              <w:ind w:left="0" w:firstLine="0"/>
            </w:pPr>
            <w:r>
              <w:t xml:space="preserve">JCP Consultancy Limited   </w:t>
            </w:r>
          </w:p>
          <w:p w:rsidR="00621D2A" w:rsidRDefault="002063F5">
            <w:pPr>
              <w:spacing w:after="22" w:line="259" w:lineRule="auto"/>
              <w:ind w:left="0" w:firstLine="0"/>
            </w:pPr>
            <w:r>
              <w:t xml:space="preserve">01142308479  </w:t>
            </w:r>
          </w:p>
          <w:p w:rsidR="00621D2A" w:rsidRDefault="002063F5">
            <w:pPr>
              <w:spacing w:after="20" w:line="259" w:lineRule="auto"/>
              <w:ind w:left="0" w:firstLine="0"/>
            </w:pPr>
            <w:r>
              <w:t xml:space="preserve">Supplier’s address:  </w:t>
            </w:r>
          </w:p>
          <w:p w:rsidR="00621D2A" w:rsidRDefault="002063F5">
            <w:pPr>
              <w:spacing w:after="22" w:line="259" w:lineRule="auto"/>
              <w:ind w:left="0" w:firstLine="0"/>
            </w:pPr>
            <w:r>
              <w:t xml:space="preserve">Omega Court, 368 Cemetery Road  </w:t>
            </w:r>
          </w:p>
          <w:p w:rsidR="00621D2A" w:rsidRDefault="002063F5">
            <w:pPr>
              <w:spacing w:after="20" w:line="259" w:lineRule="auto"/>
              <w:ind w:left="0" w:firstLine="0"/>
            </w:pPr>
            <w:r>
              <w:t xml:space="preserve">Sheffield  </w:t>
            </w:r>
          </w:p>
          <w:p w:rsidR="00621D2A" w:rsidRDefault="002063F5">
            <w:pPr>
              <w:spacing w:after="20" w:line="259" w:lineRule="auto"/>
              <w:ind w:left="0" w:firstLine="0"/>
            </w:pPr>
            <w:r>
              <w:t xml:space="preserve">South Yorkshire  </w:t>
            </w:r>
          </w:p>
          <w:p w:rsidR="00621D2A" w:rsidRDefault="002063F5">
            <w:pPr>
              <w:spacing w:after="22" w:line="259" w:lineRule="auto"/>
              <w:ind w:left="0" w:firstLine="0"/>
            </w:pPr>
            <w:r>
              <w:t xml:space="preserve">S11 oBL  </w:t>
            </w:r>
          </w:p>
          <w:p w:rsidR="00621D2A" w:rsidRDefault="002063F5">
            <w:pPr>
              <w:spacing w:after="20" w:line="259" w:lineRule="auto"/>
              <w:ind w:left="0" w:firstLine="0"/>
            </w:pPr>
            <w:r>
              <w:t xml:space="preserve">England  </w:t>
            </w:r>
          </w:p>
          <w:p w:rsidR="00621D2A" w:rsidRDefault="002063F5">
            <w:pPr>
              <w:spacing w:after="22" w:line="259" w:lineRule="auto"/>
              <w:ind w:left="0" w:firstLine="0"/>
            </w:pPr>
            <w:r>
              <w:t xml:space="preserve">Company number:   </w:t>
            </w:r>
          </w:p>
          <w:p w:rsidR="00621D2A" w:rsidRDefault="002063F5">
            <w:pPr>
              <w:spacing w:after="0" w:line="259" w:lineRule="auto"/>
              <w:ind w:left="0" w:firstLine="0"/>
            </w:pPr>
            <w:r>
              <w:t xml:space="preserve">04569443  </w:t>
            </w:r>
          </w:p>
        </w:tc>
      </w:tr>
      <w:tr w:rsidR="00621D2A">
        <w:trPr>
          <w:trHeight w:val="937"/>
        </w:trPr>
        <w:tc>
          <w:tcPr>
            <w:tcW w:w="10658" w:type="dxa"/>
            <w:gridSpan w:val="2"/>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2" w:firstLine="0"/>
            </w:pPr>
            <w:r>
              <w:rPr>
                <w:b/>
              </w:rPr>
              <w:t xml:space="preserve">Together: the ‘Parties’ </w:t>
            </w:r>
            <w:r>
              <w:t xml:space="preserve"> </w:t>
            </w:r>
          </w:p>
        </w:tc>
      </w:tr>
    </w:tbl>
    <w:p w:rsidR="00621D2A" w:rsidRDefault="002063F5">
      <w:pPr>
        <w:spacing w:after="221" w:line="259" w:lineRule="auto"/>
        <w:ind w:left="14" w:firstLine="0"/>
      </w:pPr>
      <w:r>
        <w:rPr>
          <w:b/>
        </w:rPr>
        <w:t xml:space="preserve"> </w:t>
      </w:r>
      <w:r>
        <w:t xml:space="preserve"> </w:t>
      </w:r>
    </w:p>
    <w:p w:rsidR="00621D2A" w:rsidRDefault="002063F5">
      <w:pPr>
        <w:pStyle w:val="Heading2"/>
        <w:spacing w:after="0"/>
      </w:pPr>
      <w:r>
        <w:t xml:space="preserve">Principle contact details   </w:t>
      </w:r>
    </w:p>
    <w:tbl>
      <w:tblPr>
        <w:tblStyle w:val="TableGrid"/>
        <w:tblW w:w="10596" w:type="dxa"/>
        <w:tblInd w:w="34" w:type="dxa"/>
        <w:tblCellMar>
          <w:top w:w="170" w:type="dxa"/>
          <w:left w:w="91" w:type="dxa"/>
          <w:bottom w:w="150" w:type="dxa"/>
          <w:right w:w="115" w:type="dxa"/>
        </w:tblCellMar>
        <w:tblLook w:val="04A0" w:firstRow="1" w:lastRow="0" w:firstColumn="1" w:lastColumn="0" w:noHBand="0" w:noVBand="1"/>
      </w:tblPr>
      <w:tblGrid>
        <w:gridCol w:w="2146"/>
        <w:gridCol w:w="8450"/>
      </w:tblGrid>
      <w:tr w:rsidR="00621D2A">
        <w:trPr>
          <w:trHeight w:val="1697"/>
        </w:trPr>
        <w:tc>
          <w:tcPr>
            <w:tcW w:w="2146" w:type="dxa"/>
            <w:tcBorders>
              <w:top w:val="single" w:sz="8" w:space="0" w:color="000001"/>
              <w:left w:val="single" w:sz="8" w:space="0" w:color="000001"/>
              <w:bottom w:val="single" w:sz="8" w:space="0" w:color="000001"/>
              <w:right w:val="single" w:sz="8" w:space="0" w:color="000001"/>
            </w:tcBorders>
          </w:tcPr>
          <w:p w:rsidR="00621D2A" w:rsidRDefault="002063F5">
            <w:pPr>
              <w:spacing w:after="20" w:line="259" w:lineRule="auto"/>
              <w:ind w:left="0" w:firstLine="0"/>
            </w:pPr>
            <w:r>
              <w:rPr>
                <w:b/>
              </w:rPr>
              <w:t xml:space="preserve">For the Buyer: </w:t>
            </w:r>
            <w:r>
              <w:t xml:space="preserve"> </w:t>
            </w:r>
          </w:p>
          <w:p w:rsidR="00621D2A" w:rsidRDefault="002063F5">
            <w:pPr>
              <w:spacing w:after="20" w:line="259" w:lineRule="auto"/>
              <w:ind w:left="0" w:firstLine="0"/>
            </w:pPr>
            <w:r>
              <w:rPr>
                <w:b/>
              </w:rPr>
              <w:t xml:space="preserve"> </w:t>
            </w:r>
            <w:r>
              <w:t xml:space="preserve"> </w:t>
            </w:r>
          </w:p>
          <w:p w:rsidR="00621D2A" w:rsidRDefault="002063F5">
            <w:pPr>
              <w:spacing w:after="0" w:line="259" w:lineRule="auto"/>
              <w:ind w:left="0" w:firstLine="0"/>
            </w:pPr>
            <w:r>
              <w:rPr>
                <w:b/>
              </w:rPr>
              <w:t xml:space="preserve"> </w:t>
            </w:r>
            <w:r>
              <w:t xml:space="preserve"> </w:t>
            </w:r>
          </w:p>
        </w:tc>
        <w:tc>
          <w:tcPr>
            <w:tcW w:w="8450"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24" w:line="259" w:lineRule="auto"/>
              <w:ind w:left="0" w:firstLine="0"/>
            </w:pPr>
            <w:r>
              <w:t>Title: IBIP Group Sponsor</w:t>
            </w:r>
            <w:r>
              <w:rPr>
                <w:rFonts w:ascii="Arial" w:eastAsia="Arial" w:hAnsi="Arial" w:cs="Arial"/>
                <w:sz w:val="20"/>
              </w:rPr>
              <w:t xml:space="preserve"> </w:t>
            </w:r>
            <w:r>
              <w:t xml:space="preserve"> </w:t>
            </w:r>
          </w:p>
          <w:p w:rsidR="00621D2A" w:rsidRPr="00BA783F" w:rsidRDefault="002063F5">
            <w:pPr>
              <w:spacing w:after="24" w:line="259" w:lineRule="auto"/>
              <w:ind w:left="0" w:firstLine="0"/>
            </w:pPr>
            <w:r w:rsidRPr="00BA783F">
              <w:t xml:space="preserve">Name: </w:t>
            </w:r>
            <w:r w:rsidR="00BA783F">
              <w:rPr>
                <w:i/>
              </w:rPr>
              <w:t>Redacted</w:t>
            </w:r>
            <w:r w:rsidRPr="00BA783F">
              <w:rPr>
                <w:rFonts w:ascii="Arial" w:eastAsia="Arial" w:hAnsi="Arial" w:cs="Arial"/>
                <w:sz w:val="20"/>
              </w:rPr>
              <w:t xml:space="preserve"> </w:t>
            </w:r>
            <w:r w:rsidRPr="00BA783F">
              <w:t xml:space="preserve"> </w:t>
            </w:r>
          </w:p>
          <w:p w:rsidR="00621D2A" w:rsidRPr="00BA783F" w:rsidRDefault="002063F5">
            <w:pPr>
              <w:spacing w:after="51" w:line="259" w:lineRule="auto"/>
              <w:ind w:left="0" w:firstLine="0"/>
            </w:pPr>
            <w:r w:rsidRPr="00BA783F">
              <w:t xml:space="preserve">Email: </w:t>
            </w:r>
            <w:r w:rsidR="00BA783F">
              <w:rPr>
                <w:i/>
              </w:rPr>
              <w:t>Redacted</w:t>
            </w:r>
            <w:r w:rsidRPr="00BA783F">
              <w:rPr>
                <w:rFonts w:ascii="Arial" w:eastAsia="Arial" w:hAnsi="Arial" w:cs="Arial"/>
                <w:sz w:val="20"/>
              </w:rPr>
              <w:t xml:space="preserve"> </w:t>
            </w:r>
            <w:r w:rsidRPr="00BA783F">
              <w:t xml:space="preserve"> </w:t>
            </w:r>
          </w:p>
          <w:p w:rsidR="00621D2A" w:rsidRDefault="002063F5">
            <w:pPr>
              <w:spacing w:after="0" w:line="259" w:lineRule="auto"/>
              <w:ind w:left="0" w:firstLine="0"/>
            </w:pPr>
            <w:r w:rsidRPr="00BA783F">
              <w:t xml:space="preserve">Phone: </w:t>
            </w:r>
            <w:r w:rsidR="00BA783F">
              <w:rPr>
                <w:rFonts w:ascii="Arial" w:eastAsia="Arial" w:hAnsi="Arial" w:cs="Arial"/>
                <w:i/>
              </w:rPr>
              <w:t>Redacted</w:t>
            </w:r>
            <w:r>
              <w:rPr>
                <w:rFonts w:ascii="Arial" w:eastAsia="Arial" w:hAnsi="Arial" w:cs="Arial"/>
                <w:sz w:val="20"/>
              </w:rPr>
              <w:t xml:space="preserve"> </w:t>
            </w:r>
            <w:r>
              <w:t xml:space="preserve"> </w:t>
            </w:r>
          </w:p>
        </w:tc>
      </w:tr>
      <w:tr w:rsidR="00621D2A" w:rsidTr="000F728E">
        <w:trPr>
          <w:trHeight w:val="1645"/>
        </w:trPr>
        <w:tc>
          <w:tcPr>
            <w:tcW w:w="2146"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lastRenderedPageBreak/>
              <w:t xml:space="preserve">For the Supplier: </w:t>
            </w:r>
            <w:r>
              <w:t xml:space="preserve"> </w:t>
            </w:r>
          </w:p>
        </w:tc>
        <w:tc>
          <w:tcPr>
            <w:tcW w:w="8450"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25"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440182</wp:posOffset>
                      </wp:positionH>
                      <wp:positionV relativeFrom="paragraph">
                        <wp:posOffset>-64042</wp:posOffset>
                      </wp:positionV>
                      <wp:extent cx="30480" cy="185420"/>
                      <wp:effectExtent l="0" t="0" r="0" b="0"/>
                      <wp:wrapNone/>
                      <wp:docPr id="60831" name="Group 60831"/>
                      <wp:cNvGraphicFramePr/>
                      <a:graphic xmlns:a="http://schemas.openxmlformats.org/drawingml/2006/main">
                        <a:graphicData uri="http://schemas.microsoft.com/office/word/2010/wordprocessingGroup">
                          <wpg:wgp>
                            <wpg:cNvGrpSpPr/>
                            <wpg:grpSpPr>
                              <a:xfrm>
                                <a:off x="0" y="0"/>
                                <a:ext cx="30480" cy="185420"/>
                                <a:chOff x="0" y="0"/>
                                <a:chExt cx="30480" cy="185420"/>
                              </a:xfrm>
                            </wpg:grpSpPr>
                            <wps:wsp>
                              <wps:cNvPr id="73857" name="Shape 73857"/>
                              <wps:cNvSpPr/>
                              <wps:spPr>
                                <a:xfrm>
                                  <a:off x="0" y="0"/>
                                  <a:ext cx="30480" cy="185420"/>
                                </a:xfrm>
                                <a:custGeom>
                                  <a:avLst/>
                                  <a:gdLst/>
                                  <a:ahLst/>
                                  <a:cxnLst/>
                                  <a:rect l="0" t="0" r="0" b="0"/>
                                  <a:pathLst>
                                    <a:path w="30480" h="185420">
                                      <a:moveTo>
                                        <a:pt x="0" y="0"/>
                                      </a:moveTo>
                                      <a:lnTo>
                                        <a:pt x="30480" y="0"/>
                                      </a:lnTo>
                                      <a:lnTo>
                                        <a:pt x="30480" y="185420"/>
                                      </a:lnTo>
                                      <a:lnTo>
                                        <a:pt x="0" y="1854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0831" style="width:2.40001pt;height:14.6pt;position:absolute;z-index:-2147483595;mso-position-horizontal-relative:text;mso-position-horizontal:absolute;margin-left:34.66pt;mso-position-vertical-relative:text;margin-top:-5.04279pt;" coordsize="304,1854">
                      <v:shape id="Shape 73858" style="position:absolute;width:304;height:1854;left:0;top:0;" coordsize="30480,185420" path="m0,0l30480,0l30480,185420l0,185420l0,0">
                        <v:stroke weight="0pt" endcap="flat" joinstyle="miter" miterlimit="10" on="false" color="#000000" opacity="0"/>
                        <v:fill on="true" color="#ffff00"/>
                      </v:shape>
                    </v:group>
                  </w:pict>
                </mc:Fallback>
              </mc:AlternateContent>
            </w:r>
            <w:r>
              <w:t>Title: Director</w:t>
            </w:r>
            <w:r>
              <w:rPr>
                <w:rFonts w:ascii="Arial" w:eastAsia="Arial" w:hAnsi="Arial" w:cs="Arial"/>
                <w:sz w:val="20"/>
              </w:rPr>
              <w:t xml:space="preserve"> </w:t>
            </w:r>
            <w:r>
              <w:t xml:space="preserve"> </w:t>
            </w:r>
          </w:p>
          <w:p w:rsidR="00621D2A" w:rsidRPr="00BA783F" w:rsidRDefault="002063F5">
            <w:pPr>
              <w:spacing w:after="27" w:line="259" w:lineRule="auto"/>
              <w:ind w:left="0" w:firstLine="0"/>
            </w:pPr>
            <w:r w:rsidRPr="00BA783F">
              <w:t xml:space="preserve">Name: </w:t>
            </w:r>
            <w:r w:rsidR="00BA783F">
              <w:rPr>
                <w:i/>
              </w:rPr>
              <w:t>Redacted</w:t>
            </w:r>
            <w:r w:rsidRPr="00BA783F">
              <w:rPr>
                <w:rFonts w:ascii="Arial" w:eastAsia="Arial" w:hAnsi="Arial" w:cs="Arial"/>
                <w:sz w:val="20"/>
              </w:rPr>
              <w:t xml:space="preserve"> </w:t>
            </w:r>
            <w:r w:rsidRPr="00BA783F">
              <w:t xml:space="preserve"> </w:t>
            </w:r>
          </w:p>
          <w:p w:rsidR="00621D2A" w:rsidRPr="00BA783F" w:rsidRDefault="002063F5">
            <w:pPr>
              <w:spacing w:after="24" w:line="259" w:lineRule="auto"/>
              <w:ind w:left="0" w:firstLine="0"/>
            </w:pPr>
            <w:r w:rsidRPr="00BA783F">
              <w:t xml:space="preserve">Email: </w:t>
            </w:r>
            <w:r w:rsidR="00BA783F">
              <w:rPr>
                <w:i/>
              </w:rPr>
              <w:t>Redacted</w:t>
            </w:r>
          </w:p>
          <w:p w:rsidR="00621D2A" w:rsidRDefault="002063F5">
            <w:pPr>
              <w:spacing w:after="0" w:line="259" w:lineRule="auto"/>
              <w:ind w:left="0" w:firstLine="0"/>
            </w:pPr>
            <w:r w:rsidRPr="00BA783F">
              <w:t xml:space="preserve">Phone: </w:t>
            </w:r>
            <w:r w:rsidR="00BA783F">
              <w:rPr>
                <w:i/>
              </w:rPr>
              <w:t>Redacted</w:t>
            </w:r>
          </w:p>
        </w:tc>
      </w:tr>
    </w:tbl>
    <w:p w:rsidR="00621D2A" w:rsidRDefault="002063F5">
      <w:pPr>
        <w:spacing w:after="221" w:line="259" w:lineRule="auto"/>
        <w:ind w:left="14" w:firstLine="0"/>
      </w:pPr>
      <w:r>
        <w:t xml:space="preserve">  </w:t>
      </w:r>
    </w:p>
    <w:p w:rsidR="00621D2A" w:rsidRDefault="002063F5">
      <w:pPr>
        <w:pStyle w:val="Heading2"/>
        <w:spacing w:after="0"/>
      </w:pPr>
      <w:r>
        <w:t xml:space="preserve">Call-Off Contract term  </w:t>
      </w:r>
    </w:p>
    <w:tbl>
      <w:tblPr>
        <w:tblStyle w:val="TableGrid"/>
        <w:tblW w:w="10634" w:type="dxa"/>
        <w:tblInd w:w="34" w:type="dxa"/>
        <w:tblCellMar>
          <w:top w:w="117" w:type="dxa"/>
          <w:left w:w="108" w:type="dxa"/>
          <w:right w:w="80" w:type="dxa"/>
        </w:tblCellMar>
        <w:tblLook w:val="04A0" w:firstRow="1" w:lastRow="0" w:firstColumn="1" w:lastColumn="0" w:noHBand="0" w:noVBand="1"/>
      </w:tblPr>
      <w:tblGrid>
        <w:gridCol w:w="2657"/>
        <w:gridCol w:w="7977"/>
      </w:tblGrid>
      <w:tr w:rsidR="00621D2A">
        <w:trPr>
          <w:trHeight w:val="773"/>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22" w:line="259" w:lineRule="auto"/>
              <w:ind w:left="0" w:firstLine="0"/>
            </w:pPr>
            <w:r>
              <w:rPr>
                <w:b/>
              </w:rPr>
              <w:t xml:space="preserve">Start date: </w:t>
            </w:r>
            <w:r>
              <w:t xml:space="preserve"> </w:t>
            </w:r>
          </w:p>
          <w:p w:rsidR="00621D2A" w:rsidRDefault="002063F5">
            <w:pPr>
              <w:spacing w:after="0" w:line="259" w:lineRule="auto"/>
              <w:ind w:left="0" w:firstLine="0"/>
            </w:pP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This Call-Off Contract Starts on 01/02/19 and is valid for 12 Months.</w:t>
            </w:r>
            <w:r>
              <w:rPr>
                <w:rFonts w:ascii="Arial" w:eastAsia="Arial" w:hAnsi="Arial" w:cs="Arial"/>
                <w:sz w:val="20"/>
              </w:rPr>
              <w:t xml:space="preserve"> </w:t>
            </w:r>
            <w:r>
              <w:t xml:space="preserve"> </w:t>
            </w:r>
          </w:p>
        </w:tc>
      </w:tr>
      <w:tr w:rsidR="00621D2A">
        <w:trPr>
          <w:trHeight w:val="1109"/>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20" w:line="259" w:lineRule="auto"/>
              <w:ind w:left="0" w:firstLine="0"/>
            </w:pPr>
            <w:r>
              <w:rPr>
                <w:b/>
              </w:rPr>
              <w:t xml:space="preserve">Ending </w:t>
            </w:r>
            <w:r>
              <w:t xml:space="preserve"> </w:t>
            </w:r>
          </w:p>
          <w:p w:rsidR="00621D2A" w:rsidRDefault="002063F5">
            <w:pPr>
              <w:spacing w:after="0" w:line="259" w:lineRule="auto"/>
              <w:ind w:left="0" w:firstLine="0"/>
            </w:pPr>
            <w:r>
              <w:rPr>
                <w:b/>
              </w:rPr>
              <w:t xml:space="preserve">(termination):  </w:t>
            </w:r>
            <w:r>
              <w:t xml:space="preserve"> </w:t>
            </w:r>
          </w:p>
        </w:tc>
        <w:tc>
          <w:tcPr>
            <w:tcW w:w="7977" w:type="dxa"/>
            <w:tcBorders>
              <w:top w:val="single" w:sz="8" w:space="0" w:color="000001"/>
              <w:left w:val="single" w:sz="8" w:space="0" w:color="000001"/>
              <w:bottom w:val="single" w:sz="8" w:space="0" w:color="000001"/>
              <w:right w:val="single" w:sz="8" w:space="0" w:color="000001"/>
            </w:tcBorders>
            <w:vAlign w:val="center"/>
          </w:tcPr>
          <w:p w:rsidR="00621D2A" w:rsidRDefault="002063F5">
            <w:pPr>
              <w:spacing w:after="0" w:line="259" w:lineRule="auto"/>
              <w:ind w:left="0" w:firstLine="0"/>
            </w:pPr>
            <w:r>
              <w:t xml:space="preserve">The notice period needed for Ending the Call-Off Contract is at least 90 Working Days from the date of written notice for disputed sums or at least 30 days from the date of written notice for Ending without cause. </w:t>
            </w:r>
            <w:r>
              <w:rPr>
                <w:rFonts w:ascii="Arial" w:eastAsia="Arial" w:hAnsi="Arial" w:cs="Arial"/>
                <w:sz w:val="20"/>
              </w:rPr>
              <w:t xml:space="preserve"> </w:t>
            </w:r>
            <w:r>
              <w:t xml:space="preserve"> </w:t>
            </w:r>
          </w:p>
        </w:tc>
      </w:tr>
      <w:tr w:rsidR="00621D2A">
        <w:trPr>
          <w:trHeight w:val="2122"/>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Extension period: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1" w:line="277" w:lineRule="auto"/>
              <w:ind w:left="0" w:firstLine="0"/>
            </w:pPr>
            <w:r>
              <w:t>This Call-Off Contract can be extended by the Buyer for 2 period(s) of [up to] 6 months each, by giving the Supplier 1 month written notice before its expiry.</w:t>
            </w:r>
            <w:r>
              <w:rPr>
                <w:rFonts w:ascii="Arial" w:eastAsia="Arial" w:hAnsi="Arial" w:cs="Arial"/>
                <w:sz w:val="20"/>
              </w:rPr>
              <w:t xml:space="preserve"> </w:t>
            </w:r>
            <w:r>
              <w:t xml:space="preserve">Extensions which extend the Term beyond 24 months are only permitted if the Supplier complies with the additional exit plan requirements at clauses 21.3 to  </w:t>
            </w:r>
          </w:p>
          <w:p w:rsidR="00621D2A" w:rsidRDefault="002063F5">
            <w:pPr>
              <w:spacing w:after="22" w:line="259" w:lineRule="auto"/>
              <w:ind w:left="0" w:firstLine="0"/>
            </w:pPr>
            <w:r>
              <w:t xml:space="preserve">21.8.  </w:t>
            </w:r>
          </w:p>
          <w:p w:rsidR="00621D2A" w:rsidRDefault="002063F5">
            <w:pPr>
              <w:spacing w:after="0" w:line="259" w:lineRule="auto"/>
              <w:ind w:left="0" w:firstLine="0"/>
            </w:pPr>
            <w:r>
              <w:t xml:space="preserve">  </w:t>
            </w:r>
          </w:p>
        </w:tc>
      </w:tr>
    </w:tbl>
    <w:p w:rsidR="00621D2A" w:rsidRDefault="002063F5">
      <w:pPr>
        <w:spacing w:after="224" w:line="259" w:lineRule="auto"/>
        <w:ind w:left="14" w:firstLine="0"/>
      </w:pPr>
      <w:r>
        <w:rPr>
          <w:b/>
        </w:rPr>
        <w:t xml:space="preserve"> </w:t>
      </w:r>
      <w:r>
        <w:t xml:space="preserve"> </w:t>
      </w:r>
    </w:p>
    <w:p w:rsidR="00621D2A" w:rsidRDefault="002063F5">
      <w:pPr>
        <w:pStyle w:val="Heading2"/>
        <w:spacing w:after="217"/>
      </w:pPr>
      <w:r>
        <w:t xml:space="preserve">Buyer contractual details  </w:t>
      </w:r>
    </w:p>
    <w:p w:rsidR="00621D2A" w:rsidRDefault="002063F5">
      <w:pPr>
        <w:spacing w:after="0"/>
        <w:ind w:right="7"/>
      </w:pPr>
      <w:r>
        <w:t xml:space="preserve">This Order is for the G-Cloud Services outlined below. It is acknowledged by the Parties that the volume of the G-Cloud Services used by the Buyer may vary during this Call-Off Contract.  </w:t>
      </w:r>
    </w:p>
    <w:tbl>
      <w:tblPr>
        <w:tblStyle w:val="TableGrid"/>
        <w:tblW w:w="10634" w:type="dxa"/>
        <w:tblInd w:w="34" w:type="dxa"/>
        <w:tblCellMar>
          <w:top w:w="26" w:type="dxa"/>
          <w:left w:w="108" w:type="dxa"/>
          <w:right w:w="2" w:type="dxa"/>
        </w:tblCellMar>
        <w:tblLook w:val="04A0" w:firstRow="1" w:lastRow="0" w:firstColumn="1" w:lastColumn="0" w:noHBand="0" w:noVBand="1"/>
      </w:tblPr>
      <w:tblGrid>
        <w:gridCol w:w="2657"/>
        <w:gridCol w:w="7977"/>
      </w:tblGrid>
      <w:tr w:rsidR="00621D2A">
        <w:trPr>
          <w:trHeight w:val="730"/>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G-Cloud Lot: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20" w:line="259" w:lineRule="auto"/>
              <w:ind w:left="0" w:firstLine="0"/>
            </w:pPr>
            <w:r>
              <w:t xml:space="preserve">This Call-Off Contract is for the provision of Services under:   </w:t>
            </w:r>
          </w:p>
          <w:p w:rsidR="00621D2A" w:rsidRDefault="002063F5">
            <w:pPr>
              <w:spacing w:after="0" w:line="259" w:lineRule="auto"/>
              <w:ind w:left="0" w:firstLine="0"/>
            </w:pPr>
            <w:r>
              <w:t xml:space="preserve">Lot 3 - Cloud support - delete as appropriate  </w:t>
            </w:r>
          </w:p>
        </w:tc>
      </w:tr>
      <w:tr w:rsidR="00621D2A">
        <w:trPr>
          <w:trHeight w:val="1925"/>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G-Cloud services required: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16" w:line="275" w:lineRule="auto"/>
              <w:ind w:left="0" w:firstLine="0"/>
            </w:pPr>
            <w:r>
              <w:t xml:space="preserve">The Services to be provided by the Supplier under the above Lot are listed in Framework Section 2 and outlined below:  </w:t>
            </w:r>
          </w:p>
          <w:p w:rsidR="00621D2A" w:rsidRDefault="002063F5">
            <w:pPr>
              <w:spacing w:after="0" w:line="259" w:lineRule="auto"/>
              <w:ind w:left="0" w:firstLine="0"/>
            </w:pPr>
            <w:r>
              <w:rPr>
                <w:rFonts w:ascii="Arial" w:eastAsia="Arial" w:hAnsi="Arial" w:cs="Arial"/>
              </w:rPr>
              <w:t xml:space="preserve"> </w:t>
            </w:r>
            <w:r>
              <w:t xml:space="preserve"> </w:t>
            </w:r>
          </w:p>
          <w:p w:rsidR="00621D2A" w:rsidRDefault="002063F5">
            <w:pPr>
              <w:spacing w:after="32" w:line="259" w:lineRule="auto"/>
              <w:ind w:left="0" w:firstLine="0"/>
            </w:pPr>
            <w:r>
              <w:rPr>
                <w:rFonts w:ascii="Arial" w:eastAsia="Arial" w:hAnsi="Arial" w:cs="Arial"/>
                <w:sz w:val="20"/>
              </w:rPr>
              <w:t>As per Schedule</w:t>
            </w:r>
            <w:r>
              <w:rPr>
                <w:rFonts w:ascii="Arial" w:eastAsia="Arial" w:hAnsi="Arial" w:cs="Arial"/>
                <w:color w:val="FF0000"/>
                <w:sz w:val="20"/>
              </w:rPr>
              <w:t xml:space="preserve"> 1 </w:t>
            </w:r>
            <w:r>
              <w:rPr>
                <w:rFonts w:ascii="Arial" w:eastAsia="Arial" w:hAnsi="Arial" w:cs="Arial"/>
                <w:sz w:val="20"/>
              </w:rPr>
              <w:t xml:space="preserve">- Services  </w:t>
            </w:r>
            <w:r>
              <w:t xml:space="preserve"> </w:t>
            </w:r>
          </w:p>
          <w:p w:rsidR="00621D2A" w:rsidRDefault="002063F5">
            <w:pPr>
              <w:spacing w:after="9" w:line="259" w:lineRule="auto"/>
              <w:ind w:left="0" w:firstLine="0"/>
            </w:pPr>
            <w:r>
              <w:rPr>
                <w:rFonts w:ascii="Arial" w:eastAsia="Arial" w:hAnsi="Arial" w:cs="Arial"/>
              </w:rPr>
              <w:t xml:space="preserve"> </w:t>
            </w:r>
            <w:r>
              <w:t xml:space="preserve"> </w:t>
            </w:r>
          </w:p>
          <w:p w:rsidR="00621D2A" w:rsidRDefault="002063F5">
            <w:pPr>
              <w:spacing w:after="0" w:line="259" w:lineRule="auto"/>
              <w:ind w:left="0" w:firstLine="0"/>
            </w:pPr>
            <w:r>
              <w:t xml:space="preserve">  </w:t>
            </w:r>
          </w:p>
        </w:tc>
      </w:tr>
      <w:tr w:rsidR="00621D2A">
        <w:trPr>
          <w:trHeight w:val="624"/>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Additional services: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rFonts w:ascii="Arial" w:eastAsia="Arial" w:hAnsi="Arial" w:cs="Arial"/>
                <w:sz w:val="20"/>
              </w:rPr>
              <w:t xml:space="preserve">Ongoing coaching for the BM team to embed capability within the team </w:t>
            </w:r>
            <w:r>
              <w:rPr>
                <w:rFonts w:ascii="Arial" w:eastAsia="Arial" w:hAnsi="Arial" w:cs="Arial"/>
              </w:rPr>
              <w:t xml:space="preserve"> </w:t>
            </w:r>
            <w:r>
              <w:t xml:space="preserve"> </w:t>
            </w:r>
          </w:p>
          <w:p w:rsidR="00621D2A" w:rsidRDefault="002063F5">
            <w:pPr>
              <w:spacing w:after="0" w:line="259" w:lineRule="auto"/>
              <w:ind w:left="0" w:firstLine="0"/>
            </w:pPr>
            <w:r>
              <w:t xml:space="preserve">  </w:t>
            </w:r>
          </w:p>
        </w:tc>
      </w:tr>
      <w:tr w:rsidR="00621D2A">
        <w:trPr>
          <w:trHeight w:val="812"/>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lastRenderedPageBreak/>
              <w:t xml:space="preserve">Location: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39" w:line="216" w:lineRule="auto"/>
              <w:ind w:left="0" w:firstLine="0"/>
            </w:pPr>
            <w:r>
              <w:rPr>
                <w:rFonts w:ascii="Arial" w:eastAsia="Arial" w:hAnsi="Arial" w:cs="Arial"/>
                <w:sz w:val="20"/>
              </w:rPr>
              <w:t xml:space="preserve">The Services will be delivered to all HE offices in the U.K. and at specific site locations to be specified during the contract </w:t>
            </w:r>
            <w:r>
              <w:rPr>
                <w:rFonts w:ascii="Arial" w:eastAsia="Arial" w:hAnsi="Arial" w:cs="Arial"/>
              </w:rPr>
              <w:t xml:space="preserve"> </w:t>
            </w:r>
            <w:r>
              <w:t xml:space="preserve"> </w:t>
            </w:r>
          </w:p>
          <w:p w:rsidR="00621D2A" w:rsidRDefault="002063F5">
            <w:pPr>
              <w:spacing w:after="0" w:line="259" w:lineRule="auto"/>
              <w:ind w:left="0" w:firstLine="0"/>
            </w:pPr>
            <w:r>
              <w:t xml:space="preserve">  </w:t>
            </w:r>
          </w:p>
        </w:tc>
      </w:tr>
      <w:tr w:rsidR="00621D2A">
        <w:trPr>
          <w:trHeight w:val="350"/>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Quality standards: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The quality standards required for this Call-Off Contract are not applicable</w:t>
            </w:r>
            <w:r>
              <w:rPr>
                <w:rFonts w:ascii="Arial" w:eastAsia="Arial" w:hAnsi="Arial" w:cs="Arial"/>
                <w:sz w:val="20"/>
              </w:rPr>
              <w:t xml:space="preserve"> </w:t>
            </w:r>
            <w:r>
              <w:t xml:space="preserve"> </w:t>
            </w:r>
          </w:p>
        </w:tc>
      </w:tr>
      <w:tr w:rsidR="00621D2A">
        <w:trPr>
          <w:trHeight w:val="353"/>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Technical standards: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tc>
      </w:tr>
      <w:tr w:rsidR="00621D2A">
        <w:trPr>
          <w:trHeight w:val="670"/>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Service level agreement: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p w:rsidR="00621D2A" w:rsidRDefault="002063F5">
            <w:pPr>
              <w:spacing w:after="0" w:line="259" w:lineRule="auto"/>
              <w:ind w:left="0" w:firstLine="0"/>
            </w:pPr>
            <w:r>
              <w:t xml:space="preserve">  </w:t>
            </w:r>
          </w:p>
        </w:tc>
      </w:tr>
      <w:tr w:rsidR="00621D2A">
        <w:trPr>
          <w:trHeight w:val="852"/>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Onboarding: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39" w:line="216" w:lineRule="auto"/>
              <w:ind w:left="0" w:firstLine="0"/>
            </w:pPr>
            <w:r>
              <w:rPr>
                <w:rFonts w:ascii="Arial" w:eastAsia="Arial" w:hAnsi="Arial" w:cs="Arial"/>
                <w:sz w:val="20"/>
              </w:rPr>
              <w:t xml:space="preserve">This contract is for a continued provision of services by JCP as stated above. Therefore onboarding is not a requirement. </w:t>
            </w:r>
            <w:r>
              <w:rPr>
                <w:rFonts w:ascii="Arial" w:eastAsia="Arial" w:hAnsi="Arial" w:cs="Arial"/>
              </w:rPr>
              <w:t xml:space="preserve"> </w:t>
            </w:r>
            <w:r>
              <w:t xml:space="preserve"> </w:t>
            </w:r>
          </w:p>
          <w:p w:rsidR="00621D2A" w:rsidRDefault="002063F5">
            <w:pPr>
              <w:spacing w:after="0" w:line="259" w:lineRule="auto"/>
              <w:ind w:left="0" w:firstLine="0"/>
            </w:pPr>
            <w:r>
              <w:t xml:space="preserve">  </w:t>
            </w:r>
          </w:p>
        </w:tc>
      </w:tr>
      <w:tr w:rsidR="00621D2A">
        <w:trPr>
          <w:trHeight w:val="1083"/>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Offboarding: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22" w:line="226" w:lineRule="auto"/>
              <w:ind w:left="0" w:firstLine="0"/>
            </w:pPr>
            <w:r>
              <w:rPr>
                <w:rFonts w:ascii="Arial" w:eastAsia="Arial" w:hAnsi="Arial" w:cs="Arial"/>
                <w:sz w:val="20"/>
              </w:rPr>
              <w:t xml:space="preserve">The offboarding plan for this Call-Off Contract is suggested to be once the skills and capabilities of the BM team and facilitators have been developed to a satisfactory level to enable self-sufficiency </w:t>
            </w:r>
            <w:r>
              <w:rPr>
                <w:rFonts w:ascii="Arial" w:eastAsia="Arial" w:hAnsi="Arial" w:cs="Arial"/>
              </w:rPr>
              <w:t xml:space="preserve"> </w:t>
            </w:r>
            <w:r>
              <w:t xml:space="preserve"> </w:t>
            </w:r>
          </w:p>
          <w:p w:rsidR="00621D2A" w:rsidRDefault="002063F5">
            <w:pPr>
              <w:spacing w:after="0" w:line="259" w:lineRule="auto"/>
              <w:ind w:left="0" w:firstLine="0"/>
            </w:pPr>
            <w:r>
              <w:t xml:space="preserve">  </w:t>
            </w:r>
          </w:p>
        </w:tc>
      </w:tr>
      <w:tr w:rsidR="00621D2A">
        <w:trPr>
          <w:trHeight w:val="732"/>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Collaboration agreement: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tc>
      </w:tr>
      <w:tr w:rsidR="00621D2A">
        <w:trPr>
          <w:trHeight w:val="1505"/>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Limit on Parties’ liability: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rFonts w:ascii="Arial" w:eastAsia="Arial" w:hAnsi="Arial" w:cs="Arial"/>
                <w:sz w:val="20"/>
              </w:rPr>
              <w:t xml:space="preserve">The annual total liability of either Party for all Property defaults will not exceed </w:t>
            </w:r>
          </w:p>
          <w:p w:rsidR="00621D2A" w:rsidRDefault="002063F5">
            <w:pPr>
              <w:spacing w:after="0" w:line="259" w:lineRule="auto"/>
              <w:ind w:left="0" w:firstLine="0"/>
            </w:pPr>
            <w:r>
              <w:rPr>
                <w:rFonts w:ascii="Arial" w:eastAsia="Arial" w:hAnsi="Arial" w:cs="Arial"/>
                <w:sz w:val="20"/>
              </w:rPr>
              <w:t xml:space="preserve">£200,000  </w:t>
            </w:r>
            <w:r>
              <w:t xml:space="preserve"> </w:t>
            </w:r>
          </w:p>
          <w:p w:rsidR="00621D2A" w:rsidRDefault="002063F5">
            <w:pPr>
              <w:spacing w:after="0" w:line="272" w:lineRule="auto"/>
              <w:ind w:left="0" w:right="4" w:firstLine="0"/>
            </w:pPr>
            <w:r>
              <w:rPr>
                <w:rFonts w:ascii="Arial" w:eastAsia="Arial" w:hAnsi="Arial" w:cs="Arial"/>
                <w:sz w:val="20"/>
              </w:rPr>
              <w:t xml:space="preserve">The annual total liability for Buyer Data defaults will not exceed £200,000 of the </w:t>
            </w:r>
            <w:r>
              <w:t xml:space="preserve"> </w:t>
            </w:r>
            <w:r>
              <w:rPr>
                <w:rFonts w:ascii="Arial" w:eastAsia="Arial" w:hAnsi="Arial" w:cs="Arial"/>
                <w:sz w:val="20"/>
              </w:rPr>
              <w:t xml:space="preserve">Charges payable by the Buyer to the Supplier during the Call-Off Contract Term  The annual total liability for all other defaults will not exceed the greater of £200,000 of the </w:t>
            </w:r>
          </w:p>
          <w:p w:rsidR="00621D2A" w:rsidRDefault="002063F5">
            <w:pPr>
              <w:spacing w:after="0" w:line="259" w:lineRule="auto"/>
              <w:ind w:left="0" w:firstLine="0"/>
            </w:pPr>
            <w:r>
              <w:rPr>
                <w:rFonts w:ascii="Arial" w:eastAsia="Arial" w:hAnsi="Arial" w:cs="Arial"/>
                <w:sz w:val="20"/>
              </w:rPr>
              <w:t xml:space="preserve">Charges payable by the Buyer to the Supplier during the Call-Off Contract Term </w:t>
            </w:r>
            <w:r>
              <w:t xml:space="preserve">  </w:t>
            </w:r>
          </w:p>
        </w:tc>
      </w:tr>
      <w:tr w:rsidR="00621D2A">
        <w:trPr>
          <w:trHeight w:val="2573"/>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Insurance: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53" w:line="259" w:lineRule="auto"/>
              <w:ind w:left="0" w:firstLine="0"/>
            </w:pPr>
            <w:r>
              <w:t xml:space="preserve">The insurance(s) required will be:   </w:t>
            </w:r>
          </w:p>
          <w:p w:rsidR="00621D2A" w:rsidRDefault="002063F5">
            <w:pPr>
              <w:numPr>
                <w:ilvl w:val="0"/>
                <w:numId w:val="40"/>
              </w:numPr>
              <w:spacing w:after="71" w:line="242" w:lineRule="auto"/>
              <w:ind w:hanging="360"/>
            </w:pPr>
            <w:r>
              <w:t xml:space="preserve">[a minimum insurance period of [6 years] following the expiration or Ending of this Call-Off Contract]  </w:t>
            </w:r>
          </w:p>
          <w:p w:rsidR="00621D2A" w:rsidRDefault="002063F5">
            <w:pPr>
              <w:numPr>
                <w:ilvl w:val="0"/>
                <w:numId w:val="40"/>
              </w:numPr>
              <w:spacing w:after="0" w:line="259"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tc>
      </w:tr>
      <w:tr w:rsidR="00621D2A">
        <w:trPr>
          <w:trHeight w:val="941"/>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2" w:line="240" w:lineRule="auto"/>
              <w:ind w:left="675" w:hanging="360"/>
            </w:pPr>
            <w:r>
              <w:rPr>
                <w:rFonts w:ascii="Wingdings" w:eastAsia="Wingdings" w:hAnsi="Wingdings" w:cs="Wingdings"/>
              </w:rPr>
              <w:t></w:t>
            </w:r>
            <w:r>
              <w:rPr>
                <w:rFonts w:ascii="Arial" w:eastAsia="Arial" w:hAnsi="Arial" w:cs="Arial"/>
              </w:rPr>
              <w:t xml:space="preserve"> </w:t>
            </w:r>
            <w:r>
              <w:t xml:space="preserve">[employers' liability insurance with a minimum limit of £5,000,000 or any higher minimum limit required by Law]  </w:t>
            </w:r>
          </w:p>
          <w:p w:rsidR="00621D2A" w:rsidRDefault="002063F5">
            <w:pPr>
              <w:spacing w:after="0" w:line="259" w:lineRule="auto"/>
              <w:ind w:left="0" w:firstLine="0"/>
            </w:pPr>
            <w:r>
              <w:t xml:space="preserve">  </w:t>
            </w:r>
          </w:p>
        </w:tc>
      </w:tr>
      <w:tr w:rsidR="00621D2A">
        <w:trPr>
          <w:trHeight w:val="667"/>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Force majeure: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A Party may End this Call-Off Contract if the Other Party is affected by a Force Majeure Event that lasts for more than 14 consecutive days.</w:t>
            </w:r>
            <w:r>
              <w:rPr>
                <w:rFonts w:ascii="Arial" w:eastAsia="Arial" w:hAnsi="Arial" w:cs="Arial"/>
                <w:sz w:val="20"/>
              </w:rPr>
              <w:t xml:space="preserve"> </w:t>
            </w:r>
            <w:r>
              <w:t xml:space="preserve"> </w:t>
            </w:r>
          </w:p>
        </w:tc>
      </w:tr>
      <w:tr w:rsidR="00621D2A">
        <w:trPr>
          <w:trHeight w:val="996"/>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Audit: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16" w:lineRule="auto"/>
              <w:ind w:left="0" w:firstLine="0"/>
            </w:pPr>
            <w:r>
              <w:rPr>
                <w:rFonts w:ascii="Arial" w:eastAsia="Arial" w:hAnsi="Arial" w:cs="Arial"/>
                <w:sz w:val="20"/>
              </w:rPr>
              <w:t xml:space="preserve">The following Framework Agreement audit provisions will be incorporated under clause 2.1 of this Call-Off Contract to enable the Buyer to carry out audits.  </w:t>
            </w:r>
            <w:r>
              <w:t xml:space="preserve"> </w:t>
            </w:r>
          </w:p>
          <w:p w:rsidR="00621D2A" w:rsidRDefault="002063F5">
            <w:pPr>
              <w:spacing w:after="0" w:line="259" w:lineRule="auto"/>
              <w:ind w:left="0" w:firstLine="0"/>
            </w:pPr>
            <w:r>
              <w:rPr>
                <w:rFonts w:ascii="Arial" w:eastAsia="Arial" w:hAnsi="Arial" w:cs="Arial"/>
                <w:sz w:val="20"/>
              </w:rPr>
              <w:t xml:space="preserve">The supplier should follow clauses 7.4 to 7.13 of the Framework Agreement whilst carrying out this contract. </w:t>
            </w:r>
            <w:r>
              <w:t xml:space="preserve">  </w:t>
            </w:r>
          </w:p>
        </w:tc>
      </w:tr>
      <w:tr w:rsidR="00621D2A">
        <w:trPr>
          <w:trHeight w:val="809"/>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Buyer’s responsibilities: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39" w:line="216" w:lineRule="auto"/>
              <w:ind w:left="0" w:firstLine="0"/>
            </w:pPr>
            <w:r>
              <w:rPr>
                <w:rFonts w:ascii="Arial" w:eastAsia="Arial" w:hAnsi="Arial" w:cs="Arial"/>
                <w:sz w:val="20"/>
              </w:rPr>
              <w:t xml:space="preserve">The Buyer is responsible for IBIP team resourcing, meeting rooms and accessibility to specific HE staff as necessary. </w:t>
            </w:r>
            <w:r>
              <w:rPr>
                <w:rFonts w:ascii="Arial" w:eastAsia="Arial" w:hAnsi="Arial" w:cs="Arial"/>
              </w:rPr>
              <w:t xml:space="preserve"> </w:t>
            </w:r>
            <w:r>
              <w:t xml:space="preserve"> </w:t>
            </w:r>
          </w:p>
          <w:p w:rsidR="00621D2A" w:rsidRDefault="002063F5">
            <w:pPr>
              <w:spacing w:after="0" w:line="259" w:lineRule="auto"/>
              <w:ind w:left="0" w:firstLine="0"/>
            </w:pPr>
            <w:r>
              <w:t xml:space="preserve">  </w:t>
            </w:r>
          </w:p>
        </w:tc>
      </w:tr>
      <w:tr w:rsidR="00621D2A">
        <w:trPr>
          <w:trHeight w:val="353"/>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lastRenderedPageBreak/>
              <w:t xml:space="preserve">Buyer’s equipment: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tc>
      </w:tr>
    </w:tbl>
    <w:p w:rsidR="00621D2A" w:rsidRDefault="002063F5">
      <w:pPr>
        <w:spacing w:after="219" w:line="259" w:lineRule="auto"/>
        <w:ind w:left="14" w:firstLine="0"/>
      </w:pPr>
      <w:r>
        <w:t xml:space="preserve">  </w:t>
      </w:r>
    </w:p>
    <w:p w:rsidR="00621D2A" w:rsidRDefault="002063F5">
      <w:pPr>
        <w:spacing w:after="0" w:line="259" w:lineRule="auto"/>
        <w:ind w:left="14" w:firstLine="0"/>
      </w:pPr>
      <w:r>
        <w:rPr>
          <w:b/>
        </w:rPr>
        <w:t xml:space="preserve">Supplier’s information </w:t>
      </w:r>
      <w:r>
        <w:t xml:space="preserve"> </w:t>
      </w:r>
    </w:p>
    <w:tbl>
      <w:tblPr>
        <w:tblStyle w:val="TableGrid"/>
        <w:tblW w:w="10634" w:type="dxa"/>
        <w:tblInd w:w="34" w:type="dxa"/>
        <w:tblCellMar>
          <w:top w:w="119" w:type="dxa"/>
          <w:left w:w="108" w:type="dxa"/>
          <w:right w:w="115" w:type="dxa"/>
        </w:tblCellMar>
        <w:tblLook w:val="04A0" w:firstRow="1" w:lastRow="0" w:firstColumn="1" w:lastColumn="0" w:noHBand="0" w:noVBand="1"/>
      </w:tblPr>
      <w:tblGrid>
        <w:gridCol w:w="2657"/>
        <w:gridCol w:w="7977"/>
      </w:tblGrid>
      <w:tr w:rsidR="00621D2A">
        <w:trPr>
          <w:trHeight w:val="710"/>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Subcontractors or partners: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tc>
      </w:tr>
    </w:tbl>
    <w:p w:rsidR="00621D2A" w:rsidRDefault="002063F5">
      <w:pPr>
        <w:spacing w:after="219" w:line="259" w:lineRule="auto"/>
        <w:ind w:left="14" w:firstLine="0"/>
      </w:pPr>
      <w:r>
        <w:t xml:space="preserve">  </w:t>
      </w:r>
    </w:p>
    <w:p w:rsidR="00621D2A" w:rsidRDefault="002063F5">
      <w:pPr>
        <w:pStyle w:val="Heading2"/>
        <w:spacing w:after="220"/>
      </w:pPr>
      <w:r>
        <w:t xml:space="preserve">Call-Off Contract charges and payment  </w:t>
      </w:r>
    </w:p>
    <w:p w:rsidR="00621D2A" w:rsidRDefault="002063F5">
      <w:pPr>
        <w:spacing w:after="0"/>
        <w:ind w:right="7"/>
      </w:pPr>
      <w:r>
        <w:t xml:space="preserve">The Call-Off Contract charges and payment details are in the table below. See Schedule 2 for a full breakdown.  </w:t>
      </w:r>
    </w:p>
    <w:tbl>
      <w:tblPr>
        <w:tblStyle w:val="TableGrid"/>
        <w:tblW w:w="10634" w:type="dxa"/>
        <w:tblInd w:w="34" w:type="dxa"/>
        <w:tblCellMar>
          <w:top w:w="100" w:type="dxa"/>
          <w:left w:w="108" w:type="dxa"/>
          <w:right w:w="19" w:type="dxa"/>
        </w:tblCellMar>
        <w:tblLook w:val="04A0" w:firstRow="1" w:lastRow="0" w:firstColumn="1" w:lastColumn="0" w:noHBand="0" w:noVBand="1"/>
      </w:tblPr>
      <w:tblGrid>
        <w:gridCol w:w="2657"/>
        <w:gridCol w:w="7977"/>
      </w:tblGrid>
      <w:tr w:rsidR="00621D2A">
        <w:trPr>
          <w:trHeight w:val="934"/>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Payment method: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3" w:line="248" w:lineRule="auto"/>
              <w:ind w:left="0" w:right="833" w:firstLine="0"/>
              <w:jc w:val="both"/>
            </w:pPr>
            <w:r>
              <w:t xml:space="preserve">The payment method for this Call-Off Contract is  </w:t>
            </w:r>
            <w:r>
              <w:rPr>
                <w:rFonts w:ascii="Arial" w:eastAsia="Arial" w:hAnsi="Arial" w:cs="Arial"/>
                <w:sz w:val="20"/>
              </w:rPr>
              <w:t xml:space="preserve">monthly invoicing paid within 30 days </w:t>
            </w:r>
            <w:r>
              <w:rPr>
                <w:rFonts w:ascii="Arial" w:eastAsia="Arial" w:hAnsi="Arial" w:cs="Arial"/>
              </w:rPr>
              <w:t xml:space="preserve"> </w:t>
            </w:r>
            <w:r>
              <w:t xml:space="preserve"> </w:t>
            </w:r>
          </w:p>
          <w:p w:rsidR="00621D2A" w:rsidRDefault="002063F5">
            <w:pPr>
              <w:spacing w:after="0" w:line="259" w:lineRule="auto"/>
              <w:ind w:left="0" w:firstLine="0"/>
            </w:pPr>
            <w:r>
              <w:rPr>
                <w:rFonts w:ascii="Arial" w:eastAsia="Arial" w:hAnsi="Arial" w:cs="Arial"/>
                <w:sz w:val="20"/>
              </w:rPr>
              <w:t xml:space="preserve"> </w:t>
            </w:r>
            <w:r>
              <w:t xml:space="preserve"> </w:t>
            </w:r>
          </w:p>
        </w:tc>
      </w:tr>
      <w:tr w:rsidR="00621D2A">
        <w:trPr>
          <w:trHeight w:val="706"/>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Payment profile: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1" w:line="259" w:lineRule="auto"/>
              <w:ind w:left="0" w:firstLine="0"/>
            </w:pPr>
            <w:r>
              <w:t>The payment profile for this Call-Off Contract is monthly in arrears</w:t>
            </w:r>
            <w:r>
              <w:rPr>
                <w:rFonts w:ascii="Arial" w:eastAsia="Arial" w:hAnsi="Arial" w:cs="Arial"/>
                <w:sz w:val="20"/>
              </w:rPr>
              <w:t xml:space="preserve"> </w:t>
            </w:r>
            <w:r>
              <w:t xml:space="preserve"> </w:t>
            </w:r>
          </w:p>
          <w:p w:rsidR="00621D2A" w:rsidRDefault="002063F5">
            <w:pPr>
              <w:spacing w:after="0" w:line="259" w:lineRule="auto"/>
              <w:ind w:left="0" w:firstLine="0"/>
            </w:pPr>
            <w:r>
              <w:t xml:space="preserve">  </w:t>
            </w:r>
          </w:p>
        </w:tc>
      </w:tr>
      <w:tr w:rsidR="00621D2A">
        <w:trPr>
          <w:trHeight w:val="706"/>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Invoice details: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The Supplier will issue electronic invoices monthly. The Buyer will pay the Supplier within 30 days of receipt of a valid invoice.</w:t>
            </w:r>
            <w:r>
              <w:rPr>
                <w:rFonts w:ascii="Arial" w:eastAsia="Arial" w:hAnsi="Arial" w:cs="Arial"/>
                <w:sz w:val="20"/>
              </w:rPr>
              <w:t xml:space="preserve"> </w:t>
            </w:r>
            <w:r>
              <w:t xml:space="preserve"> </w:t>
            </w:r>
          </w:p>
        </w:tc>
      </w:tr>
      <w:tr w:rsidR="00621D2A">
        <w:trPr>
          <w:trHeight w:val="2532"/>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Who and where to send invoices to: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Invoices will be sent to   </w:t>
            </w:r>
          </w:p>
          <w:p w:rsidR="00621D2A" w:rsidRDefault="002063F5">
            <w:pPr>
              <w:spacing w:after="0" w:line="259" w:lineRule="auto"/>
              <w:ind w:left="0" w:firstLine="0"/>
            </w:pPr>
            <w:r>
              <w:t xml:space="preserve">Highways England Finance and Business Services,   </w:t>
            </w:r>
          </w:p>
          <w:p w:rsidR="00621D2A" w:rsidRDefault="002063F5">
            <w:pPr>
              <w:spacing w:after="0" w:line="259" w:lineRule="auto"/>
              <w:ind w:left="0" w:firstLine="0"/>
            </w:pPr>
            <w:r>
              <w:t xml:space="preserve">Payments,   </w:t>
            </w:r>
          </w:p>
          <w:p w:rsidR="00621D2A" w:rsidRDefault="002063F5">
            <w:pPr>
              <w:spacing w:after="0" w:line="259" w:lineRule="auto"/>
              <w:ind w:left="0" w:firstLine="0"/>
            </w:pPr>
            <w:r>
              <w:t xml:space="preserve">The Cube,   </w:t>
            </w:r>
          </w:p>
          <w:p w:rsidR="00621D2A" w:rsidRDefault="002063F5">
            <w:pPr>
              <w:spacing w:after="2" w:line="240" w:lineRule="auto"/>
              <w:ind w:left="0" w:right="5698" w:firstLine="0"/>
              <w:jc w:val="both"/>
            </w:pPr>
            <w:r>
              <w:t xml:space="preserve">199 Wharfside Street,  Birmingham,  B1 1RN.  </w:t>
            </w:r>
          </w:p>
          <w:p w:rsidR="00621D2A" w:rsidRDefault="002063F5">
            <w:pPr>
              <w:spacing w:after="0" w:line="259" w:lineRule="auto"/>
              <w:ind w:left="0" w:firstLine="0"/>
            </w:pPr>
            <w:r>
              <w:t>Email: invoices@highwaysengland.co.uk</w:t>
            </w:r>
            <w:r>
              <w:rPr>
                <w:rFonts w:ascii="Arial" w:eastAsia="Arial" w:hAnsi="Arial" w:cs="Arial"/>
                <w:sz w:val="20"/>
              </w:rPr>
              <w:t xml:space="preserve"> </w:t>
            </w:r>
            <w:r>
              <w:t xml:space="preserve"> </w:t>
            </w:r>
          </w:p>
        </w:tc>
      </w:tr>
      <w:tr w:rsidR="00621D2A">
        <w:trPr>
          <w:trHeight w:val="2149"/>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Invoice information required</w:t>
            </w:r>
            <w:r>
              <w:t xml:space="preserve"> – for example purchase order, project reference:</w:t>
            </w:r>
            <w:r>
              <w:rPr>
                <w:rFonts w:ascii="Arial" w:eastAsia="Arial" w:hAnsi="Arial" w:cs="Arial"/>
                <w:sz w:val="20"/>
              </w:rPr>
              <w:t xml:space="preserve">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40" w:lineRule="auto"/>
              <w:ind w:left="0" w:firstLine="0"/>
            </w:pPr>
            <w:r>
              <w:t xml:space="preserve">All invoices must include Purchase Order Number (PO number to be confirmed).  </w:t>
            </w:r>
          </w:p>
          <w:p w:rsidR="00621D2A" w:rsidRDefault="002063F5">
            <w:pPr>
              <w:spacing w:after="0" w:line="259" w:lineRule="auto"/>
              <w:ind w:left="0" w:firstLine="0"/>
            </w:pPr>
            <w:r>
              <w:rPr>
                <w:rFonts w:ascii="Arial" w:eastAsia="Arial" w:hAnsi="Arial" w:cs="Arial"/>
                <w:sz w:val="20"/>
              </w:rPr>
              <w:t xml:space="preserve">Package Order Number  </w:t>
            </w:r>
            <w:r>
              <w:t xml:space="preserve"> </w:t>
            </w:r>
          </w:p>
          <w:p w:rsidR="00621D2A" w:rsidRDefault="002063F5">
            <w:pPr>
              <w:spacing w:after="0" w:line="259" w:lineRule="auto"/>
              <w:ind w:left="0" w:firstLine="0"/>
            </w:pPr>
            <w:r>
              <w:rPr>
                <w:rFonts w:ascii="Arial" w:eastAsia="Arial" w:hAnsi="Arial" w:cs="Arial"/>
                <w:sz w:val="20"/>
              </w:rPr>
              <w:t xml:space="preserve">BPA Number  </w:t>
            </w:r>
            <w:r>
              <w:t xml:space="preserve"> </w:t>
            </w:r>
          </w:p>
          <w:p w:rsidR="00621D2A" w:rsidRDefault="002063F5">
            <w:pPr>
              <w:spacing w:after="0" w:line="259" w:lineRule="auto"/>
              <w:ind w:left="0" w:firstLine="0"/>
            </w:pPr>
            <w:r>
              <w:rPr>
                <w:rFonts w:ascii="Arial" w:eastAsia="Arial" w:hAnsi="Arial" w:cs="Arial"/>
                <w:sz w:val="20"/>
              </w:rPr>
              <w:t xml:space="preserve">Project Sponsor  </w:t>
            </w:r>
            <w:r>
              <w:t xml:space="preserve"> </w:t>
            </w:r>
          </w:p>
          <w:p w:rsidR="00621D2A" w:rsidRDefault="002063F5">
            <w:pPr>
              <w:spacing w:after="0" w:line="259" w:lineRule="auto"/>
              <w:ind w:left="0" w:firstLine="0"/>
            </w:pPr>
            <w:r>
              <w:rPr>
                <w:rFonts w:ascii="Arial" w:eastAsia="Arial" w:hAnsi="Arial" w:cs="Arial"/>
                <w:sz w:val="20"/>
              </w:rPr>
              <w:t xml:space="preserve">Cost Centre  </w:t>
            </w:r>
            <w:r>
              <w:t xml:space="preserve"> </w:t>
            </w:r>
          </w:p>
          <w:p w:rsidR="00621D2A" w:rsidRDefault="002063F5">
            <w:pPr>
              <w:spacing w:after="0" w:line="259" w:lineRule="auto"/>
              <w:ind w:left="0" w:firstLine="0"/>
            </w:pPr>
            <w:r>
              <w:rPr>
                <w:rFonts w:ascii="Arial" w:eastAsia="Arial" w:hAnsi="Arial" w:cs="Arial"/>
                <w:sz w:val="20"/>
              </w:rPr>
              <w:t xml:space="preserve">Project Number (PIN)  </w:t>
            </w:r>
            <w:r>
              <w:t xml:space="preserve"> </w:t>
            </w:r>
          </w:p>
          <w:p w:rsidR="00621D2A" w:rsidRDefault="002063F5">
            <w:pPr>
              <w:spacing w:after="0" w:line="259" w:lineRule="auto"/>
              <w:ind w:left="0" w:firstLine="0"/>
            </w:pPr>
            <w:r>
              <w:rPr>
                <w:rFonts w:ascii="Arial" w:eastAsia="Arial" w:hAnsi="Arial" w:cs="Arial"/>
                <w:sz w:val="20"/>
              </w:rPr>
              <w:t xml:space="preserve">All to be confirmed by the Project Team post-award.  </w:t>
            </w:r>
            <w:r>
              <w:t xml:space="preserve"> </w:t>
            </w:r>
          </w:p>
        </w:tc>
      </w:tr>
      <w:tr w:rsidR="00621D2A">
        <w:trPr>
          <w:trHeight w:val="389"/>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Invoice frequency: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Invoice will be sent to the Buyer jmonthly</w:t>
            </w:r>
            <w:r>
              <w:rPr>
                <w:rFonts w:ascii="Arial" w:eastAsia="Arial" w:hAnsi="Arial" w:cs="Arial"/>
                <w:sz w:val="20"/>
              </w:rPr>
              <w:t xml:space="preserve"> </w:t>
            </w:r>
            <w:r>
              <w:t xml:space="preserve"> </w:t>
            </w:r>
          </w:p>
        </w:tc>
      </w:tr>
      <w:tr w:rsidR="00621D2A">
        <w:trPr>
          <w:trHeight w:val="386"/>
        </w:trPr>
        <w:tc>
          <w:tcPr>
            <w:tcW w:w="265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Call-Off Contract value:</w:t>
            </w:r>
            <w:r>
              <w:rPr>
                <w:rFonts w:ascii="Arial" w:eastAsia="Arial" w:hAnsi="Arial" w:cs="Arial"/>
                <w:sz w:val="20"/>
              </w:rPr>
              <w:t xml:space="preserve">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The total value of this Call-Off Contract is £90,000.00.</w:t>
            </w:r>
            <w:r>
              <w:rPr>
                <w:rFonts w:ascii="Arial" w:eastAsia="Arial" w:hAnsi="Arial" w:cs="Arial"/>
                <w:sz w:val="20"/>
              </w:rPr>
              <w:t xml:space="preserve"> </w:t>
            </w:r>
            <w:r>
              <w:t xml:space="preserve"> </w:t>
            </w:r>
          </w:p>
        </w:tc>
      </w:tr>
      <w:tr w:rsidR="00621D2A">
        <w:trPr>
          <w:trHeight w:val="847"/>
        </w:trPr>
        <w:tc>
          <w:tcPr>
            <w:tcW w:w="2657" w:type="dxa"/>
            <w:tcBorders>
              <w:top w:val="single" w:sz="8" w:space="0" w:color="000001"/>
              <w:left w:val="single" w:sz="8" w:space="0" w:color="000001"/>
              <w:bottom w:val="single" w:sz="8" w:space="0" w:color="000001"/>
              <w:right w:val="single" w:sz="8" w:space="0" w:color="000001"/>
            </w:tcBorders>
            <w:vAlign w:val="center"/>
          </w:tcPr>
          <w:p w:rsidR="00621D2A" w:rsidRDefault="002063F5">
            <w:pPr>
              <w:spacing w:after="0" w:line="259" w:lineRule="auto"/>
              <w:ind w:left="0" w:firstLine="0"/>
            </w:pPr>
            <w:r>
              <w:rPr>
                <w:b/>
              </w:rPr>
              <w:lastRenderedPageBreak/>
              <w:t xml:space="preserve">Call-Off Contract charges: </w:t>
            </w:r>
            <w:r>
              <w:t xml:space="preserve"> </w:t>
            </w:r>
          </w:p>
        </w:tc>
        <w:tc>
          <w:tcPr>
            <w:tcW w:w="7977" w:type="dxa"/>
            <w:tcBorders>
              <w:top w:val="single" w:sz="8" w:space="0" w:color="000001"/>
              <w:left w:val="single" w:sz="8" w:space="0" w:color="000001"/>
              <w:bottom w:val="single" w:sz="8" w:space="0" w:color="000001"/>
              <w:right w:val="single" w:sz="8" w:space="0" w:color="000001"/>
            </w:tcBorders>
          </w:tcPr>
          <w:p w:rsidR="00621D2A" w:rsidRDefault="002063F5">
            <w:pPr>
              <w:spacing w:after="39" w:line="216" w:lineRule="auto"/>
              <w:ind w:left="0" w:firstLine="0"/>
            </w:pPr>
            <w:r>
              <w:rPr>
                <w:rFonts w:ascii="Arial" w:eastAsia="Arial" w:hAnsi="Arial" w:cs="Arial"/>
                <w:sz w:val="20"/>
              </w:rPr>
              <w:t xml:space="preserve">The breakdown of the Charges is to be based on the supplier’s hourly rates, to be charged in line with the G-Cloud 10 framework. </w:t>
            </w:r>
            <w:r>
              <w:rPr>
                <w:rFonts w:ascii="Arial" w:eastAsia="Arial" w:hAnsi="Arial" w:cs="Arial"/>
              </w:rPr>
              <w:t xml:space="preserve"> </w:t>
            </w:r>
            <w:r>
              <w:t xml:space="preserve"> </w:t>
            </w:r>
          </w:p>
          <w:p w:rsidR="00621D2A" w:rsidRDefault="002063F5">
            <w:pPr>
              <w:spacing w:after="0" w:line="259" w:lineRule="auto"/>
              <w:ind w:left="0" w:firstLine="0"/>
            </w:pPr>
            <w:r>
              <w:t xml:space="preserve">  </w:t>
            </w:r>
          </w:p>
        </w:tc>
      </w:tr>
    </w:tbl>
    <w:p w:rsidR="00621D2A" w:rsidRDefault="002063F5">
      <w:pPr>
        <w:spacing w:after="222" w:line="259" w:lineRule="auto"/>
        <w:ind w:left="14" w:firstLine="0"/>
      </w:pPr>
      <w:r>
        <w:t xml:space="preserve">  </w:t>
      </w:r>
    </w:p>
    <w:p w:rsidR="00621D2A" w:rsidRDefault="002063F5">
      <w:pPr>
        <w:pStyle w:val="Heading2"/>
        <w:spacing w:after="0"/>
      </w:pPr>
      <w:r>
        <w:t xml:space="preserve">Additional buyer terms  </w:t>
      </w:r>
    </w:p>
    <w:tbl>
      <w:tblPr>
        <w:tblStyle w:val="TableGrid"/>
        <w:tblW w:w="10596" w:type="dxa"/>
        <w:tblInd w:w="34" w:type="dxa"/>
        <w:tblCellMar>
          <w:top w:w="119" w:type="dxa"/>
          <w:left w:w="108" w:type="dxa"/>
          <w:right w:w="112" w:type="dxa"/>
        </w:tblCellMar>
        <w:tblLook w:val="04A0" w:firstRow="1" w:lastRow="0" w:firstColumn="1" w:lastColumn="0" w:noHBand="0" w:noVBand="1"/>
      </w:tblPr>
      <w:tblGrid>
        <w:gridCol w:w="2655"/>
        <w:gridCol w:w="7941"/>
      </w:tblGrid>
      <w:tr w:rsidR="00621D2A">
        <w:trPr>
          <w:trHeight w:val="1027"/>
        </w:trPr>
        <w:tc>
          <w:tcPr>
            <w:tcW w:w="265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Performance of the </w:t>
            </w:r>
            <w:r>
              <w:t xml:space="preserve"> </w:t>
            </w:r>
            <w:r>
              <w:rPr>
                <w:b/>
              </w:rPr>
              <w:t xml:space="preserve">service and deliverables:  </w:t>
            </w:r>
            <w:r>
              <w:t xml:space="preserve"> </w:t>
            </w:r>
          </w:p>
        </w:tc>
        <w:tc>
          <w:tcPr>
            <w:tcW w:w="7941"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tc>
      </w:tr>
      <w:tr w:rsidR="00621D2A">
        <w:trPr>
          <w:trHeight w:val="396"/>
        </w:trPr>
        <w:tc>
          <w:tcPr>
            <w:tcW w:w="265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Guarantee: </w:t>
            </w:r>
            <w:r>
              <w:t xml:space="preserve"> </w:t>
            </w:r>
          </w:p>
        </w:tc>
        <w:tc>
          <w:tcPr>
            <w:tcW w:w="7941"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tc>
      </w:tr>
      <w:tr w:rsidR="00621D2A">
        <w:trPr>
          <w:trHeight w:val="710"/>
        </w:trPr>
        <w:tc>
          <w:tcPr>
            <w:tcW w:w="265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Warranties, representations:  </w:t>
            </w:r>
            <w:r>
              <w:t xml:space="preserve"> </w:t>
            </w:r>
          </w:p>
        </w:tc>
        <w:tc>
          <w:tcPr>
            <w:tcW w:w="7941"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tc>
      </w:tr>
      <w:tr w:rsidR="00621D2A">
        <w:trPr>
          <w:trHeight w:val="1345"/>
        </w:trPr>
        <w:tc>
          <w:tcPr>
            <w:tcW w:w="265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Supplemental requirements in addition to the Call-Off terms: </w:t>
            </w:r>
            <w:r>
              <w:t xml:space="preserve"> </w:t>
            </w:r>
          </w:p>
        </w:tc>
        <w:tc>
          <w:tcPr>
            <w:tcW w:w="7941"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tc>
      </w:tr>
      <w:tr w:rsidR="00621D2A">
        <w:trPr>
          <w:trHeight w:val="396"/>
        </w:trPr>
        <w:tc>
          <w:tcPr>
            <w:tcW w:w="265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Alternative clauses: </w:t>
            </w:r>
            <w:r>
              <w:t xml:space="preserve"> </w:t>
            </w:r>
          </w:p>
        </w:tc>
        <w:tc>
          <w:tcPr>
            <w:tcW w:w="7941"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tc>
      </w:tr>
      <w:tr w:rsidR="00621D2A">
        <w:trPr>
          <w:trHeight w:val="1620"/>
        </w:trPr>
        <w:tc>
          <w:tcPr>
            <w:tcW w:w="265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Buyer specific amendments </w:t>
            </w:r>
            <w:r>
              <w:t xml:space="preserve"> </w:t>
            </w:r>
            <w:r>
              <w:rPr>
                <w:b/>
              </w:rPr>
              <w:t xml:space="preserve">to/refinements of the Call-Off Contract terms: </w:t>
            </w:r>
            <w:r>
              <w:t xml:space="preserve"> </w:t>
            </w:r>
          </w:p>
        </w:tc>
        <w:tc>
          <w:tcPr>
            <w:tcW w:w="7941"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tc>
      </w:tr>
      <w:tr w:rsidR="00621D2A">
        <w:trPr>
          <w:trHeight w:val="710"/>
        </w:trPr>
        <w:tc>
          <w:tcPr>
            <w:tcW w:w="265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Public Services </w:t>
            </w:r>
          </w:p>
          <w:p w:rsidR="00621D2A" w:rsidRDefault="002063F5">
            <w:pPr>
              <w:spacing w:after="0" w:line="259" w:lineRule="auto"/>
              <w:ind w:left="0" w:firstLine="0"/>
            </w:pPr>
            <w:r>
              <w:rPr>
                <w:b/>
              </w:rPr>
              <w:t xml:space="preserve">Network (PSN): </w:t>
            </w:r>
            <w:r>
              <w:t xml:space="preserve"> </w:t>
            </w:r>
          </w:p>
        </w:tc>
        <w:tc>
          <w:tcPr>
            <w:tcW w:w="7941"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Not applicable  </w:t>
            </w:r>
          </w:p>
        </w:tc>
      </w:tr>
      <w:tr w:rsidR="00621D2A">
        <w:trPr>
          <w:trHeight w:val="713"/>
        </w:trPr>
        <w:tc>
          <w:tcPr>
            <w:tcW w:w="265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Personal Data and Data Subjects: </w:t>
            </w:r>
            <w:r>
              <w:t xml:space="preserve"> </w:t>
            </w:r>
          </w:p>
        </w:tc>
        <w:tc>
          <w:tcPr>
            <w:tcW w:w="7941"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Not applicable</w:t>
            </w:r>
            <w:r>
              <w:rPr>
                <w:rFonts w:ascii="Arial" w:eastAsia="Arial" w:hAnsi="Arial" w:cs="Arial"/>
                <w:sz w:val="20"/>
              </w:rPr>
              <w:t xml:space="preserve"> </w:t>
            </w:r>
            <w:r>
              <w:t xml:space="preserve"> </w:t>
            </w:r>
          </w:p>
        </w:tc>
      </w:tr>
    </w:tbl>
    <w:p w:rsidR="00621D2A" w:rsidRDefault="002063F5">
      <w:pPr>
        <w:spacing w:after="221" w:line="259" w:lineRule="auto"/>
        <w:ind w:left="14" w:firstLine="0"/>
      </w:pPr>
      <w:r>
        <w:t xml:space="preserve">  </w:t>
      </w:r>
    </w:p>
    <w:p w:rsidR="00621D2A" w:rsidRDefault="002063F5">
      <w:pPr>
        <w:pStyle w:val="Heading2"/>
      </w:pPr>
      <w:r>
        <w:t xml:space="preserve">1. Formation of contract   </w:t>
      </w:r>
    </w:p>
    <w:p w:rsidR="00621D2A" w:rsidRDefault="002063F5">
      <w:pPr>
        <w:ind w:left="725" w:right="7" w:hanging="725"/>
      </w:pPr>
      <w:r>
        <w:t>1.1</w:t>
      </w:r>
      <w:r>
        <w:rPr>
          <w:rFonts w:ascii="Arial" w:eastAsia="Arial" w:hAnsi="Arial" w:cs="Arial"/>
        </w:rPr>
        <w:t xml:space="preserve">  </w:t>
      </w:r>
      <w:r>
        <w:rPr>
          <w:rFonts w:ascii="Arial" w:eastAsia="Arial" w:hAnsi="Arial" w:cs="Arial"/>
        </w:rPr>
        <w:tab/>
      </w:r>
      <w:r>
        <w:t xml:space="preserve">By signing and returning this Order Form (Part A), the Supplier agrees to enter into a Call-Off Contract with the Buyer.  </w:t>
      </w:r>
    </w:p>
    <w:p w:rsidR="00621D2A" w:rsidRDefault="002063F5">
      <w:pPr>
        <w:ind w:left="725" w:right="7" w:hanging="725"/>
      </w:pPr>
      <w:r>
        <w:t>1.2</w:t>
      </w:r>
      <w:r>
        <w:rPr>
          <w:rFonts w:ascii="Arial" w:eastAsia="Arial" w:hAnsi="Arial" w:cs="Arial"/>
        </w:rPr>
        <w:t xml:space="preserve">  </w:t>
      </w:r>
      <w:r>
        <w:rPr>
          <w:rFonts w:ascii="Arial" w:eastAsia="Arial" w:hAnsi="Arial" w:cs="Arial"/>
        </w:rPr>
        <w:tab/>
      </w:r>
      <w:r>
        <w:t xml:space="preserve">The Parties agree that they have read the Order Form (Part A) and the Call-Off Contract terms and by signing below agree to be bound by this Call-Off Contract.  </w:t>
      </w:r>
    </w:p>
    <w:p w:rsidR="00621D2A" w:rsidRDefault="002063F5">
      <w:pPr>
        <w:ind w:left="725" w:right="7" w:hanging="725"/>
      </w:pPr>
      <w:r>
        <w:lastRenderedPageBreak/>
        <w:t>1.3</w:t>
      </w:r>
      <w:r>
        <w:rPr>
          <w:rFonts w:ascii="Arial" w:eastAsia="Arial" w:hAnsi="Arial" w:cs="Arial"/>
        </w:rPr>
        <w:t xml:space="preserve">  </w:t>
      </w:r>
      <w:r>
        <w:rPr>
          <w:rFonts w:ascii="Arial" w:eastAsia="Arial" w:hAnsi="Arial" w:cs="Arial"/>
        </w:rPr>
        <w:tab/>
      </w:r>
      <w:r>
        <w:t xml:space="preserve">This Call-Off Contract will be formed when the Buyer acknowledges receipt of the signed copy of the Order Form from the Supplier.  </w:t>
      </w:r>
    </w:p>
    <w:p w:rsidR="00621D2A" w:rsidRDefault="002063F5">
      <w:pPr>
        <w:spacing w:after="210"/>
        <w:ind w:left="725" w:right="7" w:hanging="725"/>
      </w:pPr>
      <w:r>
        <w:t>1.4</w:t>
      </w:r>
      <w:r>
        <w:rPr>
          <w:rFonts w:ascii="Arial" w:eastAsia="Arial" w:hAnsi="Arial" w:cs="Arial"/>
        </w:rPr>
        <w:t xml:space="preserve">  </w:t>
      </w:r>
      <w:r>
        <w:rPr>
          <w:rFonts w:ascii="Arial" w:eastAsia="Arial" w:hAnsi="Arial" w:cs="Arial"/>
        </w:rPr>
        <w:tab/>
      </w:r>
      <w:r>
        <w:t xml:space="preserve">In cases of any ambiguity or conflict the terms and conditions of the Call-Off Contract and Order Form will supersede those of the Supplier Terms and Conditions.  </w:t>
      </w:r>
    </w:p>
    <w:p w:rsidR="00621D2A" w:rsidRDefault="002063F5">
      <w:pPr>
        <w:pStyle w:val="Heading2"/>
      </w:pPr>
      <w:r>
        <w:t xml:space="preserve">2. Background to the agreement   </w:t>
      </w:r>
    </w:p>
    <w:p w:rsidR="00621D2A" w:rsidRDefault="002063F5">
      <w:pPr>
        <w:numPr>
          <w:ilvl w:val="0"/>
          <w:numId w:val="1"/>
        </w:numPr>
        <w:ind w:right="7" w:hanging="725"/>
      </w:pPr>
      <w:r>
        <w:t xml:space="preserve">The Supplier is a provider of G-Cloud Services and agreed to provide the Services under the terms of Framework Agreement number RM1557.10.  </w:t>
      </w:r>
    </w:p>
    <w:p w:rsidR="00621D2A" w:rsidRDefault="002063F5">
      <w:pPr>
        <w:numPr>
          <w:ilvl w:val="0"/>
          <w:numId w:val="1"/>
        </w:numPr>
        <w:spacing w:after="0"/>
        <w:ind w:right="7" w:hanging="725"/>
      </w:pPr>
      <w:r>
        <w:t xml:space="preserve">The Buyer provided an Order Form for Services to the Supplier.  </w:t>
      </w:r>
    </w:p>
    <w:tbl>
      <w:tblPr>
        <w:tblStyle w:val="TableGrid"/>
        <w:tblW w:w="10625" w:type="dxa"/>
        <w:tblInd w:w="34" w:type="dxa"/>
        <w:tblCellMar>
          <w:top w:w="62" w:type="dxa"/>
          <w:left w:w="91" w:type="dxa"/>
          <w:bottom w:w="17" w:type="dxa"/>
          <w:right w:w="115" w:type="dxa"/>
        </w:tblCellMar>
        <w:tblLook w:val="04A0" w:firstRow="1" w:lastRow="0" w:firstColumn="1" w:lastColumn="0" w:noHBand="0" w:noVBand="1"/>
      </w:tblPr>
      <w:tblGrid>
        <w:gridCol w:w="2281"/>
        <w:gridCol w:w="4172"/>
        <w:gridCol w:w="4172"/>
      </w:tblGrid>
      <w:tr w:rsidR="00621D2A">
        <w:trPr>
          <w:trHeight w:val="574"/>
        </w:trPr>
        <w:tc>
          <w:tcPr>
            <w:tcW w:w="2280" w:type="dxa"/>
            <w:tcBorders>
              <w:top w:val="single" w:sz="8" w:space="0" w:color="000001"/>
              <w:left w:val="single" w:sz="8" w:space="0" w:color="000001"/>
              <w:bottom w:val="single" w:sz="8" w:space="0" w:color="000001"/>
              <w:right w:val="single" w:sz="8" w:space="0" w:color="000001"/>
            </w:tcBorders>
            <w:vAlign w:val="center"/>
          </w:tcPr>
          <w:p w:rsidR="00621D2A" w:rsidRDefault="002063F5">
            <w:pPr>
              <w:spacing w:after="0" w:line="259" w:lineRule="auto"/>
              <w:ind w:left="2" w:firstLine="0"/>
            </w:pPr>
            <w:r>
              <w:rPr>
                <w:b/>
              </w:rPr>
              <w:t xml:space="preserve">Signed: </w:t>
            </w:r>
            <w:r>
              <w:t xml:space="preserve"> </w:t>
            </w:r>
          </w:p>
        </w:tc>
        <w:tc>
          <w:tcPr>
            <w:tcW w:w="4172" w:type="dxa"/>
            <w:tcBorders>
              <w:top w:val="single" w:sz="8" w:space="0" w:color="000001"/>
              <w:left w:val="single" w:sz="8" w:space="0" w:color="000001"/>
              <w:bottom w:val="single" w:sz="8" w:space="0" w:color="000001"/>
              <w:right w:val="single" w:sz="8" w:space="0" w:color="000001"/>
            </w:tcBorders>
            <w:vAlign w:val="center"/>
          </w:tcPr>
          <w:p w:rsidR="00621D2A" w:rsidRDefault="002063F5">
            <w:pPr>
              <w:spacing w:after="0" w:line="259" w:lineRule="auto"/>
              <w:ind w:left="2" w:firstLine="0"/>
            </w:pPr>
            <w:r>
              <w:t xml:space="preserve">Supplier  </w:t>
            </w:r>
          </w:p>
        </w:tc>
        <w:tc>
          <w:tcPr>
            <w:tcW w:w="4172" w:type="dxa"/>
            <w:tcBorders>
              <w:top w:val="single" w:sz="8" w:space="0" w:color="000001"/>
              <w:left w:val="single" w:sz="8" w:space="0" w:color="000001"/>
              <w:bottom w:val="single" w:sz="8" w:space="0" w:color="000001"/>
              <w:right w:val="single" w:sz="8" w:space="0" w:color="000001"/>
            </w:tcBorders>
            <w:vAlign w:val="center"/>
          </w:tcPr>
          <w:p w:rsidR="00621D2A" w:rsidRDefault="002063F5">
            <w:pPr>
              <w:spacing w:after="0" w:line="259" w:lineRule="auto"/>
              <w:ind w:left="0" w:firstLine="0"/>
            </w:pPr>
            <w:r>
              <w:t xml:space="preserve">Buyer  </w:t>
            </w:r>
          </w:p>
        </w:tc>
      </w:tr>
      <w:tr w:rsidR="00621D2A">
        <w:trPr>
          <w:trHeight w:val="571"/>
        </w:trPr>
        <w:tc>
          <w:tcPr>
            <w:tcW w:w="2280" w:type="dxa"/>
            <w:tcBorders>
              <w:top w:val="single" w:sz="8" w:space="0" w:color="000001"/>
              <w:left w:val="single" w:sz="8" w:space="0" w:color="000001"/>
              <w:bottom w:val="single" w:sz="8" w:space="0" w:color="000001"/>
              <w:right w:val="single" w:sz="8" w:space="0" w:color="000001"/>
            </w:tcBorders>
            <w:vAlign w:val="center"/>
          </w:tcPr>
          <w:p w:rsidR="00621D2A" w:rsidRDefault="002063F5">
            <w:pPr>
              <w:spacing w:after="0" w:line="259" w:lineRule="auto"/>
              <w:ind w:left="2" w:firstLine="0"/>
            </w:pPr>
            <w:r>
              <w:rPr>
                <w:b/>
              </w:rPr>
              <w:t xml:space="preserve">Name: </w:t>
            </w:r>
            <w:r>
              <w:t xml:space="preserve"> </w:t>
            </w:r>
          </w:p>
        </w:tc>
        <w:tc>
          <w:tcPr>
            <w:tcW w:w="4172" w:type="dxa"/>
            <w:tcBorders>
              <w:top w:val="single" w:sz="8" w:space="0" w:color="000001"/>
              <w:left w:val="single" w:sz="8" w:space="0" w:color="000001"/>
              <w:bottom w:val="single" w:sz="8" w:space="0" w:color="000001"/>
              <w:right w:val="single" w:sz="8" w:space="0" w:color="000001"/>
            </w:tcBorders>
            <w:vAlign w:val="center"/>
          </w:tcPr>
          <w:p w:rsidR="00621D2A" w:rsidRPr="00BA783F" w:rsidRDefault="00BA783F">
            <w:pPr>
              <w:spacing w:after="0" w:line="259" w:lineRule="auto"/>
              <w:ind w:left="2" w:firstLine="0"/>
              <w:rPr>
                <w:i/>
              </w:rPr>
            </w:pPr>
            <w:r>
              <w:rPr>
                <w:i/>
              </w:rPr>
              <w:t>Redacted</w:t>
            </w:r>
            <w:r w:rsidR="002063F5" w:rsidRPr="00BA783F">
              <w:rPr>
                <w:i/>
              </w:rPr>
              <w:t xml:space="preserve">  </w:t>
            </w:r>
          </w:p>
        </w:tc>
        <w:tc>
          <w:tcPr>
            <w:tcW w:w="4172" w:type="dxa"/>
            <w:tcBorders>
              <w:top w:val="single" w:sz="8" w:space="0" w:color="000001"/>
              <w:left w:val="single" w:sz="8" w:space="0" w:color="000001"/>
              <w:bottom w:val="single" w:sz="8" w:space="0" w:color="000001"/>
              <w:right w:val="single" w:sz="8" w:space="0" w:color="000001"/>
            </w:tcBorders>
            <w:vAlign w:val="bottom"/>
          </w:tcPr>
          <w:p w:rsidR="00621D2A" w:rsidRPr="00BA783F" w:rsidRDefault="002063F5">
            <w:pPr>
              <w:spacing w:after="0" w:line="259" w:lineRule="auto"/>
              <w:ind w:left="0" w:firstLine="0"/>
              <w:rPr>
                <w:i/>
              </w:rPr>
            </w:pPr>
            <w:r w:rsidRPr="00BA783F">
              <w:rPr>
                <w:sz w:val="37"/>
                <w:vertAlign w:val="superscript"/>
              </w:rPr>
              <w:t xml:space="preserve"> </w:t>
            </w:r>
            <w:r w:rsidR="00BA783F">
              <w:rPr>
                <w:rFonts w:ascii="Arial" w:eastAsia="Arial" w:hAnsi="Arial" w:cs="Arial"/>
                <w:i/>
                <w:color w:val="010101"/>
              </w:rPr>
              <w:t>Redacted</w:t>
            </w:r>
            <w:r w:rsidRPr="00BA783F">
              <w:rPr>
                <w:i/>
              </w:rPr>
              <w:t xml:space="preserve"> </w:t>
            </w:r>
          </w:p>
        </w:tc>
      </w:tr>
      <w:tr w:rsidR="00621D2A">
        <w:trPr>
          <w:trHeight w:val="574"/>
        </w:trPr>
        <w:tc>
          <w:tcPr>
            <w:tcW w:w="2280" w:type="dxa"/>
            <w:tcBorders>
              <w:top w:val="single" w:sz="8" w:space="0" w:color="000001"/>
              <w:left w:val="single" w:sz="8" w:space="0" w:color="000001"/>
              <w:bottom w:val="single" w:sz="8" w:space="0" w:color="000001"/>
              <w:right w:val="single" w:sz="8" w:space="0" w:color="000001"/>
            </w:tcBorders>
            <w:vAlign w:val="center"/>
          </w:tcPr>
          <w:p w:rsidR="00621D2A" w:rsidRDefault="002063F5">
            <w:pPr>
              <w:spacing w:after="0" w:line="259" w:lineRule="auto"/>
              <w:ind w:left="2" w:firstLine="0"/>
            </w:pPr>
            <w:r>
              <w:rPr>
                <w:b/>
              </w:rPr>
              <w:t xml:space="preserve">Title: </w:t>
            </w:r>
            <w:r>
              <w:t xml:space="preserve"> </w:t>
            </w:r>
          </w:p>
        </w:tc>
        <w:tc>
          <w:tcPr>
            <w:tcW w:w="4172" w:type="dxa"/>
            <w:tcBorders>
              <w:top w:val="single" w:sz="8" w:space="0" w:color="000001"/>
              <w:left w:val="single" w:sz="8" w:space="0" w:color="000001"/>
              <w:bottom w:val="single" w:sz="8" w:space="0" w:color="000001"/>
              <w:right w:val="single" w:sz="8" w:space="0" w:color="000001"/>
            </w:tcBorders>
            <w:vAlign w:val="center"/>
          </w:tcPr>
          <w:p w:rsidR="00621D2A" w:rsidRDefault="002063F5">
            <w:pPr>
              <w:spacing w:after="0" w:line="259" w:lineRule="auto"/>
              <w:ind w:left="2" w:firstLine="0"/>
            </w:pPr>
            <w:r>
              <w:t xml:space="preserve">Director  </w:t>
            </w:r>
          </w:p>
        </w:tc>
        <w:tc>
          <w:tcPr>
            <w:tcW w:w="4172"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rFonts w:ascii="Arial" w:eastAsia="Arial" w:hAnsi="Arial" w:cs="Arial"/>
                <w:color w:val="010101"/>
              </w:rPr>
              <w:t>Procurement Manager</w:t>
            </w:r>
            <w:r>
              <w:t xml:space="preserve"> </w:t>
            </w:r>
          </w:p>
        </w:tc>
      </w:tr>
      <w:tr w:rsidR="00621D2A">
        <w:trPr>
          <w:trHeight w:val="1121"/>
        </w:trPr>
        <w:tc>
          <w:tcPr>
            <w:tcW w:w="2280"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2" w:firstLine="0"/>
            </w:pPr>
            <w:r>
              <w:rPr>
                <w:b/>
              </w:rPr>
              <w:t xml:space="preserve">Signature: </w:t>
            </w:r>
            <w:r>
              <w:t xml:space="preserve"> </w:t>
            </w:r>
          </w:p>
        </w:tc>
        <w:tc>
          <w:tcPr>
            <w:tcW w:w="4172"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right="971" w:firstLine="0"/>
              <w:jc w:val="center"/>
            </w:pPr>
            <w:r>
              <w:rPr>
                <w:noProof/>
              </w:rPr>
              <w:drawing>
                <wp:inline distT="0" distB="0" distL="0" distR="0">
                  <wp:extent cx="1800225" cy="342900"/>
                  <wp:effectExtent l="0" t="0" r="0" b="0"/>
                  <wp:docPr id="1807" name="Picture 1807"/>
                  <wp:cNvGraphicFramePr/>
                  <a:graphic xmlns:a="http://schemas.openxmlformats.org/drawingml/2006/main">
                    <a:graphicData uri="http://schemas.openxmlformats.org/drawingml/2006/picture">
                      <pic:pic xmlns:pic="http://schemas.openxmlformats.org/drawingml/2006/picture">
                        <pic:nvPicPr>
                          <pic:cNvPr id="1807" name="Picture 1807"/>
                          <pic:cNvPicPr/>
                        </pic:nvPicPr>
                        <pic:blipFill>
                          <a:blip r:embed="rId8"/>
                          <a:stretch>
                            <a:fillRect/>
                          </a:stretch>
                        </pic:blipFill>
                        <pic:spPr>
                          <a:xfrm>
                            <a:off x="0" y="0"/>
                            <a:ext cx="1800225" cy="342900"/>
                          </a:xfrm>
                          <a:prstGeom prst="rect">
                            <a:avLst/>
                          </a:prstGeom>
                        </pic:spPr>
                      </pic:pic>
                    </a:graphicData>
                  </a:graphic>
                </wp:inline>
              </w:drawing>
            </w:r>
            <w:r>
              <w:rPr>
                <w:rFonts w:ascii="Arial" w:eastAsia="Arial" w:hAnsi="Arial" w:cs="Arial"/>
                <w:sz w:val="20"/>
              </w:rPr>
              <w:t xml:space="preserve"> </w:t>
            </w:r>
            <w:r>
              <w:t xml:space="preserve"> </w:t>
            </w:r>
          </w:p>
        </w:tc>
        <w:tc>
          <w:tcPr>
            <w:tcW w:w="4172"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right="976" w:firstLine="0"/>
              <w:jc w:val="center"/>
            </w:pPr>
            <w:r>
              <w:rPr>
                <w:rFonts w:ascii="Arial" w:eastAsia="Arial" w:hAnsi="Arial" w:cs="Arial"/>
                <w:sz w:val="20"/>
              </w:rPr>
              <w:t xml:space="preserve"> </w:t>
            </w:r>
            <w:r>
              <w:t xml:space="preserve"> </w:t>
            </w:r>
          </w:p>
        </w:tc>
      </w:tr>
      <w:tr w:rsidR="00621D2A">
        <w:trPr>
          <w:trHeight w:val="854"/>
        </w:trPr>
        <w:tc>
          <w:tcPr>
            <w:tcW w:w="2280" w:type="dxa"/>
            <w:tcBorders>
              <w:top w:val="single" w:sz="8" w:space="0" w:color="000001"/>
              <w:left w:val="single" w:sz="8" w:space="0" w:color="000001"/>
              <w:bottom w:val="single" w:sz="8" w:space="0" w:color="000001"/>
              <w:right w:val="single" w:sz="8" w:space="0" w:color="000001"/>
            </w:tcBorders>
            <w:vAlign w:val="center"/>
          </w:tcPr>
          <w:p w:rsidR="00621D2A" w:rsidRDefault="002063F5">
            <w:pPr>
              <w:spacing w:after="0" w:line="259" w:lineRule="auto"/>
              <w:ind w:left="2" w:firstLine="0"/>
            </w:pPr>
            <w:r>
              <w:rPr>
                <w:b/>
              </w:rPr>
              <w:t xml:space="preserve">Date: </w:t>
            </w:r>
            <w:r>
              <w:t xml:space="preserve"> </w:t>
            </w:r>
          </w:p>
        </w:tc>
        <w:tc>
          <w:tcPr>
            <w:tcW w:w="4172"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t xml:space="preserve"> </w:t>
            </w:r>
          </w:p>
        </w:tc>
        <w:tc>
          <w:tcPr>
            <w:tcW w:w="4172" w:type="dxa"/>
            <w:tcBorders>
              <w:top w:val="single" w:sz="8" w:space="0" w:color="000001"/>
              <w:left w:val="single" w:sz="8" w:space="0" w:color="000001"/>
              <w:bottom w:val="single" w:sz="8" w:space="0" w:color="000001"/>
              <w:right w:val="single" w:sz="8" w:space="0" w:color="000001"/>
            </w:tcBorders>
            <w:vAlign w:val="bottom"/>
          </w:tcPr>
          <w:p w:rsidR="00621D2A" w:rsidRDefault="002063F5">
            <w:pPr>
              <w:spacing w:after="0" w:line="259" w:lineRule="auto"/>
              <w:ind w:left="0" w:firstLine="0"/>
            </w:pPr>
            <w:r>
              <w:rPr>
                <w:rFonts w:ascii="Arial" w:eastAsia="Arial" w:hAnsi="Arial" w:cs="Arial"/>
                <w:color w:val="010101"/>
                <w:sz w:val="22"/>
              </w:rPr>
              <w:t>06/02/2019</w:t>
            </w:r>
            <w:r>
              <w:t xml:space="preserve"> </w:t>
            </w:r>
          </w:p>
        </w:tc>
      </w:tr>
    </w:tbl>
    <w:p w:rsidR="00621D2A" w:rsidRDefault="002063F5">
      <w:pPr>
        <w:spacing w:after="20" w:line="259" w:lineRule="auto"/>
        <w:ind w:left="14" w:firstLine="0"/>
      </w:pPr>
      <w:r>
        <w:rPr>
          <w:b/>
        </w:rPr>
        <w:t xml:space="preserve"> </w:t>
      </w:r>
      <w:r>
        <w:t xml:space="preserve"> </w:t>
      </w:r>
    </w:p>
    <w:p w:rsidR="00621D2A" w:rsidRDefault="002063F5">
      <w:pPr>
        <w:pStyle w:val="Heading1"/>
        <w:spacing w:after="256"/>
      </w:pPr>
      <w:bookmarkStart w:id="1" w:name="_Toc73316"/>
      <w:r>
        <w:t xml:space="preserve">Schedule 1 - Services  </w:t>
      </w:r>
      <w:bookmarkEnd w:id="1"/>
    </w:p>
    <w:p w:rsidR="00621D2A" w:rsidRDefault="002063F5">
      <w:pPr>
        <w:spacing w:after="17" w:line="259" w:lineRule="auto"/>
        <w:ind w:left="14" w:firstLine="0"/>
      </w:pPr>
      <w:r>
        <w:rPr>
          <w:b/>
          <w:u w:val="single" w:color="000000"/>
        </w:rPr>
        <w:t>Running and developing the Behavioural Maturity Framework and Assessment Tool:</w:t>
      </w:r>
      <w:r>
        <w:rPr>
          <w:rFonts w:ascii="Arial" w:eastAsia="Arial" w:hAnsi="Arial" w:cs="Arial"/>
        </w:rPr>
        <w:t xml:space="preserve"> </w:t>
      </w:r>
      <w:r>
        <w:t xml:space="preserve"> </w:t>
      </w:r>
    </w:p>
    <w:p w:rsidR="00621D2A" w:rsidRDefault="002063F5">
      <w:pPr>
        <w:spacing w:after="7" w:line="259" w:lineRule="auto"/>
        <w:ind w:left="14" w:firstLine="0"/>
      </w:pPr>
      <w:r>
        <w:rPr>
          <w:rFonts w:ascii="Arial" w:eastAsia="Arial" w:hAnsi="Arial" w:cs="Arial"/>
        </w:rPr>
        <w:t xml:space="preserve"> </w:t>
      </w:r>
      <w:r>
        <w:t xml:space="preserve"> </w:t>
      </w:r>
    </w:p>
    <w:p w:rsidR="00621D2A" w:rsidRDefault="002063F5">
      <w:pPr>
        <w:spacing w:after="15" w:line="247" w:lineRule="auto"/>
        <w:ind w:left="-5" w:firstLine="0"/>
      </w:pPr>
      <w:r>
        <w:rPr>
          <w:rFonts w:ascii="Arial" w:eastAsia="Arial" w:hAnsi="Arial" w:cs="Arial"/>
        </w:rPr>
        <w:t xml:space="preserve">Deliverables: </w:t>
      </w:r>
      <w:r>
        <w:t xml:space="preserve"> </w:t>
      </w:r>
    </w:p>
    <w:p w:rsidR="00621D2A" w:rsidRDefault="002063F5">
      <w:pPr>
        <w:spacing w:after="6" w:line="259" w:lineRule="auto"/>
        <w:ind w:left="14" w:firstLine="0"/>
      </w:pPr>
      <w:r>
        <w:rPr>
          <w:rFonts w:ascii="Arial" w:eastAsia="Arial" w:hAnsi="Arial" w:cs="Arial"/>
          <w:sz w:val="22"/>
        </w:rPr>
        <w:t xml:space="preserve"> </w:t>
      </w:r>
      <w:r>
        <w:t xml:space="preserve"> </w:t>
      </w:r>
    </w:p>
    <w:p w:rsidR="00621D2A" w:rsidRDefault="002063F5">
      <w:pPr>
        <w:numPr>
          <w:ilvl w:val="0"/>
          <w:numId w:val="2"/>
        </w:numPr>
        <w:spacing w:after="15" w:line="247" w:lineRule="auto"/>
        <w:ind w:hanging="394"/>
      </w:pPr>
      <w:r>
        <w:rPr>
          <w:rFonts w:ascii="Arial" w:eastAsia="Arial" w:hAnsi="Arial" w:cs="Arial"/>
        </w:rPr>
        <w:t xml:space="preserve">Consistently monitor the content of the framework and statements to reflect the maturity of the industry (understanding from Behavioural trends analysis and working with teams/projects)  </w:t>
      </w:r>
      <w:r>
        <w:t xml:space="preserve"> </w:t>
      </w:r>
    </w:p>
    <w:p w:rsidR="00621D2A" w:rsidRDefault="002063F5">
      <w:pPr>
        <w:spacing w:after="10" w:line="259" w:lineRule="auto"/>
        <w:ind w:left="14" w:firstLine="0"/>
      </w:pPr>
      <w:r>
        <w:rPr>
          <w:rFonts w:ascii="Arial" w:eastAsia="Arial" w:hAnsi="Arial" w:cs="Arial"/>
        </w:rPr>
        <w:t xml:space="preserve"> </w:t>
      </w:r>
      <w:r>
        <w:rPr>
          <w:rFonts w:ascii="Arial" w:eastAsia="Arial" w:hAnsi="Arial" w:cs="Arial"/>
          <w:sz w:val="22"/>
        </w:rPr>
        <w:t xml:space="preserve"> </w:t>
      </w:r>
      <w:r>
        <w:t xml:space="preserve"> </w:t>
      </w:r>
    </w:p>
    <w:p w:rsidR="00621D2A" w:rsidRDefault="002063F5">
      <w:pPr>
        <w:numPr>
          <w:ilvl w:val="0"/>
          <w:numId w:val="2"/>
        </w:numPr>
        <w:spacing w:after="15" w:line="247" w:lineRule="auto"/>
        <w:ind w:hanging="394"/>
      </w:pPr>
      <w:r>
        <w:rPr>
          <w:rFonts w:ascii="Arial" w:eastAsia="Arial" w:hAnsi="Arial" w:cs="Arial"/>
        </w:rPr>
        <w:t xml:space="preserve">Change the Behavioural categories and statements in line with industry maturity on a quarterly basis whilst maintaining a core group of statements for Behavioural maturity monitoring purposes </w:t>
      </w:r>
      <w:r>
        <w:t xml:space="preserve"> </w:t>
      </w:r>
    </w:p>
    <w:p w:rsidR="00621D2A" w:rsidRDefault="002063F5">
      <w:pPr>
        <w:spacing w:after="8" w:line="259" w:lineRule="auto"/>
        <w:ind w:left="14" w:firstLine="0"/>
      </w:pPr>
      <w:r>
        <w:rPr>
          <w:rFonts w:ascii="Arial" w:eastAsia="Arial" w:hAnsi="Arial" w:cs="Arial"/>
          <w:sz w:val="22"/>
        </w:rPr>
        <w:t xml:space="preserve"> </w:t>
      </w:r>
      <w:r>
        <w:t xml:space="preserve"> </w:t>
      </w:r>
    </w:p>
    <w:p w:rsidR="00621D2A" w:rsidRDefault="002063F5">
      <w:pPr>
        <w:numPr>
          <w:ilvl w:val="0"/>
          <w:numId w:val="2"/>
        </w:numPr>
        <w:spacing w:after="15" w:line="247" w:lineRule="auto"/>
        <w:ind w:hanging="394"/>
      </w:pPr>
      <w:r>
        <w:rPr>
          <w:rFonts w:ascii="Arial" w:eastAsia="Arial" w:hAnsi="Arial" w:cs="Arial"/>
        </w:rPr>
        <w:t xml:space="preserve">Ensure all changes are implemented, communicated and fully understood by the BM team and facilitator community  </w:t>
      </w:r>
      <w:r>
        <w:t xml:space="preserve"> </w:t>
      </w:r>
    </w:p>
    <w:p w:rsidR="00621D2A" w:rsidRDefault="002063F5">
      <w:pPr>
        <w:spacing w:after="6" w:line="259" w:lineRule="auto"/>
        <w:ind w:left="14" w:firstLine="0"/>
      </w:pPr>
      <w:r>
        <w:rPr>
          <w:rFonts w:ascii="Arial" w:eastAsia="Arial" w:hAnsi="Arial" w:cs="Arial"/>
          <w:sz w:val="22"/>
        </w:rPr>
        <w:t xml:space="preserve"> </w:t>
      </w:r>
      <w:r>
        <w:t xml:space="preserve"> </w:t>
      </w:r>
    </w:p>
    <w:p w:rsidR="00621D2A" w:rsidRDefault="002063F5">
      <w:pPr>
        <w:numPr>
          <w:ilvl w:val="0"/>
          <w:numId w:val="2"/>
        </w:numPr>
        <w:spacing w:after="15" w:line="247" w:lineRule="auto"/>
        <w:ind w:hanging="394"/>
      </w:pPr>
      <w:r>
        <w:rPr>
          <w:rFonts w:ascii="Arial" w:eastAsia="Arial" w:hAnsi="Arial" w:cs="Arial"/>
        </w:rPr>
        <w:lastRenderedPageBreak/>
        <w:t xml:space="preserve">Continue to support the IBIP team to find Behavioural development opportunities and communicate Behavioural messaging across the industry </w:t>
      </w:r>
      <w:r>
        <w:t xml:space="preserve"> </w:t>
      </w:r>
    </w:p>
    <w:p w:rsidR="00621D2A" w:rsidRDefault="002063F5">
      <w:pPr>
        <w:spacing w:after="243" w:line="259" w:lineRule="auto"/>
        <w:ind w:left="735" w:firstLine="0"/>
      </w:pPr>
      <w:r>
        <w:rPr>
          <w:rFonts w:ascii="Arial" w:eastAsia="Arial" w:hAnsi="Arial" w:cs="Arial"/>
          <w:sz w:val="22"/>
        </w:rPr>
        <w:t xml:space="preserve"> </w:t>
      </w:r>
      <w:r>
        <w:t xml:space="preserve"> </w:t>
      </w:r>
    </w:p>
    <w:p w:rsidR="00621D2A" w:rsidRDefault="002063F5">
      <w:pPr>
        <w:numPr>
          <w:ilvl w:val="0"/>
          <w:numId w:val="2"/>
        </w:numPr>
        <w:spacing w:after="15" w:line="247" w:lineRule="auto"/>
        <w:ind w:hanging="394"/>
      </w:pPr>
      <w:r>
        <w:rPr>
          <w:rFonts w:ascii="Arial" w:eastAsia="Arial" w:hAnsi="Arial" w:cs="Arial"/>
        </w:rPr>
        <w:t xml:space="preserve">Continually update the format of survey reports to reflect the requirements of the industry. (I.e more granular detailed analysis) </w:t>
      </w:r>
      <w:r>
        <w:t xml:space="preserve"> </w:t>
      </w:r>
    </w:p>
    <w:p w:rsidR="00621D2A" w:rsidRDefault="002063F5">
      <w:pPr>
        <w:spacing w:after="6" w:line="259" w:lineRule="auto"/>
        <w:ind w:left="14" w:firstLine="0"/>
      </w:pPr>
      <w:r>
        <w:rPr>
          <w:rFonts w:ascii="Arial" w:eastAsia="Arial" w:hAnsi="Arial" w:cs="Arial"/>
        </w:rPr>
        <w:t xml:space="preserve"> </w:t>
      </w:r>
      <w:r>
        <w:t xml:space="preserve"> </w:t>
      </w:r>
    </w:p>
    <w:p w:rsidR="00621D2A" w:rsidRDefault="002063F5">
      <w:pPr>
        <w:numPr>
          <w:ilvl w:val="0"/>
          <w:numId w:val="2"/>
        </w:numPr>
        <w:spacing w:after="15" w:line="247" w:lineRule="auto"/>
        <w:ind w:hanging="394"/>
      </w:pPr>
      <w:r>
        <w:rPr>
          <w:rFonts w:ascii="Arial" w:eastAsia="Arial" w:hAnsi="Arial" w:cs="Arial"/>
        </w:rPr>
        <w:t xml:space="preserve">Provide guidance and training to the BM team to enable them to undertake Behavioural trends analysis </w:t>
      </w:r>
      <w:r>
        <w:t xml:space="preserve"> </w:t>
      </w:r>
    </w:p>
    <w:p w:rsidR="00621D2A" w:rsidRDefault="002063F5">
      <w:pPr>
        <w:spacing w:after="4" w:line="259" w:lineRule="auto"/>
        <w:ind w:left="14" w:firstLine="0"/>
      </w:pPr>
      <w:r>
        <w:rPr>
          <w:rFonts w:ascii="Arial" w:eastAsia="Arial" w:hAnsi="Arial" w:cs="Arial"/>
        </w:rPr>
        <w:t xml:space="preserve"> </w:t>
      </w:r>
      <w:r>
        <w:t xml:space="preserve"> </w:t>
      </w:r>
    </w:p>
    <w:p w:rsidR="00621D2A" w:rsidRDefault="002063F5">
      <w:pPr>
        <w:numPr>
          <w:ilvl w:val="0"/>
          <w:numId w:val="2"/>
        </w:numPr>
        <w:spacing w:after="15" w:line="247" w:lineRule="auto"/>
        <w:ind w:hanging="394"/>
      </w:pPr>
      <w:r>
        <w:rPr>
          <w:rFonts w:ascii="Arial" w:eastAsia="Arial" w:hAnsi="Arial" w:cs="Arial"/>
        </w:rPr>
        <w:t xml:space="preserve">Provide additional training to a core group of facilitators to embed the capabilities to deliver the full range of Behavioural support services  </w:t>
      </w:r>
      <w:r>
        <w:t xml:space="preserve"> </w:t>
      </w:r>
    </w:p>
    <w:p w:rsidR="00621D2A" w:rsidRDefault="002063F5">
      <w:pPr>
        <w:spacing w:after="6" w:line="259" w:lineRule="auto"/>
        <w:ind w:left="408" w:firstLine="0"/>
      </w:pPr>
      <w:r>
        <w:rPr>
          <w:rFonts w:ascii="Arial" w:eastAsia="Arial" w:hAnsi="Arial" w:cs="Arial"/>
        </w:rPr>
        <w:t xml:space="preserve"> </w:t>
      </w:r>
      <w:r>
        <w:t xml:space="preserve"> </w:t>
      </w:r>
    </w:p>
    <w:p w:rsidR="00621D2A" w:rsidRDefault="002063F5">
      <w:pPr>
        <w:numPr>
          <w:ilvl w:val="0"/>
          <w:numId w:val="2"/>
        </w:numPr>
        <w:spacing w:after="15" w:line="247" w:lineRule="auto"/>
        <w:ind w:hanging="394"/>
      </w:pPr>
      <w:r>
        <w:rPr>
          <w:rFonts w:ascii="Arial" w:eastAsia="Arial" w:hAnsi="Arial" w:cs="Arial"/>
        </w:rPr>
        <w:t xml:space="preserve">Provide guidance, training and communications to IBIP team to enable them to effectively utilise the BMF </w:t>
      </w:r>
      <w:r>
        <w:t xml:space="preserve"> </w:t>
      </w:r>
    </w:p>
    <w:p w:rsidR="00621D2A" w:rsidRDefault="002063F5">
      <w:pPr>
        <w:spacing w:after="29" w:line="259" w:lineRule="auto"/>
        <w:ind w:left="735" w:firstLine="0"/>
      </w:pPr>
      <w:r>
        <w:rPr>
          <w:rFonts w:ascii="Arial" w:eastAsia="Arial" w:hAnsi="Arial" w:cs="Arial"/>
          <w:sz w:val="20"/>
        </w:rPr>
        <w:t xml:space="preserve"> </w:t>
      </w:r>
      <w:r>
        <w:t xml:space="preserve"> </w:t>
      </w:r>
    </w:p>
    <w:p w:rsidR="00621D2A" w:rsidRDefault="002063F5">
      <w:pPr>
        <w:spacing w:after="45" w:line="259" w:lineRule="auto"/>
        <w:ind w:left="408" w:firstLine="0"/>
      </w:pPr>
      <w:r>
        <w:rPr>
          <w:rFonts w:ascii="Arial" w:eastAsia="Arial" w:hAnsi="Arial" w:cs="Arial"/>
        </w:rPr>
        <w:t xml:space="preserve"> </w:t>
      </w:r>
      <w:r>
        <w:t xml:space="preserve"> </w:t>
      </w:r>
    </w:p>
    <w:p w:rsidR="00621D2A" w:rsidRDefault="002063F5">
      <w:pPr>
        <w:spacing w:after="0" w:line="263" w:lineRule="auto"/>
        <w:ind w:left="418"/>
      </w:pPr>
      <w:r>
        <w:rPr>
          <w:b/>
        </w:rPr>
        <w:t xml:space="preserve">Measured:  </w:t>
      </w:r>
      <w:r>
        <w:rPr>
          <w:rFonts w:ascii="Arial" w:eastAsia="Arial" w:hAnsi="Arial" w:cs="Arial"/>
        </w:rPr>
        <w:t xml:space="preserve"> </w:t>
      </w:r>
      <w:r>
        <w:t xml:space="preserve"> </w:t>
      </w:r>
    </w:p>
    <w:p w:rsidR="00621D2A" w:rsidRDefault="002063F5">
      <w:pPr>
        <w:numPr>
          <w:ilvl w:val="0"/>
          <w:numId w:val="2"/>
        </w:numPr>
        <w:spacing w:after="15" w:line="247" w:lineRule="auto"/>
        <w:ind w:hanging="394"/>
      </w:pPr>
      <w:r>
        <w:rPr>
          <w:rFonts w:ascii="Arial" w:eastAsia="Arial" w:hAnsi="Arial" w:cs="Arial"/>
        </w:rPr>
        <w:t xml:space="preserve">11. Provide access to the data on the self service site for the BM team to:  </w:t>
      </w:r>
      <w:r>
        <w:t xml:space="preserve"> </w:t>
      </w:r>
    </w:p>
    <w:p w:rsidR="00621D2A" w:rsidRDefault="002063F5">
      <w:pPr>
        <w:numPr>
          <w:ilvl w:val="1"/>
          <w:numId w:val="2"/>
        </w:numPr>
        <w:spacing w:after="15" w:line="247" w:lineRule="auto"/>
        <w:ind w:hanging="281"/>
      </w:pPr>
      <w:r>
        <w:rPr>
          <w:rFonts w:ascii="Arial" w:eastAsia="Arial" w:hAnsi="Arial" w:cs="Arial"/>
        </w:rPr>
        <w:t xml:space="preserve">set up surveys using the survey list  </w:t>
      </w:r>
      <w:r>
        <w:t xml:space="preserve"> </w:t>
      </w:r>
    </w:p>
    <w:p w:rsidR="00621D2A" w:rsidRDefault="002063F5">
      <w:pPr>
        <w:numPr>
          <w:ilvl w:val="1"/>
          <w:numId w:val="2"/>
        </w:numPr>
        <w:spacing w:after="15" w:line="247" w:lineRule="auto"/>
        <w:ind w:hanging="281"/>
      </w:pPr>
      <w:r>
        <w:rPr>
          <w:rFonts w:ascii="Arial" w:eastAsia="Arial" w:hAnsi="Arial" w:cs="Arial"/>
        </w:rPr>
        <w:t xml:space="preserve">produce Measured survey reports - 2 dimensions; aggregated survey report.  </w:t>
      </w:r>
      <w:r>
        <w:t xml:space="preserve"> </w:t>
      </w:r>
    </w:p>
    <w:p w:rsidR="00621D2A" w:rsidRDefault="002063F5">
      <w:pPr>
        <w:numPr>
          <w:ilvl w:val="1"/>
          <w:numId w:val="2"/>
        </w:numPr>
        <w:spacing w:after="15" w:line="247" w:lineRule="auto"/>
        <w:ind w:hanging="281"/>
      </w:pPr>
      <w:r>
        <w:rPr>
          <w:rFonts w:ascii="Arial" w:eastAsia="Arial" w:hAnsi="Arial" w:cs="Arial"/>
        </w:rPr>
        <w:t xml:space="preserve">download free text response reports from the survey  </w:t>
      </w:r>
      <w:r>
        <w:t xml:space="preserve"> </w:t>
      </w:r>
    </w:p>
    <w:p w:rsidR="00621D2A" w:rsidRDefault="002063F5">
      <w:pPr>
        <w:numPr>
          <w:ilvl w:val="1"/>
          <w:numId w:val="2"/>
        </w:numPr>
        <w:spacing w:after="15" w:line="247" w:lineRule="auto"/>
        <w:ind w:hanging="281"/>
      </w:pPr>
      <w:r>
        <w:rPr>
          <w:rFonts w:ascii="Arial" w:eastAsia="Arial" w:hAnsi="Arial" w:cs="Arial"/>
        </w:rPr>
        <w:t xml:space="preserve">undertake highways sector trends analysis </w:t>
      </w:r>
      <w:r>
        <w:t xml:space="preserve"> </w:t>
      </w:r>
    </w:p>
    <w:p w:rsidR="00621D2A" w:rsidRDefault="002063F5">
      <w:pPr>
        <w:spacing w:after="0" w:line="259" w:lineRule="auto"/>
        <w:ind w:left="14" w:firstLine="0"/>
      </w:pPr>
      <w:r>
        <w:rPr>
          <w:b/>
        </w:rPr>
        <w:t xml:space="preserve"> </w:t>
      </w:r>
      <w:r>
        <w:t xml:space="preserve"> </w:t>
      </w:r>
    </w:p>
    <w:p w:rsidR="00621D2A" w:rsidRDefault="002063F5">
      <w:pPr>
        <w:pStyle w:val="Heading1"/>
        <w:spacing w:after="220"/>
      </w:pPr>
      <w:bookmarkStart w:id="2" w:name="_Toc73317"/>
      <w:r>
        <w:t xml:space="preserve">Schedule 2 - Call-Off Contract charges  </w:t>
      </w:r>
      <w:bookmarkEnd w:id="2"/>
    </w:p>
    <w:p w:rsidR="00621D2A" w:rsidRDefault="002063F5">
      <w:pPr>
        <w:spacing w:after="8"/>
        <w:ind w:right="7"/>
      </w:pPr>
      <w: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  </w:t>
      </w:r>
    </w:p>
    <w:p w:rsidR="00621D2A" w:rsidRDefault="002063F5">
      <w:pPr>
        <w:spacing w:after="0" w:line="259" w:lineRule="auto"/>
        <w:ind w:left="14" w:firstLine="0"/>
      </w:pPr>
      <w:r>
        <w:rPr>
          <w:b/>
        </w:rPr>
        <w:t xml:space="preserve"> </w:t>
      </w:r>
      <w:r>
        <w:t xml:space="preserve"> </w:t>
      </w:r>
    </w:p>
    <w:p w:rsidR="00621D2A" w:rsidRDefault="002063F5">
      <w:pPr>
        <w:spacing w:after="0" w:line="259" w:lineRule="auto"/>
        <w:ind w:left="-5"/>
      </w:pPr>
      <w:r>
        <w:rPr>
          <w:rFonts w:ascii="Arial" w:eastAsia="Arial" w:hAnsi="Arial" w:cs="Arial"/>
          <w:sz w:val="20"/>
        </w:rPr>
        <w:t xml:space="preserve">Standards for Consultancy Day Rate cards  </w:t>
      </w:r>
      <w:r>
        <w:t xml:space="preserve"> </w:t>
      </w:r>
    </w:p>
    <w:p w:rsidR="00621D2A" w:rsidRDefault="002063F5">
      <w:pPr>
        <w:spacing w:after="0" w:line="259" w:lineRule="auto"/>
        <w:ind w:left="-5"/>
      </w:pPr>
      <w:r>
        <w:rPr>
          <w:rFonts w:ascii="Arial" w:eastAsia="Arial" w:hAnsi="Arial" w:cs="Arial"/>
          <w:sz w:val="20"/>
        </w:rPr>
        <w:t xml:space="preserve">Consultant’s Working Day – 8 hours exclusive of travel and lunch  </w:t>
      </w:r>
      <w:r>
        <w:t xml:space="preserve"> </w:t>
      </w:r>
    </w:p>
    <w:p w:rsidR="00621D2A" w:rsidRDefault="002063F5">
      <w:pPr>
        <w:spacing w:after="0" w:line="259" w:lineRule="auto"/>
        <w:ind w:left="-5"/>
      </w:pPr>
      <w:r>
        <w:rPr>
          <w:rFonts w:ascii="Arial" w:eastAsia="Arial" w:hAnsi="Arial" w:cs="Arial"/>
          <w:sz w:val="20"/>
        </w:rPr>
        <w:t xml:space="preserve">Working Week – Monday to Friday excluding national holidays  </w:t>
      </w:r>
      <w:r>
        <w:t xml:space="preserve"> </w:t>
      </w:r>
    </w:p>
    <w:p w:rsidR="00621D2A" w:rsidRDefault="002063F5">
      <w:pPr>
        <w:spacing w:after="0" w:line="259" w:lineRule="auto"/>
        <w:ind w:left="-5"/>
      </w:pPr>
      <w:r>
        <w:rPr>
          <w:rFonts w:ascii="Arial" w:eastAsia="Arial" w:hAnsi="Arial" w:cs="Arial"/>
          <w:sz w:val="20"/>
        </w:rPr>
        <w:t xml:space="preserve">Office Hours - 09:00 – 17:00 Monday to Friday  </w:t>
      </w:r>
      <w:r>
        <w:t xml:space="preserve"> </w:t>
      </w:r>
    </w:p>
    <w:p w:rsidR="00621D2A" w:rsidRDefault="002063F5">
      <w:pPr>
        <w:spacing w:after="0" w:line="259" w:lineRule="auto"/>
        <w:ind w:left="-5"/>
      </w:pPr>
      <w:r>
        <w:rPr>
          <w:rFonts w:ascii="Arial" w:eastAsia="Arial" w:hAnsi="Arial" w:cs="Arial"/>
          <w:sz w:val="20"/>
        </w:rPr>
        <w:t xml:space="preserve">Travel and Subsistence – Included in day rate within M25. Payable at department’s standard T&amp;S rates outside M25  </w:t>
      </w:r>
      <w:r>
        <w:t xml:space="preserve"> </w:t>
      </w:r>
      <w:r>
        <w:rPr>
          <w:rFonts w:ascii="Arial" w:eastAsia="Arial" w:hAnsi="Arial" w:cs="Arial"/>
          <w:sz w:val="20"/>
        </w:rPr>
        <w:t xml:space="preserve">Mileage – As above  </w:t>
      </w:r>
      <w:r>
        <w:t xml:space="preserve"> </w:t>
      </w:r>
    </w:p>
    <w:p w:rsidR="00621D2A" w:rsidRDefault="002063F5">
      <w:pPr>
        <w:spacing w:after="52" w:line="259" w:lineRule="auto"/>
        <w:ind w:left="-5"/>
      </w:pPr>
      <w:r>
        <w:rPr>
          <w:rFonts w:ascii="Arial" w:eastAsia="Arial" w:hAnsi="Arial" w:cs="Arial"/>
          <w:sz w:val="20"/>
        </w:rPr>
        <w:t xml:space="preserve">Professional Indemnity Insurance – included in day rate </w:t>
      </w:r>
      <w:r>
        <w:t xml:space="preserve"> </w:t>
      </w:r>
    </w:p>
    <w:p w:rsidR="00621D2A" w:rsidRDefault="002063F5">
      <w:pPr>
        <w:spacing w:after="20" w:line="259" w:lineRule="auto"/>
        <w:ind w:left="14" w:firstLine="0"/>
      </w:pPr>
      <w:r>
        <w:rPr>
          <w:b/>
        </w:rPr>
        <w:t xml:space="preserve"> </w:t>
      </w:r>
      <w:r>
        <w:t xml:space="preserve"> </w:t>
      </w:r>
    </w:p>
    <w:p w:rsidR="00621D2A" w:rsidRDefault="002063F5">
      <w:pPr>
        <w:pStyle w:val="Heading1"/>
        <w:spacing w:after="20"/>
      </w:pPr>
      <w:bookmarkStart w:id="3" w:name="_Toc73318"/>
      <w:r>
        <w:t xml:space="preserve">Part B - Terms and conditions  </w:t>
      </w:r>
      <w:bookmarkEnd w:id="3"/>
    </w:p>
    <w:p w:rsidR="00621D2A" w:rsidRDefault="002063F5">
      <w:pPr>
        <w:spacing w:after="20" w:line="259" w:lineRule="auto"/>
        <w:ind w:left="14" w:firstLine="0"/>
      </w:pPr>
      <w:r>
        <w:rPr>
          <w:b/>
        </w:rPr>
        <w:t xml:space="preserve"> </w:t>
      </w:r>
      <w:r>
        <w:t xml:space="preserve"> </w:t>
      </w:r>
    </w:p>
    <w:p w:rsidR="00621D2A" w:rsidRDefault="002063F5">
      <w:pPr>
        <w:pStyle w:val="Heading2"/>
      </w:pPr>
      <w:r>
        <w:t xml:space="preserve">1. Call-Off Contract start date and length  </w:t>
      </w:r>
    </w:p>
    <w:p w:rsidR="00621D2A" w:rsidRDefault="002063F5">
      <w:pPr>
        <w:tabs>
          <w:tab w:val="center" w:pos="5000"/>
        </w:tabs>
        <w:spacing w:after="90"/>
        <w:ind w:left="0" w:firstLine="0"/>
      </w:pPr>
      <w:r>
        <w:t>1.1</w:t>
      </w:r>
      <w:r>
        <w:rPr>
          <w:rFonts w:ascii="Arial" w:eastAsia="Arial" w:hAnsi="Arial" w:cs="Arial"/>
        </w:rPr>
        <w:t xml:space="preserve">  </w:t>
      </w:r>
      <w:r>
        <w:rPr>
          <w:rFonts w:ascii="Arial" w:eastAsia="Arial" w:hAnsi="Arial" w:cs="Arial"/>
        </w:rPr>
        <w:tab/>
      </w:r>
      <w:r>
        <w:t xml:space="preserve">The Supplier must start providing the Services on the date specified in the Order Form.  </w:t>
      </w:r>
    </w:p>
    <w:p w:rsidR="00621D2A" w:rsidRDefault="002063F5">
      <w:pPr>
        <w:spacing w:after="87"/>
        <w:ind w:left="725" w:right="7" w:hanging="725"/>
      </w:pPr>
      <w:r>
        <w:lastRenderedPageBreak/>
        <w:t>1.2</w:t>
      </w:r>
      <w:r>
        <w:rPr>
          <w:rFonts w:ascii="Arial" w:eastAsia="Arial" w:hAnsi="Arial" w:cs="Arial"/>
        </w:rPr>
        <w:t xml:space="preserve">  </w:t>
      </w:r>
      <w:r>
        <w:rPr>
          <w:rFonts w:ascii="Arial" w:eastAsia="Arial" w:hAnsi="Arial" w:cs="Arial"/>
        </w:rPr>
        <w:tab/>
      </w:r>
      <w:r>
        <w:t xml:space="preserve">This Call-Off Contract will expire on the Expiry Date in the Order Form. It will be for up to 24 months from the Start Date unless Ended earlier under clause 18 or extended by the Buyer under clause 1.3.  </w:t>
      </w:r>
    </w:p>
    <w:p w:rsidR="00621D2A" w:rsidRDefault="002063F5">
      <w:pPr>
        <w:ind w:left="725" w:right="7" w:hanging="725"/>
      </w:pPr>
      <w:r>
        <w:t>1.3</w:t>
      </w:r>
      <w:r>
        <w:rPr>
          <w:rFonts w:ascii="Arial" w:eastAsia="Arial" w:hAnsi="Arial" w:cs="Arial"/>
        </w:rPr>
        <w:t xml:space="preserve">  </w:t>
      </w:r>
      <w:r>
        <w:rPr>
          <w:rFonts w:ascii="Arial" w:eastAsia="Arial" w:hAnsi="Arial" w:cs="Arial"/>
        </w:rPr>
        <w:tab/>
      </w:r>
      <w:r>
        <w:t xml:space="preserve">The Buyer can extend this Call-Off Contract, with written notice to the Supplier, by the period in the Order Form, as long as this is within the maximum permitted under the Framework Agreement of 2 periods of up to 12 months each.  </w:t>
      </w:r>
    </w:p>
    <w:p w:rsidR="00621D2A" w:rsidRDefault="002063F5">
      <w:pPr>
        <w:spacing w:after="205"/>
        <w:ind w:left="725" w:right="7" w:hanging="725"/>
      </w:pPr>
      <w:r>
        <w:t>1.4</w:t>
      </w:r>
      <w:r>
        <w:rPr>
          <w:rFonts w:ascii="Arial" w:eastAsia="Arial" w:hAnsi="Arial" w:cs="Arial"/>
        </w:rPr>
        <w:t xml:space="preserve">  </w:t>
      </w:r>
      <w:r>
        <w:rPr>
          <w:rFonts w:ascii="Arial" w:eastAsia="Arial" w:hAnsi="Arial" w:cs="Arial"/>
        </w:rPr>
        <w:tab/>
      </w:r>
      <w:r>
        <w:t xml:space="preserve">The Parties must comply with the requirements under clauses 21.3 to 21.8 if the Buyer reserves the right in the Order Form to extend the contract beyond 24 months.  </w:t>
      </w:r>
    </w:p>
    <w:p w:rsidR="00621D2A" w:rsidRDefault="002063F5">
      <w:pPr>
        <w:pStyle w:val="Heading2"/>
      </w:pPr>
      <w:r>
        <w:t xml:space="preserve">2. Incorporation of terms  </w:t>
      </w:r>
    </w:p>
    <w:p w:rsidR="00621D2A" w:rsidRDefault="002063F5">
      <w:pPr>
        <w:spacing w:after="8"/>
        <w:ind w:left="725" w:right="7" w:hanging="725"/>
      </w:pPr>
      <w:r>
        <w:t>2.1</w:t>
      </w:r>
      <w:r>
        <w:rPr>
          <w:rFonts w:ascii="Arial" w:eastAsia="Arial" w:hAnsi="Arial" w:cs="Arial"/>
        </w:rPr>
        <w:t xml:space="preserve">  </w:t>
      </w:r>
      <w:r>
        <w:rPr>
          <w:rFonts w:ascii="Arial" w:eastAsia="Arial" w:hAnsi="Arial" w:cs="Arial"/>
        </w:rPr>
        <w:tab/>
      </w:r>
      <w:r>
        <w:t xml:space="preserve">The following Framework Agreement clauses (including clauses and defined terms referenced by them) as modified under clause 2.2 are incorporated as separate Call-Off Contract obligations and apply between the Supplier and the Buyer:  </w:t>
      </w:r>
    </w:p>
    <w:p w:rsidR="00621D2A" w:rsidRDefault="002063F5">
      <w:pPr>
        <w:spacing w:after="96" w:line="259" w:lineRule="auto"/>
        <w:ind w:left="735" w:firstLine="0"/>
      </w:pPr>
      <w:r>
        <w:t xml:space="preserve">  </w:t>
      </w:r>
    </w:p>
    <w:p w:rsidR="00621D2A" w:rsidRDefault="002063F5">
      <w:pPr>
        <w:numPr>
          <w:ilvl w:val="0"/>
          <w:numId w:val="3"/>
        </w:numPr>
        <w:spacing w:after="91"/>
        <w:ind w:right="7" w:hanging="360"/>
      </w:pPr>
      <w:r>
        <w:t xml:space="preserve">4.1 (Warranties and representations) </w:t>
      </w:r>
      <w:r>
        <w:rPr>
          <w:rFonts w:ascii="Arial" w:eastAsia="Arial" w:hAnsi="Arial" w:cs="Arial"/>
          <w:sz w:val="20"/>
        </w:rPr>
        <w:t xml:space="preserve"> </w:t>
      </w:r>
      <w:r>
        <w:t xml:space="preserve"> </w:t>
      </w:r>
    </w:p>
    <w:p w:rsidR="00621D2A" w:rsidRDefault="002063F5">
      <w:pPr>
        <w:numPr>
          <w:ilvl w:val="0"/>
          <w:numId w:val="3"/>
        </w:numPr>
        <w:spacing w:after="90"/>
        <w:ind w:right="7" w:hanging="360"/>
      </w:pPr>
      <w:r>
        <w:t xml:space="preserve">4.2 to 4.7 (Liability)   </w:t>
      </w:r>
    </w:p>
    <w:p w:rsidR="00621D2A" w:rsidRDefault="002063F5">
      <w:pPr>
        <w:numPr>
          <w:ilvl w:val="0"/>
          <w:numId w:val="3"/>
        </w:numPr>
        <w:spacing w:after="96"/>
        <w:ind w:right="7" w:hanging="360"/>
      </w:pPr>
      <w:r>
        <w:t xml:space="preserve">4.11 to 4.12 (IR35)  </w:t>
      </w:r>
    </w:p>
    <w:p w:rsidR="00621D2A" w:rsidRDefault="002063F5">
      <w:pPr>
        <w:numPr>
          <w:ilvl w:val="0"/>
          <w:numId w:val="3"/>
        </w:numPr>
        <w:ind w:right="7" w:hanging="360"/>
      </w:pPr>
      <w:r>
        <w:t xml:space="preserve">5.2 to 5.3 (Force majeure)  </w:t>
      </w:r>
    </w:p>
    <w:p w:rsidR="00621D2A" w:rsidRDefault="00621D2A">
      <w:pPr>
        <w:sectPr w:rsidR="00621D2A">
          <w:headerReference w:type="even" r:id="rId9"/>
          <w:headerReference w:type="default" r:id="rId10"/>
          <w:footerReference w:type="even" r:id="rId11"/>
          <w:footerReference w:type="default" r:id="rId12"/>
          <w:headerReference w:type="first" r:id="rId13"/>
          <w:footerReference w:type="first" r:id="rId14"/>
          <w:pgSz w:w="11906" w:h="16838"/>
          <w:pgMar w:top="770" w:right="586" w:bottom="2360" w:left="691" w:header="720" w:footer="917" w:gutter="0"/>
          <w:cols w:space="720"/>
        </w:sectPr>
      </w:pPr>
    </w:p>
    <w:p w:rsidR="00621D2A" w:rsidRDefault="002063F5">
      <w:pPr>
        <w:spacing w:after="8" w:line="259" w:lineRule="auto"/>
        <w:ind w:left="19" w:firstLine="0"/>
      </w:pPr>
      <w:r>
        <w:rPr>
          <w:rFonts w:ascii="Arial" w:eastAsia="Arial" w:hAnsi="Arial" w:cs="Arial"/>
          <w:sz w:val="20"/>
        </w:rPr>
        <w:lastRenderedPageBreak/>
        <w:t xml:space="preserve"> </w:t>
      </w:r>
      <w:r>
        <w:rPr>
          <w:rFonts w:ascii="Wingdings" w:eastAsia="Wingdings" w:hAnsi="Wingdings" w:cs="Wingdings"/>
        </w:rPr>
        <w:t></w:t>
      </w:r>
      <w:r>
        <w:rPr>
          <w:rFonts w:ascii="Arial" w:eastAsia="Arial" w:hAnsi="Arial" w:cs="Arial"/>
        </w:rPr>
        <w:t xml:space="preserve"> </w:t>
      </w:r>
      <w:r>
        <w:t xml:space="preserve"> </w:t>
      </w:r>
    </w:p>
    <w:p w:rsidR="00621D2A" w:rsidRDefault="002063F5">
      <w:pPr>
        <w:spacing w:after="90"/>
        <w:ind w:left="1470" w:right="7"/>
      </w:pPr>
      <w:r>
        <w:t xml:space="preserve">5.6 (Continuing rights) </w:t>
      </w:r>
      <w:r>
        <w:rPr>
          <w:rFonts w:ascii="Arial" w:eastAsia="Arial" w:hAnsi="Arial" w:cs="Arial"/>
          <w:sz w:val="20"/>
        </w:rPr>
        <w:t xml:space="preserve"> </w:t>
      </w:r>
      <w:r>
        <w:t xml:space="preserve"> </w:t>
      </w:r>
    </w:p>
    <w:p w:rsidR="00621D2A" w:rsidRDefault="002063F5">
      <w:pPr>
        <w:numPr>
          <w:ilvl w:val="0"/>
          <w:numId w:val="3"/>
        </w:numPr>
        <w:spacing w:after="92"/>
        <w:ind w:right="7" w:hanging="360"/>
      </w:pPr>
      <w:r>
        <w:t xml:space="preserve">5.7 to 5.9 (Change of control)   </w:t>
      </w:r>
    </w:p>
    <w:p w:rsidR="00621D2A" w:rsidRDefault="002063F5">
      <w:pPr>
        <w:numPr>
          <w:ilvl w:val="0"/>
          <w:numId w:val="3"/>
        </w:numPr>
        <w:spacing w:after="94"/>
        <w:ind w:right="7" w:hanging="360"/>
      </w:pPr>
      <w:r>
        <w:t xml:space="preserve">5.10 (Fraud)  </w:t>
      </w:r>
    </w:p>
    <w:p w:rsidR="00621D2A" w:rsidRDefault="002063F5">
      <w:pPr>
        <w:numPr>
          <w:ilvl w:val="0"/>
          <w:numId w:val="3"/>
        </w:numPr>
        <w:spacing w:after="93"/>
        <w:ind w:right="7" w:hanging="360"/>
      </w:pPr>
      <w:r>
        <w:t xml:space="preserve">5.11 (Notice of fraud)  </w:t>
      </w:r>
    </w:p>
    <w:p w:rsidR="00621D2A" w:rsidRDefault="002063F5">
      <w:pPr>
        <w:numPr>
          <w:ilvl w:val="0"/>
          <w:numId w:val="3"/>
        </w:numPr>
        <w:spacing w:after="90"/>
        <w:ind w:right="7" w:hanging="360"/>
      </w:pPr>
      <w:r>
        <w:t xml:space="preserve">7.1 to 7.2 (Transparency)  </w:t>
      </w:r>
    </w:p>
    <w:p w:rsidR="00621D2A" w:rsidRDefault="002063F5">
      <w:pPr>
        <w:numPr>
          <w:ilvl w:val="0"/>
          <w:numId w:val="3"/>
        </w:numPr>
        <w:spacing w:after="90"/>
        <w:ind w:right="7" w:hanging="360"/>
      </w:pPr>
      <w:r>
        <w:t xml:space="preserve">8.3 (Order of precedence)  </w:t>
      </w:r>
    </w:p>
    <w:p w:rsidR="00621D2A" w:rsidRDefault="002063F5">
      <w:pPr>
        <w:numPr>
          <w:ilvl w:val="0"/>
          <w:numId w:val="3"/>
        </w:numPr>
        <w:spacing w:after="96"/>
        <w:ind w:right="7" w:hanging="360"/>
      </w:pPr>
      <w:r>
        <w:t xml:space="preserve">8.4 (Relationship)  </w:t>
      </w:r>
    </w:p>
    <w:p w:rsidR="00621D2A" w:rsidRDefault="002063F5">
      <w:pPr>
        <w:numPr>
          <w:ilvl w:val="0"/>
          <w:numId w:val="3"/>
        </w:numPr>
        <w:spacing w:after="90"/>
        <w:ind w:right="7" w:hanging="360"/>
      </w:pPr>
      <w:r>
        <w:t xml:space="preserve">8.7 to 8.9 (Entire agreement)  </w:t>
      </w:r>
    </w:p>
    <w:p w:rsidR="00621D2A" w:rsidRDefault="002063F5">
      <w:pPr>
        <w:numPr>
          <w:ilvl w:val="0"/>
          <w:numId w:val="3"/>
        </w:numPr>
        <w:spacing w:after="95"/>
        <w:ind w:right="7" w:hanging="360"/>
      </w:pPr>
      <w:r>
        <w:t xml:space="preserve">8.10 (Law and jurisdiction)  </w:t>
      </w:r>
    </w:p>
    <w:p w:rsidR="00621D2A" w:rsidRDefault="002063F5">
      <w:pPr>
        <w:numPr>
          <w:ilvl w:val="0"/>
          <w:numId w:val="3"/>
        </w:numPr>
        <w:spacing w:after="91"/>
        <w:ind w:right="7" w:hanging="360"/>
      </w:pPr>
      <w:r>
        <w:t xml:space="preserve">8.11 to 8.12 (Legislative change)  </w:t>
      </w:r>
    </w:p>
    <w:p w:rsidR="00621D2A" w:rsidRDefault="002063F5">
      <w:pPr>
        <w:numPr>
          <w:ilvl w:val="0"/>
          <w:numId w:val="3"/>
        </w:numPr>
        <w:spacing w:after="94"/>
        <w:ind w:right="7" w:hanging="360"/>
      </w:pPr>
      <w:r>
        <w:t xml:space="preserve">8.13 to 8.17 (Bribery and corruption)  </w:t>
      </w:r>
    </w:p>
    <w:p w:rsidR="00621D2A" w:rsidRDefault="002063F5">
      <w:pPr>
        <w:numPr>
          <w:ilvl w:val="0"/>
          <w:numId w:val="3"/>
        </w:numPr>
        <w:spacing w:after="93"/>
        <w:ind w:right="7" w:hanging="360"/>
      </w:pPr>
      <w:r>
        <w:t xml:space="preserve">8.18 to 8.27 (Freedom of Information Act)  </w:t>
      </w:r>
    </w:p>
    <w:p w:rsidR="00621D2A" w:rsidRDefault="002063F5">
      <w:pPr>
        <w:numPr>
          <w:ilvl w:val="0"/>
          <w:numId w:val="3"/>
        </w:numPr>
        <w:spacing w:after="90"/>
        <w:ind w:right="7" w:hanging="360"/>
      </w:pPr>
      <w:r>
        <w:t xml:space="preserve">8.28 to 8.29 (Promoting tax compliance)   </w:t>
      </w:r>
    </w:p>
    <w:p w:rsidR="00621D2A" w:rsidRDefault="002063F5">
      <w:pPr>
        <w:numPr>
          <w:ilvl w:val="0"/>
          <w:numId w:val="3"/>
        </w:numPr>
        <w:spacing w:after="93"/>
        <w:ind w:right="7" w:hanging="360"/>
      </w:pPr>
      <w:r>
        <w:t xml:space="preserve">8.30 to 8.31 (Official Secrets Act)  </w:t>
      </w:r>
    </w:p>
    <w:p w:rsidR="00621D2A" w:rsidRDefault="002063F5">
      <w:pPr>
        <w:numPr>
          <w:ilvl w:val="0"/>
          <w:numId w:val="3"/>
        </w:numPr>
        <w:spacing w:after="93"/>
        <w:ind w:right="7" w:hanging="360"/>
      </w:pPr>
      <w:r>
        <w:t xml:space="preserve">8.32 to 8.35 (Transfer and subcontracting)  </w:t>
      </w:r>
    </w:p>
    <w:p w:rsidR="00621D2A" w:rsidRDefault="002063F5">
      <w:pPr>
        <w:numPr>
          <w:ilvl w:val="0"/>
          <w:numId w:val="3"/>
        </w:numPr>
        <w:spacing w:after="90"/>
        <w:ind w:right="7" w:hanging="360"/>
      </w:pPr>
      <w:r>
        <w:t xml:space="preserve">8.38 to 8.41 (Complaints handling and resolution)  </w:t>
      </w:r>
    </w:p>
    <w:p w:rsidR="00621D2A" w:rsidRDefault="002063F5">
      <w:pPr>
        <w:numPr>
          <w:ilvl w:val="0"/>
          <w:numId w:val="3"/>
        </w:numPr>
        <w:spacing w:after="93"/>
        <w:ind w:right="7" w:hanging="360"/>
      </w:pPr>
      <w:r>
        <w:t xml:space="preserve">8.49 to 8.51 (Publicity and branding  </w:t>
      </w:r>
    </w:p>
    <w:p w:rsidR="00621D2A" w:rsidRDefault="002063F5">
      <w:pPr>
        <w:numPr>
          <w:ilvl w:val="0"/>
          <w:numId w:val="3"/>
        </w:numPr>
        <w:spacing w:after="90"/>
        <w:ind w:right="7" w:hanging="360"/>
      </w:pPr>
      <w:r>
        <w:t xml:space="preserve">8.42 to 8.48 (Conflicts of interest and ethical walls)  </w:t>
      </w:r>
    </w:p>
    <w:p w:rsidR="00621D2A" w:rsidRDefault="002063F5">
      <w:pPr>
        <w:numPr>
          <w:ilvl w:val="0"/>
          <w:numId w:val="3"/>
        </w:numPr>
        <w:spacing w:after="90"/>
        <w:ind w:right="7" w:hanging="360"/>
      </w:pPr>
      <w:r>
        <w:t xml:space="preserve">8.52 to 8.54 (Equality and diversity)  </w:t>
      </w:r>
    </w:p>
    <w:p w:rsidR="00621D2A" w:rsidRDefault="002063F5">
      <w:pPr>
        <w:numPr>
          <w:ilvl w:val="0"/>
          <w:numId w:val="3"/>
        </w:numPr>
        <w:spacing w:after="94"/>
        <w:ind w:right="7" w:hanging="360"/>
      </w:pPr>
      <w:r>
        <w:t xml:space="preserve">8.66 to 8.67 (Severability)  </w:t>
      </w:r>
    </w:p>
    <w:p w:rsidR="00621D2A" w:rsidRDefault="002063F5">
      <w:pPr>
        <w:numPr>
          <w:ilvl w:val="0"/>
          <w:numId w:val="3"/>
        </w:numPr>
        <w:spacing w:after="90"/>
        <w:ind w:right="7" w:hanging="360"/>
      </w:pPr>
      <w:r>
        <w:t xml:space="preserve">8.68 to 8.82 (Managing disputes)   </w:t>
      </w:r>
    </w:p>
    <w:p w:rsidR="00621D2A" w:rsidRDefault="002063F5">
      <w:pPr>
        <w:numPr>
          <w:ilvl w:val="0"/>
          <w:numId w:val="3"/>
        </w:numPr>
        <w:spacing w:after="94"/>
        <w:ind w:right="7" w:hanging="360"/>
      </w:pPr>
      <w:r>
        <w:t xml:space="preserve">8.83 to 8.91 (Confidentiality) </w:t>
      </w:r>
      <w:r>
        <w:rPr>
          <w:rFonts w:ascii="Arial" w:eastAsia="Arial" w:hAnsi="Arial" w:cs="Arial"/>
          <w:sz w:val="20"/>
        </w:rPr>
        <w:t xml:space="preserve"> </w:t>
      </w:r>
      <w:r>
        <w:t xml:space="preserve"> </w:t>
      </w:r>
    </w:p>
    <w:p w:rsidR="00621D2A" w:rsidRDefault="002063F5">
      <w:pPr>
        <w:numPr>
          <w:ilvl w:val="0"/>
          <w:numId w:val="3"/>
        </w:numPr>
        <w:spacing w:after="96"/>
        <w:ind w:right="7" w:hanging="360"/>
      </w:pPr>
      <w:r>
        <w:t xml:space="preserve">8.92 to 8.93 (Waiver and cumulative remedies)  </w:t>
      </w:r>
    </w:p>
    <w:p w:rsidR="00621D2A" w:rsidRDefault="002063F5">
      <w:pPr>
        <w:numPr>
          <w:ilvl w:val="0"/>
          <w:numId w:val="3"/>
        </w:numPr>
        <w:spacing w:after="91"/>
        <w:ind w:right="7" w:hanging="360"/>
      </w:pPr>
      <w:r>
        <w:t xml:space="preserve">paragraphs 1 to 10 of the Framework Agreement glossary and interpretations  </w:t>
      </w:r>
    </w:p>
    <w:p w:rsidR="00621D2A" w:rsidRDefault="002063F5">
      <w:pPr>
        <w:numPr>
          <w:ilvl w:val="0"/>
          <w:numId w:val="3"/>
        </w:numPr>
        <w:ind w:right="7" w:hanging="360"/>
      </w:pPr>
      <w:r>
        <w:t xml:space="preserve">any audit provisions from the Framework Agreement set out by the Buyer in the Order Form  </w:t>
      </w:r>
    </w:p>
    <w:p w:rsidR="00621D2A" w:rsidRDefault="002063F5">
      <w:pPr>
        <w:tabs>
          <w:tab w:val="center" w:pos="4606"/>
        </w:tabs>
        <w:spacing w:after="14"/>
        <w:ind w:left="0" w:firstLine="0"/>
      </w:pPr>
      <w:r>
        <w:t>2.2</w:t>
      </w:r>
      <w:r>
        <w:rPr>
          <w:rFonts w:ascii="Arial" w:eastAsia="Arial" w:hAnsi="Arial" w:cs="Arial"/>
        </w:rPr>
        <w:t xml:space="preserve">  </w:t>
      </w:r>
      <w:r>
        <w:rPr>
          <w:rFonts w:ascii="Arial" w:eastAsia="Arial" w:hAnsi="Arial" w:cs="Arial"/>
        </w:rPr>
        <w:tab/>
      </w:r>
      <w:r>
        <w:t xml:space="preserve">The Framework Agreement provisions in clause 2.1 will be modified as follows:  </w:t>
      </w:r>
    </w:p>
    <w:p w:rsidR="00621D2A" w:rsidRDefault="002063F5">
      <w:pPr>
        <w:spacing w:after="99" w:line="259" w:lineRule="auto"/>
        <w:ind w:left="740" w:firstLine="0"/>
      </w:pPr>
      <w:r>
        <w:t xml:space="preserve">  </w:t>
      </w:r>
    </w:p>
    <w:p w:rsidR="00621D2A" w:rsidRDefault="002063F5">
      <w:pPr>
        <w:numPr>
          <w:ilvl w:val="0"/>
          <w:numId w:val="3"/>
        </w:numPr>
        <w:spacing w:after="291" w:line="265" w:lineRule="auto"/>
        <w:ind w:right="7" w:hanging="360"/>
      </w:pPr>
      <w:r>
        <w:t xml:space="preserve">a reference to the ‘Framework Agreement’ will be a reference to the ‘Call-Off Contract’  </w:t>
      </w:r>
    </w:p>
    <w:p w:rsidR="00621D2A" w:rsidRDefault="002063F5">
      <w:pPr>
        <w:numPr>
          <w:ilvl w:val="0"/>
          <w:numId w:val="3"/>
        </w:numPr>
        <w:spacing w:after="291" w:line="265" w:lineRule="auto"/>
        <w:ind w:right="7" w:hanging="360"/>
      </w:pPr>
      <w:r>
        <w:t xml:space="preserve">a reference to ‘CCS’ will be a reference to ‘the Buyer’  </w:t>
      </w:r>
    </w:p>
    <w:p w:rsidR="00621D2A" w:rsidRDefault="002063F5">
      <w:pPr>
        <w:numPr>
          <w:ilvl w:val="0"/>
          <w:numId w:val="3"/>
        </w:numPr>
        <w:spacing w:after="291" w:line="265" w:lineRule="auto"/>
        <w:ind w:right="7" w:hanging="360"/>
      </w:pPr>
      <w:r>
        <w:t xml:space="preserve">a reference to the ‘Parties’ and a ‘Party’ will be a reference to the Buyer and Supplier as Parties under this Call-Off Contract  </w:t>
      </w:r>
    </w:p>
    <w:p w:rsidR="00621D2A" w:rsidRDefault="002063F5">
      <w:pPr>
        <w:numPr>
          <w:ilvl w:val="1"/>
          <w:numId w:val="4"/>
        </w:numPr>
        <w:spacing w:after="436" w:line="265" w:lineRule="auto"/>
        <w:ind w:right="3" w:hanging="725"/>
      </w:pPr>
      <w:r>
        <w:t xml:space="preserve">The Framework Agreement incorporated clauses will be referred to as ‘incorporated Framework clause XX’, where ‘XX’ is the Framework Agreement clause number.  </w:t>
      </w:r>
    </w:p>
    <w:p w:rsidR="00621D2A" w:rsidRDefault="002063F5">
      <w:pPr>
        <w:spacing w:after="185" w:line="259" w:lineRule="auto"/>
        <w:ind w:left="19" w:firstLine="0"/>
      </w:pPr>
      <w:r>
        <w:rPr>
          <w:rFonts w:ascii="Arial" w:eastAsia="Arial" w:hAnsi="Arial" w:cs="Arial"/>
          <w:sz w:val="16"/>
        </w:rPr>
        <w:lastRenderedPageBreak/>
        <w:t xml:space="preserve"> </w:t>
      </w:r>
      <w:r>
        <w:t xml:space="preserve"> </w:t>
      </w:r>
    </w:p>
    <w:p w:rsidR="00621D2A" w:rsidRDefault="002063F5">
      <w:pPr>
        <w:spacing w:after="122" w:line="257" w:lineRule="auto"/>
        <w:ind w:left="19" w:hanging="5"/>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t xml:space="preserve"> </w:t>
      </w:r>
      <w:r>
        <w:rPr>
          <w:rFonts w:ascii="Arial" w:eastAsia="Arial" w:hAnsi="Arial" w:cs="Arial"/>
          <w:sz w:val="16"/>
        </w:rPr>
        <w:t xml:space="preserve">https://www.gov.uk/government/publications/g-cloud-10-call-off-contract          </w:t>
      </w:r>
      <w:r>
        <w:rPr>
          <w:rFonts w:ascii="Arial" w:eastAsia="Arial" w:hAnsi="Arial" w:cs="Arial"/>
          <w:sz w:val="20"/>
        </w:rPr>
        <w:t xml:space="preserve"> </w:t>
      </w:r>
      <w:r>
        <w:t xml:space="preserve"> </w:t>
      </w:r>
    </w:p>
    <w:p w:rsidR="00621D2A" w:rsidRDefault="002063F5">
      <w:pPr>
        <w:spacing w:after="0" w:line="259" w:lineRule="auto"/>
        <w:ind w:left="19" w:firstLine="0"/>
      </w:pPr>
      <w:r>
        <w:rPr>
          <w:rFonts w:ascii="Arial" w:eastAsia="Arial" w:hAnsi="Arial" w:cs="Arial"/>
          <w:sz w:val="16"/>
        </w:rPr>
        <w:t xml:space="preserve">                                                                                                                                                                                                                      </w:t>
      </w:r>
    </w:p>
    <w:p w:rsidR="00621D2A" w:rsidRDefault="002063F5">
      <w:pPr>
        <w:numPr>
          <w:ilvl w:val="1"/>
          <w:numId w:val="4"/>
        </w:numPr>
        <w:spacing w:after="11"/>
        <w:ind w:right="3" w:hanging="725"/>
      </w:pPr>
      <w:r>
        <w:t xml:space="preserve">When an Order Form is signed, the terms and conditions agreed in it will be incorporated into this Call-Off Contract.  </w:t>
      </w:r>
    </w:p>
    <w:p w:rsidR="00621D2A" w:rsidRDefault="002063F5">
      <w:pPr>
        <w:spacing w:after="20" w:line="259" w:lineRule="auto"/>
        <w:ind w:left="740" w:firstLine="0"/>
      </w:pPr>
      <w:r>
        <w:t xml:space="preserve">  </w:t>
      </w:r>
    </w:p>
    <w:p w:rsidR="00621D2A" w:rsidRDefault="002063F5">
      <w:pPr>
        <w:pStyle w:val="Heading2"/>
        <w:ind w:left="15"/>
      </w:pPr>
      <w:r>
        <w:t xml:space="preserve">3. Supply of services  </w:t>
      </w:r>
    </w:p>
    <w:p w:rsidR="00621D2A" w:rsidRDefault="002063F5">
      <w:pPr>
        <w:ind w:left="730" w:right="7" w:hanging="725"/>
      </w:pPr>
      <w:r>
        <w:t>3.1</w:t>
      </w:r>
      <w:r>
        <w:rPr>
          <w:rFonts w:ascii="Arial" w:eastAsia="Arial" w:hAnsi="Arial" w:cs="Arial"/>
        </w:rPr>
        <w:t xml:space="preserve">  </w:t>
      </w:r>
      <w:r>
        <w:rPr>
          <w:rFonts w:ascii="Arial" w:eastAsia="Arial" w:hAnsi="Arial" w:cs="Arial"/>
        </w:rPr>
        <w:tab/>
      </w:r>
      <w:r>
        <w:t xml:space="preserve">The Supplier agrees to supply the G-Cloud Services and any Additional Services under the terms of the Call-Off Contract and the Supplier’s Application.  </w:t>
      </w:r>
    </w:p>
    <w:p w:rsidR="00621D2A" w:rsidRDefault="002063F5">
      <w:pPr>
        <w:spacing w:after="208"/>
        <w:ind w:left="730" w:right="7" w:hanging="725"/>
      </w:pPr>
      <w:r>
        <w:t>3.2</w:t>
      </w:r>
      <w:r>
        <w:rPr>
          <w:rFonts w:ascii="Arial" w:eastAsia="Arial" w:hAnsi="Arial" w:cs="Arial"/>
        </w:rPr>
        <w:t xml:space="preserve">  </w:t>
      </w:r>
      <w:r>
        <w:rPr>
          <w:rFonts w:ascii="Arial" w:eastAsia="Arial" w:hAnsi="Arial" w:cs="Arial"/>
        </w:rPr>
        <w:tab/>
      </w:r>
      <w:r>
        <w:t xml:space="preserve">The Supplier undertakes that each G-Cloud Service will meet the Buyer’s acceptance criteria, as defined in the Order Form.  </w:t>
      </w:r>
    </w:p>
    <w:p w:rsidR="00621D2A" w:rsidRDefault="002063F5">
      <w:pPr>
        <w:pStyle w:val="Heading2"/>
        <w:ind w:left="15"/>
      </w:pPr>
      <w:r>
        <w:t xml:space="preserve">4. Supplier staff  </w:t>
      </w:r>
    </w:p>
    <w:p w:rsidR="00621D2A" w:rsidRDefault="002063F5">
      <w:pPr>
        <w:tabs>
          <w:tab w:val="center" w:pos="1940"/>
        </w:tabs>
        <w:spacing w:after="14"/>
        <w:ind w:left="0" w:firstLine="0"/>
      </w:pPr>
      <w:r>
        <w:t>4.1</w:t>
      </w:r>
      <w:r>
        <w:rPr>
          <w:rFonts w:ascii="Arial" w:eastAsia="Arial" w:hAnsi="Arial" w:cs="Arial"/>
        </w:rPr>
        <w:t xml:space="preserve">  </w:t>
      </w:r>
      <w:r>
        <w:rPr>
          <w:rFonts w:ascii="Arial" w:eastAsia="Arial" w:hAnsi="Arial" w:cs="Arial"/>
        </w:rPr>
        <w:tab/>
      </w:r>
      <w:r>
        <w:t xml:space="preserve">The Supplier Staff must:  </w:t>
      </w:r>
    </w:p>
    <w:p w:rsidR="00621D2A" w:rsidRDefault="002063F5">
      <w:pPr>
        <w:spacing w:after="99" w:line="259" w:lineRule="auto"/>
        <w:ind w:left="740" w:firstLine="0"/>
      </w:pPr>
      <w:r>
        <w:t xml:space="preserve">  </w:t>
      </w:r>
    </w:p>
    <w:p w:rsidR="00621D2A" w:rsidRDefault="002063F5">
      <w:pPr>
        <w:numPr>
          <w:ilvl w:val="0"/>
          <w:numId w:val="5"/>
        </w:numPr>
        <w:spacing w:after="91"/>
        <w:ind w:right="7" w:hanging="360"/>
      </w:pPr>
      <w:r>
        <w:t xml:space="preserve">be appropriately experienced, qualified and trained to supply the Services  </w:t>
      </w:r>
    </w:p>
    <w:p w:rsidR="00621D2A" w:rsidRDefault="002063F5">
      <w:pPr>
        <w:numPr>
          <w:ilvl w:val="0"/>
          <w:numId w:val="5"/>
        </w:numPr>
        <w:spacing w:after="95"/>
        <w:ind w:right="7" w:hanging="360"/>
      </w:pPr>
      <w:r>
        <w:t xml:space="preserve">apply all due skill, care and diligence in faithfully performing those duties  </w:t>
      </w:r>
    </w:p>
    <w:p w:rsidR="00621D2A" w:rsidRDefault="002063F5">
      <w:pPr>
        <w:numPr>
          <w:ilvl w:val="0"/>
          <w:numId w:val="5"/>
        </w:numPr>
        <w:spacing w:after="85"/>
        <w:ind w:right="7" w:hanging="360"/>
      </w:pPr>
      <w:r>
        <w:t xml:space="preserve">obey all lawful instructions and reasonable directions of the Buyer and provide the Services to the reasonable satisfaction of the Buyer  </w:t>
      </w:r>
    </w:p>
    <w:p w:rsidR="00621D2A" w:rsidRDefault="002063F5">
      <w:pPr>
        <w:numPr>
          <w:ilvl w:val="0"/>
          <w:numId w:val="5"/>
        </w:numPr>
        <w:spacing w:after="93"/>
        <w:ind w:right="7" w:hanging="360"/>
      </w:pPr>
      <w:r>
        <w:t xml:space="preserve">respond to any enquiries about the Services as soon as reasonably possible  </w:t>
      </w:r>
    </w:p>
    <w:p w:rsidR="00621D2A" w:rsidRDefault="002063F5">
      <w:pPr>
        <w:numPr>
          <w:ilvl w:val="0"/>
          <w:numId w:val="5"/>
        </w:numPr>
        <w:spacing w:after="16"/>
        <w:ind w:right="7" w:hanging="360"/>
      </w:pPr>
      <w:r>
        <w:t xml:space="preserve">complete any necessary Supplier Staff vetting as specified by the Buyer  </w:t>
      </w:r>
    </w:p>
    <w:p w:rsidR="00621D2A" w:rsidRDefault="002063F5">
      <w:pPr>
        <w:spacing w:after="96" w:line="259" w:lineRule="auto"/>
        <w:ind w:left="1460" w:firstLine="0"/>
      </w:pPr>
      <w:r>
        <w:t xml:space="preserve">  </w:t>
      </w:r>
    </w:p>
    <w:p w:rsidR="00621D2A" w:rsidRDefault="002063F5">
      <w:pPr>
        <w:numPr>
          <w:ilvl w:val="1"/>
          <w:numId w:val="6"/>
        </w:numPr>
        <w:spacing w:after="86"/>
        <w:ind w:right="7" w:hanging="725"/>
      </w:pPr>
      <w:r>
        <w:t xml:space="preserve">The Supplier must retain overall control of the Supplier Staff so that they are not considered to be employees, workers, agents or contractors of the Buyer.  </w:t>
      </w:r>
    </w:p>
    <w:p w:rsidR="00621D2A" w:rsidRDefault="002063F5">
      <w:pPr>
        <w:numPr>
          <w:ilvl w:val="1"/>
          <w:numId w:val="6"/>
        </w:numPr>
        <w:spacing w:after="83"/>
        <w:ind w:right="7" w:hanging="725"/>
      </w:pPr>
      <w:r>
        <w:t xml:space="preserve">The Supplier may substitute any Supplier Staff as long as they have the equivalent experience and qualifications to the substituted staff member.  </w:t>
      </w:r>
    </w:p>
    <w:p w:rsidR="00621D2A" w:rsidRDefault="002063F5">
      <w:pPr>
        <w:numPr>
          <w:ilvl w:val="1"/>
          <w:numId w:val="6"/>
        </w:numPr>
        <w:ind w:right="7" w:hanging="725"/>
      </w:pPr>
      <w:r>
        <w:t xml:space="preserve">The Buyer may conduct IR35 Assessments using the ESI tool to assess whether the Supplier’s engagement under the Call-Off Contract is Inside or Outside IR35.  </w:t>
      </w:r>
    </w:p>
    <w:p w:rsidR="00621D2A" w:rsidRDefault="002063F5">
      <w:pPr>
        <w:numPr>
          <w:ilvl w:val="1"/>
          <w:numId w:val="6"/>
        </w:numPr>
        <w:ind w:right="7" w:hanging="725"/>
      </w:pPr>
      <w:r>
        <w:t xml:space="preserve">The Buyer may End this Call-Off Contract for Material Breach if the Supplier is delivering the Services Inside IR35.  </w:t>
      </w:r>
    </w:p>
    <w:p w:rsidR="00621D2A" w:rsidRDefault="002063F5">
      <w:pPr>
        <w:numPr>
          <w:ilvl w:val="1"/>
          <w:numId w:val="6"/>
        </w:numPr>
        <w:ind w:right="7" w:hanging="725"/>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w:t>
      </w:r>
      <w:r>
        <w:lastRenderedPageBreak/>
        <w:t xml:space="preserve">the Indicative Test, it must download and provide a copy of the PDF with the 14digit ESI reference number from the summary outcome screen and promptly provide a copy to the Buyer.  </w:t>
      </w:r>
    </w:p>
    <w:p w:rsidR="00621D2A" w:rsidRDefault="002063F5">
      <w:pPr>
        <w:numPr>
          <w:ilvl w:val="1"/>
          <w:numId w:val="6"/>
        </w:numPr>
        <w:ind w:right="7" w:hanging="725"/>
      </w:pPr>
      <w:r>
        <w:t xml:space="preserve">If the Indicative Test indicates the delivery of the Services could potentially be Inside IR35, the Supplier must provide the Buyer with all relevant information needed to enable the Buyer to conduct its own IR35 Assessment.   </w:t>
      </w:r>
    </w:p>
    <w:p w:rsidR="00621D2A" w:rsidRDefault="002063F5">
      <w:pPr>
        <w:numPr>
          <w:ilvl w:val="1"/>
          <w:numId w:val="6"/>
        </w:numPr>
        <w:spacing w:after="210"/>
        <w:ind w:right="7" w:hanging="725"/>
      </w:pPr>
      <w:r>
        <w:t xml:space="preserve">If it is determined by the Buyer that the Supplier is Outside IR35, the Buyer will provide the ESI reference number and a copy of the PDF to the Supplier.  </w:t>
      </w:r>
    </w:p>
    <w:p w:rsidR="00621D2A" w:rsidRDefault="002063F5">
      <w:pPr>
        <w:pStyle w:val="Heading2"/>
        <w:ind w:left="15"/>
      </w:pPr>
      <w:r>
        <w:t xml:space="preserve">5. Due diligence  </w:t>
      </w:r>
    </w:p>
    <w:p w:rsidR="00621D2A" w:rsidRDefault="002063F5">
      <w:pPr>
        <w:tabs>
          <w:tab w:val="center" w:pos="4082"/>
        </w:tabs>
        <w:spacing w:after="251"/>
        <w:ind w:left="0" w:firstLine="0"/>
      </w:pPr>
      <w:r>
        <w:t>5.1</w:t>
      </w:r>
      <w:r>
        <w:rPr>
          <w:rFonts w:ascii="Arial" w:eastAsia="Arial" w:hAnsi="Arial" w:cs="Arial"/>
        </w:rPr>
        <w:t xml:space="preserve">  </w:t>
      </w:r>
      <w:r>
        <w:rPr>
          <w:rFonts w:ascii="Arial" w:eastAsia="Arial" w:hAnsi="Arial" w:cs="Arial"/>
        </w:rPr>
        <w:tab/>
      </w:r>
      <w:r>
        <w:t xml:space="preserve">Both Parties agree that when entering into a Call-Off Contract they:  </w:t>
      </w:r>
    </w:p>
    <w:p w:rsidR="00621D2A" w:rsidRDefault="002063F5">
      <w:pPr>
        <w:spacing w:after="88"/>
        <w:ind w:left="1470" w:right="7"/>
      </w:pPr>
      <w:r>
        <w:t xml:space="preserve">have made their own enquiries and are satisfied by the accuracy of any information supplied by the other Party  </w:t>
      </w:r>
    </w:p>
    <w:p w:rsidR="00621D2A" w:rsidRDefault="002063F5">
      <w:pPr>
        <w:numPr>
          <w:ilvl w:val="0"/>
          <w:numId w:val="7"/>
        </w:numPr>
        <w:spacing w:after="90"/>
        <w:ind w:right="7" w:hanging="360"/>
      </w:pPr>
      <w:r>
        <w:t xml:space="preserve">are confident that they can fulfil their obligations according to the Call-Off Contract terms  </w:t>
      </w:r>
    </w:p>
    <w:p w:rsidR="00621D2A" w:rsidRDefault="002063F5">
      <w:pPr>
        <w:numPr>
          <w:ilvl w:val="0"/>
          <w:numId w:val="7"/>
        </w:numPr>
        <w:spacing w:after="93"/>
        <w:ind w:right="7" w:hanging="360"/>
      </w:pPr>
      <w:r>
        <w:t xml:space="preserve">have raised all due diligence questions before signing the Call-Off Contract  </w:t>
      </w:r>
    </w:p>
    <w:p w:rsidR="00621D2A" w:rsidRDefault="002063F5">
      <w:pPr>
        <w:numPr>
          <w:ilvl w:val="0"/>
          <w:numId w:val="7"/>
        </w:numPr>
        <w:spacing w:after="16"/>
        <w:ind w:right="7" w:hanging="360"/>
      </w:pPr>
      <w:r>
        <w:t xml:space="preserve">have entered into the Call-Off Contract relying on its own due diligence  </w:t>
      </w:r>
    </w:p>
    <w:p w:rsidR="00621D2A" w:rsidRDefault="002063F5">
      <w:pPr>
        <w:spacing w:after="20" w:line="259" w:lineRule="auto"/>
        <w:ind w:left="19" w:firstLine="0"/>
      </w:pPr>
      <w:r>
        <w:t xml:space="preserve">  </w:t>
      </w:r>
    </w:p>
    <w:p w:rsidR="00621D2A" w:rsidRDefault="002063F5">
      <w:pPr>
        <w:pStyle w:val="Heading2"/>
        <w:ind w:left="15"/>
      </w:pPr>
      <w:r>
        <w:t xml:space="preserve">6. Business continuity and disaster recovery  </w:t>
      </w:r>
    </w:p>
    <w:p w:rsidR="00621D2A" w:rsidRDefault="002063F5">
      <w:pPr>
        <w:ind w:left="730" w:right="7" w:hanging="725"/>
      </w:pPr>
      <w:r>
        <w:t>6.1</w:t>
      </w:r>
      <w:r>
        <w:rPr>
          <w:rFonts w:ascii="Arial" w:eastAsia="Arial" w:hAnsi="Arial" w:cs="Arial"/>
        </w:rPr>
        <w:t xml:space="preserve">  </w:t>
      </w:r>
      <w:r>
        <w:rPr>
          <w:rFonts w:ascii="Arial" w:eastAsia="Arial" w:hAnsi="Arial" w:cs="Arial"/>
        </w:rPr>
        <w:tab/>
      </w:r>
      <w:r>
        <w:t xml:space="preserve">The Supplier will have a clear business continuity and disaster recovery plan in their service descriptions.  </w:t>
      </w:r>
    </w:p>
    <w:p w:rsidR="00621D2A" w:rsidRDefault="002063F5">
      <w:pPr>
        <w:spacing w:after="291" w:line="265" w:lineRule="auto"/>
        <w:ind w:left="735" w:hanging="735"/>
      </w:pPr>
      <w:r>
        <w:t>6.2</w:t>
      </w:r>
      <w:r>
        <w:rPr>
          <w:rFonts w:ascii="Arial" w:eastAsia="Arial" w:hAnsi="Arial" w:cs="Arial"/>
        </w:rPr>
        <w:t xml:space="preserve">  </w:t>
      </w:r>
      <w:r>
        <w:rPr>
          <w:rFonts w:ascii="Arial" w:eastAsia="Arial" w:hAnsi="Arial" w:cs="Arial"/>
        </w:rPr>
        <w:tab/>
      </w:r>
      <w:r>
        <w:t xml:space="preserve">The Supplier’s business continuity and disaster recovery services are part of the Services and will be performed by the Supplier when required.  </w:t>
      </w:r>
    </w:p>
    <w:p w:rsidR="00621D2A" w:rsidRDefault="002063F5">
      <w:pPr>
        <w:spacing w:after="208"/>
        <w:ind w:left="730" w:right="7" w:hanging="725"/>
      </w:pPr>
      <w:r>
        <w:t>6.3</w:t>
      </w:r>
      <w:r>
        <w:rPr>
          <w:rFonts w:ascii="Arial" w:eastAsia="Arial" w:hAnsi="Arial" w:cs="Arial"/>
        </w:rPr>
        <w:t xml:space="preserve">  </w:t>
      </w:r>
      <w:r>
        <w:rPr>
          <w:rFonts w:ascii="Arial" w:eastAsia="Arial" w:hAnsi="Arial" w:cs="Arial"/>
        </w:rPr>
        <w:tab/>
      </w:r>
      <w:r>
        <w:t xml:space="preserve">If requested by the Buyer prior to entering into this Call-Off Contract, the Supplier must ensure that its business continuity and disaster recovery plan is consistent with the Buyer’s own plans.  </w:t>
      </w:r>
    </w:p>
    <w:p w:rsidR="00621D2A" w:rsidRDefault="002063F5">
      <w:pPr>
        <w:pStyle w:val="Heading2"/>
        <w:ind w:left="15"/>
      </w:pPr>
      <w:r>
        <w:t xml:space="preserve">7. Payment, VAT and Call-Off Contract charges  </w:t>
      </w:r>
    </w:p>
    <w:p w:rsidR="00621D2A" w:rsidRDefault="002063F5">
      <w:pPr>
        <w:spacing w:after="291" w:line="265" w:lineRule="auto"/>
        <w:ind w:left="735" w:hanging="735"/>
      </w:pPr>
      <w:r>
        <w:t>7.1</w:t>
      </w:r>
      <w:r>
        <w:rPr>
          <w:rFonts w:ascii="Arial" w:eastAsia="Arial" w:hAnsi="Arial" w:cs="Arial"/>
        </w:rPr>
        <w:t xml:space="preserve">  </w:t>
      </w:r>
      <w:r>
        <w:rPr>
          <w:rFonts w:ascii="Arial" w:eastAsia="Arial" w:hAnsi="Arial" w:cs="Arial"/>
        </w:rPr>
        <w:tab/>
      </w:r>
      <w:r>
        <w:t xml:space="preserve">The Buyer must pay the Charges following clauses 7.2 to 7.11 for the Supplier’s delivery of the Services.  </w:t>
      </w:r>
    </w:p>
    <w:p w:rsidR="00621D2A" w:rsidRDefault="002063F5">
      <w:pPr>
        <w:ind w:left="730" w:right="7" w:hanging="725"/>
      </w:pPr>
      <w:r>
        <w:t>7.2</w:t>
      </w:r>
      <w:r>
        <w:rPr>
          <w:rFonts w:ascii="Arial" w:eastAsia="Arial" w:hAnsi="Arial" w:cs="Arial"/>
        </w:rPr>
        <w:t xml:space="preserve">  </w:t>
      </w:r>
      <w:r>
        <w:rPr>
          <w:rFonts w:ascii="Arial" w:eastAsia="Arial" w:hAnsi="Arial" w:cs="Arial"/>
        </w:rPr>
        <w:tab/>
      </w:r>
      <w:r>
        <w:t xml:space="preserve">The Buyer will pay the Supplier within the number of days specified in the Order Form on receipt of a valid invoice.  </w:t>
      </w:r>
    </w:p>
    <w:p w:rsidR="00621D2A" w:rsidRDefault="002063F5">
      <w:pPr>
        <w:ind w:left="730" w:right="7" w:hanging="725"/>
      </w:pPr>
      <w:r>
        <w:t>7.3</w:t>
      </w:r>
      <w:r>
        <w:rPr>
          <w:rFonts w:ascii="Arial" w:eastAsia="Arial" w:hAnsi="Arial" w:cs="Arial"/>
        </w:rPr>
        <w:t xml:space="preserve">  </w:t>
      </w:r>
      <w:r>
        <w:rPr>
          <w:rFonts w:ascii="Arial" w:eastAsia="Arial" w:hAnsi="Arial" w:cs="Arial"/>
        </w:rPr>
        <w:tab/>
      </w:r>
      <w:r>
        <w:t xml:space="preserve">The Call-Off Contract Charges include all Charges for payment processing. All invoices submitted to the Buyer for the Services will be exclusive of any Management Charge.  </w:t>
      </w:r>
    </w:p>
    <w:p w:rsidR="00621D2A" w:rsidRDefault="002063F5">
      <w:pPr>
        <w:ind w:left="740" w:right="7" w:hanging="735"/>
      </w:pPr>
      <w:r>
        <w:lastRenderedPageBreak/>
        <w:t>7.4</w:t>
      </w:r>
      <w:r>
        <w:rPr>
          <w:rFonts w:ascii="Arial" w:eastAsia="Arial" w:hAnsi="Arial" w:cs="Arial"/>
        </w:rPr>
        <w:t xml:space="preserve">  </w:t>
      </w:r>
      <w:r>
        <w:rPr>
          <w:rFonts w:ascii="Arial" w:eastAsia="Arial" w:hAnsi="Arial" w:cs="Arial"/>
        </w:rPr>
        <w:tab/>
      </w: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621D2A" w:rsidRDefault="002063F5">
      <w:pPr>
        <w:ind w:left="730" w:right="7" w:hanging="725"/>
      </w:pPr>
      <w:r>
        <w:t>7.5</w:t>
      </w:r>
      <w:r>
        <w:rPr>
          <w:rFonts w:ascii="Arial" w:eastAsia="Arial" w:hAnsi="Arial" w:cs="Arial"/>
        </w:rPr>
        <w:t xml:space="preserve">  </w:t>
      </w:r>
      <w:r>
        <w:rPr>
          <w:rFonts w:ascii="Arial" w:eastAsia="Arial" w:hAnsi="Arial" w:cs="Arial"/>
        </w:rPr>
        <w:tab/>
      </w:r>
      <w:r>
        <w:t xml:space="preserve">The Supplier must ensure that each invoice contains a detailed breakdown of the G-Cloud Services supplied. The Buyer may request the Supplier provides further documentation to substantiate the invoice.   </w:t>
      </w:r>
    </w:p>
    <w:p w:rsidR="00621D2A" w:rsidRDefault="002063F5">
      <w:pPr>
        <w:ind w:left="730" w:right="7" w:hanging="725"/>
      </w:pPr>
      <w:r>
        <w:t>7.6</w:t>
      </w:r>
      <w:r>
        <w:rPr>
          <w:rFonts w:ascii="Arial" w:eastAsia="Arial" w:hAnsi="Arial" w:cs="Arial"/>
        </w:rPr>
        <w:t xml:space="preserve">  </w:t>
      </w:r>
      <w:r>
        <w:rPr>
          <w:rFonts w:ascii="Arial" w:eastAsia="Arial" w:hAnsi="Arial" w:cs="Arial"/>
        </w:rPr>
        <w:tab/>
      </w:r>
      <w:r>
        <w:t xml:space="preserve">If the Supplier enters into a Subcontract it must ensure that a provision is included in each Subcontract which specifies that payment must be made to the Subcontractor within 30 days of receipt of a valid invoice.  </w:t>
      </w:r>
    </w:p>
    <w:p w:rsidR="00621D2A" w:rsidRDefault="002063F5">
      <w:pPr>
        <w:tabs>
          <w:tab w:val="center" w:pos="5110"/>
        </w:tabs>
        <w:ind w:left="0" w:firstLine="0"/>
      </w:pPr>
      <w:r>
        <w:t>7.7</w:t>
      </w:r>
      <w:r>
        <w:rPr>
          <w:rFonts w:ascii="Arial" w:eastAsia="Arial" w:hAnsi="Arial" w:cs="Arial"/>
        </w:rPr>
        <w:t xml:space="preserve">  </w:t>
      </w:r>
      <w:r>
        <w:rPr>
          <w:rFonts w:ascii="Arial" w:eastAsia="Arial" w:hAnsi="Arial" w:cs="Arial"/>
        </w:rPr>
        <w:tab/>
      </w:r>
      <w:r>
        <w:t xml:space="preserve">All Charges payable by the Buyer to the Supplier will include VAT at the appropriate rate.  </w:t>
      </w:r>
    </w:p>
    <w:p w:rsidR="00621D2A" w:rsidRDefault="002063F5">
      <w:pPr>
        <w:ind w:left="730" w:right="7" w:hanging="725"/>
      </w:pPr>
      <w:r>
        <w:t>7.8</w:t>
      </w:r>
      <w:r>
        <w:rPr>
          <w:rFonts w:ascii="Arial" w:eastAsia="Arial" w:hAnsi="Arial" w:cs="Arial"/>
        </w:rPr>
        <w:t xml:space="preserve">  </w:t>
      </w:r>
      <w:r>
        <w:rPr>
          <w:rFonts w:ascii="Arial" w:eastAsia="Arial" w:hAnsi="Arial" w:cs="Arial"/>
        </w:rPr>
        <w:tab/>
      </w:r>
      <w:r>
        <w:t xml:space="preserve">The Supplier must add VAT to the Charges at the appropriate rate with visibility of the amount as a separate line item.   </w:t>
      </w:r>
    </w:p>
    <w:p w:rsidR="00621D2A" w:rsidRDefault="002063F5">
      <w:pPr>
        <w:ind w:left="730" w:right="7" w:hanging="725"/>
      </w:pPr>
      <w:r>
        <w:t>7.9</w:t>
      </w:r>
      <w:r>
        <w:rPr>
          <w:rFonts w:ascii="Arial" w:eastAsia="Arial" w:hAnsi="Arial" w:cs="Arial"/>
        </w:rPr>
        <w:t xml:space="preserve">  </w:t>
      </w:r>
      <w:r>
        <w:rPr>
          <w:rFonts w:ascii="Arial" w:eastAsia="Arial" w:hAnsi="Arial" w:cs="Arial"/>
        </w:rPr>
        <w:tab/>
      </w: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621D2A" w:rsidRDefault="002063F5">
      <w:pPr>
        <w:ind w:left="730" w:right="7" w:hanging="725"/>
      </w:pPr>
      <w:r>
        <w:t>7.10</w:t>
      </w:r>
      <w:r>
        <w:rPr>
          <w:rFonts w:ascii="Arial" w:eastAsia="Arial" w:hAnsi="Arial" w:cs="Arial"/>
        </w:rPr>
        <w:t xml:space="preserve">  </w:t>
      </w: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621D2A" w:rsidRDefault="002063F5">
      <w:pPr>
        <w:ind w:left="730" w:right="7" w:hanging="725"/>
      </w:pPr>
      <w:r>
        <w:t>7.11</w:t>
      </w:r>
      <w:r>
        <w:rPr>
          <w:rFonts w:ascii="Arial" w:eastAsia="Arial" w:hAnsi="Arial" w:cs="Arial"/>
        </w:rPr>
        <w:t xml:space="preserve">  </w:t>
      </w:r>
      <w:r>
        <w:rPr>
          <w:rFonts w:ascii="Arial" w:eastAsia="Arial" w:hAnsi="Arial" w:cs="Arial"/>
        </w:rPr>
        <w:tab/>
      </w:r>
      <w: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621D2A" w:rsidRDefault="002063F5">
      <w:pPr>
        <w:spacing w:after="214" w:line="265" w:lineRule="auto"/>
        <w:ind w:left="735" w:hanging="735"/>
      </w:pPr>
      <w:r>
        <w:t>7.12</w:t>
      </w:r>
      <w:r>
        <w:rPr>
          <w:rFonts w:ascii="Arial" w:eastAsia="Arial" w:hAnsi="Arial" w:cs="Arial"/>
        </w:rPr>
        <w:t xml:space="preserve">  </w:t>
      </w:r>
      <w:r>
        <w:rPr>
          <w:rFonts w:ascii="Arial" w:eastAsia="Arial" w:hAnsi="Arial" w:cs="Arial"/>
        </w:rPr>
        <w:tab/>
      </w:r>
      <w:r>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621D2A" w:rsidRDefault="002063F5">
      <w:pPr>
        <w:pStyle w:val="Heading2"/>
        <w:ind w:left="15"/>
      </w:pPr>
      <w:r>
        <w:t xml:space="preserve">8. Recovery of sums due and right of set-off  </w:t>
      </w:r>
    </w:p>
    <w:p w:rsidR="00621D2A" w:rsidRDefault="002063F5">
      <w:pPr>
        <w:spacing w:after="177" w:line="358" w:lineRule="auto"/>
        <w:ind w:left="15" w:right="7"/>
      </w:pPr>
      <w:r>
        <w:t>8.1</w:t>
      </w:r>
      <w:r>
        <w:rPr>
          <w:rFonts w:ascii="Arial" w:eastAsia="Arial" w:hAnsi="Arial" w:cs="Arial"/>
        </w:rPr>
        <w:t xml:space="preserve">  </w:t>
      </w:r>
      <w:r>
        <w:rPr>
          <w:rFonts w:ascii="Arial" w:eastAsia="Arial" w:hAnsi="Arial" w:cs="Arial"/>
        </w:rPr>
        <w:tab/>
      </w:r>
      <w:r>
        <w:t xml:space="preserve">If a Supplier owes money to the Buyer, the Buyer may deduct that sum from the Call-Off Contract Charges. </w:t>
      </w:r>
      <w:r>
        <w:rPr>
          <w:b/>
        </w:rPr>
        <w:t xml:space="preserve">9. Insurance </w:t>
      </w:r>
      <w:r>
        <w:t xml:space="preserve"> </w:t>
      </w:r>
    </w:p>
    <w:p w:rsidR="00621D2A" w:rsidRDefault="002063F5">
      <w:pPr>
        <w:tabs>
          <w:tab w:val="center" w:pos="5315"/>
        </w:tabs>
        <w:ind w:left="0" w:firstLine="0"/>
      </w:pPr>
      <w:r>
        <w:lastRenderedPageBreak/>
        <w:t>9.1</w:t>
      </w:r>
      <w:r>
        <w:rPr>
          <w:rFonts w:ascii="Arial" w:eastAsia="Arial" w:hAnsi="Arial" w:cs="Arial"/>
        </w:rPr>
        <w:t xml:space="preserve">  </w:t>
      </w:r>
      <w:r>
        <w:rPr>
          <w:rFonts w:ascii="Arial" w:eastAsia="Arial" w:hAnsi="Arial" w:cs="Arial"/>
        </w:rPr>
        <w:tab/>
      </w:r>
      <w:r>
        <w:t xml:space="preserve">The Supplier will maintain the insurances required by the Buyer including those in this clause.  </w:t>
      </w:r>
    </w:p>
    <w:p w:rsidR="00621D2A" w:rsidRDefault="002063F5">
      <w:pPr>
        <w:tabs>
          <w:tab w:val="center" w:pos="2177"/>
        </w:tabs>
        <w:ind w:left="0" w:firstLine="0"/>
      </w:pPr>
      <w:r>
        <w:t>9.2</w:t>
      </w:r>
      <w:r>
        <w:rPr>
          <w:rFonts w:ascii="Arial" w:eastAsia="Arial" w:hAnsi="Arial" w:cs="Arial"/>
        </w:rPr>
        <w:t xml:space="preserve">  </w:t>
      </w:r>
      <w:r>
        <w:rPr>
          <w:rFonts w:ascii="Arial" w:eastAsia="Arial" w:hAnsi="Arial" w:cs="Arial"/>
        </w:rPr>
        <w:tab/>
      </w:r>
      <w:r>
        <w:t xml:space="preserve">The Supplier will ensure that:  </w:t>
      </w:r>
    </w:p>
    <w:p w:rsidR="00621D2A" w:rsidRDefault="002063F5">
      <w:pPr>
        <w:numPr>
          <w:ilvl w:val="0"/>
          <w:numId w:val="8"/>
        </w:numPr>
        <w:ind w:right="7" w:hanging="360"/>
      </w:pPr>
      <w: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621D2A" w:rsidRDefault="002063F5">
      <w:pPr>
        <w:numPr>
          <w:ilvl w:val="0"/>
          <w:numId w:val="8"/>
        </w:numPr>
        <w:spacing w:after="291" w:line="265" w:lineRule="auto"/>
        <w:ind w:right="7" w:hanging="360"/>
      </w:pPr>
      <w:r>
        <w:t xml:space="preserve">the third-party public and products liability insurance contains an ‘indemnity to principals’ clause for the Buyer’s benefit   </w:t>
      </w:r>
    </w:p>
    <w:p w:rsidR="00621D2A" w:rsidRDefault="002063F5">
      <w:pPr>
        <w:numPr>
          <w:ilvl w:val="0"/>
          <w:numId w:val="8"/>
        </w:numPr>
        <w:spacing w:after="248"/>
        <w:ind w:right="7" w:hanging="360"/>
      </w:pPr>
      <w:r>
        <w:t xml:space="preserve">all agents and professional consultants involved in the Services hold professional indemnity insurance to a minimum indemnity of £1,000,000 for each individual claim during the Call-Off  Contract, and for 6 years after the End or Expiry Date  </w:t>
      </w:r>
    </w:p>
    <w:p w:rsidR="00621D2A" w:rsidRDefault="002063F5">
      <w:pPr>
        <w:spacing w:after="7"/>
        <w:ind w:left="1470" w:right="7"/>
      </w:pPr>
      <w:r>
        <w:t xml:space="preserve">all agents and professional consultants involved in the Services hold employers liability </w:t>
      </w:r>
    </w:p>
    <w:p w:rsidR="00621D2A" w:rsidRDefault="002063F5">
      <w:pPr>
        <w:ind w:left="1479" w:right="7"/>
      </w:pPr>
      <w:r>
        <w:t xml:space="preserve">insurance (except where exempt under Law) to a minimum indemnity of £5,000,000 for each individual claim during the Call-Off Contract, and for 6 years after the End or Expiry Date  </w:t>
      </w:r>
    </w:p>
    <w:p w:rsidR="00621D2A" w:rsidRDefault="002063F5">
      <w:pPr>
        <w:numPr>
          <w:ilvl w:val="1"/>
          <w:numId w:val="9"/>
        </w:numPr>
        <w:ind w:right="7" w:hanging="725"/>
      </w:pPr>
      <w:r>
        <w:t xml:space="preserve">If requested by the Buyer, the Supplier will obtain additional insurance policies, or extend existing policies bought under the Framework Agreement.  </w:t>
      </w:r>
    </w:p>
    <w:p w:rsidR="00621D2A" w:rsidRDefault="002063F5">
      <w:pPr>
        <w:numPr>
          <w:ilvl w:val="1"/>
          <w:numId w:val="9"/>
        </w:numPr>
        <w:ind w:right="7" w:hanging="725"/>
      </w:pPr>
      <w:r>
        <w:t xml:space="preserve">If requested by the Buyer, the Supplier will provide the following to show compliance with this clause:  </w:t>
      </w:r>
    </w:p>
    <w:p w:rsidR="00621D2A" w:rsidRDefault="002063F5">
      <w:pPr>
        <w:numPr>
          <w:ilvl w:val="0"/>
          <w:numId w:val="8"/>
        </w:numPr>
        <w:ind w:right="7" w:hanging="360"/>
      </w:pPr>
      <w:r>
        <w:t xml:space="preserve">a broker's verification of insurance  </w:t>
      </w:r>
    </w:p>
    <w:p w:rsidR="00621D2A" w:rsidRDefault="002063F5">
      <w:pPr>
        <w:numPr>
          <w:ilvl w:val="0"/>
          <w:numId w:val="8"/>
        </w:numPr>
        <w:ind w:right="7" w:hanging="360"/>
      </w:pPr>
      <w:r>
        <w:t xml:space="preserve">receipts for the insurance premium  </w:t>
      </w:r>
    </w:p>
    <w:p w:rsidR="00621D2A" w:rsidRDefault="002063F5">
      <w:pPr>
        <w:numPr>
          <w:ilvl w:val="0"/>
          <w:numId w:val="8"/>
        </w:numPr>
        <w:ind w:right="7" w:hanging="360"/>
      </w:pPr>
      <w:r>
        <w:t xml:space="preserve">evidence of payment of the latest premiums due  </w:t>
      </w:r>
    </w:p>
    <w:p w:rsidR="00621D2A" w:rsidRDefault="002063F5">
      <w:pPr>
        <w:ind w:left="730" w:right="7" w:hanging="725"/>
      </w:pPr>
      <w:r>
        <w:t>9.5</w:t>
      </w:r>
      <w:r>
        <w:rPr>
          <w:rFonts w:ascii="Arial" w:eastAsia="Arial" w:hAnsi="Arial" w:cs="Arial"/>
        </w:rPr>
        <w:t xml:space="preserve">  </w:t>
      </w:r>
      <w:r>
        <w:rPr>
          <w:rFonts w:ascii="Arial" w:eastAsia="Arial" w:hAnsi="Arial" w:cs="Arial"/>
        </w:rPr>
        <w:tab/>
      </w:r>
      <w:r>
        <w:t xml:space="preserve">Insurance will not relieve the Supplier of any liabilities under the Framework Agreement or this CallOff Contract and the Supplier will:  </w:t>
      </w:r>
    </w:p>
    <w:p w:rsidR="00621D2A" w:rsidRDefault="002063F5">
      <w:pPr>
        <w:numPr>
          <w:ilvl w:val="0"/>
          <w:numId w:val="10"/>
        </w:numPr>
        <w:spacing w:after="88"/>
        <w:ind w:right="7" w:hanging="408"/>
      </w:pPr>
      <w:r>
        <w:t xml:space="preserve">take all risk control measures using Good Industry Practice, including the investigation and reports of claims to insurers  </w:t>
      </w:r>
    </w:p>
    <w:p w:rsidR="00621D2A" w:rsidRDefault="002063F5">
      <w:pPr>
        <w:numPr>
          <w:ilvl w:val="0"/>
          <w:numId w:val="10"/>
        </w:numPr>
        <w:spacing w:after="91"/>
        <w:ind w:right="7" w:hanging="408"/>
      </w:pPr>
      <w:r>
        <w:t xml:space="preserve">promptly notify the insurers in writing of any relevant material fact under any insurances   </w:t>
      </w:r>
    </w:p>
    <w:p w:rsidR="00621D2A" w:rsidRDefault="002063F5">
      <w:pPr>
        <w:numPr>
          <w:ilvl w:val="0"/>
          <w:numId w:val="10"/>
        </w:numPr>
        <w:spacing w:after="11"/>
        <w:ind w:right="7" w:hanging="408"/>
      </w:pPr>
      <w:r>
        <w:t xml:space="preserve">hold all insurance policies and require any broker arranging the insurance to hold any insurance slips and other evidence of insurance  </w:t>
      </w:r>
    </w:p>
    <w:p w:rsidR="00621D2A" w:rsidRDefault="002063F5">
      <w:pPr>
        <w:spacing w:after="96" w:line="259" w:lineRule="auto"/>
        <w:ind w:left="1563" w:firstLine="0"/>
      </w:pPr>
      <w:r>
        <w:t xml:space="preserve">  </w:t>
      </w:r>
    </w:p>
    <w:p w:rsidR="00621D2A" w:rsidRDefault="002063F5">
      <w:pPr>
        <w:numPr>
          <w:ilvl w:val="1"/>
          <w:numId w:val="11"/>
        </w:numPr>
        <w:ind w:right="7" w:hanging="725"/>
      </w:pPr>
      <w:r>
        <w:lastRenderedPageBreak/>
        <w:t xml:space="preserve">The Supplier will not do or omit to do anything, which would destroy or impair the legal validity of the insurance.  </w:t>
      </w:r>
    </w:p>
    <w:p w:rsidR="00621D2A" w:rsidRDefault="002063F5">
      <w:pPr>
        <w:numPr>
          <w:ilvl w:val="1"/>
          <w:numId w:val="11"/>
        </w:numPr>
        <w:ind w:right="7" w:hanging="725"/>
      </w:pPr>
      <w:r>
        <w:t xml:space="preserve">The Supplier will notify CCS and the Buyer as soon as possible if any insurance policies have been, or are due to be, cancelled, suspended, Ended or not renewed.  </w:t>
      </w:r>
    </w:p>
    <w:p w:rsidR="00621D2A" w:rsidRDefault="002063F5">
      <w:pPr>
        <w:numPr>
          <w:ilvl w:val="1"/>
          <w:numId w:val="11"/>
        </w:numPr>
        <w:ind w:right="7" w:hanging="725"/>
      </w:pPr>
      <w:r>
        <w:t xml:space="preserve">The Supplier will be liable for the payment of any:  </w:t>
      </w:r>
    </w:p>
    <w:p w:rsidR="00621D2A" w:rsidRDefault="002063F5">
      <w:pPr>
        <w:numPr>
          <w:ilvl w:val="0"/>
          <w:numId w:val="12"/>
        </w:numPr>
        <w:ind w:right="7" w:hanging="360"/>
      </w:pPr>
      <w:r>
        <w:t xml:space="preserve">premiums, which it will pay promptly  </w:t>
      </w:r>
    </w:p>
    <w:p w:rsidR="00621D2A" w:rsidRDefault="002063F5">
      <w:pPr>
        <w:numPr>
          <w:ilvl w:val="0"/>
          <w:numId w:val="12"/>
        </w:numPr>
        <w:spacing w:after="218"/>
        <w:ind w:right="7" w:hanging="360"/>
      </w:pPr>
      <w:r>
        <w:t xml:space="preserve">excess or deductibles and will not be entitled to recover this from the Buyer   </w:t>
      </w:r>
    </w:p>
    <w:p w:rsidR="00621D2A" w:rsidRDefault="002063F5">
      <w:pPr>
        <w:pStyle w:val="Heading2"/>
        <w:ind w:left="15"/>
      </w:pPr>
      <w:r>
        <w:t xml:space="preserve">10. Confidentiality   </w:t>
      </w:r>
    </w:p>
    <w:p w:rsidR="00621D2A" w:rsidRDefault="002063F5">
      <w:pPr>
        <w:spacing w:after="211"/>
        <w:ind w:left="730" w:right="7" w:hanging="725"/>
      </w:pPr>
      <w:r>
        <w:t>10.1</w:t>
      </w:r>
      <w:r>
        <w:rPr>
          <w:rFonts w:ascii="Arial" w:eastAsia="Arial" w:hAnsi="Arial" w:cs="Arial"/>
        </w:rPr>
        <w:t xml:space="preserve">  </w:t>
      </w:r>
      <w: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  </w:t>
      </w:r>
    </w:p>
    <w:p w:rsidR="00621D2A" w:rsidRDefault="002063F5">
      <w:pPr>
        <w:pStyle w:val="Heading2"/>
        <w:ind w:left="15"/>
      </w:pPr>
      <w:r>
        <w:t xml:space="preserve">11. Intellectual Property Rights  </w:t>
      </w:r>
    </w:p>
    <w:p w:rsidR="00621D2A" w:rsidRDefault="002063F5">
      <w:pPr>
        <w:ind w:left="730" w:right="7" w:hanging="725"/>
      </w:pPr>
      <w:r>
        <w:t>11.1</w:t>
      </w:r>
      <w:r>
        <w:rPr>
          <w:rFonts w:ascii="Arial" w:eastAsia="Arial" w:hAnsi="Arial" w:cs="Arial"/>
        </w:rPr>
        <w:t xml:space="preserve">  </w:t>
      </w:r>
      <w:r>
        <w:rPr>
          <w:rFonts w:ascii="Arial" w:eastAsia="Arial" w:hAnsi="Arial" w:cs="Arial"/>
        </w:rPr>
        <w:tab/>
      </w:r>
      <w:r>
        <w:t xml:space="preserve">Unless otherwise specified in this Call-Off Contract, a Party will not acquire any right, title or interest in or to the Intellectual Property Rights (IPRs) of the other Party or its licensors.  </w:t>
      </w:r>
    </w:p>
    <w:p w:rsidR="00621D2A" w:rsidRDefault="002063F5">
      <w:pPr>
        <w:ind w:left="730" w:right="7" w:hanging="725"/>
      </w:pPr>
      <w:r>
        <w:t>11.2</w:t>
      </w:r>
      <w:r>
        <w:rPr>
          <w:rFonts w:ascii="Arial" w:eastAsia="Arial" w:hAnsi="Arial" w:cs="Arial"/>
        </w:rPr>
        <w:t xml:space="preserve">  </w:t>
      </w:r>
      <w:r>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621D2A" w:rsidRDefault="002063F5">
      <w:pPr>
        <w:ind w:left="730" w:right="7" w:hanging="725"/>
      </w:pPr>
      <w:r>
        <w:t>11.3</w:t>
      </w:r>
      <w:r>
        <w:rPr>
          <w:rFonts w:ascii="Arial" w:eastAsia="Arial" w:hAnsi="Arial" w:cs="Arial"/>
        </w:rPr>
        <w:t xml:space="preserve">  </w:t>
      </w:r>
      <w:r>
        <w:rPr>
          <w:rFonts w:ascii="Arial" w:eastAsia="Arial" w:hAnsi="Arial" w:cs="Arial"/>
        </w:rPr>
        <w:tab/>
      </w:r>
      <w:r>
        <w:t xml:space="preserve">The Supplier must obtain the grant of any third-party IPRs and Background IPRs so the Buyer can enjoy full use of the Project Specific IPRs, including the Buyer’s right to publish the IPR as open source.   </w:t>
      </w:r>
    </w:p>
    <w:p w:rsidR="00621D2A" w:rsidRDefault="002063F5">
      <w:pPr>
        <w:ind w:left="735" w:right="7" w:hanging="735"/>
      </w:pPr>
      <w:r>
        <w:t>11.4</w:t>
      </w:r>
      <w:r>
        <w:rPr>
          <w:rFonts w:ascii="Arial" w:eastAsia="Arial" w:hAnsi="Arial" w:cs="Arial"/>
        </w:rPr>
        <w:t xml:space="preserve">  </w:t>
      </w: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621D2A" w:rsidRDefault="002063F5">
      <w:pPr>
        <w:ind w:left="730" w:right="7" w:hanging="725"/>
      </w:pPr>
      <w:r>
        <w:t>11.5</w:t>
      </w:r>
      <w:r>
        <w:rPr>
          <w:rFonts w:ascii="Arial" w:eastAsia="Arial" w:hAnsi="Arial" w:cs="Arial"/>
        </w:rPr>
        <w:t xml:space="preserve">  </w:t>
      </w:r>
      <w:r>
        <w:t xml:space="preserve">The Supplier will, on written demand, fully indemnify the Buyer and the Crown for all Losses which it may incur at any time from any claim of infringement or alleged infringement of a third party’s IPRs because of the:  </w:t>
      </w:r>
    </w:p>
    <w:p w:rsidR="00621D2A" w:rsidRDefault="002063F5">
      <w:pPr>
        <w:numPr>
          <w:ilvl w:val="0"/>
          <w:numId w:val="13"/>
        </w:numPr>
        <w:ind w:right="7" w:hanging="360"/>
      </w:pPr>
      <w:r>
        <w:t xml:space="preserve">rights granted to the Buyer under this Call-Off Contract  </w:t>
      </w:r>
    </w:p>
    <w:p w:rsidR="00621D2A" w:rsidRDefault="002063F5">
      <w:pPr>
        <w:numPr>
          <w:ilvl w:val="0"/>
          <w:numId w:val="13"/>
        </w:numPr>
        <w:spacing w:after="291" w:line="265" w:lineRule="auto"/>
        <w:ind w:right="7" w:hanging="360"/>
      </w:pPr>
      <w:r>
        <w:lastRenderedPageBreak/>
        <w:t xml:space="preserve">Supplier’s performance of the Services   </w:t>
      </w:r>
    </w:p>
    <w:p w:rsidR="00621D2A" w:rsidRDefault="002063F5">
      <w:pPr>
        <w:numPr>
          <w:ilvl w:val="0"/>
          <w:numId w:val="13"/>
        </w:numPr>
        <w:ind w:right="7" w:hanging="360"/>
      </w:pPr>
      <w:r>
        <w:t xml:space="preserve">use by the Buyer of the Services   </w:t>
      </w:r>
    </w:p>
    <w:p w:rsidR="00621D2A" w:rsidRDefault="002063F5">
      <w:pPr>
        <w:ind w:left="730" w:right="7" w:hanging="725"/>
      </w:pPr>
      <w:r>
        <w:t>11.6</w:t>
      </w:r>
      <w:r>
        <w:rPr>
          <w:rFonts w:ascii="Arial" w:eastAsia="Arial" w:hAnsi="Arial" w:cs="Arial"/>
        </w:rPr>
        <w:t xml:space="preserve">  </w:t>
      </w:r>
      <w:r>
        <w:t xml:space="preserve">If an IPR Claim is made, or is likely to be made, the Supplier will immediately notify the Buyer in writing and must at its own expense after written approval from the Buyer, either:  </w:t>
      </w:r>
    </w:p>
    <w:p w:rsidR="00621D2A" w:rsidRDefault="002063F5">
      <w:pPr>
        <w:numPr>
          <w:ilvl w:val="0"/>
          <w:numId w:val="13"/>
        </w:numPr>
        <w:ind w:right="7" w:hanging="360"/>
      </w:pPr>
      <w:r>
        <w:t xml:space="preserve">modify the relevant part of the Services without reducing its functionality or performance  </w:t>
      </w:r>
    </w:p>
    <w:p w:rsidR="00621D2A" w:rsidRDefault="002063F5">
      <w:pPr>
        <w:numPr>
          <w:ilvl w:val="0"/>
          <w:numId w:val="13"/>
        </w:numPr>
        <w:ind w:right="7" w:hanging="360"/>
      </w:pPr>
      <w:r>
        <w:t xml:space="preserve">substitute Services of equivalent functionality and performance, to avoid the infringement or the alleged infringement, as long as there is no additional cost or burden to the Buyer  </w:t>
      </w:r>
    </w:p>
    <w:p w:rsidR="00621D2A" w:rsidRDefault="002063F5">
      <w:pPr>
        <w:numPr>
          <w:ilvl w:val="0"/>
          <w:numId w:val="13"/>
        </w:numPr>
        <w:ind w:right="7" w:hanging="360"/>
      </w:pPr>
      <w:r>
        <w:t xml:space="preserve">buy a licence to use and supply the Services which are the subject of the alleged infringement, on terms acceptable to the Buyer  </w:t>
      </w:r>
    </w:p>
    <w:p w:rsidR="00621D2A" w:rsidRDefault="002063F5">
      <w:pPr>
        <w:tabs>
          <w:tab w:val="center" w:pos="3148"/>
        </w:tabs>
        <w:ind w:left="0" w:firstLine="0"/>
      </w:pPr>
      <w:r>
        <w:t>11.7</w:t>
      </w:r>
      <w:r>
        <w:rPr>
          <w:rFonts w:ascii="Arial" w:eastAsia="Arial" w:hAnsi="Arial" w:cs="Arial"/>
        </w:rPr>
        <w:t xml:space="preserve">  </w:t>
      </w:r>
      <w:r>
        <w:rPr>
          <w:rFonts w:ascii="Arial" w:eastAsia="Arial" w:hAnsi="Arial" w:cs="Arial"/>
        </w:rPr>
        <w:tab/>
      </w:r>
      <w:r>
        <w:t xml:space="preserve">Clause 11.5 will not apply if the IPR Claim is from:  </w:t>
      </w:r>
    </w:p>
    <w:p w:rsidR="00621D2A" w:rsidRDefault="002063F5">
      <w:pPr>
        <w:numPr>
          <w:ilvl w:val="0"/>
          <w:numId w:val="13"/>
        </w:numPr>
        <w:spacing w:after="291" w:line="265" w:lineRule="auto"/>
        <w:ind w:right="7" w:hanging="360"/>
      </w:pPr>
      <w:r>
        <w:t xml:space="preserve">the use of data supplied by the Buyer which the Supplier isn’t required to verify under this Call-Off Contract  </w:t>
      </w:r>
    </w:p>
    <w:p w:rsidR="00621D2A" w:rsidRDefault="002063F5">
      <w:pPr>
        <w:numPr>
          <w:ilvl w:val="0"/>
          <w:numId w:val="13"/>
        </w:numPr>
        <w:ind w:right="7" w:hanging="360"/>
      </w:pPr>
      <w:r>
        <w:t xml:space="preserve">other material provided by the Buyer necessary for the Services  </w:t>
      </w:r>
    </w:p>
    <w:p w:rsidR="00621D2A" w:rsidRDefault="002063F5">
      <w:pPr>
        <w:ind w:left="730" w:right="7" w:hanging="725"/>
      </w:pPr>
      <w:r>
        <w:t>11.8</w:t>
      </w:r>
      <w:r>
        <w:rPr>
          <w:rFonts w:ascii="Arial" w:eastAsia="Arial" w:hAnsi="Arial" w:cs="Arial"/>
        </w:rPr>
        <w:t xml:space="preserve">  </w:t>
      </w:r>
      <w:r>
        <w:t xml:space="preserve">If the Supplier does not comply with clauses 11.2 to 11.6, the Buyer may End this Call-Off Contract for Material Breach. The Supplier will, on demand, refund the Buyer all the money paid for the affected Services.  </w:t>
      </w:r>
    </w:p>
    <w:p w:rsidR="00621D2A" w:rsidRDefault="00621D2A">
      <w:pPr>
        <w:sectPr w:rsidR="00621D2A">
          <w:headerReference w:type="even" r:id="rId15"/>
          <w:headerReference w:type="default" r:id="rId16"/>
          <w:footerReference w:type="even" r:id="rId17"/>
          <w:footerReference w:type="default" r:id="rId18"/>
          <w:headerReference w:type="first" r:id="rId19"/>
          <w:footerReference w:type="first" r:id="rId20"/>
          <w:pgSz w:w="11906" w:h="16838"/>
          <w:pgMar w:top="746" w:right="582" w:bottom="948" w:left="686" w:header="720" w:footer="917" w:gutter="0"/>
          <w:cols w:space="720"/>
          <w:titlePg/>
        </w:sectPr>
      </w:pPr>
    </w:p>
    <w:p w:rsidR="00621D2A" w:rsidRDefault="002063F5">
      <w:pPr>
        <w:pStyle w:val="Heading2"/>
        <w:ind w:left="686"/>
      </w:pPr>
      <w:r>
        <w:lastRenderedPageBreak/>
        <w:t xml:space="preserve">12. Protection of information  </w:t>
      </w:r>
    </w:p>
    <w:p w:rsidR="00621D2A" w:rsidRDefault="002063F5">
      <w:pPr>
        <w:tabs>
          <w:tab w:val="center" w:pos="891"/>
          <w:tab w:val="center" w:pos="2360"/>
        </w:tabs>
        <w:ind w:left="0" w:firstLine="0"/>
      </w:pPr>
      <w:r>
        <w:rPr>
          <w:rFonts w:ascii="Calibri" w:eastAsia="Calibri" w:hAnsi="Calibri" w:cs="Calibri"/>
          <w:sz w:val="22"/>
        </w:rPr>
        <w:tab/>
      </w:r>
      <w:r>
        <w:t>12.1</w:t>
      </w:r>
      <w:r>
        <w:rPr>
          <w:rFonts w:ascii="Arial" w:eastAsia="Arial" w:hAnsi="Arial" w:cs="Arial"/>
        </w:rPr>
        <w:t xml:space="preserve">  </w:t>
      </w:r>
      <w:r>
        <w:rPr>
          <w:rFonts w:ascii="Arial" w:eastAsia="Arial" w:hAnsi="Arial" w:cs="Arial"/>
        </w:rPr>
        <w:tab/>
      </w:r>
      <w:r>
        <w:t xml:space="preserve">The Supplier must:  </w:t>
      </w:r>
    </w:p>
    <w:p w:rsidR="00621D2A" w:rsidRDefault="002063F5">
      <w:pPr>
        <w:numPr>
          <w:ilvl w:val="0"/>
          <w:numId w:val="14"/>
        </w:numPr>
        <w:ind w:right="7" w:hanging="360"/>
      </w:pPr>
      <w:r>
        <w:t xml:space="preserve">comply with the Buyer’s written instructions and this Call-Off Contract when Processing Buyer Personal Data  </w:t>
      </w:r>
    </w:p>
    <w:p w:rsidR="00621D2A" w:rsidRDefault="002063F5">
      <w:pPr>
        <w:numPr>
          <w:ilvl w:val="0"/>
          <w:numId w:val="14"/>
        </w:numPr>
        <w:ind w:right="7" w:hanging="360"/>
      </w:pPr>
      <w:r>
        <w:t xml:space="preserve">only Process the Buyer Personal Data as necessary for the provision of the G-Cloud Services or as required by Law or any Regulatory Body  </w:t>
      </w:r>
    </w:p>
    <w:p w:rsidR="00621D2A" w:rsidRDefault="002063F5">
      <w:pPr>
        <w:numPr>
          <w:ilvl w:val="0"/>
          <w:numId w:val="14"/>
        </w:numPr>
        <w:ind w:right="7" w:hanging="360"/>
      </w:pPr>
      <w:r>
        <w:t xml:space="preserve">take reasonable steps to ensure that any Supplier Staff who have access to Buyer Personal Data act in compliance with Supplier's security processes  </w:t>
      </w:r>
    </w:p>
    <w:p w:rsidR="00621D2A" w:rsidRDefault="002063F5">
      <w:pPr>
        <w:ind w:left="696" w:right="7"/>
      </w:pPr>
      <w:r>
        <w:t>12.2</w:t>
      </w:r>
      <w:r>
        <w:rPr>
          <w:rFonts w:ascii="Arial" w:eastAsia="Arial" w:hAnsi="Arial" w:cs="Arial"/>
        </w:rPr>
        <w:t xml:space="preserve">  </w:t>
      </w:r>
      <w:r>
        <w:t xml:space="preserve">The Supplier must fully assist with any complaint or request for Buyer Personal Data including by:  </w:t>
      </w:r>
    </w:p>
    <w:p w:rsidR="00621D2A" w:rsidRDefault="002063F5">
      <w:pPr>
        <w:numPr>
          <w:ilvl w:val="0"/>
          <w:numId w:val="14"/>
        </w:numPr>
        <w:ind w:right="7" w:hanging="360"/>
      </w:pPr>
      <w:r>
        <w:t xml:space="preserve">providing the Buyer with full details of the complaint or request  </w:t>
      </w:r>
    </w:p>
    <w:p w:rsidR="00621D2A" w:rsidRDefault="002063F5">
      <w:pPr>
        <w:numPr>
          <w:ilvl w:val="0"/>
          <w:numId w:val="14"/>
        </w:numPr>
        <w:ind w:right="7" w:hanging="360"/>
      </w:pPr>
      <w:r>
        <w:t xml:space="preserve">complying with a data access request within the timescales in the Data Protection Legislation and following the Buyer’s instructions  </w:t>
      </w:r>
    </w:p>
    <w:p w:rsidR="00621D2A" w:rsidRDefault="002063F5">
      <w:pPr>
        <w:numPr>
          <w:ilvl w:val="0"/>
          <w:numId w:val="14"/>
        </w:numPr>
        <w:ind w:right="7" w:hanging="360"/>
      </w:pPr>
      <w:r>
        <w:t xml:space="preserve">providing the Buyer with any Buyer Personal Data it holds about a Data Subject (within the timescales required by the Buyer)  </w:t>
      </w:r>
    </w:p>
    <w:p w:rsidR="00621D2A" w:rsidRDefault="002063F5">
      <w:pPr>
        <w:numPr>
          <w:ilvl w:val="0"/>
          <w:numId w:val="14"/>
        </w:numPr>
        <w:ind w:right="7" w:hanging="360"/>
      </w:pPr>
      <w:r>
        <w:t xml:space="preserve">providing the Buyer with any information requested by the Data Subject  </w:t>
      </w:r>
    </w:p>
    <w:p w:rsidR="00621D2A" w:rsidRDefault="002063F5">
      <w:pPr>
        <w:spacing w:after="208"/>
        <w:ind w:left="1411" w:right="7" w:hanging="725"/>
      </w:pPr>
      <w:r>
        <w:t>12.3</w:t>
      </w:r>
      <w:r>
        <w:rPr>
          <w:rFonts w:ascii="Arial" w:eastAsia="Arial" w:hAnsi="Arial" w:cs="Arial"/>
        </w:rPr>
        <w:t xml:space="preserve">  </w:t>
      </w:r>
      <w:r>
        <w:t xml:space="preserve">The Supplier must get prior written consent from the Buyer to transfer Buyer Personal Data to any other person (including any Subcontractors) for the provision of the G-Cloud Services.  </w:t>
      </w:r>
    </w:p>
    <w:p w:rsidR="00621D2A" w:rsidRDefault="002063F5">
      <w:pPr>
        <w:pStyle w:val="Heading2"/>
        <w:spacing w:after="217"/>
        <w:ind w:left="686"/>
      </w:pPr>
      <w:r>
        <w:t xml:space="preserve">13. Buyer data  </w:t>
      </w:r>
    </w:p>
    <w:p w:rsidR="00621D2A" w:rsidRDefault="002063F5">
      <w:pPr>
        <w:spacing w:after="16"/>
        <w:ind w:left="696" w:right="7"/>
      </w:pPr>
      <w:r>
        <w:t xml:space="preserve">The Supplier must not remove any proprietary notices in the Buyer Data.  </w:t>
      </w:r>
    </w:p>
    <w:p w:rsidR="00621D2A" w:rsidRDefault="002063F5">
      <w:pPr>
        <w:spacing w:after="96" w:line="259" w:lineRule="auto"/>
        <w:ind w:left="706" w:firstLine="0"/>
      </w:pPr>
      <w:r>
        <w:t xml:space="preserve">  </w:t>
      </w:r>
    </w:p>
    <w:p w:rsidR="00621D2A" w:rsidRDefault="002063F5">
      <w:pPr>
        <w:tabs>
          <w:tab w:val="center" w:pos="884"/>
          <w:tab w:val="center" w:pos="5698"/>
        </w:tabs>
        <w:ind w:left="0" w:firstLine="0"/>
      </w:pPr>
      <w:r>
        <w:rPr>
          <w:rFonts w:ascii="Calibri" w:eastAsia="Calibri" w:hAnsi="Calibri" w:cs="Calibri"/>
          <w:sz w:val="22"/>
        </w:rPr>
        <w:tab/>
      </w:r>
      <w:r>
        <w:t>13.1</w:t>
      </w:r>
      <w:r>
        <w:rPr>
          <w:rFonts w:ascii="Arial" w:eastAsia="Arial" w:hAnsi="Arial" w:cs="Arial"/>
        </w:rPr>
        <w:t xml:space="preserve">  </w:t>
      </w:r>
      <w:r>
        <w:rPr>
          <w:rFonts w:ascii="Arial" w:eastAsia="Arial" w:hAnsi="Arial" w:cs="Arial"/>
        </w:rPr>
        <w:tab/>
      </w:r>
      <w:r>
        <w:t xml:space="preserve">The Supplier will not store or use Buyer Data except if necessary to fulfil its obligations.  </w:t>
      </w:r>
    </w:p>
    <w:p w:rsidR="00621D2A" w:rsidRDefault="002063F5">
      <w:pPr>
        <w:ind w:left="1411" w:right="7" w:hanging="725"/>
      </w:pPr>
      <w:r>
        <w:t>13.2</w:t>
      </w:r>
      <w:r>
        <w:rPr>
          <w:rFonts w:ascii="Arial" w:eastAsia="Arial" w:hAnsi="Arial" w:cs="Arial"/>
        </w:rPr>
        <w:t xml:space="preserve">  </w:t>
      </w:r>
      <w:r>
        <w:t xml:space="preserve">If Buyer Data is processed by the Supplier, the Supplier will supply the data to the Buyer as requested.  </w:t>
      </w:r>
    </w:p>
    <w:p w:rsidR="00621D2A" w:rsidRDefault="002063F5">
      <w:pPr>
        <w:ind w:left="1411" w:right="7" w:hanging="725"/>
      </w:pPr>
      <w:r>
        <w:t>13.3</w:t>
      </w:r>
      <w:r>
        <w:rPr>
          <w:rFonts w:ascii="Arial" w:eastAsia="Arial" w:hAnsi="Arial" w:cs="Arial"/>
        </w:rPr>
        <w:t xml:space="preserve">  </w:t>
      </w:r>
      <w:r>
        <w:rPr>
          <w:rFonts w:ascii="Arial" w:eastAsia="Arial" w:hAnsi="Arial" w:cs="Arial"/>
        </w:rPr>
        <w:tab/>
      </w:r>
      <w:r>
        <w:t xml:space="preserve">The Supplier must ensure that any Supplier system that holds any Buyer Data is a secure system that complies with the Supplier’s and Buyer’s security policy and all Buyer requirements in the Order Form.   </w:t>
      </w:r>
    </w:p>
    <w:p w:rsidR="00621D2A" w:rsidRDefault="002063F5">
      <w:pPr>
        <w:ind w:left="1411" w:right="7" w:hanging="725"/>
      </w:pPr>
      <w:r>
        <w:t>13.4</w:t>
      </w:r>
      <w:r>
        <w:rPr>
          <w:rFonts w:ascii="Arial" w:eastAsia="Arial" w:hAnsi="Arial" w:cs="Arial"/>
        </w:rPr>
        <w:t xml:space="preserve">  </w:t>
      </w:r>
      <w:r>
        <w:t xml:space="preserve">The Supplier will preserve the integrity of Buyer Data processed by the Supplier and prevent its corruption and loss.  </w:t>
      </w:r>
    </w:p>
    <w:p w:rsidR="00621D2A" w:rsidRDefault="002063F5">
      <w:pPr>
        <w:ind w:left="1411" w:right="7" w:hanging="725"/>
      </w:pPr>
      <w:r>
        <w:lastRenderedPageBreak/>
        <w:t>13.5</w:t>
      </w:r>
      <w:r>
        <w:rPr>
          <w:rFonts w:ascii="Arial" w:eastAsia="Arial" w:hAnsi="Arial" w:cs="Arial"/>
        </w:rPr>
        <w:t xml:space="preserve">  </w:t>
      </w:r>
      <w:r>
        <w:t xml:space="preserve">The Supplier will ensure that any Supplier system which holds any protectively marked Buyer Data or other government data will comply with:  </w:t>
      </w:r>
    </w:p>
    <w:p w:rsidR="00621D2A" w:rsidRDefault="002063F5">
      <w:pPr>
        <w:numPr>
          <w:ilvl w:val="0"/>
          <w:numId w:val="15"/>
        </w:numPr>
        <w:spacing w:after="287" w:line="265" w:lineRule="auto"/>
        <w:ind w:right="7" w:hanging="360"/>
      </w:pPr>
      <w:r>
        <w:t xml:space="preserve">the principles in the Security Policy Framework at </w:t>
      </w:r>
      <w:hyperlink r:id="rId21">
        <w:r>
          <w:rPr>
            <w:color w:val="1155CC"/>
            <w:u w:val="single" w:color="1155CC"/>
          </w:rPr>
          <w:t>https://www.gov.uk/government/publications/securit</w:t>
        </w:r>
      </w:hyperlink>
      <w:hyperlink r:id="rId22">
        <w:r>
          <w:rPr>
            <w:color w:val="1155CC"/>
            <w:u w:val="single" w:color="1155CC"/>
          </w:rPr>
          <w:t>y</w:t>
        </w:r>
      </w:hyperlink>
      <w:hyperlink r:id="rId23">
        <w:r>
          <w:rPr>
            <w:color w:val="1155CC"/>
            <w:u w:val="single" w:color="1155CC"/>
          </w:rPr>
          <w:t>-</w:t>
        </w:r>
      </w:hyperlink>
      <w:hyperlink r:id="rId24">
        <w:r>
          <w:rPr>
            <w:color w:val="1155CC"/>
            <w:u w:val="single" w:color="1155CC"/>
          </w:rPr>
          <w:t>polic</w:t>
        </w:r>
      </w:hyperlink>
      <w:hyperlink r:id="rId25">
        <w:r>
          <w:rPr>
            <w:color w:val="1155CC"/>
            <w:u w:val="single" w:color="1155CC"/>
          </w:rPr>
          <w:t>y</w:t>
        </w:r>
      </w:hyperlink>
      <w:hyperlink r:id="rId26">
        <w:r>
          <w:rPr>
            <w:color w:val="1155CC"/>
            <w:u w:val="single" w:color="1155CC"/>
          </w:rPr>
          <w:t>-</w:t>
        </w:r>
      </w:hyperlink>
      <w:hyperlink r:id="rId27">
        <w:r>
          <w:rPr>
            <w:color w:val="1155CC"/>
            <w:u w:val="single" w:color="1155CC"/>
          </w:rPr>
          <w:t>framewor</w:t>
        </w:r>
      </w:hyperlink>
      <w:hyperlink r:id="rId28">
        <w:r>
          <w:rPr>
            <w:color w:val="1155CC"/>
            <w:u w:val="single" w:color="1155CC"/>
          </w:rPr>
          <w:t>k</w:t>
        </w:r>
      </w:hyperlink>
      <w:hyperlink r:id="rId29">
        <w:r>
          <w:t xml:space="preserve"> </w:t>
        </w:r>
      </w:hyperlink>
      <w:hyperlink r:id="rId30">
        <w:r>
          <w:t>a</w:t>
        </w:r>
      </w:hyperlink>
      <w:r>
        <w:t xml:space="preserve">nd the Government Security Classification policy at </w:t>
      </w:r>
      <w:hyperlink r:id="rId31">
        <w:r>
          <w:rPr>
            <w:color w:val="1155CC"/>
            <w:u w:val="single" w:color="1155CC"/>
          </w:rPr>
          <w:t>https://www.gov.uk/government/publications/governmen</w:t>
        </w:r>
      </w:hyperlink>
      <w:hyperlink r:id="rId32">
        <w:r>
          <w:rPr>
            <w:color w:val="1155CC"/>
            <w:u w:val="single" w:color="1155CC"/>
          </w:rPr>
          <w:t>t</w:t>
        </w:r>
      </w:hyperlink>
      <w:hyperlink r:id="rId33">
        <w:r>
          <w:rPr>
            <w:color w:val="1155CC"/>
            <w:u w:val="single" w:color="1155CC"/>
          </w:rPr>
          <w:t>-</w:t>
        </w:r>
      </w:hyperlink>
      <w:hyperlink r:id="rId34">
        <w:r>
          <w:rPr>
            <w:color w:val="1155CC"/>
            <w:u w:val="single" w:color="1155CC"/>
          </w:rPr>
          <w:t>securit</w:t>
        </w:r>
      </w:hyperlink>
      <w:hyperlink r:id="rId35">
        <w:r>
          <w:rPr>
            <w:color w:val="1155CC"/>
            <w:u w:val="single" w:color="1155CC"/>
          </w:rPr>
          <w:t>y</w:t>
        </w:r>
      </w:hyperlink>
      <w:hyperlink r:id="rId36">
        <w:r>
          <w:rPr>
            <w:color w:val="1155CC"/>
            <w:u w:val="single" w:color="1155CC"/>
          </w:rPr>
          <w:t>-</w:t>
        </w:r>
      </w:hyperlink>
      <w:hyperlink r:id="rId37">
        <w:r>
          <w:rPr>
            <w:color w:val="1155CC"/>
            <w:u w:val="single" w:color="1155CC"/>
          </w:rPr>
          <w:t>classification</w:t>
        </w:r>
      </w:hyperlink>
      <w:hyperlink r:id="rId38">
        <w:r>
          <w:rPr>
            <w:color w:val="1155CC"/>
            <w:u w:val="single" w:color="1155CC"/>
          </w:rPr>
          <w:t>s</w:t>
        </w:r>
      </w:hyperlink>
      <w:hyperlink r:id="rId39">
        <w:r>
          <w:rPr>
            <w:rFonts w:ascii="Arial" w:eastAsia="Arial" w:hAnsi="Arial" w:cs="Arial"/>
            <w:sz w:val="20"/>
          </w:rPr>
          <w:t xml:space="preserve"> </w:t>
        </w:r>
      </w:hyperlink>
      <w:hyperlink r:id="rId40">
        <w:r>
          <w:t xml:space="preserve"> </w:t>
        </w:r>
      </w:hyperlink>
    </w:p>
    <w:p w:rsidR="00621D2A" w:rsidRDefault="002063F5">
      <w:pPr>
        <w:numPr>
          <w:ilvl w:val="0"/>
          <w:numId w:val="15"/>
        </w:numPr>
        <w:spacing w:after="5"/>
        <w:ind w:right="7" w:hanging="360"/>
      </w:pPr>
      <w:r>
        <w:t xml:space="preserve">guidance issued by the Centre for Protection of National Infrastructure on Risk Management at </w:t>
      </w:r>
      <w:hyperlink r:id="rId41">
        <w:r>
          <w:rPr>
            <w:color w:val="1155CC"/>
            <w:u w:val="single" w:color="1155CC"/>
          </w:rPr>
          <w:t>https://www.cpni.gov.uk/content/adop</w:t>
        </w:r>
      </w:hyperlink>
      <w:hyperlink r:id="rId42">
        <w:r>
          <w:rPr>
            <w:color w:val="1155CC"/>
            <w:u w:val="single" w:color="1155CC"/>
          </w:rPr>
          <w:t>t</w:t>
        </w:r>
      </w:hyperlink>
      <w:hyperlink r:id="rId43">
        <w:r>
          <w:rPr>
            <w:color w:val="1155CC"/>
            <w:u w:val="single" w:color="1155CC"/>
          </w:rPr>
          <w:t>-</w:t>
        </w:r>
      </w:hyperlink>
      <w:hyperlink r:id="rId44">
        <w:r>
          <w:rPr>
            <w:color w:val="1155CC"/>
            <w:u w:val="single" w:color="1155CC"/>
          </w:rPr>
          <w:t>ris</w:t>
        </w:r>
      </w:hyperlink>
      <w:hyperlink r:id="rId45">
        <w:r>
          <w:rPr>
            <w:color w:val="1155CC"/>
            <w:u w:val="single" w:color="1155CC"/>
          </w:rPr>
          <w:t>k</w:t>
        </w:r>
      </w:hyperlink>
      <w:hyperlink r:id="rId46">
        <w:r>
          <w:rPr>
            <w:color w:val="1155CC"/>
            <w:u w:val="single" w:color="1155CC"/>
          </w:rPr>
          <w:t>-</w:t>
        </w:r>
      </w:hyperlink>
      <w:hyperlink r:id="rId47">
        <w:r>
          <w:rPr>
            <w:color w:val="1155CC"/>
            <w:u w:val="single" w:color="1155CC"/>
          </w:rPr>
          <w:t>managemen</w:t>
        </w:r>
      </w:hyperlink>
      <w:hyperlink r:id="rId48">
        <w:r>
          <w:rPr>
            <w:color w:val="1155CC"/>
            <w:u w:val="single" w:color="1155CC"/>
          </w:rPr>
          <w:t>t</w:t>
        </w:r>
      </w:hyperlink>
      <w:hyperlink r:id="rId49">
        <w:r>
          <w:rPr>
            <w:color w:val="1155CC"/>
            <w:u w:val="single" w:color="1155CC"/>
          </w:rPr>
          <w:t>-</w:t>
        </w:r>
      </w:hyperlink>
      <w:hyperlink r:id="rId50">
        <w:r>
          <w:rPr>
            <w:color w:val="1155CC"/>
            <w:u w:val="single" w:color="1155CC"/>
          </w:rPr>
          <w:t>approac</w:t>
        </w:r>
      </w:hyperlink>
      <w:hyperlink r:id="rId51">
        <w:r>
          <w:rPr>
            <w:color w:val="1155CC"/>
            <w:u w:val="single" w:color="1155CC"/>
          </w:rPr>
          <w:t>h</w:t>
        </w:r>
      </w:hyperlink>
      <w:hyperlink r:id="rId52">
        <w:r>
          <w:t xml:space="preserve"> </w:t>
        </w:r>
      </w:hyperlink>
      <w:hyperlink r:id="rId53">
        <w:r>
          <w:t>a</w:t>
        </w:r>
      </w:hyperlink>
      <w:r>
        <w:t xml:space="preserve">nd Accreditation of </w:t>
      </w:r>
    </w:p>
    <w:p w:rsidR="00621D2A" w:rsidRDefault="002063F5">
      <w:pPr>
        <w:spacing w:after="298" w:line="259" w:lineRule="auto"/>
        <w:ind w:left="0" w:right="9" w:firstLine="0"/>
        <w:jc w:val="right"/>
      </w:pPr>
      <w:r>
        <w:t xml:space="preserve">Information Systems at </w:t>
      </w:r>
      <w:hyperlink r:id="rId54">
        <w:r>
          <w:rPr>
            <w:color w:val="1155CC"/>
            <w:u w:val="single" w:color="1155CC"/>
          </w:rPr>
          <w:t>https://www.cpni.gov.uk/protectio</w:t>
        </w:r>
      </w:hyperlink>
      <w:hyperlink r:id="rId55">
        <w:r>
          <w:rPr>
            <w:color w:val="1155CC"/>
            <w:u w:val="single" w:color="1155CC"/>
          </w:rPr>
          <w:t>n</w:t>
        </w:r>
      </w:hyperlink>
      <w:hyperlink r:id="rId56">
        <w:r>
          <w:rPr>
            <w:color w:val="1155CC"/>
            <w:u w:val="single" w:color="1155CC"/>
          </w:rPr>
          <w:t>-</w:t>
        </w:r>
      </w:hyperlink>
      <w:hyperlink r:id="rId57">
        <w:r>
          <w:rPr>
            <w:color w:val="1155CC"/>
            <w:u w:val="single" w:color="1155CC"/>
          </w:rPr>
          <w:t>sensitiv</w:t>
        </w:r>
      </w:hyperlink>
      <w:hyperlink r:id="rId58">
        <w:r>
          <w:rPr>
            <w:color w:val="1155CC"/>
            <w:u w:val="single" w:color="1155CC"/>
          </w:rPr>
          <w:t>e</w:t>
        </w:r>
      </w:hyperlink>
      <w:hyperlink r:id="rId59">
        <w:r>
          <w:rPr>
            <w:color w:val="1155CC"/>
            <w:u w:val="single" w:color="1155CC"/>
          </w:rPr>
          <w:t>-</w:t>
        </w:r>
      </w:hyperlink>
      <w:hyperlink r:id="rId60">
        <w:r>
          <w:rPr>
            <w:color w:val="1155CC"/>
            <w:u w:val="single" w:color="1155CC"/>
          </w:rPr>
          <w:t>informatio</w:t>
        </w:r>
      </w:hyperlink>
      <w:hyperlink r:id="rId61">
        <w:r>
          <w:rPr>
            <w:color w:val="1155CC"/>
            <w:u w:val="single" w:color="1155CC"/>
          </w:rPr>
          <w:t>n</w:t>
        </w:r>
      </w:hyperlink>
      <w:hyperlink r:id="rId62">
        <w:r>
          <w:rPr>
            <w:color w:val="1155CC"/>
            <w:u w:val="single" w:color="1155CC"/>
          </w:rPr>
          <w:t>-</w:t>
        </w:r>
      </w:hyperlink>
      <w:hyperlink r:id="rId63">
        <w:r>
          <w:rPr>
            <w:color w:val="1155CC"/>
            <w:u w:val="single" w:color="1155CC"/>
          </w:rPr>
          <w:t>an</w:t>
        </w:r>
      </w:hyperlink>
      <w:hyperlink r:id="rId64">
        <w:r>
          <w:rPr>
            <w:color w:val="1155CC"/>
            <w:u w:val="single" w:color="1155CC"/>
          </w:rPr>
          <w:t>dasset</w:t>
        </w:r>
      </w:hyperlink>
      <w:hyperlink r:id="rId65">
        <w:r>
          <w:rPr>
            <w:color w:val="1155CC"/>
            <w:u w:val="single" w:color="1155CC"/>
          </w:rPr>
          <w:t>s</w:t>
        </w:r>
      </w:hyperlink>
      <w:hyperlink r:id="rId66">
        <w:r>
          <w:t xml:space="preserve"> </w:t>
        </w:r>
      </w:hyperlink>
      <w:hyperlink r:id="rId67">
        <w:r>
          <w:rPr>
            <w:rFonts w:ascii="Arial" w:eastAsia="Arial" w:hAnsi="Arial" w:cs="Arial"/>
            <w:sz w:val="20"/>
          </w:rPr>
          <w:t xml:space="preserve"> </w:t>
        </w:r>
      </w:hyperlink>
      <w:r>
        <w:t xml:space="preserve"> </w:t>
      </w:r>
    </w:p>
    <w:p w:rsidR="00621D2A" w:rsidRDefault="002063F5">
      <w:pPr>
        <w:numPr>
          <w:ilvl w:val="0"/>
          <w:numId w:val="15"/>
        </w:numPr>
        <w:spacing w:after="291" w:line="265" w:lineRule="auto"/>
        <w:ind w:right="7" w:hanging="360"/>
      </w:pPr>
      <w:r>
        <w:t xml:space="preserve">the National Cyber Security Centre’s (NCSC) information risk management guidance, available at </w:t>
      </w:r>
      <w:hyperlink r:id="rId68">
        <w:r>
          <w:rPr>
            <w:color w:val="1155CC"/>
            <w:u w:val="single" w:color="1155CC"/>
          </w:rPr>
          <w:t>https://www.ncsc.gov.uk/guidance/ris</w:t>
        </w:r>
      </w:hyperlink>
      <w:hyperlink r:id="rId69">
        <w:r>
          <w:rPr>
            <w:color w:val="1155CC"/>
            <w:u w:val="single" w:color="1155CC"/>
          </w:rPr>
          <w:t>k</w:t>
        </w:r>
      </w:hyperlink>
      <w:hyperlink r:id="rId70">
        <w:r>
          <w:rPr>
            <w:color w:val="1155CC"/>
            <w:u w:val="single" w:color="1155CC"/>
          </w:rPr>
          <w:t>-</w:t>
        </w:r>
      </w:hyperlink>
      <w:hyperlink r:id="rId71">
        <w:r>
          <w:rPr>
            <w:color w:val="1155CC"/>
            <w:u w:val="single" w:color="1155CC"/>
          </w:rPr>
          <w:t>managemen</w:t>
        </w:r>
      </w:hyperlink>
      <w:hyperlink r:id="rId72">
        <w:r>
          <w:rPr>
            <w:color w:val="1155CC"/>
            <w:u w:val="single" w:color="1155CC"/>
          </w:rPr>
          <w:t>t</w:t>
        </w:r>
      </w:hyperlink>
      <w:hyperlink r:id="rId73">
        <w:r>
          <w:rPr>
            <w:color w:val="1155CC"/>
            <w:u w:val="single" w:color="1155CC"/>
          </w:rPr>
          <w:t>-</w:t>
        </w:r>
      </w:hyperlink>
      <w:hyperlink r:id="rId74">
        <w:r>
          <w:rPr>
            <w:color w:val="1155CC"/>
            <w:u w:val="single" w:color="1155CC"/>
          </w:rPr>
          <w:t>collectio</w:t>
        </w:r>
      </w:hyperlink>
      <w:hyperlink r:id="rId75">
        <w:r>
          <w:rPr>
            <w:color w:val="1155CC"/>
            <w:u w:val="single" w:color="1155CC"/>
          </w:rPr>
          <w:t>n</w:t>
        </w:r>
      </w:hyperlink>
      <w:hyperlink r:id="rId76">
        <w:r>
          <w:rPr>
            <w:rFonts w:ascii="Arial" w:eastAsia="Arial" w:hAnsi="Arial" w:cs="Arial"/>
            <w:sz w:val="20"/>
          </w:rPr>
          <w:t xml:space="preserve"> </w:t>
        </w:r>
      </w:hyperlink>
      <w:hyperlink r:id="rId77">
        <w:r>
          <w:t xml:space="preserve"> </w:t>
        </w:r>
      </w:hyperlink>
    </w:p>
    <w:p w:rsidR="00621D2A" w:rsidRDefault="002063F5">
      <w:pPr>
        <w:numPr>
          <w:ilvl w:val="0"/>
          <w:numId w:val="15"/>
        </w:numPr>
        <w:ind w:right="7" w:hanging="360"/>
      </w:pPr>
      <w:r>
        <w:t>government best practice</w:t>
      </w:r>
      <w:hyperlink r:id="rId78">
        <w:r>
          <w:t xml:space="preserve"> </w:t>
        </w:r>
      </w:hyperlink>
      <w:hyperlink r:id="rId79">
        <w:r>
          <w:t>i</w:t>
        </w:r>
      </w:hyperlink>
      <w:hyperlink r:id="rId80">
        <w:r>
          <w:t>n</w:t>
        </w:r>
      </w:hyperlink>
      <w:hyperlink r:id="rId81">
        <w:r>
          <w:t xml:space="preserve"> </w:t>
        </w:r>
      </w:hyperlink>
      <w:hyperlink r:id="rId82">
        <w:r>
          <w:t>the</w:t>
        </w:r>
      </w:hyperlink>
      <w:r>
        <w:t xml:space="preserve"> design and implementation of system components, including network principles, security design principles for digital services and the secure email blueprint, available at </w:t>
      </w:r>
      <w:hyperlink r:id="rId83">
        <w:r>
          <w:rPr>
            <w:color w:val="1155CC"/>
            <w:u w:val="single" w:color="1155CC"/>
          </w:rPr>
          <w:t>https://www.gov.uk/government/publications/technolog</w:t>
        </w:r>
      </w:hyperlink>
      <w:hyperlink r:id="rId84">
        <w:r>
          <w:rPr>
            <w:color w:val="1155CC"/>
            <w:u w:val="single" w:color="1155CC"/>
          </w:rPr>
          <w:t>y</w:t>
        </w:r>
      </w:hyperlink>
      <w:hyperlink r:id="rId85"/>
      <w:hyperlink r:id="rId86">
        <w:r>
          <w:rPr>
            <w:color w:val="1155CC"/>
            <w:u w:val="single" w:color="1155CC"/>
          </w:rPr>
          <w:t>cod</w:t>
        </w:r>
      </w:hyperlink>
      <w:hyperlink r:id="rId87">
        <w:r>
          <w:rPr>
            <w:color w:val="1155CC"/>
            <w:u w:val="single" w:color="1155CC"/>
          </w:rPr>
          <w:t>eo</w:t>
        </w:r>
      </w:hyperlink>
      <w:hyperlink r:id="rId88">
        <w:r>
          <w:rPr>
            <w:color w:val="1155CC"/>
            <w:u w:val="single" w:color="1155CC"/>
          </w:rPr>
          <w:t>f</w:t>
        </w:r>
      </w:hyperlink>
      <w:hyperlink r:id="rId89">
        <w:r>
          <w:rPr>
            <w:color w:val="1155CC"/>
            <w:u w:val="single" w:color="1155CC"/>
          </w:rPr>
          <w:t>-</w:t>
        </w:r>
      </w:hyperlink>
      <w:hyperlink r:id="rId90">
        <w:r>
          <w:rPr>
            <w:color w:val="1155CC"/>
            <w:u w:val="single" w:color="1155CC"/>
          </w:rPr>
          <w:t>practice/technolog</w:t>
        </w:r>
      </w:hyperlink>
      <w:hyperlink r:id="rId91">
        <w:r>
          <w:rPr>
            <w:color w:val="1155CC"/>
            <w:u w:val="single" w:color="1155CC"/>
          </w:rPr>
          <w:t>y</w:t>
        </w:r>
      </w:hyperlink>
      <w:hyperlink r:id="rId92">
        <w:r>
          <w:rPr>
            <w:color w:val="1155CC"/>
            <w:u w:val="single" w:color="1155CC"/>
          </w:rPr>
          <w:t>-</w:t>
        </w:r>
      </w:hyperlink>
      <w:hyperlink r:id="rId93">
        <w:r>
          <w:rPr>
            <w:color w:val="1155CC"/>
            <w:u w:val="single" w:color="1155CC"/>
          </w:rPr>
          <w:t>cod</w:t>
        </w:r>
      </w:hyperlink>
      <w:hyperlink r:id="rId94">
        <w:r>
          <w:rPr>
            <w:color w:val="1155CC"/>
            <w:u w:val="single" w:color="1155CC"/>
          </w:rPr>
          <w:t>e</w:t>
        </w:r>
      </w:hyperlink>
      <w:hyperlink r:id="rId95">
        <w:r>
          <w:rPr>
            <w:color w:val="1155CC"/>
            <w:u w:val="single" w:color="1155CC"/>
          </w:rPr>
          <w:t>-</w:t>
        </w:r>
      </w:hyperlink>
      <w:hyperlink r:id="rId96">
        <w:r>
          <w:rPr>
            <w:color w:val="1155CC"/>
            <w:u w:val="single" w:color="1155CC"/>
          </w:rPr>
          <w:t>o</w:t>
        </w:r>
      </w:hyperlink>
      <w:hyperlink r:id="rId97">
        <w:r>
          <w:rPr>
            <w:color w:val="1155CC"/>
            <w:u w:val="single" w:color="1155CC"/>
          </w:rPr>
          <w:t>f</w:t>
        </w:r>
      </w:hyperlink>
      <w:hyperlink r:id="rId98">
        <w:r>
          <w:rPr>
            <w:color w:val="1155CC"/>
            <w:u w:val="single" w:color="1155CC"/>
          </w:rPr>
          <w:t>-</w:t>
        </w:r>
      </w:hyperlink>
      <w:hyperlink r:id="rId99">
        <w:r>
          <w:rPr>
            <w:color w:val="1155CC"/>
            <w:u w:val="single" w:color="1155CC"/>
          </w:rPr>
          <w:t>practic</w:t>
        </w:r>
      </w:hyperlink>
      <w:hyperlink r:id="rId100">
        <w:r>
          <w:rPr>
            <w:color w:val="1155CC"/>
            <w:u w:val="single" w:color="1155CC"/>
          </w:rPr>
          <w:t>e</w:t>
        </w:r>
      </w:hyperlink>
      <w:hyperlink r:id="rId101">
        <w:r>
          <w:rPr>
            <w:rFonts w:ascii="Arial" w:eastAsia="Arial" w:hAnsi="Arial" w:cs="Arial"/>
            <w:sz w:val="20"/>
          </w:rPr>
          <w:t xml:space="preserve"> </w:t>
        </w:r>
      </w:hyperlink>
      <w:hyperlink r:id="rId102">
        <w:r>
          <w:t xml:space="preserve"> </w:t>
        </w:r>
      </w:hyperlink>
    </w:p>
    <w:p w:rsidR="00621D2A" w:rsidRDefault="002063F5">
      <w:pPr>
        <w:numPr>
          <w:ilvl w:val="0"/>
          <w:numId w:val="15"/>
        </w:numPr>
        <w:ind w:right="7" w:hanging="360"/>
      </w:pPr>
      <w:r>
        <w:t xml:space="preserve">the security requirements of cloud services using the NCSC Cloud Security Principles and accompanying guidance at </w:t>
      </w:r>
      <w:hyperlink r:id="rId103">
        <w:r>
          <w:rPr>
            <w:color w:val="1155CC"/>
            <w:u w:val="single" w:color="1155CC"/>
          </w:rPr>
          <w:t>https://www.ncsc.gov.uk/guidance/implementin</w:t>
        </w:r>
      </w:hyperlink>
      <w:hyperlink r:id="rId104">
        <w:r>
          <w:rPr>
            <w:color w:val="1155CC"/>
            <w:u w:val="single" w:color="1155CC"/>
          </w:rPr>
          <w:t>g</w:t>
        </w:r>
      </w:hyperlink>
      <w:hyperlink r:id="rId105">
        <w:r>
          <w:rPr>
            <w:color w:val="1155CC"/>
            <w:u w:val="single" w:color="1155CC"/>
          </w:rPr>
          <w:t>-</w:t>
        </w:r>
      </w:hyperlink>
      <w:hyperlink r:id="rId106">
        <w:r>
          <w:rPr>
            <w:color w:val="1155CC"/>
            <w:u w:val="single" w:color="1155CC"/>
          </w:rPr>
          <w:t>clou</w:t>
        </w:r>
      </w:hyperlink>
      <w:hyperlink r:id="rId107">
        <w:r>
          <w:rPr>
            <w:color w:val="1155CC"/>
            <w:u w:val="single" w:color="1155CC"/>
          </w:rPr>
          <w:t>d</w:t>
        </w:r>
      </w:hyperlink>
      <w:hyperlink r:id="rId108"/>
      <w:hyperlink r:id="rId109">
        <w:r>
          <w:rPr>
            <w:color w:val="1155CC"/>
            <w:u w:val="single" w:color="1155CC"/>
          </w:rPr>
          <w:t>securit</w:t>
        </w:r>
      </w:hyperlink>
      <w:hyperlink r:id="rId110">
        <w:r>
          <w:rPr>
            <w:color w:val="1155CC"/>
            <w:u w:val="single" w:color="1155CC"/>
          </w:rPr>
          <w:t>yprinciple</w:t>
        </w:r>
      </w:hyperlink>
      <w:hyperlink r:id="rId111">
        <w:r>
          <w:rPr>
            <w:color w:val="1155CC"/>
            <w:u w:val="single" w:color="1155CC"/>
          </w:rPr>
          <w:t>s</w:t>
        </w:r>
      </w:hyperlink>
      <w:hyperlink r:id="rId112">
        <w:r>
          <w:t xml:space="preserve"> </w:t>
        </w:r>
      </w:hyperlink>
      <w:hyperlink r:id="rId113">
        <w:r>
          <w:rPr>
            <w:rFonts w:ascii="Arial" w:eastAsia="Arial" w:hAnsi="Arial" w:cs="Arial"/>
            <w:sz w:val="20"/>
          </w:rPr>
          <w:t xml:space="preserve"> </w:t>
        </w:r>
      </w:hyperlink>
      <w:r>
        <w:t xml:space="preserve"> </w:t>
      </w:r>
    </w:p>
    <w:p w:rsidR="00621D2A" w:rsidRDefault="002063F5">
      <w:pPr>
        <w:numPr>
          <w:ilvl w:val="1"/>
          <w:numId w:val="16"/>
        </w:numPr>
        <w:ind w:right="7" w:hanging="725"/>
      </w:pPr>
      <w:r>
        <w:t xml:space="preserve">The Buyer will specify any security requirements for this project in the Order Form.  </w:t>
      </w:r>
    </w:p>
    <w:p w:rsidR="00621D2A" w:rsidRDefault="002063F5">
      <w:pPr>
        <w:numPr>
          <w:ilvl w:val="1"/>
          <w:numId w:val="16"/>
        </w:numPr>
        <w:ind w:right="7" w:hanging="725"/>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621D2A" w:rsidRDefault="002063F5">
      <w:pPr>
        <w:numPr>
          <w:ilvl w:val="1"/>
          <w:numId w:val="16"/>
        </w:numPr>
        <w:ind w:right="7" w:hanging="725"/>
      </w:pPr>
      <w:r>
        <w:t xml:space="preserve">The Supplier agrees to use the appropriate organisational, operational and technological processes to keep the Buyer Data safe from unauthorised use or access, loss, destruction, theft or disclosure.  </w:t>
      </w:r>
    </w:p>
    <w:p w:rsidR="00621D2A" w:rsidRDefault="002063F5">
      <w:pPr>
        <w:numPr>
          <w:ilvl w:val="1"/>
          <w:numId w:val="16"/>
        </w:numPr>
        <w:spacing w:after="208"/>
        <w:ind w:right="7" w:hanging="725"/>
      </w:pPr>
      <w:r>
        <w:t xml:space="preserve">The provisions of this clause 13 will apply during the term of this Call-Off Contract and for as long as the Supplier holds the Buyer’s Data.  </w:t>
      </w:r>
    </w:p>
    <w:p w:rsidR="00621D2A" w:rsidRDefault="002063F5">
      <w:pPr>
        <w:pStyle w:val="Heading2"/>
        <w:ind w:left="686"/>
      </w:pPr>
      <w:r>
        <w:lastRenderedPageBreak/>
        <w:t xml:space="preserve">14. Standards and quality  </w:t>
      </w:r>
    </w:p>
    <w:p w:rsidR="00621D2A" w:rsidRDefault="002063F5">
      <w:pPr>
        <w:ind w:left="1411" w:right="7" w:hanging="725"/>
      </w:pPr>
      <w:r>
        <w:t>14.1</w:t>
      </w:r>
      <w:r>
        <w:rPr>
          <w:rFonts w:ascii="Arial" w:eastAsia="Arial" w:hAnsi="Arial" w:cs="Arial"/>
        </w:rPr>
        <w:t xml:space="preserve">  </w:t>
      </w:r>
      <w:r>
        <w:t xml:space="preserve">The Supplier will comply with any standards in this Call-Off Contract, the Order Form and the Framework Agreement.  </w:t>
      </w:r>
    </w:p>
    <w:p w:rsidR="00621D2A" w:rsidRDefault="002063F5">
      <w:pPr>
        <w:ind w:left="1411" w:right="7" w:hanging="725"/>
      </w:pPr>
      <w:r>
        <w:t>14.2</w:t>
      </w:r>
      <w:r>
        <w:rPr>
          <w:rFonts w:ascii="Arial" w:eastAsia="Arial" w:hAnsi="Arial" w:cs="Arial"/>
        </w:rPr>
        <w:t xml:space="preserve">  </w:t>
      </w:r>
      <w:hyperlink r:id="rId114">
        <w:r>
          <w:t xml:space="preserve">The Supplier will deliver the Services in a way that enables the Buyer to comply with its obligations </w:t>
        </w:r>
      </w:hyperlink>
      <w:hyperlink r:id="rId115">
        <w:r>
          <w:t>under the</w:t>
        </w:r>
      </w:hyperlink>
      <w:hyperlink r:id="rId116">
        <w:r>
          <w:t xml:space="preserve"> Technology Code of Practi</w:t>
        </w:r>
      </w:hyperlink>
      <w:hyperlink r:id="rId117">
        <w:r>
          <w:t>c</w:t>
        </w:r>
      </w:hyperlink>
      <w:hyperlink r:id="rId118">
        <w:r>
          <w:t>e</w:t>
        </w:r>
      </w:hyperlink>
      <w:hyperlink r:id="rId119">
        <w:r>
          <w:t>,</w:t>
        </w:r>
      </w:hyperlink>
      <w:hyperlink r:id="rId120">
        <w:r>
          <w:t xml:space="preserve"> </w:t>
        </w:r>
      </w:hyperlink>
      <w:hyperlink r:id="rId121">
        <w:r>
          <w:t xml:space="preserve">which is available at </w:t>
        </w:r>
      </w:hyperlink>
      <w:hyperlink r:id="rId122">
        <w:r>
          <w:rPr>
            <w:color w:val="1155CC"/>
            <w:u w:val="single" w:color="1155CC"/>
          </w:rPr>
          <w:t>https://www.gov.uk/government/publications/technolog</w:t>
        </w:r>
      </w:hyperlink>
      <w:hyperlink r:id="rId123">
        <w:r>
          <w:rPr>
            <w:color w:val="1155CC"/>
            <w:u w:val="single" w:color="1155CC"/>
          </w:rPr>
          <w:t>y</w:t>
        </w:r>
      </w:hyperlink>
      <w:hyperlink r:id="rId124">
        <w:r>
          <w:rPr>
            <w:color w:val="1155CC"/>
            <w:u w:val="single" w:color="1155CC"/>
          </w:rPr>
          <w:t>-</w:t>
        </w:r>
      </w:hyperlink>
      <w:hyperlink r:id="rId125">
        <w:r>
          <w:rPr>
            <w:color w:val="1155CC"/>
            <w:u w:val="single" w:color="1155CC"/>
          </w:rPr>
          <w:t>cod</w:t>
        </w:r>
      </w:hyperlink>
      <w:hyperlink r:id="rId126">
        <w:r>
          <w:rPr>
            <w:color w:val="1155CC"/>
            <w:u w:val="single" w:color="1155CC"/>
          </w:rPr>
          <w:t>e</w:t>
        </w:r>
      </w:hyperlink>
      <w:hyperlink r:id="rId127">
        <w:r>
          <w:rPr>
            <w:color w:val="1155CC"/>
            <w:u w:val="single" w:color="1155CC"/>
          </w:rPr>
          <w:t>-</w:t>
        </w:r>
      </w:hyperlink>
      <w:hyperlink r:id="rId128">
        <w:r>
          <w:rPr>
            <w:color w:val="1155CC"/>
            <w:u w:val="single" w:color="1155CC"/>
          </w:rPr>
          <w:t>o</w:t>
        </w:r>
      </w:hyperlink>
      <w:hyperlink r:id="rId129">
        <w:r>
          <w:rPr>
            <w:color w:val="1155CC"/>
            <w:u w:val="single" w:color="1155CC"/>
          </w:rPr>
          <w:t>f</w:t>
        </w:r>
      </w:hyperlink>
      <w:hyperlink r:id="rId130">
        <w:r>
          <w:rPr>
            <w:color w:val="1155CC"/>
            <w:u w:val="single" w:color="1155CC"/>
          </w:rPr>
          <w:t>-</w:t>
        </w:r>
      </w:hyperlink>
      <w:hyperlink r:id="rId131">
        <w:r>
          <w:rPr>
            <w:color w:val="1155CC"/>
            <w:u w:val="single" w:color="1155CC"/>
          </w:rPr>
          <w:t>practice/technolog</w:t>
        </w:r>
      </w:hyperlink>
      <w:hyperlink r:id="rId132">
        <w:r>
          <w:rPr>
            <w:color w:val="1155CC"/>
            <w:u w:val="single" w:color="1155CC"/>
          </w:rPr>
          <w:t>y</w:t>
        </w:r>
      </w:hyperlink>
      <w:hyperlink r:id="rId133">
        <w:r>
          <w:rPr>
            <w:color w:val="1155CC"/>
            <w:u w:val="single" w:color="1155CC"/>
          </w:rPr>
          <w:t>-</w:t>
        </w:r>
      </w:hyperlink>
      <w:hyperlink r:id="rId134">
        <w:r>
          <w:rPr>
            <w:color w:val="1155CC"/>
            <w:u w:val="single" w:color="1155CC"/>
          </w:rPr>
          <w:t>cod</w:t>
        </w:r>
      </w:hyperlink>
      <w:hyperlink r:id="rId135">
        <w:r>
          <w:rPr>
            <w:color w:val="1155CC"/>
            <w:u w:val="single" w:color="1155CC"/>
          </w:rPr>
          <w:t>e</w:t>
        </w:r>
      </w:hyperlink>
      <w:hyperlink r:id="rId136"/>
      <w:hyperlink r:id="rId137">
        <w:r>
          <w:rPr>
            <w:color w:val="1155CC"/>
            <w:u w:val="single" w:color="1155CC"/>
          </w:rPr>
          <w:t>o</w:t>
        </w:r>
      </w:hyperlink>
      <w:hyperlink r:id="rId138">
        <w:r>
          <w:rPr>
            <w:color w:val="1155CC"/>
            <w:u w:val="single" w:color="1155CC"/>
          </w:rPr>
          <w:t>fpractic</w:t>
        </w:r>
      </w:hyperlink>
      <w:hyperlink r:id="rId139">
        <w:r>
          <w:rPr>
            <w:color w:val="1155CC"/>
            <w:u w:val="single" w:color="1155CC"/>
          </w:rPr>
          <w:t>e</w:t>
        </w:r>
      </w:hyperlink>
      <w:hyperlink r:id="rId140">
        <w:r>
          <w:rPr>
            <w:rFonts w:ascii="Arial" w:eastAsia="Arial" w:hAnsi="Arial" w:cs="Arial"/>
            <w:sz w:val="20"/>
          </w:rPr>
          <w:t xml:space="preserve"> </w:t>
        </w:r>
      </w:hyperlink>
      <w:hyperlink r:id="rId141">
        <w:r>
          <w:t xml:space="preserve"> </w:t>
        </w:r>
      </w:hyperlink>
    </w:p>
    <w:p w:rsidR="00621D2A" w:rsidRDefault="002063F5">
      <w:pPr>
        <w:ind w:left="1411" w:right="7" w:hanging="725"/>
      </w:pPr>
      <w:r>
        <w:t>14.3</w:t>
      </w:r>
      <w:r>
        <w:rPr>
          <w:rFonts w:ascii="Arial" w:eastAsia="Arial" w:hAnsi="Arial" w:cs="Arial"/>
        </w:rPr>
        <w:t xml:space="preserve">  </w:t>
      </w:r>
      <w:r>
        <w:t xml:space="preserve">If requested by the Buyer, the Supplier must, at its own cost, ensure that the G-Cloud Services comply with the requirements in the PSN Code of Practice.  </w:t>
      </w:r>
    </w:p>
    <w:p w:rsidR="00621D2A" w:rsidRDefault="002063F5">
      <w:pPr>
        <w:ind w:left="1411" w:right="7" w:hanging="725"/>
      </w:pPr>
      <w:r>
        <w:t>14.4</w:t>
      </w:r>
      <w:r>
        <w:rPr>
          <w:rFonts w:ascii="Arial" w:eastAsia="Arial" w:hAnsi="Arial" w:cs="Arial"/>
        </w:rPr>
        <w:t xml:space="preserve">  </w:t>
      </w:r>
      <w:r>
        <w:t xml:space="preserve">If any PSN Services are Subcontracted by the Supplier, the Supplier must ensure that the services have the relevant PSN compliance certification.  </w:t>
      </w:r>
    </w:p>
    <w:p w:rsidR="00621D2A" w:rsidRDefault="002063F5">
      <w:pPr>
        <w:spacing w:after="211"/>
        <w:ind w:left="1411" w:right="7" w:hanging="725"/>
      </w:pPr>
      <w:r>
        <w:t>14.5</w:t>
      </w:r>
      <w:r>
        <w:rPr>
          <w:rFonts w:ascii="Arial" w:eastAsia="Arial" w:hAnsi="Arial" w:cs="Arial"/>
        </w:rPr>
        <w:t xml:space="preserve">  </w:t>
      </w:r>
      <w: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142">
        <w:r>
          <w:t>.</w:t>
        </w:r>
      </w:hyperlink>
      <w:hyperlink r:id="rId143">
        <w:r>
          <w:rPr>
            <w:rFonts w:ascii="Arial" w:eastAsia="Arial" w:hAnsi="Arial" w:cs="Arial"/>
            <w:sz w:val="20"/>
          </w:rPr>
          <w:t xml:space="preserve"> </w:t>
        </w:r>
      </w:hyperlink>
      <w:hyperlink r:id="rId144">
        <w:r>
          <w:t xml:space="preserve"> </w:t>
        </w:r>
      </w:hyperlink>
    </w:p>
    <w:p w:rsidR="00621D2A" w:rsidRDefault="002063F5">
      <w:pPr>
        <w:pStyle w:val="Heading2"/>
        <w:ind w:left="686"/>
      </w:pPr>
      <w:r>
        <w:t xml:space="preserve">15. Open source  </w:t>
      </w:r>
    </w:p>
    <w:p w:rsidR="00621D2A" w:rsidRDefault="002063F5">
      <w:pPr>
        <w:ind w:left="1411" w:right="7" w:hanging="725"/>
      </w:pPr>
      <w:r>
        <w:t>15.1</w:t>
      </w:r>
      <w:r>
        <w:rPr>
          <w:rFonts w:ascii="Arial" w:eastAsia="Arial" w:hAnsi="Arial" w:cs="Arial"/>
        </w:rPr>
        <w:t xml:space="preserve">  </w:t>
      </w:r>
      <w:r>
        <w:t xml:space="preserve">All software created for the Buyer must be suitable for publication as open source, unless otherwise agreed by the Buyer.  </w:t>
      </w:r>
    </w:p>
    <w:p w:rsidR="00621D2A" w:rsidRDefault="002063F5">
      <w:pPr>
        <w:spacing w:after="210"/>
        <w:ind w:left="1411" w:right="7" w:hanging="725"/>
      </w:pPr>
      <w:r>
        <w:t>15.2</w:t>
      </w:r>
      <w:r>
        <w:rPr>
          <w:rFonts w:ascii="Arial" w:eastAsia="Arial" w:hAnsi="Arial" w:cs="Arial"/>
        </w:rPr>
        <w:t xml:space="preserve">  </w:t>
      </w:r>
      <w:r>
        <w:t xml:space="preserve">If software needs to be converted before publication as open source, the Supplier must also provide the converted format unless otherwise agreed by the Buyer.  </w:t>
      </w:r>
    </w:p>
    <w:p w:rsidR="00621D2A" w:rsidRDefault="002063F5">
      <w:pPr>
        <w:pStyle w:val="Heading2"/>
        <w:ind w:left="686"/>
      </w:pPr>
      <w:r>
        <w:t xml:space="preserve">16. Security  </w:t>
      </w:r>
    </w:p>
    <w:p w:rsidR="00621D2A" w:rsidRDefault="002063F5">
      <w:pPr>
        <w:ind w:left="1411" w:right="7" w:hanging="725"/>
      </w:pPr>
      <w:r>
        <w:t>16.1</w:t>
      </w:r>
      <w:r>
        <w:rPr>
          <w:rFonts w:ascii="Arial" w:eastAsia="Arial" w:hAnsi="Arial" w:cs="Arial"/>
        </w:rPr>
        <w:t xml:space="preserve">  </w:t>
      </w:r>
      <w:r>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621D2A" w:rsidRDefault="002063F5">
      <w:pPr>
        <w:ind w:left="1411" w:right="7" w:hanging="725"/>
      </w:pPr>
      <w:r>
        <w:t>16.2</w:t>
      </w:r>
      <w:r>
        <w:rPr>
          <w:rFonts w:ascii="Arial" w:eastAsia="Arial" w:hAnsi="Arial" w:cs="Arial"/>
        </w:rPr>
        <w:t xml:space="preserve">  </w:t>
      </w:r>
      <w:r>
        <w:t xml:space="preserve">The Supplier will use software and the most up-to-date antivirus definitions available from an industry-accepted antivirus software seller to minimise the impact of Malicious Software.  </w:t>
      </w:r>
    </w:p>
    <w:p w:rsidR="00621D2A" w:rsidRDefault="002063F5">
      <w:pPr>
        <w:ind w:left="1411" w:right="7" w:hanging="725"/>
      </w:pPr>
      <w:r>
        <w:lastRenderedPageBreak/>
        <w:t>16.3</w:t>
      </w:r>
      <w:r>
        <w:rPr>
          <w:rFonts w:ascii="Arial" w:eastAsia="Arial" w:hAnsi="Arial" w:cs="Arial"/>
        </w:rPr>
        <w:t xml:space="preserve">  </w:t>
      </w:r>
      <w:r>
        <w:t xml:space="preserve">If Malicious Software causes loss of operational efficiency or loss or corruption of Service Data, the Supplier will help the Buyer to mitigate any losses and restore the Services to operating efficiency as soon as possible.  </w:t>
      </w:r>
    </w:p>
    <w:p w:rsidR="00621D2A" w:rsidRDefault="002063F5">
      <w:pPr>
        <w:ind w:left="696" w:right="7"/>
      </w:pPr>
      <w:r>
        <w:t>16.4</w:t>
      </w:r>
      <w:r>
        <w:rPr>
          <w:rFonts w:ascii="Arial" w:eastAsia="Arial" w:hAnsi="Arial" w:cs="Arial"/>
        </w:rPr>
        <w:t xml:space="preserve">  </w:t>
      </w:r>
      <w:r>
        <w:t xml:space="preserve">Responsibility for costs will be at the:  </w:t>
      </w:r>
    </w:p>
    <w:p w:rsidR="00621D2A" w:rsidRDefault="002063F5">
      <w:pPr>
        <w:numPr>
          <w:ilvl w:val="0"/>
          <w:numId w:val="17"/>
        </w:numPr>
        <w:ind w:right="46" w:hanging="360"/>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621D2A" w:rsidRDefault="002063F5">
      <w:pPr>
        <w:numPr>
          <w:ilvl w:val="0"/>
          <w:numId w:val="17"/>
        </w:numPr>
        <w:ind w:right="46" w:hanging="360"/>
      </w:pPr>
      <w:r>
        <w:t xml:space="preserve">Buyer’s expense if the Malicious Software originates from the Buyer software or the Service  Data, while the Service Data was under the Buyer’s control  </w:t>
      </w:r>
    </w:p>
    <w:p w:rsidR="00621D2A" w:rsidRDefault="002063F5">
      <w:pPr>
        <w:numPr>
          <w:ilvl w:val="1"/>
          <w:numId w:val="18"/>
        </w:numPr>
        <w:ind w:right="7" w:hanging="725"/>
      </w:pPr>
      <w: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  </w:t>
      </w:r>
    </w:p>
    <w:p w:rsidR="00621D2A" w:rsidRDefault="002063F5">
      <w:pPr>
        <w:numPr>
          <w:ilvl w:val="1"/>
          <w:numId w:val="18"/>
        </w:numPr>
        <w:spacing w:after="15"/>
        <w:ind w:right="7" w:hanging="725"/>
      </w:pPr>
      <w:r>
        <w:t xml:space="preserve">Any system development by the Supplier should also comply with the government’s ‘10 Steps to  </w:t>
      </w:r>
    </w:p>
    <w:p w:rsidR="00621D2A" w:rsidRDefault="002063F5">
      <w:pPr>
        <w:spacing w:after="295" w:line="265" w:lineRule="auto"/>
        <w:ind w:left="1436"/>
      </w:pPr>
      <w:r>
        <w:t xml:space="preserve">Cyber Security’ guidance, available at </w:t>
      </w:r>
      <w:hyperlink r:id="rId145">
        <w:r>
          <w:rPr>
            <w:color w:val="1155CC"/>
            <w:u w:val="single" w:color="1155CC"/>
          </w:rPr>
          <w:t>https://www.ncsc.gov.uk/guidance/1</w:t>
        </w:r>
      </w:hyperlink>
      <w:hyperlink r:id="rId146">
        <w:r>
          <w:rPr>
            <w:color w:val="1155CC"/>
            <w:u w:val="single" w:color="1155CC"/>
          </w:rPr>
          <w:t>0</w:t>
        </w:r>
      </w:hyperlink>
      <w:hyperlink r:id="rId147">
        <w:r>
          <w:rPr>
            <w:color w:val="1155CC"/>
            <w:u w:val="single" w:color="1155CC"/>
          </w:rPr>
          <w:t>-</w:t>
        </w:r>
      </w:hyperlink>
      <w:hyperlink r:id="rId148">
        <w:r>
          <w:rPr>
            <w:color w:val="1155CC"/>
            <w:u w:val="single" w:color="1155CC"/>
          </w:rPr>
          <w:t>step</w:t>
        </w:r>
      </w:hyperlink>
      <w:hyperlink r:id="rId149">
        <w:r>
          <w:rPr>
            <w:color w:val="1155CC"/>
            <w:u w:val="single" w:color="1155CC"/>
          </w:rPr>
          <w:t>s</w:t>
        </w:r>
      </w:hyperlink>
      <w:hyperlink r:id="rId150">
        <w:r>
          <w:rPr>
            <w:color w:val="1155CC"/>
            <w:u w:val="single" w:color="1155CC"/>
          </w:rPr>
          <w:t>-</w:t>
        </w:r>
      </w:hyperlink>
      <w:hyperlink r:id="rId151">
        <w:r>
          <w:rPr>
            <w:color w:val="1155CC"/>
            <w:u w:val="single" w:color="1155CC"/>
          </w:rPr>
          <w:t>cybe</w:t>
        </w:r>
      </w:hyperlink>
      <w:hyperlink r:id="rId152">
        <w:r>
          <w:rPr>
            <w:color w:val="1155CC"/>
            <w:u w:val="single" w:color="1155CC"/>
          </w:rPr>
          <w:t>r</w:t>
        </w:r>
      </w:hyperlink>
      <w:hyperlink r:id="rId153">
        <w:r>
          <w:rPr>
            <w:color w:val="1155CC"/>
            <w:u w:val="single" w:color="1155CC"/>
          </w:rPr>
          <w:t>-</w:t>
        </w:r>
      </w:hyperlink>
      <w:hyperlink r:id="rId154">
        <w:r>
          <w:rPr>
            <w:color w:val="1155CC"/>
            <w:u w:val="single" w:color="1155CC"/>
          </w:rPr>
          <w:t>securit</w:t>
        </w:r>
      </w:hyperlink>
      <w:hyperlink r:id="rId155">
        <w:r>
          <w:rPr>
            <w:color w:val="1155CC"/>
            <w:u w:val="single" w:color="1155CC"/>
          </w:rPr>
          <w:t>y</w:t>
        </w:r>
      </w:hyperlink>
      <w:hyperlink r:id="rId156">
        <w:r>
          <w:rPr>
            <w:rFonts w:ascii="Arial" w:eastAsia="Arial" w:hAnsi="Arial" w:cs="Arial"/>
            <w:sz w:val="20"/>
          </w:rPr>
          <w:t xml:space="preserve"> </w:t>
        </w:r>
      </w:hyperlink>
      <w:hyperlink r:id="rId157">
        <w:r>
          <w:t xml:space="preserve"> </w:t>
        </w:r>
      </w:hyperlink>
    </w:p>
    <w:p w:rsidR="00621D2A" w:rsidRDefault="002063F5">
      <w:pPr>
        <w:numPr>
          <w:ilvl w:val="1"/>
          <w:numId w:val="18"/>
        </w:numPr>
        <w:spacing w:after="208"/>
        <w:ind w:right="7" w:hanging="725"/>
      </w:pPr>
      <w:r>
        <w:t xml:space="preserve">If a Buyer has requested in the Order Form that the Supplier has a Cyber Essentials certificate, the Supplier must provide the Buyer with a valid Cyber Essentials certificate (or equivalent) required for the Services before the Start Date. </w:t>
      </w:r>
      <w:r>
        <w:rPr>
          <w:rFonts w:ascii="Arial" w:eastAsia="Arial" w:hAnsi="Arial" w:cs="Arial"/>
          <w:sz w:val="20"/>
        </w:rPr>
        <w:t xml:space="preserve"> </w:t>
      </w:r>
      <w:r>
        <w:t xml:space="preserve"> </w:t>
      </w:r>
    </w:p>
    <w:p w:rsidR="00621D2A" w:rsidRDefault="002063F5">
      <w:pPr>
        <w:pStyle w:val="Heading2"/>
        <w:ind w:left="686"/>
      </w:pPr>
      <w:r>
        <w:t xml:space="preserve">17. Guarantee  </w:t>
      </w:r>
    </w:p>
    <w:p w:rsidR="00621D2A" w:rsidRDefault="002063F5">
      <w:pPr>
        <w:ind w:left="1411" w:right="7" w:hanging="725"/>
      </w:pPr>
      <w:r>
        <w:t>17.1</w:t>
      </w:r>
      <w:r>
        <w:rPr>
          <w:rFonts w:ascii="Arial" w:eastAsia="Arial" w:hAnsi="Arial" w:cs="Arial"/>
        </w:rPr>
        <w:t xml:space="preserve">  </w:t>
      </w:r>
      <w:r>
        <w:rPr>
          <w:rFonts w:ascii="Arial" w:eastAsia="Arial" w:hAnsi="Arial" w:cs="Arial"/>
        </w:rPr>
        <w:tab/>
      </w:r>
      <w:r>
        <w:t xml:space="preserve">If this Call-Off Contract is conditional on receipt of a Guarantee that is acceptable to the Buyer, the Supplier must give the Buyer on or before the Start Date:  </w:t>
      </w:r>
    </w:p>
    <w:p w:rsidR="00621D2A" w:rsidRDefault="002063F5">
      <w:pPr>
        <w:numPr>
          <w:ilvl w:val="0"/>
          <w:numId w:val="19"/>
        </w:numPr>
        <w:ind w:right="7" w:hanging="360"/>
      </w:pPr>
      <w:r>
        <w:t xml:space="preserve">an executed Guarantee in the form at Schedule 5   </w:t>
      </w:r>
    </w:p>
    <w:p w:rsidR="00621D2A" w:rsidRDefault="002063F5">
      <w:pPr>
        <w:numPr>
          <w:ilvl w:val="0"/>
          <w:numId w:val="19"/>
        </w:numPr>
        <w:spacing w:after="210"/>
        <w:ind w:right="7" w:hanging="360"/>
      </w:pPr>
      <w:r>
        <w:t xml:space="preserve">a certified copy of the passed resolution or board minutes of the guarantor approving the execution of the Guarantee  </w:t>
      </w:r>
    </w:p>
    <w:p w:rsidR="00621D2A" w:rsidRDefault="002063F5">
      <w:pPr>
        <w:pStyle w:val="Heading2"/>
        <w:ind w:left="686"/>
      </w:pPr>
      <w:r>
        <w:t xml:space="preserve">18. Ending the Call-Off Contract  </w:t>
      </w:r>
    </w:p>
    <w:p w:rsidR="00621D2A" w:rsidRDefault="002063F5">
      <w:pPr>
        <w:spacing w:after="291" w:line="265" w:lineRule="auto"/>
        <w:ind w:left="1421" w:hanging="735"/>
      </w:pPr>
      <w:r>
        <w:t>18.1</w:t>
      </w:r>
      <w:r>
        <w:rPr>
          <w:rFonts w:ascii="Arial" w:eastAsia="Arial" w:hAnsi="Arial" w:cs="Arial"/>
        </w:rPr>
        <w:t xml:space="preserve">  </w:t>
      </w:r>
      <w:r>
        <w:rPr>
          <w:rFonts w:ascii="Arial" w:eastAsia="Arial" w:hAnsi="Arial" w:cs="Arial"/>
        </w:rPr>
        <w:tab/>
      </w:r>
      <w:r>
        <w:t xml:space="preserve">The Buyer can End this Call-Off Contract at any time by giving 30 days’ written notice to the Supplier, unless a shorter period is specified in the Order Form. The Supplier’s obligation to provide the Services will end on the date in the notice.  </w:t>
      </w:r>
    </w:p>
    <w:p w:rsidR="00621D2A" w:rsidRDefault="002063F5">
      <w:pPr>
        <w:ind w:left="696" w:right="7"/>
      </w:pPr>
      <w:r>
        <w:lastRenderedPageBreak/>
        <w:t>18.2</w:t>
      </w:r>
      <w:r>
        <w:rPr>
          <w:rFonts w:ascii="Arial" w:eastAsia="Arial" w:hAnsi="Arial" w:cs="Arial"/>
        </w:rPr>
        <w:t xml:space="preserve">  </w:t>
      </w:r>
      <w:r>
        <w:t xml:space="preserve">The Parties agree that the:  </w:t>
      </w:r>
    </w:p>
    <w:p w:rsidR="00621D2A" w:rsidRDefault="002063F5">
      <w:pPr>
        <w:numPr>
          <w:ilvl w:val="0"/>
          <w:numId w:val="20"/>
        </w:numPr>
        <w:ind w:right="7" w:hanging="360"/>
      </w:pPr>
      <w:r>
        <w:t xml:space="preserve">Buyer’s right to End the Call-Off Contract under clause 18.1 is reasonable considering the type of cloud Service being provided  </w:t>
      </w:r>
    </w:p>
    <w:p w:rsidR="00621D2A" w:rsidRDefault="002063F5">
      <w:pPr>
        <w:numPr>
          <w:ilvl w:val="0"/>
          <w:numId w:val="20"/>
        </w:numPr>
        <w:ind w:right="7" w:hanging="360"/>
      </w:pPr>
      <w:r>
        <w:t xml:space="preserve">Call-Off Contract Charges paid during the notice period is reasonable compensation and covers all the Supplier’s avoidable costs or Losses  </w:t>
      </w:r>
    </w:p>
    <w:p w:rsidR="00621D2A" w:rsidRDefault="002063F5">
      <w:pPr>
        <w:numPr>
          <w:ilvl w:val="1"/>
          <w:numId w:val="21"/>
        </w:numPr>
        <w:spacing w:after="8"/>
        <w:ind w:right="154" w:hanging="725"/>
      </w:pPr>
      <w:r>
        <w:t xml:space="preserve">Subject to clause 24 (Liability), if the Buyer Ends this Call-Off Contract under clause 18.1, it will  indemnify the Supplier against any commitments, liabilities or expenditure which result in any </w:t>
      </w:r>
    </w:p>
    <w:p w:rsidR="00621D2A" w:rsidRDefault="002063F5">
      <w:pPr>
        <w:ind w:left="1446" w:right="7"/>
      </w:pPr>
      <w:r>
        <w:t xml:space="preserve">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621D2A" w:rsidRDefault="002063F5">
      <w:pPr>
        <w:numPr>
          <w:ilvl w:val="1"/>
          <w:numId w:val="21"/>
        </w:numPr>
        <w:ind w:right="154" w:hanging="725"/>
      </w:pPr>
      <w:r>
        <w:t xml:space="preserve">The Buyer will have the right to End this Call-Off Contract at any time with immediate effect by written notice to the Supplier if either the Supplier commits:  </w:t>
      </w:r>
    </w:p>
    <w:p w:rsidR="00621D2A" w:rsidRDefault="002063F5">
      <w:pPr>
        <w:numPr>
          <w:ilvl w:val="0"/>
          <w:numId w:val="20"/>
        </w:numPr>
        <w:spacing w:after="127" w:line="404" w:lineRule="auto"/>
        <w:ind w:right="7" w:hanging="360"/>
      </w:pPr>
      <w:r>
        <w:t xml:space="preserve">a Supplier Default and if the Supplier Default cannot, in the reasonable opinion of the Buyer, be remedied </w:t>
      </w:r>
      <w:r>
        <w:rPr>
          <w:rFonts w:ascii="Wingdings" w:eastAsia="Wingdings" w:hAnsi="Wingdings" w:cs="Wingdings"/>
        </w:rPr>
        <w:t></w:t>
      </w:r>
      <w:r>
        <w:rPr>
          <w:rFonts w:ascii="Arial" w:eastAsia="Arial" w:hAnsi="Arial" w:cs="Arial"/>
        </w:rPr>
        <w:t xml:space="preserve"> </w:t>
      </w:r>
      <w:r>
        <w:t xml:space="preserve">any fraud  </w:t>
      </w:r>
    </w:p>
    <w:p w:rsidR="00621D2A" w:rsidRDefault="002063F5">
      <w:pPr>
        <w:ind w:left="696" w:right="7"/>
      </w:pPr>
      <w:r>
        <w:t>18.5</w:t>
      </w:r>
      <w:r>
        <w:rPr>
          <w:rFonts w:ascii="Arial" w:eastAsia="Arial" w:hAnsi="Arial" w:cs="Arial"/>
        </w:rPr>
        <w:t xml:space="preserve">  </w:t>
      </w:r>
      <w:r>
        <w:t xml:space="preserve">A Party can End this Call-Off Contract at any time with immediate effect by written notice if:  </w:t>
      </w:r>
    </w:p>
    <w:p w:rsidR="00621D2A" w:rsidRDefault="002063F5">
      <w:pPr>
        <w:numPr>
          <w:ilvl w:val="0"/>
          <w:numId w:val="20"/>
        </w:numPr>
        <w:ind w:right="7" w:hanging="360"/>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621D2A" w:rsidRDefault="002063F5">
      <w:pPr>
        <w:numPr>
          <w:ilvl w:val="0"/>
          <w:numId w:val="20"/>
        </w:numPr>
        <w:ind w:right="7" w:hanging="360"/>
      </w:pPr>
      <w:r>
        <w:t xml:space="preserve">an Insolvency Event of the other Party happens  </w:t>
      </w:r>
    </w:p>
    <w:p w:rsidR="00621D2A" w:rsidRDefault="002063F5">
      <w:pPr>
        <w:numPr>
          <w:ilvl w:val="0"/>
          <w:numId w:val="20"/>
        </w:numPr>
        <w:ind w:right="7" w:hanging="360"/>
      </w:pPr>
      <w:r>
        <w:t xml:space="preserve">the other Party ceases or threatens to cease to carry on the whole or any material part of its business  </w:t>
      </w:r>
    </w:p>
    <w:p w:rsidR="00621D2A" w:rsidRDefault="002063F5">
      <w:pPr>
        <w:numPr>
          <w:ilvl w:val="1"/>
          <w:numId w:val="22"/>
        </w:numPr>
        <w:ind w:right="3" w:hanging="725"/>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621D2A" w:rsidRDefault="002063F5">
      <w:pPr>
        <w:numPr>
          <w:ilvl w:val="1"/>
          <w:numId w:val="22"/>
        </w:numPr>
        <w:spacing w:after="209" w:line="265" w:lineRule="auto"/>
        <w:ind w:right="3" w:hanging="725"/>
      </w:pPr>
      <w:r>
        <w:t xml:space="preserve">A Party who isn’t relying on a Force Majeure event will have the right to End this Call-Off Contract if clause 23.1 applies.  </w:t>
      </w:r>
    </w:p>
    <w:p w:rsidR="00621D2A" w:rsidRDefault="002063F5">
      <w:pPr>
        <w:pStyle w:val="Heading2"/>
        <w:ind w:left="686"/>
      </w:pPr>
      <w:r>
        <w:lastRenderedPageBreak/>
        <w:t xml:space="preserve">19. Consequences of suspension, ending and expiry  </w:t>
      </w:r>
    </w:p>
    <w:p w:rsidR="00621D2A" w:rsidRDefault="002063F5">
      <w:pPr>
        <w:ind w:left="1411" w:right="7" w:hanging="725"/>
      </w:pPr>
      <w:r>
        <w:t>19.1</w:t>
      </w:r>
      <w:r>
        <w:rPr>
          <w:rFonts w:ascii="Arial" w:eastAsia="Arial" w:hAnsi="Arial" w:cs="Arial"/>
        </w:rPr>
        <w:t xml:space="preserve">  </w:t>
      </w:r>
      <w:r>
        <w:t xml:space="preserve">If a Buyer has the right to End a Call-Off Contract, it may elect to suspend this Call-Off Contract or any part of it.  </w:t>
      </w:r>
    </w:p>
    <w:p w:rsidR="00621D2A" w:rsidRDefault="002063F5">
      <w:pPr>
        <w:ind w:left="1411" w:right="7" w:hanging="725"/>
      </w:pPr>
      <w:r>
        <w:t>19.2</w:t>
      </w:r>
      <w:r>
        <w:rPr>
          <w:rFonts w:ascii="Arial" w:eastAsia="Arial" w:hAnsi="Arial" w:cs="Arial"/>
        </w:rPr>
        <w:t xml:space="preserve">  </w:t>
      </w:r>
      <w:r>
        <w:t xml:space="preserve">Even if a notice has been served to End this Call-Off Contract or any part of it, the Supplier must continue to provide the Ordered G-Cloud Services until the dates set out in the notice.  </w:t>
      </w:r>
    </w:p>
    <w:p w:rsidR="00621D2A" w:rsidRDefault="002063F5">
      <w:pPr>
        <w:ind w:left="1411" w:right="7" w:hanging="725"/>
      </w:pPr>
      <w:r>
        <w:t>19.3</w:t>
      </w:r>
      <w:r>
        <w:rPr>
          <w:rFonts w:ascii="Arial" w:eastAsia="Arial" w:hAnsi="Arial" w:cs="Arial"/>
        </w:rPr>
        <w:t xml:space="preserve"> </w:t>
      </w:r>
      <w:r>
        <w:t xml:space="preserve">The rights and obligations of the Parties will cease on the Expiry Date or End Date (whichever applies) of this Call-Off Contract, except those continuing provisions described in clause 19.4.  </w:t>
      </w:r>
    </w:p>
    <w:p w:rsidR="00621D2A" w:rsidRDefault="002063F5">
      <w:pPr>
        <w:ind w:left="696" w:right="7"/>
      </w:pPr>
      <w:r>
        <w:t>19.4</w:t>
      </w:r>
      <w:r>
        <w:rPr>
          <w:rFonts w:ascii="Arial" w:eastAsia="Arial" w:hAnsi="Arial" w:cs="Arial"/>
        </w:rPr>
        <w:t xml:space="preserve">  </w:t>
      </w:r>
      <w:r>
        <w:t xml:space="preserve">Ending or expiry of this Call-Off Contract will not affect:  </w:t>
      </w:r>
    </w:p>
    <w:p w:rsidR="00621D2A" w:rsidRDefault="002063F5">
      <w:pPr>
        <w:numPr>
          <w:ilvl w:val="0"/>
          <w:numId w:val="23"/>
        </w:numPr>
        <w:ind w:right="7" w:hanging="360"/>
      </w:pPr>
      <w:r>
        <w:t xml:space="preserve">any rights, remedies or obligations accrued before its Ending or expiration  </w:t>
      </w:r>
    </w:p>
    <w:p w:rsidR="00621D2A" w:rsidRDefault="002063F5">
      <w:pPr>
        <w:numPr>
          <w:ilvl w:val="0"/>
          <w:numId w:val="23"/>
        </w:numPr>
        <w:ind w:right="7" w:hanging="360"/>
      </w:pPr>
      <w:r>
        <w:t xml:space="preserve">the right of either Party to recover any amount outstanding at the time of Ending or expiry  </w:t>
      </w:r>
    </w:p>
    <w:p w:rsidR="00621D2A" w:rsidRDefault="002063F5">
      <w:pPr>
        <w:numPr>
          <w:ilvl w:val="0"/>
          <w:numId w:val="23"/>
        </w:numPr>
        <w:spacing w:after="14"/>
        <w:ind w:right="7" w:hanging="360"/>
      </w:pPr>
      <w:r>
        <w:t xml:space="preserve">the continuing rights, remedies or obligations of the Buyer or the Supplier under clauses 7  </w:t>
      </w:r>
    </w:p>
    <w:p w:rsidR="00621D2A" w:rsidRDefault="002063F5">
      <w:pPr>
        <w:spacing w:after="16" w:line="259" w:lineRule="auto"/>
        <w:ind w:right="31"/>
        <w:jc w:val="right"/>
      </w:pPr>
      <w:r>
        <w:t xml:space="preserve">(Payment, VAT and Call-Off Contract charges); 8 (Recovery of sums due and right of set-off);  </w:t>
      </w:r>
    </w:p>
    <w:p w:rsidR="00621D2A" w:rsidRDefault="002063F5">
      <w:pPr>
        <w:spacing w:after="11"/>
        <w:ind w:left="2156" w:right="7"/>
      </w:pPr>
      <w:r>
        <w:t xml:space="preserve">9 (Insurance); 10 (Confidentiality); 11 (Intellectual property rights); 12 (Protection of information); 13 (Buyer data);19 (Consequences of suspension, ending and expiry); 24 (Liability); incorporated Framework Agreement clauses: 4.2 to 4.7 (Liability); 8.42 to 8.48  </w:t>
      </w:r>
    </w:p>
    <w:p w:rsidR="00621D2A" w:rsidRDefault="002063F5">
      <w:pPr>
        <w:spacing w:after="251"/>
        <w:ind w:left="2156" w:right="7"/>
      </w:pPr>
      <w:r>
        <w:t xml:space="preserve">(Conflicts of interest and ethical walls) and 8.92 to 8.93 (Waiver and cumulative remedies)  </w:t>
      </w:r>
    </w:p>
    <w:p w:rsidR="00621D2A" w:rsidRDefault="002063F5">
      <w:pPr>
        <w:spacing w:after="88"/>
        <w:ind w:left="2249" w:right="7" w:hanging="408"/>
      </w:pPr>
      <w:r>
        <w:rPr>
          <w:rFonts w:ascii="Arial" w:eastAsia="Arial" w:hAnsi="Arial" w:cs="Arial"/>
        </w:rPr>
        <w:t xml:space="preserve">● </w:t>
      </w:r>
      <w:r>
        <w:t xml:space="preserve">any other provision of the Framework Agreement or this Call-Off Contract which expressly or by implication is in force even if it Ends or expires  </w:t>
      </w:r>
    </w:p>
    <w:p w:rsidR="00621D2A" w:rsidRDefault="002063F5">
      <w:pPr>
        <w:ind w:left="696" w:right="7"/>
      </w:pPr>
      <w:r>
        <w:t>19.5</w:t>
      </w:r>
      <w:r>
        <w:rPr>
          <w:rFonts w:ascii="Arial" w:eastAsia="Arial" w:hAnsi="Arial" w:cs="Arial"/>
        </w:rPr>
        <w:t xml:space="preserve">  </w:t>
      </w:r>
      <w:r>
        <w:t xml:space="preserve">At the end of the Call-Off Contract Term, the Supplier must promptly:  </w:t>
      </w:r>
    </w:p>
    <w:p w:rsidR="00621D2A" w:rsidRDefault="002063F5">
      <w:pPr>
        <w:numPr>
          <w:ilvl w:val="0"/>
          <w:numId w:val="24"/>
        </w:numPr>
        <w:ind w:right="7" w:hanging="360"/>
      </w:pPr>
      <w:r>
        <w:t xml:space="preserve">return all Buyer Data including all copies of Buyer software, code and any other software licensed by the Buyer to the Supplier under it  </w:t>
      </w:r>
    </w:p>
    <w:p w:rsidR="00621D2A" w:rsidRDefault="002063F5">
      <w:pPr>
        <w:numPr>
          <w:ilvl w:val="0"/>
          <w:numId w:val="24"/>
        </w:numPr>
        <w:ind w:right="7" w:hanging="360"/>
      </w:pPr>
      <w:r>
        <w:t xml:space="preserve">return any materials created by the Supplier under this Call-Off Contract if the IPRs are owned by the Buyer  </w:t>
      </w:r>
    </w:p>
    <w:p w:rsidR="00621D2A" w:rsidRDefault="002063F5">
      <w:pPr>
        <w:numPr>
          <w:ilvl w:val="0"/>
          <w:numId w:val="24"/>
        </w:numPr>
        <w:ind w:right="7" w:hanging="360"/>
      </w:pPr>
      <w:r>
        <w:t xml:space="preserve">stop using the Buyer Data and, at the direction of the Buyer, provide the Buyer with a complete and uncorrupted version in electronic form in the formats and on media agreed with the Buyer  </w:t>
      </w:r>
    </w:p>
    <w:p w:rsidR="00621D2A" w:rsidRDefault="002063F5">
      <w:pPr>
        <w:numPr>
          <w:ilvl w:val="0"/>
          <w:numId w:val="24"/>
        </w:numPr>
        <w:ind w:right="7" w:hanging="360"/>
      </w:pPr>
      <w:r>
        <w:t xml:space="preserve">destroy all copies of the Buyer Data when they receive the Buyer’s written instructions to do so or 12 calendar months after the End or Expiry Date, and provide written confirmation to </w:t>
      </w:r>
      <w:r>
        <w:lastRenderedPageBreak/>
        <w:t xml:space="preserve">the Buyer that the data has been securely destroyed, except if the retention of Buyer Data is required by Law  </w:t>
      </w:r>
    </w:p>
    <w:p w:rsidR="00621D2A" w:rsidRDefault="002063F5">
      <w:pPr>
        <w:numPr>
          <w:ilvl w:val="0"/>
          <w:numId w:val="24"/>
        </w:numPr>
        <w:ind w:right="7" w:hanging="360"/>
      </w:pPr>
      <w:r>
        <w:t xml:space="preserve">work with the Buyer on any ongoing work   </w:t>
      </w:r>
    </w:p>
    <w:p w:rsidR="00621D2A" w:rsidRDefault="002063F5">
      <w:pPr>
        <w:numPr>
          <w:ilvl w:val="0"/>
          <w:numId w:val="24"/>
        </w:numPr>
        <w:ind w:right="7" w:hanging="360"/>
      </w:pPr>
      <w:r>
        <w:t xml:space="preserve">return any sums prepaid for Services which have not been delivered to the Buyer, within 10 Working Days of the End or Expiry Date  </w:t>
      </w:r>
    </w:p>
    <w:p w:rsidR="00621D2A" w:rsidRDefault="002063F5">
      <w:pPr>
        <w:numPr>
          <w:ilvl w:val="1"/>
          <w:numId w:val="25"/>
        </w:numPr>
        <w:ind w:right="7" w:hanging="725"/>
      </w:pPr>
      <w:r>
        <w:t xml:space="preserve">Each Party will return all of the other Party’s Confidential Information and confirm this has been done, unless there is a legal requirement to keep it or this Call-Off Contract states otherwise.  </w:t>
      </w:r>
    </w:p>
    <w:p w:rsidR="00621D2A" w:rsidRDefault="002063F5">
      <w:pPr>
        <w:numPr>
          <w:ilvl w:val="1"/>
          <w:numId w:val="25"/>
        </w:numPr>
        <w:spacing w:after="205"/>
        <w:ind w:right="7" w:hanging="725"/>
      </w:pPr>
      <w:r>
        <w:t xml:space="preserve">All licences, leases and authorisations granted by the Buyer to the Supplier will cease at the end of the Call-Off Contract Term without the need for the Buyer to serve notice except if this Call-Off Contract states otherwise.  </w:t>
      </w:r>
    </w:p>
    <w:p w:rsidR="00621D2A" w:rsidRDefault="002063F5">
      <w:pPr>
        <w:pStyle w:val="Heading2"/>
        <w:ind w:left="686"/>
      </w:pPr>
      <w:r>
        <w:t xml:space="preserve">20. Notices  </w:t>
      </w:r>
    </w:p>
    <w:p w:rsidR="00621D2A" w:rsidRDefault="002063F5">
      <w:pPr>
        <w:spacing w:after="0"/>
        <w:ind w:left="1411" w:right="7" w:hanging="725"/>
      </w:pPr>
      <w:r>
        <w:t>20.1</w:t>
      </w:r>
      <w:r>
        <w:rPr>
          <w:rFonts w:ascii="Arial" w:eastAsia="Arial" w:hAnsi="Arial" w:cs="Arial"/>
        </w:rPr>
        <w:t xml:space="preserve">  </w:t>
      </w:r>
      <w:r>
        <w:t xml:space="preserve">Any notices sent must be in writing. For the purpose of this clause, an email is accepted as being 'in writing'.  </w:t>
      </w:r>
    </w:p>
    <w:tbl>
      <w:tblPr>
        <w:tblStyle w:val="TableGrid"/>
        <w:tblW w:w="9914" w:type="dxa"/>
        <w:tblInd w:w="1445" w:type="dxa"/>
        <w:tblCellMar>
          <w:top w:w="119" w:type="dxa"/>
          <w:left w:w="106" w:type="dxa"/>
          <w:right w:w="115" w:type="dxa"/>
        </w:tblCellMar>
        <w:tblLook w:val="04A0" w:firstRow="1" w:lastRow="0" w:firstColumn="1" w:lastColumn="0" w:noHBand="0" w:noVBand="1"/>
      </w:tblPr>
      <w:tblGrid>
        <w:gridCol w:w="3306"/>
        <w:gridCol w:w="3305"/>
        <w:gridCol w:w="3303"/>
      </w:tblGrid>
      <w:tr w:rsidR="00621D2A">
        <w:trPr>
          <w:trHeight w:val="396"/>
        </w:trPr>
        <w:tc>
          <w:tcPr>
            <w:tcW w:w="330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5" w:firstLine="0"/>
            </w:pPr>
            <w:r>
              <w:rPr>
                <w:b/>
              </w:rPr>
              <w:t xml:space="preserve">Manner of delivery </w:t>
            </w:r>
            <w:r>
              <w:t xml:space="preserve"> </w:t>
            </w:r>
          </w:p>
        </w:tc>
        <w:tc>
          <w:tcPr>
            <w:tcW w:w="330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2" w:firstLine="0"/>
            </w:pPr>
            <w:r>
              <w:rPr>
                <w:b/>
              </w:rPr>
              <w:t xml:space="preserve">Deemed time of delivery </w:t>
            </w:r>
            <w:r>
              <w:t xml:space="preserve"> </w:t>
            </w:r>
          </w:p>
        </w:tc>
        <w:tc>
          <w:tcPr>
            <w:tcW w:w="3303"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rPr>
                <w:b/>
              </w:rPr>
              <w:t xml:space="preserve">Proof of service </w:t>
            </w:r>
            <w:r>
              <w:t xml:space="preserve"> </w:t>
            </w:r>
          </w:p>
        </w:tc>
      </w:tr>
      <w:tr w:rsidR="00621D2A">
        <w:trPr>
          <w:trHeight w:val="1345"/>
        </w:trPr>
        <w:tc>
          <w:tcPr>
            <w:tcW w:w="330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5" w:firstLine="0"/>
            </w:pPr>
            <w:r>
              <w:t xml:space="preserve">Email  </w:t>
            </w:r>
          </w:p>
        </w:tc>
        <w:tc>
          <w:tcPr>
            <w:tcW w:w="3305"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2" w:firstLine="0"/>
            </w:pPr>
            <w:r>
              <w:t xml:space="preserve">9am on the first Working Day after sending  </w:t>
            </w:r>
          </w:p>
        </w:tc>
        <w:tc>
          <w:tcPr>
            <w:tcW w:w="3303" w:type="dxa"/>
            <w:tcBorders>
              <w:top w:val="single" w:sz="8" w:space="0" w:color="000001"/>
              <w:left w:val="single" w:sz="8" w:space="0" w:color="000001"/>
              <w:bottom w:val="single" w:sz="8" w:space="0" w:color="000001"/>
              <w:right w:val="single" w:sz="8" w:space="0" w:color="000001"/>
            </w:tcBorders>
          </w:tcPr>
          <w:p w:rsidR="00621D2A" w:rsidRDefault="002063F5">
            <w:pPr>
              <w:spacing w:after="0" w:line="259" w:lineRule="auto"/>
              <w:ind w:left="0" w:firstLine="0"/>
            </w:pPr>
            <w:r>
              <w:t xml:space="preserve">Sent by PDF to the correct email address without getting an error message  </w:t>
            </w:r>
          </w:p>
        </w:tc>
      </w:tr>
    </w:tbl>
    <w:p w:rsidR="00621D2A" w:rsidRDefault="002063F5">
      <w:pPr>
        <w:spacing w:after="300" w:line="259" w:lineRule="auto"/>
        <w:ind w:left="706" w:firstLine="0"/>
      </w:pPr>
      <w:r>
        <w:t xml:space="preserve">  </w:t>
      </w:r>
    </w:p>
    <w:p w:rsidR="00621D2A" w:rsidRDefault="002063F5">
      <w:pPr>
        <w:spacing w:after="249"/>
        <w:ind w:left="1411" w:right="7" w:hanging="725"/>
      </w:pPr>
      <w:r>
        <w:t>20.2</w:t>
      </w:r>
      <w:r>
        <w:rPr>
          <w:rFonts w:ascii="Arial" w:eastAsia="Arial" w:hAnsi="Arial" w:cs="Arial"/>
        </w:rPr>
        <w:t xml:space="preserve">  </w:t>
      </w:r>
      <w:r>
        <w:t xml:space="preserve">This clause does not apply to any legal action or other method of dispute resolution which should be sent to the addresses in the Order Form (other than a dispute notice under this Call-Off Contract).  </w:t>
      </w:r>
    </w:p>
    <w:p w:rsidR="00621D2A" w:rsidRDefault="002063F5">
      <w:pPr>
        <w:pStyle w:val="Heading2"/>
        <w:ind w:left="686"/>
      </w:pPr>
      <w:r>
        <w:t xml:space="preserve">21. Exit plan  </w:t>
      </w:r>
    </w:p>
    <w:p w:rsidR="00621D2A" w:rsidRDefault="002063F5">
      <w:pPr>
        <w:ind w:left="1411" w:right="7" w:hanging="725"/>
      </w:pPr>
      <w:r>
        <w:t>21.1</w:t>
      </w:r>
      <w:r>
        <w:rPr>
          <w:rFonts w:ascii="Arial" w:eastAsia="Arial" w:hAnsi="Arial" w:cs="Arial"/>
        </w:rPr>
        <w:t xml:space="preserve">  </w:t>
      </w:r>
      <w:r>
        <w:t xml:space="preserve">The Supplier must provide an exit plan in its Application which ensures continuity of service and the Supplier will follow it.  </w:t>
      </w:r>
    </w:p>
    <w:p w:rsidR="00621D2A" w:rsidRDefault="002063F5">
      <w:pPr>
        <w:ind w:left="1411" w:right="7" w:hanging="725"/>
      </w:pPr>
      <w:r>
        <w:t>21.2</w:t>
      </w:r>
      <w:r>
        <w:rPr>
          <w:rFonts w:ascii="Arial" w:eastAsia="Arial" w:hAnsi="Arial" w:cs="Arial"/>
        </w:rPr>
        <w:t xml:space="preserve">  </w:t>
      </w:r>
      <w:r>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621D2A" w:rsidRDefault="002063F5">
      <w:pPr>
        <w:ind w:left="1411" w:right="7" w:hanging="725"/>
      </w:pPr>
      <w:r>
        <w:lastRenderedPageBreak/>
        <w:t>21.3</w:t>
      </w:r>
      <w:r>
        <w:rPr>
          <w:rFonts w:ascii="Arial" w:eastAsia="Arial" w:hAnsi="Arial" w:cs="Arial"/>
        </w:rPr>
        <w:t xml:space="preserve">  </w:t>
      </w:r>
      <w: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621D2A" w:rsidRDefault="002063F5">
      <w:pPr>
        <w:ind w:left="1411" w:right="7" w:hanging="725"/>
      </w:pPr>
      <w:r>
        <w:t>21.4</w:t>
      </w:r>
      <w:r>
        <w:rPr>
          <w:rFonts w:ascii="Arial" w:eastAsia="Arial" w:hAnsi="Arial" w:cs="Arial"/>
        </w:rPr>
        <w:t xml:space="preserve">  </w:t>
      </w: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621D2A" w:rsidRDefault="002063F5">
      <w:pPr>
        <w:ind w:left="1411" w:right="7" w:hanging="725"/>
      </w:pPr>
      <w:r>
        <w:t>21.5</w:t>
      </w:r>
      <w:r>
        <w:rPr>
          <w:rFonts w:ascii="Arial" w:eastAsia="Arial" w:hAnsi="Arial" w:cs="Arial"/>
        </w:rPr>
        <w:t xml:space="preserve">  </w:t>
      </w:r>
      <w:r>
        <w:t xml:space="preserve">Before submitting the additional exit plan to the Buyer for approval, the Supplier will work with the Buyer to ensure that the additional exit plan is aligned with the Buyer’s own exit plan and strategy.  </w:t>
      </w:r>
    </w:p>
    <w:p w:rsidR="00621D2A" w:rsidRDefault="002063F5">
      <w:pPr>
        <w:ind w:left="1421" w:right="7" w:hanging="735"/>
      </w:pPr>
      <w:r>
        <w:t>21.6</w:t>
      </w:r>
      <w:r>
        <w:rPr>
          <w:rFonts w:ascii="Arial" w:eastAsia="Arial" w:hAnsi="Arial" w:cs="Arial"/>
        </w:rPr>
        <w:t xml:space="preserve">  </w:t>
      </w:r>
      <w: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w:t>
      </w:r>
    </w:p>
    <w:p w:rsidR="00621D2A" w:rsidRDefault="002063F5">
      <w:pPr>
        <w:spacing w:after="291" w:line="265" w:lineRule="auto"/>
        <w:ind w:left="1431"/>
      </w:pPr>
      <w:r>
        <w:t xml:space="preserve">extend will only be given if the Buyer can clearly demonstrate that the Supplier’s additional exit plan ensures that:  </w:t>
      </w:r>
    </w:p>
    <w:p w:rsidR="00621D2A" w:rsidRDefault="002063F5">
      <w:pPr>
        <w:numPr>
          <w:ilvl w:val="0"/>
          <w:numId w:val="26"/>
        </w:numPr>
        <w:ind w:right="7" w:hanging="360"/>
      </w:pPr>
      <w:r>
        <w:t xml:space="preserve">the Buyer will be able to transfer the Services to a replacement supplier before the expiry or Ending of the extension period on terms that are commercially reasonable and acceptable to the Buyer  </w:t>
      </w:r>
    </w:p>
    <w:p w:rsidR="00621D2A" w:rsidRDefault="002063F5">
      <w:pPr>
        <w:numPr>
          <w:ilvl w:val="0"/>
          <w:numId w:val="26"/>
        </w:numPr>
        <w:ind w:right="7" w:hanging="360"/>
      </w:pPr>
      <w:r>
        <w:t xml:space="preserve">there will be no adverse impact on service continuity  </w:t>
      </w:r>
    </w:p>
    <w:p w:rsidR="00621D2A" w:rsidRDefault="002063F5">
      <w:pPr>
        <w:numPr>
          <w:ilvl w:val="0"/>
          <w:numId w:val="26"/>
        </w:numPr>
        <w:spacing w:after="291" w:line="265" w:lineRule="auto"/>
        <w:ind w:right="7" w:hanging="360"/>
      </w:pPr>
      <w:r>
        <w:t xml:space="preserve">there is no vendor lock-in to the Supplier’s Service at exit  </w:t>
      </w:r>
    </w:p>
    <w:p w:rsidR="00621D2A" w:rsidRDefault="002063F5">
      <w:pPr>
        <w:numPr>
          <w:ilvl w:val="0"/>
          <w:numId w:val="26"/>
        </w:numPr>
        <w:ind w:right="7" w:hanging="360"/>
      </w:pPr>
      <w:r>
        <w:t xml:space="preserve">it enables the Buyer to meet its obligations under the Technology Code Of Practice  </w:t>
      </w:r>
    </w:p>
    <w:p w:rsidR="00621D2A" w:rsidRDefault="002063F5">
      <w:pPr>
        <w:numPr>
          <w:ilvl w:val="1"/>
          <w:numId w:val="27"/>
        </w:numPr>
        <w:spacing w:after="83"/>
        <w:ind w:right="7" w:hanging="725"/>
      </w:pPr>
      <w:r>
        <w:t xml:space="preserve">If approval is obtained by the Buyer to extend the Term, then the Supplier will comply with its obligations in the additional exit plan.  </w:t>
      </w:r>
    </w:p>
    <w:p w:rsidR="00621D2A" w:rsidRDefault="002063F5">
      <w:pPr>
        <w:numPr>
          <w:ilvl w:val="1"/>
          <w:numId w:val="27"/>
        </w:numPr>
        <w:ind w:right="7" w:hanging="725"/>
      </w:pPr>
      <w:r>
        <w:t xml:space="preserve">The additional exit plan must set out full details of timescales, activities and roles and responsibilities of the Parties for:  </w:t>
      </w:r>
    </w:p>
    <w:p w:rsidR="00621D2A" w:rsidRDefault="002063F5">
      <w:pPr>
        <w:numPr>
          <w:ilvl w:val="0"/>
          <w:numId w:val="26"/>
        </w:numPr>
        <w:spacing w:after="170" w:line="270" w:lineRule="auto"/>
        <w:ind w:right="7" w:hanging="360"/>
      </w:pPr>
      <w:r>
        <w:t xml:space="preserve">the transfer to the Buyer of any technical information, instructions, manuals and code reasonably required by the Buyer to enable a smooth migration from the Supplier  </w:t>
      </w:r>
    </w:p>
    <w:p w:rsidR="00621D2A" w:rsidRDefault="002063F5">
      <w:pPr>
        <w:numPr>
          <w:ilvl w:val="0"/>
          <w:numId w:val="26"/>
        </w:numPr>
        <w:ind w:right="7" w:hanging="360"/>
      </w:pPr>
      <w:r>
        <w:t xml:space="preserve">the strategy for exportation and migration of Buyer Data from the Supplier system to the Buyer or a replacement supplier, including conversion to open standards or other standards required by the Buyer  </w:t>
      </w:r>
    </w:p>
    <w:p w:rsidR="00621D2A" w:rsidRDefault="002063F5">
      <w:pPr>
        <w:numPr>
          <w:ilvl w:val="0"/>
          <w:numId w:val="26"/>
        </w:numPr>
        <w:ind w:right="7" w:hanging="360"/>
      </w:pPr>
      <w:r>
        <w:t xml:space="preserve">the transfer of Project Specific IPR items and other Buyer customisations, configurations and databases to the Buyer or a replacement supplier  </w:t>
      </w:r>
    </w:p>
    <w:p w:rsidR="00621D2A" w:rsidRDefault="002063F5">
      <w:pPr>
        <w:numPr>
          <w:ilvl w:val="0"/>
          <w:numId w:val="26"/>
        </w:numPr>
        <w:ind w:right="7" w:hanging="360"/>
      </w:pPr>
      <w:r>
        <w:lastRenderedPageBreak/>
        <w:t xml:space="preserve">the testing and assurance strategy for exported Buyer Data  </w:t>
      </w:r>
    </w:p>
    <w:p w:rsidR="00621D2A" w:rsidRDefault="002063F5">
      <w:pPr>
        <w:numPr>
          <w:ilvl w:val="0"/>
          <w:numId w:val="26"/>
        </w:numPr>
        <w:ind w:right="7" w:hanging="360"/>
      </w:pPr>
      <w:r>
        <w:t xml:space="preserve">if relevant, TUPE-related activity to comply with the TUPE regulations  </w:t>
      </w:r>
    </w:p>
    <w:p w:rsidR="00621D2A" w:rsidRDefault="002063F5">
      <w:pPr>
        <w:numPr>
          <w:ilvl w:val="0"/>
          <w:numId w:val="26"/>
        </w:numPr>
        <w:spacing w:after="14"/>
        <w:ind w:right="7" w:hanging="360"/>
      </w:pPr>
      <w:r>
        <w:t xml:space="preserve">any other activities and information which is reasonably required to ensure continuity of  </w:t>
      </w:r>
    </w:p>
    <w:p w:rsidR="00621D2A" w:rsidRDefault="002063F5">
      <w:pPr>
        <w:spacing w:after="217"/>
        <w:ind w:left="2156" w:right="7"/>
      </w:pPr>
      <w:r>
        <w:t xml:space="preserve">Service during the exit period and an orderly transition   </w:t>
      </w:r>
    </w:p>
    <w:p w:rsidR="00621D2A" w:rsidRDefault="002063F5">
      <w:pPr>
        <w:pStyle w:val="Heading2"/>
        <w:ind w:left="686"/>
      </w:pPr>
      <w:r>
        <w:t xml:space="preserve">22. Handover to replacement supplier  </w:t>
      </w:r>
    </w:p>
    <w:p w:rsidR="00621D2A" w:rsidRDefault="002063F5">
      <w:pPr>
        <w:ind w:left="696" w:right="7"/>
      </w:pPr>
      <w:r>
        <w:t>22.1</w:t>
      </w:r>
      <w:r>
        <w:rPr>
          <w:rFonts w:ascii="Arial" w:eastAsia="Arial" w:hAnsi="Arial" w:cs="Arial"/>
        </w:rPr>
        <w:t xml:space="preserve">  </w:t>
      </w:r>
      <w:r>
        <w:t xml:space="preserve">At least 10 Working Days before the Expiry Date or End Date, the Supplier must provide any:  </w:t>
      </w:r>
    </w:p>
    <w:p w:rsidR="00621D2A" w:rsidRDefault="002063F5">
      <w:pPr>
        <w:numPr>
          <w:ilvl w:val="0"/>
          <w:numId w:val="28"/>
        </w:numPr>
        <w:ind w:right="7" w:hanging="360"/>
      </w:pPr>
      <w:r>
        <w:t xml:space="preserve">data (including Buyer Data), Buyer Personal Data and Buyer Confidential Information in the Supplier’s possession, power or control  </w:t>
      </w:r>
    </w:p>
    <w:p w:rsidR="00621D2A" w:rsidRDefault="002063F5">
      <w:pPr>
        <w:numPr>
          <w:ilvl w:val="0"/>
          <w:numId w:val="28"/>
        </w:numPr>
        <w:ind w:right="7" w:hanging="360"/>
      </w:pPr>
      <w:r>
        <w:t xml:space="preserve">other information reasonably requested by the Buyer  </w:t>
      </w:r>
    </w:p>
    <w:p w:rsidR="00621D2A" w:rsidRDefault="002063F5">
      <w:pPr>
        <w:numPr>
          <w:ilvl w:val="1"/>
          <w:numId w:val="29"/>
        </w:numPr>
        <w:ind w:right="7" w:hanging="725"/>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621D2A" w:rsidRDefault="002063F5">
      <w:pPr>
        <w:numPr>
          <w:ilvl w:val="1"/>
          <w:numId w:val="29"/>
        </w:numPr>
        <w:spacing w:after="210"/>
        <w:ind w:right="7" w:hanging="725"/>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621D2A" w:rsidRDefault="002063F5">
      <w:pPr>
        <w:pStyle w:val="Heading2"/>
        <w:ind w:left="686"/>
      </w:pPr>
      <w:r>
        <w:t xml:space="preserve">23. Force majeure  </w:t>
      </w:r>
    </w:p>
    <w:p w:rsidR="00621D2A" w:rsidRDefault="002063F5">
      <w:pPr>
        <w:spacing w:after="210"/>
        <w:ind w:left="1411" w:right="7" w:hanging="725"/>
      </w:pPr>
      <w:r>
        <w:t>23.1</w:t>
      </w:r>
      <w:r>
        <w:rPr>
          <w:rFonts w:ascii="Arial" w:eastAsia="Arial" w:hAnsi="Arial" w:cs="Arial"/>
        </w:rPr>
        <w:t xml:space="preserve">  </w:t>
      </w:r>
      <w:r>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621D2A" w:rsidRDefault="002063F5">
      <w:pPr>
        <w:pStyle w:val="Heading2"/>
        <w:ind w:left="686"/>
      </w:pPr>
      <w:r>
        <w:t xml:space="preserve">24. Liability  </w:t>
      </w:r>
    </w:p>
    <w:p w:rsidR="00621D2A" w:rsidRDefault="002063F5">
      <w:pPr>
        <w:ind w:left="1411" w:right="7" w:hanging="725"/>
      </w:pPr>
      <w:r>
        <w:t>24.1</w:t>
      </w:r>
      <w:r>
        <w:rPr>
          <w:rFonts w:ascii="Arial" w:eastAsia="Arial" w:hAnsi="Arial" w:cs="Arial"/>
        </w:rPr>
        <w:t xml:space="preserve">  </w:t>
      </w:r>
      <w:r>
        <w:t xml:space="preserve">Subject to incorporated Framework Agreement clauses 4.2 to 4.7, each Party's Yearly total liability for defaults under or in connection with this Call-Off Contract (whether expressed as an indemnity or otherwise) will be set as follows:   </w:t>
      </w:r>
    </w:p>
    <w:p w:rsidR="00621D2A" w:rsidRDefault="002063F5">
      <w:pPr>
        <w:numPr>
          <w:ilvl w:val="0"/>
          <w:numId w:val="30"/>
        </w:numPr>
        <w:ind w:right="7" w:hanging="360"/>
      </w:pPr>
      <w:r>
        <w:t xml:space="preserve">Property: for all defaults resulting in direct loss to the property (including technical infrastructure, assets, IPR or equipment but excluding any loss or damage to Buyer Data) of the other Party, will not exceed the amount in the Order Form  </w:t>
      </w:r>
    </w:p>
    <w:p w:rsidR="00621D2A" w:rsidRDefault="002063F5">
      <w:pPr>
        <w:numPr>
          <w:ilvl w:val="0"/>
          <w:numId w:val="30"/>
        </w:numPr>
        <w:ind w:right="7" w:hanging="360"/>
      </w:pPr>
      <w:r>
        <w:lastRenderedPageBreak/>
        <w:t xml:space="preserve">Buyer Data: for all defaults resulting in direct loss, destruction, corruption, degradation or damage to any Buyer Data caused by the Supplier's default will not exceed the amount in the Order Form  </w:t>
      </w:r>
    </w:p>
    <w:p w:rsidR="00621D2A" w:rsidRDefault="002063F5">
      <w:pPr>
        <w:numPr>
          <w:ilvl w:val="0"/>
          <w:numId w:val="30"/>
        </w:numPr>
        <w:spacing w:after="211"/>
        <w:ind w:right="7" w:hanging="360"/>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rsidR="00621D2A" w:rsidRDefault="002063F5">
      <w:pPr>
        <w:pStyle w:val="Heading2"/>
        <w:ind w:left="686"/>
      </w:pPr>
      <w:r>
        <w:t xml:space="preserve">25. Premises  </w:t>
      </w:r>
    </w:p>
    <w:p w:rsidR="00621D2A" w:rsidRDefault="002063F5">
      <w:pPr>
        <w:ind w:left="1411" w:right="7" w:hanging="725"/>
      </w:pPr>
      <w:r>
        <w:t>25.1</w:t>
      </w:r>
      <w:r>
        <w:rPr>
          <w:rFonts w:ascii="Arial" w:eastAsia="Arial" w:hAnsi="Arial" w:cs="Arial"/>
        </w:rPr>
        <w:t xml:space="preserve">  </w:t>
      </w:r>
      <w:r>
        <w:t xml:space="preserve">If either Party uses the other Party’s premises, that Party is liable for all loss or damage it causes to the premises. It is responsible for repairing any damage to the premises or any objects on the premises, other than fair wear and tear.  </w:t>
      </w:r>
    </w:p>
    <w:p w:rsidR="00621D2A" w:rsidRDefault="002063F5">
      <w:pPr>
        <w:spacing w:after="291" w:line="265" w:lineRule="auto"/>
        <w:ind w:left="1421" w:hanging="735"/>
      </w:pPr>
      <w:r>
        <w:t>25.2</w:t>
      </w:r>
      <w:r>
        <w:rPr>
          <w:rFonts w:ascii="Arial" w:eastAsia="Arial" w:hAnsi="Arial" w:cs="Arial"/>
        </w:rPr>
        <w:t xml:space="preserve">  </w:t>
      </w:r>
      <w:r>
        <w:t xml:space="preserve">The Supplier will use the Buyer’s premises solely for the performance of its obligations under this Call-Off Contract.  </w:t>
      </w:r>
    </w:p>
    <w:p w:rsidR="00621D2A" w:rsidRDefault="002063F5">
      <w:pPr>
        <w:spacing w:after="291" w:line="265" w:lineRule="auto"/>
        <w:ind w:left="696"/>
      </w:pPr>
      <w:r>
        <w:t>25.3</w:t>
      </w:r>
      <w:r>
        <w:rPr>
          <w:rFonts w:ascii="Arial" w:eastAsia="Arial" w:hAnsi="Arial" w:cs="Arial"/>
        </w:rPr>
        <w:t xml:space="preserve">  </w:t>
      </w:r>
      <w:r>
        <w:t xml:space="preserve">The Supplier will vacate the Buyer’s premises when the Call-Off Contract Ends or expires.  </w:t>
      </w:r>
    </w:p>
    <w:p w:rsidR="00621D2A" w:rsidRDefault="002063F5">
      <w:pPr>
        <w:ind w:left="696" w:right="7"/>
      </w:pPr>
      <w:r>
        <w:t>25.4</w:t>
      </w:r>
      <w:r>
        <w:rPr>
          <w:rFonts w:ascii="Arial" w:eastAsia="Arial" w:hAnsi="Arial" w:cs="Arial"/>
        </w:rPr>
        <w:t xml:space="preserve">  </w:t>
      </w:r>
      <w:r>
        <w:t xml:space="preserve">This clause does not create a tenancy or exclusive right of occupation.  </w:t>
      </w:r>
    </w:p>
    <w:p w:rsidR="00621D2A" w:rsidRDefault="002063F5">
      <w:pPr>
        <w:spacing w:after="291" w:line="265" w:lineRule="auto"/>
        <w:ind w:left="696"/>
      </w:pPr>
      <w:r>
        <w:t>25.5</w:t>
      </w:r>
      <w:r>
        <w:rPr>
          <w:rFonts w:ascii="Arial" w:eastAsia="Arial" w:hAnsi="Arial" w:cs="Arial"/>
        </w:rPr>
        <w:t xml:space="preserve">  </w:t>
      </w:r>
      <w:r>
        <w:t xml:space="preserve">While on the Buyer’s premises, the Supplier will:  </w:t>
      </w:r>
    </w:p>
    <w:p w:rsidR="00621D2A" w:rsidRDefault="002063F5">
      <w:pPr>
        <w:numPr>
          <w:ilvl w:val="0"/>
          <w:numId w:val="31"/>
        </w:numPr>
        <w:ind w:right="7" w:hanging="360"/>
      </w:pPr>
      <w:r>
        <w:t xml:space="preserve">comply with any security requirements at the premises and not do anything to weaken the security of the premises  </w:t>
      </w:r>
    </w:p>
    <w:p w:rsidR="00621D2A" w:rsidRDefault="002063F5">
      <w:pPr>
        <w:numPr>
          <w:ilvl w:val="0"/>
          <w:numId w:val="31"/>
        </w:numPr>
        <w:ind w:right="7" w:hanging="360"/>
      </w:pPr>
      <w:r>
        <w:t xml:space="preserve">comply with Buyer requirements for the conduct of personnel  </w:t>
      </w:r>
    </w:p>
    <w:p w:rsidR="00621D2A" w:rsidRDefault="002063F5">
      <w:pPr>
        <w:numPr>
          <w:ilvl w:val="0"/>
          <w:numId w:val="31"/>
        </w:numPr>
        <w:ind w:right="7" w:hanging="360"/>
      </w:pPr>
      <w:r>
        <w:t xml:space="preserve">comply with any health and safety measures implemented by the Buyer  </w:t>
      </w:r>
    </w:p>
    <w:p w:rsidR="00621D2A" w:rsidRDefault="002063F5">
      <w:pPr>
        <w:numPr>
          <w:ilvl w:val="0"/>
          <w:numId w:val="31"/>
        </w:numPr>
        <w:ind w:right="7" w:hanging="360"/>
      </w:pPr>
      <w:r>
        <w:t xml:space="preserve">immediately notify the Buyer of any incident on the premises that causes any damage to Property which could cause personal injury  </w:t>
      </w:r>
    </w:p>
    <w:p w:rsidR="00621D2A" w:rsidRDefault="002063F5">
      <w:pPr>
        <w:spacing w:after="208"/>
        <w:ind w:left="1411" w:right="7" w:hanging="725"/>
      </w:pPr>
      <w:r>
        <w:t>25.6</w:t>
      </w:r>
      <w:r>
        <w:rPr>
          <w:rFonts w:ascii="Arial" w:eastAsia="Arial" w:hAnsi="Arial" w:cs="Arial"/>
        </w:rPr>
        <w:t xml:space="preserve">  </w:t>
      </w:r>
      <w:r>
        <w:t xml:space="preserve">The Supplier will ensure that its health and safety policy statement (as required by the Health and Safety at Work etc Act 1974) is made available to the Buyer on request.  </w:t>
      </w:r>
    </w:p>
    <w:p w:rsidR="00621D2A" w:rsidRDefault="002063F5">
      <w:pPr>
        <w:pStyle w:val="Heading2"/>
        <w:ind w:left="686"/>
      </w:pPr>
      <w:r>
        <w:t xml:space="preserve">26. Equipment  </w:t>
      </w:r>
    </w:p>
    <w:p w:rsidR="00621D2A" w:rsidRDefault="002063F5">
      <w:pPr>
        <w:ind w:left="1411" w:right="7" w:hanging="725"/>
      </w:pPr>
      <w:r>
        <w:t>26.1</w:t>
      </w:r>
      <w:r>
        <w:rPr>
          <w:rFonts w:ascii="Arial" w:eastAsia="Arial" w:hAnsi="Arial" w:cs="Arial"/>
        </w:rPr>
        <w:t xml:space="preserve">  </w:t>
      </w:r>
      <w:r>
        <w:t xml:space="preserve">The Supplier is responsible for providing any Equipment which the Supplier requires to provide the Services.   </w:t>
      </w:r>
    </w:p>
    <w:p w:rsidR="00621D2A" w:rsidRDefault="002063F5">
      <w:pPr>
        <w:ind w:left="1411" w:right="7" w:hanging="725"/>
      </w:pPr>
      <w:r>
        <w:lastRenderedPageBreak/>
        <w:t>26.2</w:t>
      </w:r>
      <w:r>
        <w:rPr>
          <w:rFonts w:ascii="Arial" w:eastAsia="Arial" w:hAnsi="Arial" w:cs="Arial"/>
        </w:rPr>
        <w:t xml:space="preserve">  </w:t>
      </w:r>
      <w:r>
        <w:t xml:space="preserve">Any Equipment brought onto the premises will be at the Supplier's own risk and the Buyer will have no liability for any loss of, or damage to, any Equipment.  </w:t>
      </w:r>
    </w:p>
    <w:p w:rsidR="00621D2A" w:rsidRDefault="002063F5">
      <w:pPr>
        <w:spacing w:after="205"/>
        <w:ind w:left="1411" w:right="7" w:hanging="725"/>
      </w:pPr>
      <w:r>
        <w:t>26.3</w:t>
      </w:r>
      <w:r>
        <w:rPr>
          <w:rFonts w:ascii="Arial" w:eastAsia="Arial" w:hAnsi="Arial" w:cs="Arial"/>
        </w:rPr>
        <w:t xml:space="preserve">  </w:t>
      </w:r>
      <w:r>
        <w:t xml:space="preserve">When the Call-Off Contract Ends or expires, the Supplier will remove the Equipment and any other materials leaving the premises in a safe and clean condition.  </w:t>
      </w:r>
    </w:p>
    <w:p w:rsidR="00621D2A" w:rsidRDefault="002063F5">
      <w:pPr>
        <w:pStyle w:val="Heading2"/>
        <w:ind w:left="686"/>
      </w:pPr>
      <w:r>
        <w:t xml:space="preserve">27. The Contracts (Rights of Third Parties) Act 1999  </w:t>
      </w:r>
    </w:p>
    <w:p w:rsidR="00621D2A" w:rsidRDefault="002063F5">
      <w:pPr>
        <w:spacing w:after="205"/>
        <w:ind w:left="1411" w:right="7" w:hanging="725"/>
      </w:pPr>
      <w:r>
        <w:t>27.1</w:t>
      </w:r>
      <w:r>
        <w:rPr>
          <w:rFonts w:ascii="Arial" w:eastAsia="Arial" w:hAnsi="Arial" w:cs="Arial"/>
        </w:rPr>
        <w:t xml:space="preserve">  </w:t>
      </w:r>
      <w: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621D2A" w:rsidRDefault="002063F5">
      <w:pPr>
        <w:pStyle w:val="Heading2"/>
        <w:ind w:left="686"/>
      </w:pPr>
      <w:r>
        <w:t xml:space="preserve">28. Environmental requirements  </w:t>
      </w:r>
    </w:p>
    <w:p w:rsidR="00621D2A" w:rsidRDefault="002063F5">
      <w:pPr>
        <w:ind w:left="1411" w:right="7" w:hanging="725"/>
      </w:pPr>
      <w:r>
        <w:t>28.1</w:t>
      </w:r>
      <w:r>
        <w:rPr>
          <w:rFonts w:ascii="Arial" w:eastAsia="Arial" w:hAnsi="Arial" w:cs="Arial"/>
        </w:rPr>
        <w:t xml:space="preserve">  </w:t>
      </w:r>
      <w:r>
        <w:t xml:space="preserve">The Buyer will provide a copy of its environmental policy to the Supplier on request, which the Supplier will comply with.  </w:t>
      </w:r>
    </w:p>
    <w:p w:rsidR="00621D2A" w:rsidRDefault="002063F5">
      <w:pPr>
        <w:spacing w:after="207"/>
        <w:ind w:left="1411" w:right="7" w:hanging="725"/>
      </w:pPr>
      <w:r>
        <w:t>28.2</w:t>
      </w:r>
      <w:r>
        <w:rPr>
          <w:rFonts w:ascii="Arial" w:eastAsia="Arial" w:hAnsi="Arial" w:cs="Arial"/>
        </w:rPr>
        <w:t xml:space="preserve">  </w:t>
      </w:r>
      <w:r>
        <w:t xml:space="preserve">The Supplier must provide reasonable support to enable Buyers to work in an environmentally friendly way, for example by helping them recycle or lower their carbon footprint.  </w:t>
      </w:r>
    </w:p>
    <w:p w:rsidR="00621D2A" w:rsidRDefault="002063F5">
      <w:pPr>
        <w:pStyle w:val="Heading2"/>
        <w:ind w:left="686"/>
      </w:pPr>
      <w:r>
        <w:t xml:space="preserve">29. The Employment Regulations (TUPE)  </w:t>
      </w:r>
    </w:p>
    <w:p w:rsidR="00621D2A" w:rsidRDefault="002063F5">
      <w:pPr>
        <w:ind w:left="1411" w:right="7" w:hanging="725"/>
      </w:pPr>
      <w:r>
        <w:t>29.1</w:t>
      </w:r>
      <w:r>
        <w:rPr>
          <w:rFonts w:ascii="Arial" w:eastAsia="Arial" w:hAnsi="Arial" w:cs="Arial"/>
        </w:rPr>
        <w:t xml:space="preserve">  </w:t>
      </w:r>
      <w: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621D2A" w:rsidRDefault="002063F5">
      <w:pPr>
        <w:spacing w:after="198" w:line="333" w:lineRule="auto"/>
        <w:ind w:left="1411" w:right="7" w:hanging="725"/>
      </w:pPr>
      <w:r>
        <w:t>29.2</w:t>
      </w:r>
      <w:r>
        <w:rPr>
          <w:rFonts w:ascii="Arial" w:eastAsia="Arial" w:hAnsi="Arial" w:cs="Arial"/>
        </w:rPr>
        <w:t xml:space="preserve">  </w:t>
      </w:r>
      <w: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r>
        <w:rPr>
          <w:rFonts w:ascii="Wingdings" w:eastAsia="Wingdings" w:hAnsi="Wingdings" w:cs="Wingdings"/>
        </w:rPr>
        <w:t></w:t>
      </w:r>
      <w:r>
        <w:rPr>
          <w:rFonts w:ascii="Arial" w:eastAsia="Arial" w:hAnsi="Arial" w:cs="Arial"/>
        </w:rPr>
        <w:t xml:space="preserve"> </w:t>
      </w:r>
      <w:r>
        <w:t xml:space="preserve">the activities they perform  </w:t>
      </w:r>
    </w:p>
    <w:p w:rsidR="00621D2A" w:rsidRDefault="002063F5">
      <w:pPr>
        <w:numPr>
          <w:ilvl w:val="0"/>
          <w:numId w:val="32"/>
        </w:numPr>
        <w:ind w:right="7" w:hanging="360"/>
      </w:pPr>
      <w:r>
        <w:t xml:space="preserve">age  </w:t>
      </w:r>
    </w:p>
    <w:p w:rsidR="00621D2A" w:rsidRDefault="002063F5">
      <w:pPr>
        <w:numPr>
          <w:ilvl w:val="0"/>
          <w:numId w:val="32"/>
        </w:numPr>
        <w:ind w:right="7" w:hanging="360"/>
      </w:pPr>
      <w:r>
        <w:t xml:space="preserve">start date   </w:t>
      </w:r>
    </w:p>
    <w:p w:rsidR="00621D2A" w:rsidRDefault="002063F5">
      <w:pPr>
        <w:numPr>
          <w:ilvl w:val="0"/>
          <w:numId w:val="32"/>
        </w:numPr>
        <w:ind w:right="7" w:hanging="360"/>
      </w:pPr>
      <w:r>
        <w:t xml:space="preserve">place of work  </w:t>
      </w:r>
    </w:p>
    <w:p w:rsidR="00621D2A" w:rsidRDefault="002063F5">
      <w:pPr>
        <w:numPr>
          <w:ilvl w:val="0"/>
          <w:numId w:val="32"/>
        </w:numPr>
        <w:ind w:right="7" w:hanging="360"/>
      </w:pPr>
      <w:r>
        <w:t xml:space="preserve">notice period  </w:t>
      </w:r>
    </w:p>
    <w:p w:rsidR="00621D2A" w:rsidRDefault="002063F5">
      <w:pPr>
        <w:numPr>
          <w:ilvl w:val="0"/>
          <w:numId w:val="32"/>
        </w:numPr>
        <w:ind w:right="7" w:hanging="360"/>
      </w:pPr>
      <w:r>
        <w:t xml:space="preserve">redundancy payment entitlement  </w:t>
      </w:r>
    </w:p>
    <w:p w:rsidR="00621D2A" w:rsidRDefault="002063F5">
      <w:pPr>
        <w:numPr>
          <w:ilvl w:val="0"/>
          <w:numId w:val="32"/>
        </w:numPr>
        <w:ind w:right="7" w:hanging="360"/>
      </w:pPr>
      <w:r>
        <w:lastRenderedPageBreak/>
        <w:t xml:space="preserve">salary, benefits and pension entitlements  </w:t>
      </w:r>
    </w:p>
    <w:p w:rsidR="00621D2A" w:rsidRDefault="002063F5">
      <w:pPr>
        <w:numPr>
          <w:ilvl w:val="0"/>
          <w:numId w:val="32"/>
        </w:numPr>
        <w:ind w:right="7" w:hanging="360"/>
      </w:pPr>
      <w:r>
        <w:t xml:space="preserve">employment status  </w:t>
      </w:r>
    </w:p>
    <w:p w:rsidR="00621D2A" w:rsidRDefault="002063F5">
      <w:pPr>
        <w:numPr>
          <w:ilvl w:val="0"/>
          <w:numId w:val="32"/>
        </w:numPr>
        <w:ind w:right="7" w:hanging="360"/>
      </w:pPr>
      <w:r>
        <w:t xml:space="preserve">identity of employer  </w:t>
      </w:r>
    </w:p>
    <w:p w:rsidR="00621D2A" w:rsidRDefault="002063F5">
      <w:pPr>
        <w:numPr>
          <w:ilvl w:val="0"/>
          <w:numId w:val="32"/>
        </w:numPr>
        <w:ind w:right="7" w:hanging="360"/>
      </w:pPr>
      <w:r>
        <w:t xml:space="preserve">working arrangements  </w:t>
      </w:r>
    </w:p>
    <w:p w:rsidR="00621D2A" w:rsidRDefault="002063F5">
      <w:pPr>
        <w:numPr>
          <w:ilvl w:val="0"/>
          <w:numId w:val="32"/>
        </w:numPr>
        <w:ind w:right="7" w:hanging="360"/>
      </w:pPr>
      <w:r>
        <w:t xml:space="preserve">outstanding liabilities  </w:t>
      </w:r>
    </w:p>
    <w:p w:rsidR="00621D2A" w:rsidRDefault="002063F5">
      <w:pPr>
        <w:numPr>
          <w:ilvl w:val="0"/>
          <w:numId w:val="32"/>
        </w:numPr>
        <w:ind w:right="7" w:hanging="360"/>
      </w:pPr>
      <w:r>
        <w:t xml:space="preserve">sickness absence  </w:t>
      </w:r>
    </w:p>
    <w:p w:rsidR="00621D2A" w:rsidRDefault="002063F5">
      <w:pPr>
        <w:numPr>
          <w:ilvl w:val="0"/>
          <w:numId w:val="32"/>
        </w:numPr>
        <w:ind w:right="7" w:hanging="360"/>
      </w:pPr>
      <w:r>
        <w:t xml:space="preserve">copies of all relevant employment contracts and related documents  </w:t>
      </w:r>
    </w:p>
    <w:p w:rsidR="00621D2A" w:rsidRDefault="002063F5">
      <w:pPr>
        <w:numPr>
          <w:ilvl w:val="0"/>
          <w:numId w:val="32"/>
        </w:numPr>
        <w:ind w:right="7" w:hanging="360"/>
      </w:pPr>
      <w:r>
        <w:t xml:space="preserve">all information required under regulation 11 of TUPE or as reasonably requested by the Buyer   </w:t>
      </w:r>
    </w:p>
    <w:p w:rsidR="00621D2A" w:rsidRDefault="002063F5">
      <w:pPr>
        <w:numPr>
          <w:ilvl w:val="1"/>
          <w:numId w:val="34"/>
        </w:numPr>
        <w:ind w:right="7" w:hanging="725"/>
      </w:pPr>
      <w:r>
        <w:t xml:space="preserve">The Supplier warrants the accuracy of the information provided under this TUPE clause and will notify the Buyer of any changes to the amended information as soon as reasonably </w:t>
      </w:r>
    </w:p>
    <w:p w:rsidR="00621D2A" w:rsidRDefault="002063F5">
      <w:pPr>
        <w:ind w:left="2156" w:right="7"/>
      </w:pPr>
      <w:r>
        <w:t xml:space="preserve">possible. The Supplier will permit the Buyer to use and disclose the information to any prospective Replacement Supplier.  </w:t>
      </w:r>
    </w:p>
    <w:p w:rsidR="00621D2A" w:rsidRDefault="002063F5">
      <w:pPr>
        <w:numPr>
          <w:ilvl w:val="1"/>
          <w:numId w:val="34"/>
        </w:numPr>
        <w:ind w:right="7" w:hanging="725"/>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621D2A" w:rsidRDefault="002063F5">
      <w:pPr>
        <w:numPr>
          <w:ilvl w:val="1"/>
          <w:numId w:val="34"/>
        </w:numPr>
        <w:ind w:right="7" w:hanging="725"/>
      </w:pPr>
      <w:r>
        <w:t xml:space="preserve">The Supplier will co-operate with the re-tendering of this Call-Off Contract by allowing the Replacement Supplier to communicate with and meet the affected employees or their representatives.  </w:t>
      </w:r>
    </w:p>
    <w:p w:rsidR="00621D2A" w:rsidRDefault="002063F5">
      <w:pPr>
        <w:numPr>
          <w:ilvl w:val="1"/>
          <w:numId w:val="34"/>
        </w:numPr>
        <w:ind w:right="7" w:hanging="725"/>
      </w:pPr>
      <w:r>
        <w:t xml:space="preserve">The Supplier will indemnify the Buyer or any Replacement Supplier for all Loss arising from both:  </w:t>
      </w:r>
    </w:p>
    <w:p w:rsidR="00621D2A" w:rsidRDefault="002063F5">
      <w:pPr>
        <w:numPr>
          <w:ilvl w:val="0"/>
          <w:numId w:val="32"/>
        </w:numPr>
        <w:ind w:right="7" w:hanging="360"/>
      </w:pPr>
      <w:r>
        <w:t xml:space="preserve">its failure to comply with the provisions of this clause  </w:t>
      </w:r>
    </w:p>
    <w:p w:rsidR="00621D2A" w:rsidRDefault="002063F5">
      <w:pPr>
        <w:numPr>
          <w:ilvl w:val="0"/>
          <w:numId w:val="32"/>
        </w:numPr>
        <w:ind w:right="7" w:hanging="360"/>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621D2A" w:rsidRDefault="002063F5">
      <w:pPr>
        <w:numPr>
          <w:ilvl w:val="1"/>
          <w:numId w:val="33"/>
        </w:numPr>
        <w:ind w:right="7" w:hanging="725"/>
      </w:pPr>
      <w:r>
        <w:t xml:space="preserve">The provisions of this clause apply during the Term of this Call-Off Contract and indefinitely after it Ends or expires.  </w:t>
      </w:r>
    </w:p>
    <w:p w:rsidR="00621D2A" w:rsidRDefault="002063F5">
      <w:pPr>
        <w:numPr>
          <w:ilvl w:val="1"/>
          <w:numId w:val="33"/>
        </w:numPr>
        <w:spacing w:after="208"/>
        <w:ind w:right="7" w:hanging="725"/>
      </w:pPr>
      <w:r>
        <w:lastRenderedPageBreak/>
        <w:t xml:space="preserve">For these TUPE clauses, the relevant third party will be able to enforce its rights under this clause but their consent will not be required to vary these clauses as the Buyer and Supplier may agree.  </w:t>
      </w:r>
    </w:p>
    <w:p w:rsidR="00621D2A" w:rsidRDefault="002063F5">
      <w:pPr>
        <w:pStyle w:val="Heading2"/>
        <w:ind w:left="686"/>
      </w:pPr>
      <w:r>
        <w:t xml:space="preserve">30. Additional G-Cloud services  </w:t>
      </w:r>
    </w:p>
    <w:p w:rsidR="00621D2A" w:rsidRDefault="002063F5">
      <w:pPr>
        <w:ind w:left="1411" w:right="7" w:hanging="725"/>
      </w:pPr>
      <w:r>
        <w:t>30.1</w:t>
      </w:r>
      <w:r>
        <w:rPr>
          <w:rFonts w:ascii="Arial" w:eastAsia="Arial" w:hAnsi="Arial" w:cs="Arial"/>
        </w:rPr>
        <w:t xml:space="preserve">  </w:t>
      </w:r>
      <w:r>
        <w:t xml:space="preserve">The Buyer may require the Supplier to provide Additional Services. The Buyer doesn’t have to buy any Additional Services from the Supplier and can buy services that are the same as or similar to the Additional Services from any third party.   </w:t>
      </w:r>
    </w:p>
    <w:p w:rsidR="00621D2A" w:rsidRDefault="002063F5">
      <w:pPr>
        <w:spacing w:after="249"/>
        <w:ind w:left="1411" w:right="7" w:hanging="725"/>
      </w:pPr>
      <w:r>
        <w:t>30.2</w:t>
      </w:r>
      <w:r>
        <w:rPr>
          <w:rFonts w:ascii="Arial" w:eastAsia="Arial" w:hAnsi="Arial" w:cs="Arial"/>
        </w:rPr>
        <w:t xml:space="preserve">  </w:t>
      </w:r>
      <w:r>
        <w:t xml:space="preserve">If reasonably requested to do so by the Buyer in the Order Form, the Supplier must provide and monitor performance of the Additional Services using an Implementation Plan.  </w:t>
      </w:r>
    </w:p>
    <w:p w:rsidR="00621D2A" w:rsidRDefault="002063F5">
      <w:pPr>
        <w:pStyle w:val="Heading2"/>
        <w:ind w:left="686"/>
      </w:pPr>
      <w:r>
        <w:t xml:space="preserve">31. Collaboration  </w:t>
      </w:r>
    </w:p>
    <w:p w:rsidR="00621D2A" w:rsidRDefault="002063F5">
      <w:pPr>
        <w:ind w:left="1411" w:right="7" w:hanging="725"/>
      </w:pPr>
      <w:r>
        <w:t>31.1</w:t>
      </w:r>
      <w:r>
        <w:rPr>
          <w:rFonts w:ascii="Arial" w:eastAsia="Arial" w:hAnsi="Arial" w:cs="Arial"/>
        </w:rPr>
        <w:t xml:space="preserve">  </w:t>
      </w:r>
      <w:r>
        <w:rPr>
          <w:rFonts w:ascii="Arial" w:eastAsia="Arial" w:hAnsi="Arial" w:cs="Arial"/>
        </w:rPr>
        <w:tab/>
      </w:r>
      <w:r>
        <w:t xml:space="preserve">If the Buyer has specified in the Order Form that it requires the Supplier to enter into a Collaboration Agreement, the Supplier must give the Buyer an executed Collaboration Agreement before the Start Date.  </w:t>
      </w:r>
    </w:p>
    <w:p w:rsidR="00621D2A" w:rsidRDefault="002063F5">
      <w:pPr>
        <w:ind w:left="696" w:right="7"/>
      </w:pPr>
      <w:r>
        <w:t>31.2</w:t>
      </w:r>
      <w:r>
        <w:rPr>
          <w:rFonts w:ascii="Arial" w:eastAsia="Arial" w:hAnsi="Arial" w:cs="Arial"/>
        </w:rPr>
        <w:t xml:space="preserve">  </w:t>
      </w:r>
      <w:r>
        <w:t xml:space="preserve">In addition to any obligations under the Collaboration Agreement, the Supplier must:  </w:t>
      </w:r>
    </w:p>
    <w:p w:rsidR="00621D2A" w:rsidRDefault="002063F5">
      <w:pPr>
        <w:numPr>
          <w:ilvl w:val="0"/>
          <w:numId w:val="35"/>
        </w:numPr>
        <w:spacing w:after="291" w:line="265" w:lineRule="auto"/>
        <w:ind w:hanging="360"/>
      </w:pPr>
      <w:r>
        <w:t xml:space="preserve">work proactively and in good faith with each of the Buyer’s contractors  </w:t>
      </w:r>
    </w:p>
    <w:p w:rsidR="00621D2A" w:rsidRDefault="002063F5">
      <w:pPr>
        <w:numPr>
          <w:ilvl w:val="0"/>
          <w:numId w:val="35"/>
        </w:numPr>
        <w:spacing w:after="211" w:line="265" w:lineRule="auto"/>
        <w:ind w:hanging="360"/>
      </w:pPr>
      <w:r>
        <w:t xml:space="preserve">co-operate and share information with the Buyer’s contractors to enable the efficient operation of the Buyer’s ICT services and G-Cloud Services  </w:t>
      </w:r>
    </w:p>
    <w:p w:rsidR="00621D2A" w:rsidRDefault="002063F5">
      <w:pPr>
        <w:pStyle w:val="Heading2"/>
        <w:ind w:left="686"/>
      </w:pPr>
      <w:r>
        <w:t xml:space="preserve">32. Variation process  </w:t>
      </w:r>
    </w:p>
    <w:p w:rsidR="00621D2A" w:rsidRDefault="002063F5">
      <w:pPr>
        <w:ind w:left="1411" w:right="7" w:hanging="725"/>
      </w:pPr>
      <w:r>
        <w:t>32.1</w:t>
      </w:r>
      <w:r>
        <w:rPr>
          <w:rFonts w:ascii="Arial" w:eastAsia="Arial" w:hAnsi="Arial" w:cs="Arial"/>
        </w:rPr>
        <w:t xml:space="preserve">  </w:t>
      </w:r>
      <w:r>
        <w:t xml:space="preserve">The Buyer can request in writing a change to this Call-Off Contract if it isn’t a material change to the Framework Agreement/or this Call-Off Contract. Once implemented, it is called a Variation.  </w:t>
      </w:r>
    </w:p>
    <w:p w:rsidR="00621D2A" w:rsidRDefault="002063F5">
      <w:pPr>
        <w:ind w:left="1411" w:right="7" w:hanging="725"/>
      </w:pPr>
      <w:r>
        <w:t>32.2</w:t>
      </w:r>
      <w:r>
        <w:rPr>
          <w:rFonts w:ascii="Arial" w:eastAsia="Arial" w:hAnsi="Arial" w:cs="Arial"/>
        </w:rPr>
        <w:t xml:space="preserve">  </w:t>
      </w:r>
      <w:r>
        <w:t xml:space="preserve">The Supplier must notify the Buyer immediately in writing of any proposed changes to their G-Cloud Services or their delivery by submitting a Variation request. This includes any changes in the Supplier’s supply chain.  </w:t>
      </w:r>
    </w:p>
    <w:p w:rsidR="00621D2A" w:rsidRDefault="002063F5">
      <w:pPr>
        <w:spacing w:after="209"/>
        <w:ind w:left="1411" w:right="7" w:hanging="725"/>
      </w:pPr>
      <w:r>
        <w:t>32.3</w:t>
      </w:r>
      <w:r>
        <w:rPr>
          <w:rFonts w:ascii="Arial" w:eastAsia="Arial" w:hAnsi="Arial" w:cs="Arial"/>
        </w:rPr>
        <w:t xml:space="preserve">  </w:t>
      </w:r>
      <w:r>
        <w:t xml:space="preserve">If Either Party can’t agree to or provide the Variation, the Buyer may agree to continue performing its obligations under this Call-Off Contract without the Variation, or End this Call-Off Contract by giving 30 days notice to the Supplier.  </w:t>
      </w:r>
    </w:p>
    <w:p w:rsidR="00621D2A" w:rsidRDefault="002063F5">
      <w:pPr>
        <w:pStyle w:val="Heading2"/>
        <w:ind w:left="686"/>
      </w:pPr>
      <w:r>
        <w:t>33. Data Protection Legislation (GDPR)</w:t>
      </w:r>
      <w:r>
        <w:rPr>
          <w:rFonts w:ascii="Arial" w:eastAsia="Arial" w:hAnsi="Arial" w:cs="Arial"/>
          <w:b w:val="0"/>
          <w:sz w:val="20"/>
        </w:rPr>
        <w:t xml:space="preserve"> </w:t>
      </w:r>
      <w:r>
        <w:t xml:space="preserve"> </w:t>
      </w:r>
    </w:p>
    <w:p w:rsidR="00621D2A" w:rsidRDefault="002063F5">
      <w:pPr>
        <w:spacing w:after="8"/>
        <w:ind w:left="1406" w:right="7" w:hanging="720"/>
      </w:pPr>
      <w:r>
        <w:t xml:space="preserve">33.1  </w:t>
      </w:r>
      <w:r>
        <w:tab/>
        <w:t xml:space="preserve">The Parties will comply with the Data Protection Legislation and agree that the Buyer is the Controller and the Supplier is the Processor. The only Processing the Supplier is authorised to do is </w:t>
      </w:r>
      <w:r>
        <w:lastRenderedPageBreak/>
        <w:t xml:space="preserve">listed at Schedule 7 unless Law requires otherwise (in which case the Supplier will promptly notify the Buyer of any additional Processing if permitted by Law).   </w:t>
      </w:r>
      <w:r>
        <w:tab/>
      </w:r>
      <w:r>
        <w:rPr>
          <w:rFonts w:ascii="Arial" w:eastAsia="Arial" w:hAnsi="Arial" w:cs="Arial"/>
          <w:sz w:val="20"/>
        </w:rPr>
        <w:t xml:space="preserve"> </w:t>
      </w:r>
      <w:r>
        <w:t xml:space="preserve"> </w:t>
      </w:r>
    </w:p>
    <w:p w:rsidR="00621D2A" w:rsidRDefault="002063F5">
      <w:pPr>
        <w:spacing w:after="18" w:line="259" w:lineRule="auto"/>
        <w:ind w:left="706" w:firstLine="0"/>
      </w:pPr>
      <w:r>
        <w:t xml:space="preserve">  </w:t>
      </w:r>
    </w:p>
    <w:p w:rsidR="00621D2A" w:rsidRDefault="002063F5">
      <w:pPr>
        <w:spacing w:after="4"/>
        <w:ind w:left="1406" w:right="7" w:hanging="720"/>
      </w:pPr>
      <w:r>
        <w:t xml:space="preserve">33.2  </w:t>
      </w:r>
      <w:r>
        <w:tab/>
        <w:t xml:space="preserve">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  </w:t>
      </w:r>
    </w:p>
    <w:p w:rsidR="00621D2A" w:rsidRDefault="002063F5">
      <w:pPr>
        <w:spacing w:after="18" w:line="259" w:lineRule="auto"/>
        <w:ind w:left="706" w:firstLine="0"/>
      </w:pPr>
      <w:r>
        <w:t xml:space="preserve">  </w:t>
      </w:r>
    </w:p>
    <w:p w:rsidR="00621D2A" w:rsidRDefault="002063F5">
      <w:pPr>
        <w:spacing w:after="4"/>
        <w:ind w:left="1406" w:right="7" w:hanging="720"/>
      </w:pPr>
      <w:r>
        <w:t xml:space="preserve">33.3  </w:t>
      </w:r>
      <w:r>
        <w:tab/>
        <w:t xml:space="preserve">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  </w:t>
      </w:r>
    </w:p>
    <w:p w:rsidR="00621D2A" w:rsidRDefault="002063F5">
      <w:pPr>
        <w:spacing w:after="18" w:line="259" w:lineRule="auto"/>
        <w:ind w:left="706" w:firstLine="0"/>
      </w:pPr>
      <w:r>
        <w:t xml:space="preserve">  </w:t>
      </w:r>
    </w:p>
    <w:p w:rsidR="00621D2A" w:rsidRDefault="002063F5">
      <w:pPr>
        <w:spacing w:after="44"/>
        <w:ind w:left="1406" w:right="7" w:hanging="720"/>
      </w:pPr>
      <w:r>
        <w:t xml:space="preserve">33.4  </w:t>
      </w:r>
      <w: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p>
    <w:p w:rsidR="00621D2A" w:rsidRDefault="002063F5">
      <w:pPr>
        <w:spacing w:after="0" w:line="407" w:lineRule="auto"/>
        <w:ind w:left="2156" w:right="271"/>
      </w:pPr>
      <w:r>
        <w:t>i)</w:t>
      </w:r>
      <w:r>
        <w:rPr>
          <w:rFonts w:ascii="Arial" w:eastAsia="Arial" w:hAnsi="Arial" w:cs="Arial"/>
        </w:rPr>
        <w:t xml:space="preserve"> </w:t>
      </w:r>
      <w:r>
        <w:rPr>
          <w:rFonts w:ascii="Arial" w:eastAsia="Arial" w:hAnsi="Arial" w:cs="Arial"/>
        </w:rPr>
        <w:tab/>
      </w:r>
      <w:r>
        <w:t xml:space="preserve">are aware of and comply with the Supplier’s obligations under this Clause;   </w:t>
      </w:r>
      <w:r>
        <w:tab/>
        <w:t xml:space="preserve">  ii)</w:t>
      </w:r>
      <w:r>
        <w:rPr>
          <w:rFonts w:ascii="Arial" w:eastAsia="Arial" w:hAnsi="Arial" w:cs="Arial"/>
        </w:rPr>
        <w:t xml:space="preserve"> </w:t>
      </w:r>
      <w:r>
        <w:rPr>
          <w:rFonts w:ascii="Arial" w:eastAsia="Arial" w:hAnsi="Arial" w:cs="Arial"/>
        </w:rPr>
        <w:tab/>
      </w:r>
      <w:r>
        <w:t xml:space="preserve">are subject to appropriate confidentiality undertakings with the Supplier   </w:t>
      </w:r>
    </w:p>
    <w:p w:rsidR="00621D2A" w:rsidRDefault="002063F5">
      <w:pPr>
        <w:spacing w:after="0" w:line="259" w:lineRule="auto"/>
        <w:ind w:left="2146" w:firstLine="0"/>
      </w:pPr>
      <w:r>
        <w:t xml:space="preserve">  </w:t>
      </w:r>
    </w:p>
    <w:p w:rsidR="00621D2A" w:rsidRDefault="002063F5">
      <w:pPr>
        <w:numPr>
          <w:ilvl w:val="0"/>
          <w:numId w:val="36"/>
        </w:numPr>
        <w:spacing w:after="19"/>
        <w:ind w:right="7" w:hanging="715"/>
      </w:pPr>
      <w:r>
        <w:t xml:space="preserve">are informed of the confidential nature of the Personal Data and don’t publish, disclose or divulge it to any third party unless directed by the Buyer or in accordance with this Call-Off  </w:t>
      </w:r>
    </w:p>
    <w:p w:rsidR="00621D2A" w:rsidRDefault="002063F5">
      <w:pPr>
        <w:tabs>
          <w:tab w:val="center" w:pos="701"/>
          <w:tab w:val="center" w:pos="2580"/>
          <w:tab w:val="center" w:pos="3589"/>
        </w:tabs>
        <w:spacing w:after="45"/>
        <w:ind w:left="0" w:firstLine="0"/>
      </w:pPr>
      <w:r>
        <w:rPr>
          <w:rFonts w:ascii="Calibri" w:eastAsia="Calibri" w:hAnsi="Calibri" w:cs="Calibri"/>
          <w:sz w:val="22"/>
        </w:rPr>
        <w:tab/>
        <w:t xml:space="preserve"> </w:t>
      </w:r>
      <w:r>
        <w:rPr>
          <w:rFonts w:ascii="Calibri" w:eastAsia="Calibri" w:hAnsi="Calibri" w:cs="Calibri"/>
          <w:sz w:val="22"/>
        </w:rPr>
        <w:tab/>
      </w:r>
      <w:r>
        <w:t xml:space="preserve">Contract   </w:t>
      </w:r>
      <w:r>
        <w:tab/>
        <w:t xml:space="preserve">  </w:t>
      </w:r>
    </w:p>
    <w:p w:rsidR="00621D2A" w:rsidRDefault="002063F5">
      <w:pPr>
        <w:numPr>
          <w:ilvl w:val="0"/>
          <w:numId w:val="36"/>
        </w:numPr>
        <w:spacing w:after="6"/>
        <w:ind w:right="7" w:hanging="715"/>
      </w:pPr>
      <w:r>
        <w:t xml:space="preserve">are given training in the use, protection and handling of Personal Data.  </w:t>
      </w:r>
      <w:r>
        <w:tab/>
        <w:t xml:space="preserve">  </w:t>
      </w:r>
    </w:p>
    <w:p w:rsidR="00621D2A" w:rsidRDefault="002063F5">
      <w:pPr>
        <w:spacing w:after="274" w:line="259" w:lineRule="auto"/>
        <w:ind w:left="701" w:firstLine="0"/>
      </w:pPr>
      <w:r>
        <w:t xml:space="preserve">  </w:t>
      </w:r>
    </w:p>
    <w:p w:rsidR="00621D2A" w:rsidRDefault="002063F5">
      <w:pPr>
        <w:numPr>
          <w:ilvl w:val="1"/>
          <w:numId w:val="37"/>
        </w:numPr>
        <w:spacing w:after="265"/>
        <w:ind w:right="7" w:hanging="720"/>
      </w:pPr>
      <w:r>
        <w:t>The Supplier will not transfer Personal Data outside of the European Union unless the prior written consent of the Buyer has been obtained, which shall be dependent on such a transfer satisfying relevant Data Protection Legislation requirements.</w:t>
      </w:r>
      <w:r>
        <w:rPr>
          <w:rFonts w:ascii="Arial" w:eastAsia="Arial" w:hAnsi="Arial" w:cs="Arial"/>
          <w:sz w:val="20"/>
        </w:rPr>
        <w:t xml:space="preserve"> </w:t>
      </w:r>
      <w:r>
        <w:t xml:space="preserve"> </w:t>
      </w:r>
    </w:p>
    <w:p w:rsidR="00621D2A" w:rsidRDefault="002063F5">
      <w:pPr>
        <w:numPr>
          <w:ilvl w:val="1"/>
          <w:numId w:val="37"/>
        </w:numPr>
        <w:ind w:right="7" w:hanging="720"/>
      </w:pPr>
      <w:r>
        <w:t>The Supplier will delete or return Buyer’s Personal Data (including copies) if requested in writing by the Buyer at the End or Expiry of this Call-Off Contract, unless required to retain the Personal Data by Law.</w:t>
      </w:r>
      <w:r>
        <w:rPr>
          <w:rFonts w:ascii="Arial" w:eastAsia="Arial" w:hAnsi="Arial" w:cs="Arial"/>
          <w:sz w:val="20"/>
        </w:rPr>
        <w:t xml:space="preserve"> </w:t>
      </w:r>
      <w:r>
        <w:t xml:space="preserve"> </w:t>
      </w:r>
    </w:p>
    <w:p w:rsidR="00621D2A" w:rsidRDefault="002063F5">
      <w:pPr>
        <w:numPr>
          <w:ilvl w:val="1"/>
          <w:numId w:val="37"/>
        </w:numPr>
        <w:spacing w:after="7"/>
        <w:ind w:right="7" w:hanging="720"/>
      </w:pPr>
      <w:r>
        <w:t xml:space="preserve">The Supplier will notify the Buyer without undue delay if it receives any communication from a third  party relating to the Parties’ obligations under the Data Protection Legislation, or it becomes aware </w:t>
      </w:r>
    </w:p>
    <w:p w:rsidR="00621D2A" w:rsidRDefault="002063F5">
      <w:pPr>
        <w:spacing w:after="263"/>
        <w:ind w:left="1446" w:right="7"/>
      </w:pPr>
      <w:r>
        <w:lastRenderedPageBreak/>
        <w:t xml:space="preserve">of a Data Loss Event, and will provide the Buyer with full and ongoing assistance in relation to each Party’s obligations under the Data Protection Legislation, and insofar as this is possible, in accordance with any timescales reasonably required by the Buyer  </w:t>
      </w:r>
    </w:p>
    <w:p w:rsidR="00621D2A" w:rsidRDefault="002063F5">
      <w:pPr>
        <w:numPr>
          <w:ilvl w:val="1"/>
          <w:numId w:val="37"/>
        </w:numPr>
        <w:spacing w:after="263"/>
        <w:ind w:right="7" w:hanging="720"/>
      </w:pPr>
      <w:r>
        <w:t xml:space="preserve">The Supplier will maintain complete and accurate records and information to demonstrate its compliance with this clause. This requirement does not apply where the Supplier employs fewer than 250 staff, unless:    </w:t>
      </w:r>
    </w:p>
    <w:p w:rsidR="00621D2A" w:rsidRDefault="002063F5">
      <w:pPr>
        <w:numPr>
          <w:ilvl w:val="0"/>
          <w:numId w:val="38"/>
        </w:numPr>
        <w:spacing w:after="254"/>
        <w:ind w:right="7" w:hanging="715"/>
      </w:pPr>
      <w:r>
        <w:t xml:space="preserve">the Buyer determines that the Processing is not occasional;   </w:t>
      </w:r>
      <w:r>
        <w:tab/>
        <w:t xml:space="preserve">  </w:t>
      </w:r>
    </w:p>
    <w:p w:rsidR="00621D2A" w:rsidRDefault="002063F5">
      <w:pPr>
        <w:numPr>
          <w:ilvl w:val="0"/>
          <w:numId w:val="38"/>
        </w:numPr>
        <w:spacing w:after="6"/>
        <w:ind w:right="7" w:hanging="715"/>
      </w:pPr>
      <w:r>
        <w:t xml:space="preserve">the Buyer determines the Processing includes special categories of data as referred to </w:t>
      </w:r>
    </w:p>
    <w:p w:rsidR="00621D2A" w:rsidRDefault="002063F5">
      <w:pPr>
        <w:spacing w:after="246"/>
        <w:ind w:left="2331" w:right="7"/>
      </w:pPr>
      <w:r>
        <w:t xml:space="preserve">in Article 9(1) of the GDPR or Personal Data relating to criminal convictions and offences referred to in Article 10 of the GDPR; and    </w:t>
      </w:r>
    </w:p>
    <w:p w:rsidR="00621D2A" w:rsidRDefault="002063F5">
      <w:pPr>
        <w:numPr>
          <w:ilvl w:val="0"/>
          <w:numId w:val="38"/>
        </w:numPr>
        <w:spacing w:after="245"/>
        <w:ind w:right="7" w:hanging="715"/>
      </w:pPr>
      <w:r>
        <w:t xml:space="preserve">the Buyer determines that the Processing is likely to result in a risk to the rights and freedoms of Data Subjects.  </w:t>
      </w:r>
    </w:p>
    <w:p w:rsidR="00621D2A" w:rsidRDefault="002063F5">
      <w:pPr>
        <w:ind w:left="1406" w:right="7" w:hanging="720"/>
      </w:pPr>
      <w:r>
        <w:t xml:space="preserve">33.9  </w:t>
      </w:r>
      <w:r>
        <w:tab/>
        <w:t xml:space="preserve">Before allowing any Sub-processor to Process any Personal Data related to this Call-Off Contract, the Supplier must:  </w:t>
      </w:r>
    </w:p>
    <w:p w:rsidR="00621D2A" w:rsidRDefault="002063F5">
      <w:pPr>
        <w:numPr>
          <w:ilvl w:val="2"/>
          <w:numId w:val="39"/>
        </w:numPr>
        <w:spacing w:after="16" w:line="259" w:lineRule="auto"/>
        <w:ind w:right="7" w:hanging="723"/>
      </w:pPr>
      <w:r>
        <w:t xml:space="preserve">notify the Buyer in writing of the proposed Sub-processor(s) and obtain </w:t>
      </w:r>
    </w:p>
    <w:p w:rsidR="00621D2A" w:rsidRDefault="002063F5">
      <w:pPr>
        <w:ind w:left="4139" w:right="7"/>
      </w:pPr>
      <w:r>
        <w:t xml:space="preserve">its written consent;  </w:t>
      </w:r>
    </w:p>
    <w:p w:rsidR="00621D2A" w:rsidRDefault="002063F5">
      <w:pPr>
        <w:numPr>
          <w:ilvl w:val="2"/>
          <w:numId w:val="39"/>
        </w:numPr>
        <w:spacing w:after="7"/>
        <w:ind w:right="7" w:hanging="723"/>
      </w:pPr>
      <w:r>
        <w:t xml:space="preserve">ensure that it has entered into a written agreement with the </w:t>
      </w:r>
    </w:p>
    <w:p w:rsidR="00621D2A" w:rsidRDefault="002063F5">
      <w:pPr>
        <w:ind w:left="4139" w:right="7"/>
      </w:pPr>
      <w:r>
        <w:t xml:space="preserve">Subprocessor(s) which gives effect to obligations set out in this Clause 33 such that they apply to the Sub-processor(s); and  </w:t>
      </w:r>
    </w:p>
    <w:p w:rsidR="00621D2A" w:rsidRDefault="002063F5">
      <w:pPr>
        <w:numPr>
          <w:ilvl w:val="2"/>
          <w:numId w:val="39"/>
        </w:numPr>
        <w:spacing w:after="224"/>
        <w:ind w:right="7" w:hanging="723"/>
      </w:pPr>
      <w:r>
        <w:t xml:space="preserve">inform the Buyer of any additions to, or replacements of the notified Sub-processors and the Buyer shall either i) provide its written consent or ii) object.  </w:t>
      </w:r>
    </w:p>
    <w:p w:rsidR="00621D2A" w:rsidRDefault="002063F5">
      <w:pPr>
        <w:spacing w:after="210"/>
        <w:ind w:left="1406" w:right="7" w:hanging="720"/>
      </w:pPr>
      <w:r>
        <w:t xml:space="preserve">33.10  The Buyer may at any time put forward a Variation request to amend this Call-Off Contract to ensure that it complies with any guidance issued by the Information Commissioner’s Office.  </w:t>
      </w:r>
    </w:p>
    <w:p w:rsidR="00621D2A" w:rsidRDefault="002063F5">
      <w:pPr>
        <w:spacing w:after="222" w:line="259" w:lineRule="auto"/>
        <w:ind w:left="706" w:firstLine="0"/>
      </w:pPr>
      <w:r>
        <w:t xml:space="preserve">  </w:t>
      </w:r>
    </w:p>
    <w:p w:rsidR="00621D2A" w:rsidRDefault="002063F5">
      <w:pPr>
        <w:pStyle w:val="Heading1"/>
        <w:spacing w:after="210"/>
        <w:ind w:left="686"/>
      </w:pPr>
      <w:bookmarkStart w:id="4" w:name="_Toc73319"/>
      <w:r>
        <w:t xml:space="preserve">Schedule 3 - Collaboration agreement  </w:t>
      </w:r>
      <w:bookmarkEnd w:id="4"/>
    </w:p>
    <w:p w:rsidR="00621D2A" w:rsidRDefault="002063F5">
      <w:pPr>
        <w:spacing w:after="213" w:line="265" w:lineRule="auto"/>
        <w:ind w:left="686"/>
      </w:pPr>
      <w:r>
        <w:t xml:space="preserve">The Collaboration agreement is available at </w:t>
      </w:r>
      <w:hyperlink r:id="rId158">
        <w:r>
          <w:rPr>
            <w:color w:val="1155CC"/>
            <w:u w:val="single" w:color="1155CC"/>
          </w:rPr>
          <w:t>https://www.gov.uk/guidance/</w:t>
        </w:r>
      </w:hyperlink>
      <w:hyperlink r:id="rId159">
        <w:r>
          <w:rPr>
            <w:color w:val="1155CC"/>
            <w:u w:val="single" w:color="1155CC"/>
          </w:rPr>
          <w:t>g</w:t>
        </w:r>
      </w:hyperlink>
      <w:hyperlink r:id="rId160">
        <w:r>
          <w:rPr>
            <w:color w:val="1155CC"/>
            <w:u w:val="single" w:color="1155CC"/>
          </w:rPr>
          <w:t>-</w:t>
        </w:r>
      </w:hyperlink>
      <w:hyperlink r:id="rId161">
        <w:r>
          <w:rPr>
            <w:color w:val="1155CC"/>
            <w:u w:val="single" w:color="1155CC"/>
          </w:rPr>
          <w:t>clou</w:t>
        </w:r>
      </w:hyperlink>
      <w:hyperlink r:id="rId162">
        <w:r>
          <w:rPr>
            <w:color w:val="1155CC"/>
            <w:u w:val="single" w:color="1155CC"/>
          </w:rPr>
          <w:t>d</w:t>
        </w:r>
      </w:hyperlink>
      <w:hyperlink r:id="rId163">
        <w:r>
          <w:rPr>
            <w:color w:val="1155CC"/>
            <w:u w:val="single" w:color="1155CC"/>
          </w:rPr>
          <w:t>-</w:t>
        </w:r>
      </w:hyperlink>
      <w:hyperlink r:id="rId164">
        <w:r>
          <w:rPr>
            <w:color w:val="1155CC"/>
            <w:u w:val="single" w:color="1155CC"/>
          </w:rPr>
          <w:t>template</w:t>
        </w:r>
      </w:hyperlink>
      <w:hyperlink r:id="rId165">
        <w:r>
          <w:rPr>
            <w:color w:val="1155CC"/>
            <w:u w:val="single" w:color="1155CC"/>
          </w:rPr>
          <w:t>s</w:t>
        </w:r>
      </w:hyperlink>
      <w:hyperlink r:id="rId166">
        <w:r>
          <w:rPr>
            <w:color w:val="1155CC"/>
            <w:u w:val="single" w:color="1155CC"/>
          </w:rPr>
          <w:t>-</w:t>
        </w:r>
      </w:hyperlink>
      <w:hyperlink r:id="rId167">
        <w:r>
          <w:rPr>
            <w:color w:val="1155CC"/>
            <w:u w:val="single" w:color="1155CC"/>
          </w:rPr>
          <w:t>an</w:t>
        </w:r>
      </w:hyperlink>
      <w:hyperlink r:id="rId168">
        <w:r>
          <w:rPr>
            <w:color w:val="1155CC"/>
            <w:u w:val="single" w:color="1155CC"/>
          </w:rPr>
          <w:t>d</w:t>
        </w:r>
      </w:hyperlink>
      <w:hyperlink r:id="rId169"/>
      <w:hyperlink r:id="rId170">
        <w:r>
          <w:rPr>
            <w:color w:val="1155CC"/>
            <w:u w:val="single" w:color="1155CC"/>
          </w:rPr>
          <w:t>lega</w:t>
        </w:r>
      </w:hyperlink>
      <w:hyperlink r:id="rId171">
        <w:r>
          <w:rPr>
            <w:color w:val="1155CC"/>
            <w:u w:val="single" w:color="1155CC"/>
          </w:rPr>
          <w:t>ldocument</w:t>
        </w:r>
      </w:hyperlink>
      <w:hyperlink r:id="rId172">
        <w:r>
          <w:rPr>
            <w:color w:val="1155CC"/>
            <w:u w:val="single" w:color="1155CC"/>
          </w:rPr>
          <w:t>s</w:t>
        </w:r>
      </w:hyperlink>
      <w:hyperlink r:id="rId173">
        <w:r>
          <w:t xml:space="preserve"> </w:t>
        </w:r>
      </w:hyperlink>
      <w:hyperlink r:id="rId174">
        <w:r>
          <w:rPr>
            <w:rFonts w:ascii="Arial" w:eastAsia="Arial" w:hAnsi="Arial" w:cs="Arial"/>
            <w:sz w:val="20"/>
          </w:rPr>
          <w:t xml:space="preserve"> </w:t>
        </w:r>
      </w:hyperlink>
      <w:r>
        <w:t xml:space="preserve"> </w:t>
      </w:r>
    </w:p>
    <w:p w:rsidR="00621D2A" w:rsidRDefault="002063F5">
      <w:pPr>
        <w:spacing w:after="221" w:line="259" w:lineRule="auto"/>
        <w:ind w:left="706" w:firstLine="0"/>
      </w:pPr>
      <w:r>
        <w:t xml:space="preserve">  </w:t>
      </w:r>
    </w:p>
    <w:p w:rsidR="00621D2A" w:rsidRDefault="002063F5">
      <w:pPr>
        <w:pStyle w:val="Heading1"/>
        <w:spacing w:after="212"/>
        <w:ind w:left="686"/>
      </w:pPr>
      <w:bookmarkStart w:id="5" w:name="_Toc73320"/>
      <w:r>
        <w:lastRenderedPageBreak/>
        <w:t xml:space="preserve">Schedule 4 - Alternative clauses  </w:t>
      </w:r>
      <w:bookmarkEnd w:id="5"/>
    </w:p>
    <w:p w:rsidR="00621D2A" w:rsidRDefault="002063F5">
      <w:pPr>
        <w:spacing w:after="213" w:line="265" w:lineRule="auto"/>
        <w:ind w:left="686"/>
      </w:pPr>
      <w:r>
        <w:t xml:space="preserve">The Alternative clauses are available at </w:t>
      </w:r>
      <w:hyperlink r:id="rId175">
        <w:r>
          <w:rPr>
            <w:color w:val="1155CC"/>
            <w:u w:val="single" w:color="1155CC"/>
          </w:rPr>
          <w:t>https://www.gov.uk/guidance/</w:t>
        </w:r>
      </w:hyperlink>
      <w:hyperlink r:id="rId176">
        <w:r>
          <w:rPr>
            <w:color w:val="1155CC"/>
            <w:u w:val="single" w:color="1155CC"/>
          </w:rPr>
          <w:t>g</w:t>
        </w:r>
      </w:hyperlink>
      <w:hyperlink r:id="rId177">
        <w:r>
          <w:rPr>
            <w:color w:val="1155CC"/>
            <w:u w:val="single" w:color="1155CC"/>
          </w:rPr>
          <w:t>-</w:t>
        </w:r>
      </w:hyperlink>
      <w:hyperlink r:id="rId178">
        <w:r>
          <w:rPr>
            <w:color w:val="1155CC"/>
            <w:u w:val="single" w:color="1155CC"/>
          </w:rPr>
          <w:t>clou</w:t>
        </w:r>
      </w:hyperlink>
      <w:hyperlink r:id="rId179">
        <w:r>
          <w:rPr>
            <w:color w:val="1155CC"/>
            <w:u w:val="single" w:color="1155CC"/>
          </w:rPr>
          <w:t>d</w:t>
        </w:r>
      </w:hyperlink>
      <w:hyperlink r:id="rId180">
        <w:r>
          <w:rPr>
            <w:color w:val="1155CC"/>
            <w:u w:val="single" w:color="1155CC"/>
          </w:rPr>
          <w:t>-</w:t>
        </w:r>
      </w:hyperlink>
      <w:hyperlink r:id="rId181">
        <w:r>
          <w:rPr>
            <w:color w:val="1155CC"/>
            <w:u w:val="single" w:color="1155CC"/>
          </w:rPr>
          <w:t>template</w:t>
        </w:r>
      </w:hyperlink>
      <w:hyperlink r:id="rId182">
        <w:r>
          <w:rPr>
            <w:color w:val="1155CC"/>
            <w:u w:val="single" w:color="1155CC"/>
          </w:rPr>
          <w:t>s</w:t>
        </w:r>
      </w:hyperlink>
      <w:hyperlink r:id="rId183">
        <w:r>
          <w:rPr>
            <w:color w:val="1155CC"/>
            <w:u w:val="single" w:color="1155CC"/>
          </w:rPr>
          <w:t>-</w:t>
        </w:r>
      </w:hyperlink>
      <w:hyperlink r:id="rId184">
        <w:r>
          <w:rPr>
            <w:color w:val="1155CC"/>
            <w:u w:val="single" w:color="1155CC"/>
          </w:rPr>
          <w:t>an</w:t>
        </w:r>
      </w:hyperlink>
      <w:hyperlink r:id="rId185">
        <w:r>
          <w:rPr>
            <w:color w:val="1155CC"/>
            <w:u w:val="single" w:color="1155CC"/>
          </w:rPr>
          <w:t>d</w:t>
        </w:r>
      </w:hyperlink>
      <w:hyperlink r:id="rId186"/>
      <w:hyperlink r:id="rId187">
        <w:r>
          <w:rPr>
            <w:color w:val="1155CC"/>
            <w:u w:val="single" w:color="1155CC"/>
          </w:rPr>
          <w:t>lega</w:t>
        </w:r>
      </w:hyperlink>
      <w:hyperlink r:id="rId188">
        <w:r>
          <w:rPr>
            <w:color w:val="1155CC"/>
            <w:u w:val="single" w:color="1155CC"/>
          </w:rPr>
          <w:t>ldocument</w:t>
        </w:r>
      </w:hyperlink>
      <w:hyperlink r:id="rId189">
        <w:r>
          <w:rPr>
            <w:color w:val="1155CC"/>
            <w:u w:val="single" w:color="1155CC"/>
          </w:rPr>
          <w:t>s</w:t>
        </w:r>
      </w:hyperlink>
      <w:hyperlink r:id="rId190">
        <w:r>
          <w:t xml:space="preserve"> </w:t>
        </w:r>
      </w:hyperlink>
      <w:hyperlink r:id="rId191">
        <w:r>
          <w:rPr>
            <w:rFonts w:ascii="Arial" w:eastAsia="Arial" w:hAnsi="Arial" w:cs="Arial"/>
            <w:sz w:val="20"/>
          </w:rPr>
          <w:t xml:space="preserve"> </w:t>
        </w:r>
      </w:hyperlink>
      <w:r>
        <w:t xml:space="preserve"> </w:t>
      </w:r>
    </w:p>
    <w:p w:rsidR="00621D2A" w:rsidRDefault="002063F5">
      <w:pPr>
        <w:spacing w:after="222" w:line="259" w:lineRule="auto"/>
        <w:ind w:left="706" w:firstLine="0"/>
      </w:pPr>
      <w:r>
        <w:t xml:space="preserve">  </w:t>
      </w:r>
    </w:p>
    <w:p w:rsidR="00621D2A" w:rsidRDefault="002063F5">
      <w:pPr>
        <w:pStyle w:val="Heading1"/>
        <w:spacing w:after="219"/>
        <w:ind w:left="686"/>
      </w:pPr>
      <w:bookmarkStart w:id="6" w:name="_Toc73321"/>
      <w:r>
        <w:t xml:space="preserve">Schedule 5 - Guarantee  </w:t>
      </w:r>
      <w:bookmarkEnd w:id="6"/>
    </w:p>
    <w:p w:rsidR="00621D2A" w:rsidRDefault="002063F5">
      <w:pPr>
        <w:spacing w:after="213" w:line="265" w:lineRule="auto"/>
        <w:ind w:left="686"/>
      </w:pPr>
      <w:r>
        <w:t xml:space="preserve">The Guarantee is available at </w:t>
      </w:r>
      <w:hyperlink r:id="rId192">
        <w:r>
          <w:rPr>
            <w:color w:val="1155CC"/>
            <w:u w:val="single" w:color="1155CC"/>
          </w:rPr>
          <w:t>https://www.gov.uk/guidance/</w:t>
        </w:r>
      </w:hyperlink>
      <w:hyperlink r:id="rId193">
        <w:r>
          <w:rPr>
            <w:color w:val="1155CC"/>
            <w:u w:val="single" w:color="1155CC"/>
          </w:rPr>
          <w:t>g</w:t>
        </w:r>
      </w:hyperlink>
      <w:hyperlink r:id="rId194">
        <w:r>
          <w:rPr>
            <w:color w:val="1155CC"/>
            <w:u w:val="single" w:color="1155CC"/>
          </w:rPr>
          <w:t>-</w:t>
        </w:r>
      </w:hyperlink>
      <w:hyperlink r:id="rId195">
        <w:r>
          <w:rPr>
            <w:color w:val="1155CC"/>
            <w:u w:val="single" w:color="1155CC"/>
          </w:rPr>
          <w:t>clou</w:t>
        </w:r>
      </w:hyperlink>
      <w:hyperlink r:id="rId196">
        <w:r>
          <w:rPr>
            <w:color w:val="1155CC"/>
            <w:u w:val="single" w:color="1155CC"/>
          </w:rPr>
          <w:t>d</w:t>
        </w:r>
      </w:hyperlink>
      <w:hyperlink r:id="rId197">
        <w:r>
          <w:rPr>
            <w:color w:val="1155CC"/>
            <w:u w:val="single" w:color="1155CC"/>
          </w:rPr>
          <w:t>-</w:t>
        </w:r>
      </w:hyperlink>
      <w:hyperlink r:id="rId198">
        <w:r>
          <w:rPr>
            <w:color w:val="1155CC"/>
            <w:u w:val="single" w:color="1155CC"/>
          </w:rPr>
          <w:t>template</w:t>
        </w:r>
      </w:hyperlink>
      <w:hyperlink r:id="rId199">
        <w:r>
          <w:rPr>
            <w:color w:val="1155CC"/>
            <w:u w:val="single" w:color="1155CC"/>
          </w:rPr>
          <w:t>s</w:t>
        </w:r>
      </w:hyperlink>
      <w:hyperlink r:id="rId200">
        <w:r>
          <w:rPr>
            <w:color w:val="1155CC"/>
            <w:u w:val="single" w:color="1155CC"/>
          </w:rPr>
          <w:t>-</w:t>
        </w:r>
      </w:hyperlink>
      <w:hyperlink r:id="rId201">
        <w:r>
          <w:rPr>
            <w:color w:val="1155CC"/>
            <w:u w:val="single" w:color="1155CC"/>
          </w:rPr>
          <w:t>an</w:t>
        </w:r>
      </w:hyperlink>
      <w:hyperlink r:id="rId202">
        <w:r>
          <w:rPr>
            <w:color w:val="1155CC"/>
            <w:u w:val="single" w:color="1155CC"/>
          </w:rPr>
          <w:t>d</w:t>
        </w:r>
      </w:hyperlink>
      <w:hyperlink r:id="rId203">
        <w:r>
          <w:rPr>
            <w:color w:val="1155CC"/>
            <w:u w:val="single" w:color="1155CC"/>
          </w:rPr>
          <w:t>-</w:t>
        </w:r>
      </w:hyperlink>
      <w:hyperlink r:id="rId204">
        <w:r>
          <w:rPr>
            <w:color w:val="1155CC"/>
            <w:u w:val="single" w:color="1155CC"/>
          </w:rPr>
          <w:t>lega</w:t>
        </w:r>
      </w:hyperlink>
      <w:hyperlink r:id="rId205">
        <w:r>
          <w:rPr>
            <w:color w:val="1155CC"/>
            <w:u w:val="single" w:color="1155CC"/>
          </w:rPr>
          <w:t>l</w:t>
        </w:r>
      </w:hyperlink>
      <w:hyperlink r:id="rId206">
        <w:r>
          <w:rPr>
            <w:color w:val="1155CC"/>
            <w:u w:val="single" w:color="1155CC"/>
          </w:rPr>
          <w:t>-</w:t>
        </w:r>
      </w:hyperlink>
      <w:hyperlink r:id="rId207">
        <w:r>
          <w:rPr>
            <w:color w:val="1155CC"/>
            <w:u w:val="single" w:color="1155CC"/>
          </w:rPr>
          <w:t>document</w:t>
        </w:r>
      </w:hyperlink>
      <w:hyperlink r:id="rId208">
        <w:r>
          <w:rPr>
            <w:color w:val="1155CC"/>
            <w:u w:val="single" w:color="1155CC"/>
          </w:rPr>
          <w:t>s</w:t>
        </w:r>
      </w:hyperlink>
      <w:hyperlink r:id="rId209">
        <w:r>
          <w:t xml:space="preserve"> </w:t>
        </w:r>
      </w:hyperlink>
      <w:hyperlink r:id="rId210">
        <w:r>
          <w:rPr>
            <w:rFonts w:ascii="Arial" w:eastAsia="Arial" w:hAnsi="Arial" w:cs="Arial"/>
            <w:sz w:val="20"/>
          </w:rPr>
          <w:t xml:space="preserve"> </w:t>
        </w:r>
      </w:hyperlink>
      <w:r>
        <w:t xml:space="preserve"> </w:t>
      </w:r>
    </w:p>
    <w:p w:rsidR="00621D2A" w:rsidRDefault="002063F5">
      <w:pPr>
        <w:spacing w:after="221" w:line="259" w:lineRule="auto"/>
        <w:ind w:left="706" w:firstLine="0"/>
      </w:pPr>
      <w:r>
        <w:t xml:space="preserve">  </w:t>
      </w:r>
    </w:p>
    <w:p w:rsidR="00621D2A" w:rsidRDefault="002063F5">
      <w:pPr>
        <w:pStyle w:val="Heading1"/>
        <w:spacing w:after="212"/>
        <w:ind w:left="686"/>
      </w:pPr>
      <w:bookmarkStart w:id="7" w:name="_Toc73322"/>
      <w:r>
        <w:t xml:space="preserve">Schedule 6 - Glossary and interpretations  </w:t>
      </w:r>
      <w:bookmarkEnd w:id="7"/>
    </w:p>
    <w:p w:rsidR="00621D2A" w:rsidRDefault="002063F5">
      <w:pPr>
        <w:spacing w:after="0"/>
        <w:ind w:left="696" w:right="7"/>
      </w:pPr>
      <w:r>
        <w:t xml:space="preserve">In this Call-Off Contract the following expressions mean:  </w:t>
      </w:r>
    </w:p>
    <w:tbl>
      <w:tblPr>
        <w:tblStyle w:val="TableGrid"/>
        <w:tblW w:w="10596" w:type="dxa"/>
        <w:tblInd w:w="715" w:type="dxa"/>
        <w:tblCellMar>
          <w:top w:w="208" w:type="dxa"/>
          <w:left w:w="96" w:type="dxa"/>
          <w:bottom w:w="101" w:type="dxa"/>
          <w:right w:w="68" w:type="dxa"/>
        </w:tblCellMar>
        <w:tblLook w:val="04A0" w:firstRow="1" w:lastRow="0" w:firstColumn="1" w:lastColumn="0" w:noHBand="0" w:noVBand="1"/>
      </w:tblPr>
      <w:tblGrid>
        <w:gridCol w:w="3438"/>
        <w:gridCol w:w="7158"/>
      </w:tblGrid>
      <w:tr w:rsidR="00621D2A">
        <w:trPr>
          <w:trHeight w:val="1256"/>
        </w:trPr>
        <w:tc>
          <w:tcPr>
            <w:tcW w:w="3438" w:type="dxa"/>
            <w:tcBorders>
              <w:top w:val="single" w:sz="4"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Additional Services </w:t>
            </w:r>
            <w:r>
              <w:t xml:space="preserve"> </w:t>
            </w:r>
          </w:p>
        </w:tc>
        <w:tc>
          <w:tcPr>
            <w:tcW w:w="7158" w:type="dxa"/>
            <w:tcBorders>
              <w:top w:val="single" w:sz="4"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Any services ancillary to the G-Cloud Services that are in the scope of Framework Agreement Section 2 (Services Offered) which a Buyer may request.  </w:t>
            </w:r>
          </w:p>
        </w:tc>
      </w:tr>
      <w:tr w:rsidR="00621D2A">
        <w:trPr>
          <w:trHeight w:val="96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Admission Agreement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agreement to be entered into to enable the Supplier to participate in the relevant Civil Service pension scheme(s).  </w:t>
            </w:r>
          </w:p>
        </w:tc>
      </w:tr>
      <w:tr w:rsidR="00621D2A">
        <w:trPr>
          <w:trHeight w:val="965"/>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Application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response submitted by the Supplier to the Invitation to Tender (known as the Invitation to Apply on the Digital Marketplace).  </w:t>
            </w:r>
          </w:p>
        </w:tc>
      </w:tr>
      <w:tr w:rsidR="00621D2A">
        <w:trPr>
          <w:trHeight w:val="967"/>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Audit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 audit carried out under the incorporated Framework Agreement clauses specified by the Buyer in the Order (if any).  </w:t>
            </w:r>
          </w:p>
        </w:tc>
      </w:tr>
      <w:tr w:rsidR="00621D2A">
        <w:trPr>
          <w:trHeight w:val="674"/>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Background IPRs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For each Party, IPRs:  </w:t>
            </w:r>
          </w:p>
        </w:tc>
      </w:tr>
    </w:tbl>
    <w:p w:rsidR="00621D2A" w:rsidRDefault="002063F5">
      <w:pPr>
        <w:spacing w:after="0" w:line="259" w:lineRule="auto"/>
        <w:ind w:left="0" w:firstLine="0"/>
        <w:jc w:val="both"/>
      </w:pPr>
      <w:r>
        <w:t xml:space="preserve"> </w:t>
      </w:r>
    </w:p>
    <w:tbl>
      <w:tblPr>
        <w:tblStyle w:val="TableGrid"/>
        <w:tblW w:w="10596" w:type="dxa"/>
        <w:tblInd w:w="715" w:type="dxa"/>
        <w:tblCellMar>
          <w:top w:w="210" w:type="dxa"/>
          <w:left w:w="96" w:type="dxa"/>
          <w:bottom w:w="36" w:type="dxa"/>
          <w:right w:w="12" w:type="dxa"/>
        </w:tblCellMar>
        <w:tblLook w:val="04A0" w:firstRow="1" w:lastRow="0" w:firstColumn="1" w:lastColumn="0" w:noHBand="0" w:noVBand="1"/>
      </w:tblPr>
      <w:tblGrid>
        <w:gridCol w:w="3438"/>
        <w:gridCol w:w="7158"/>
      </w:tblGrid>
      <w:tr w:rsidR="00621D2A">
        <w:trPr>
          <w:trHeight w:val="302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lastRenderedPageBreak/>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numPr>
                <w:ilvl w:val="0"/>
                <w:numId w:val="41"/>
              </w:numPr>
              <w:spacing w:after="0" w:line="259" w:lineRule="auto"/>
              <w:ind w:right="53" w:hanging="360"/>
              <w:jc w:val="center"/>
            </w:pPr>
            <w:r>
              <w:t xml:space="preserve">owned by that Party before the date of this Call-Off Contract  </w:t>
            </w:r>
          </w:p>
          <w:p w:rsidR="00621D2A" w:rsidRDefault="002063F5">
            <w:pPr>
              <w:spacing w:after="0" w:line="259" w:lineRule="auto"/>
              <w:ind w:left="720" w:firstLine="0"/>
            </w:pPr>
            <w:r>
              <w:t xml:space="preserve">(as may be enhanced and/or modified but not as a  </w:t>
            </w:r>
          </w:p>
          <w:p w:rsidR="00621D2A" w:rsidRDefault="002063F5">
            <w:pPr>
              <w:spacing w:after="76" w:line="240" w:lineRule="auto"/>
              <w:ind w:left="720" w:firstLine="0"/>
            </w:pPr>
            <w:r>
              <w:t xml:space="preserve">consequence of the Services) including IPRs contained in any of the Party's Know-How, documentation and processes   </w:t>
            </w:r>
          </w:p>
          <w:p w:rsidR="00621D2A" w:rsidRDefault="002063F5">
            <w:pPr>
              <w:numPr>
                <w:ilvl w:val="0"/>
                <w:numId w:val="41"/>
              </w:numPr>
              <w:spacing w:after="1" w:line="259" w:lineRule="auto"/>
              <w:ind w:right="53" w:hanging="360"/>
              <w:jc w:val="center"/>
            </w:pPr>
            <w:r>
              <w:t xml:space="preserve">created by the Party independently of this Call-Off Contract, or  </w:t>
            </w:r>
          </w:p>
          <w:p w:rsidR="00621D2A" w:rsidRDefault="002063F5">
            <w:pPr>
              <w:spacing w:after="0" w:line="259" w:lineRule="auto"/>
              <w:ind w:left="0" w:firstLine="0"/>
            </w:pPr>
            <w:r>
              <w:t xml:space="preserve">  </w:t>
            </w:r>
          </w:p>
          <w:p w:rsidR="00621D2A" w:rsidRDefault="002063F5">
            <w:pPr>
              <w:spacing w:after="0" w:line="259" w:lineRule="auto"/>
              <w:ind w:left="0" w:firstLine="0"/>
            </w:pPr>
            <w:r>
              <w:t xml:space="preserve">For the Buyer, Crown Copyright which isn’t available to the Supplier otherwise than under this Call-Off Contract, but excluding IPRs owned by that Party in Buyer software or Supplier software.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Buyer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contracting authority ordering services as set out in the Order Form.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Buyer Data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All data supplied by the Buyer to the Supplier including Personal Data and Service Data that is owned and managed by the Buyer.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Buyer Personal Data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personal data supplied by the Buyer to the Supplier for purposes of, or in connection with, this Call-Off Contract.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Buyer Representative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representative appointed by the Buyer under this Call-Off Contract.  </w:t>
            </w:r>
          </w:p>
        </w:tc>
      </w:tr>
      <w:tr w:rsidR="00621D2A">
        <w:trPr>
          <w:trHeight w:val="1263"/>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Buyer Software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Software owned by or licensed to the Buyer (other than under this Agreement), which is or will be used by the Supplier to provide the Services.  </w:t>
            </w:r>
          </w:p>
        </w:tc>
      </w:tr>
      <w:tr w:rsidR="00621D2A">
        <w:trPr>
          <w:trHeight w:val="1848"/>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Call-Off Contract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This call-off contract entered into following the provisions of the </w:t>
            </w:r>
          </w:p>
          <w:p w:rsidR="00621D2A" w:rsidRDefault="002063F5">
            <w:pPr>
              <w:spacing w:after="0" w:line="260" w:lineRule="auto"/>
              <w:ind w:left="0" w:firstLine="0"/>
            </w:pPr>
            <w:r>
              <w:t xml:space="preserve">Framework Agreement for the provision of Services made between the Buyer and the Supplier comprising the Order Form, the Call-Off terms </w:t>
            </w:r>
          </w:p>
          <w:p w:rsidR="00621D2A" w:rsidRDefault="002063F5">
            <w:pPr>
              <w:spacing w:after="0" w:line="259" w:lineRule="auto"/>
              <w:ind w:left="0" w:firstLine="0"/>
            </w:pPr>
            <w:r>
              <w:t xml:space="preserve">and conditions, the Call-Off schedules and the Collaboration Agreement.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Charges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prices (excluding any applicable VAT), payable to the Supplier by the Buyer under this Call-Off Contract.  </w:t>
            </w:r>
          </w:p>
        </w:tc>
      </w:tr>
      <w:tr w:rsidR="00621D2A">
        <w:trPr>
          <w:trHeight w:val="1848"/>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lastRenderedPageBreak/>
              <w:t xml:space="preserve">Collaboration Agreement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21D2A">
        <w:trPr>
          <w:trHeight w:val="1263"/>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Commercially Sensitive </w:t>
            </w:r>
          </w:p>
          <w:p w:rsidR="00621D2A" w:rsidRDefault="002063F5">
            <w:pPr>
              <w:spacing w:after="0" w:line="259" w:lineRule="auto"/>
              <w:ind w:left="0" w:firstLine="0"/>
            </w:pPr>
            <w:r>
              <w:rPr>
                <w:b/>
              </w:rPr>
              <w:t xml:space="preserve">Information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right="10" w:firstLine="0"/>
            </w:pPr>
            <w:r>
              <w:t>Information, which the Buyer has been notified about by the Supplier in writing before the Start Date with full details of why the Information is deemed to be commercially sensitive.</w:t>
            </w:r>
            <w:r>
              <w:rPr>
                <w:rFonts w:ascii="Arial" w:eastAsia="Arial" w:hAnsi="Arial" w:cs="Arial"/>
                <w:sz w:val="20"/>
              </w:rPr>
              <w:t xml:space="preserve"> </w:t>
            </w:r>
            <w:r>
              <w:t xml:space="preserve">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Confidential Information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Data, personal data and any information, which may include (but isn’t limited to) any:  </w:t>
            </w:r>
          </w:p>
        </w:tc>
      </w:tr>
    </w:tbl>
    <w:p w:rsidR="00621D2A" w:rsidRDefault="002063F5">
      <w:pPr>
        <w:spacing w:after="0" w:line="259" w:lineRule="auto"/>
        <w:ind w:left="0" w:firstLine="0"/>
        <w:jc w:val="both"/>
      </w:pPr>
      <w:r>
        <w:t xml:space="preserve"> </w:t>
      </w:r>
    </w:p>
    <w:tbl>
      <w:tblPr>
        <w:tblStyle w:val="TableGrid"/>
        <w:tblW w:w="10596" w:type="dxa"/>
        <w:tblInd w:w="715" w:type="dxa"/>
        <w:tblCellMar>
          <w:top w:w="213" w:type="dxa"/>
          <w:left w:w="96" w:type="dxa"/>
          <w:bottom w:w="68" w:type="dxa"/>
          <w:right w:w="92" w:type="dxa"/>
        </w:tblCellMar>
        <w:tblLook w:val="04A0" w:firstRow="1" w:lastRow="0" w:firstColumn="1" w:lastColumn="0" w:noHBand="0" w:noVBand="1"/>
      </w:tblPr>
      <w:tblGrid>
        <w:gridCol w:w="3438"/>
        <w:gridCol w:w="7158"/>
      </w:tblGrid>
      <w:tr w:rsidR="00621D2A">
        <w:trPr>
          <w:trHeight w:val="2434"/>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numPr>
                <w:ilvl w:val="0"/>
                <w:numId w:val="42"/>
              </w:numPr>
              <w:spacing w:after="0" w:line="240" w:lineRule="auto"/>
              <w:ind w:hanging="360"/>
            </w:pPr>
            <w:r>
              <w:t xml:space="preserve">information about business, affairs, developments, trade secrets, know-how, personnel, and third parties, including all  </w:t>
            </w:r>
          </w:p>
          <w:p w:rsidR="00621D2A" w:rsidRDefault="002063F5">
            <w:pPr>
              <w:spacing w:after="53" w:line="260" w:lineRule="auto"/>
              <w:ind w:left="720" w:firstLine="0"/>
            </w:pPr>
            <w:r>
              <w:t xml:space="preserve">Intellectual Property Rights (IPRs), together with all  information derived from any of the above  </w:t>
            </w:r>
          </w:p>
          <w:p w:rsidR="00621D2A" w:rsidRDefault="002063F5">
            <w:pPr>
              <w:numPr>
                <w:ilvl w:val="0"/>
                <w:numId w:val="42"/>
              </w:numPr>
              <w:spacing w:after="0" w:line="259" w:lineRule="auto"/>
              <w:ind w:hanging="360"/>
            </w:pPr>
            <w:r>
              <w:t xml:space="preserve">other information clearly designated as being confidential or which ought reasonably be considered to be confidential (whether or not it is marked 'confidential').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Control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‘Control’ as defined in section 1124 and 450 of the Corporation Tax Act 2010. 'Controls' and 'Controlled' will be interpreted accordingly.  </w:t>
            </w:r>
          </w:p>
        </w:tc>
      </w:tr>
      <w:tr w:rsidR="00621D2A">
        <w:trPr>
          <w:trHeight w:val="674"/>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Controller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Takes the meaning given in the Data Protection Legislation</w:t>
            </w:r>
            <w:r>
              <w:rPr>
                <w:color w:val="353535"/>
              </w:rPr>
              <w:t>.</w:t>
            </w:r>
            <w:r>
              <w:rPr>
                <w:rFonts w:ascii="Arial" w:eastAsia="Arial" w:hAnsi="Arial" w:cs="Arial"/>
                <w:sz w:val="20"/>
              </w:rPr>
              <w:t xml:space="preserve"> </w:t>
            </w:r>
            <w:r>
              <w:t xml:space="preserve"> </w:t>
            </w:r>
          </w:p>
        </w:tc>
      </w:tr>
      <w:tr w:rsidR="00621D2A">
        <w:trPr>
          <w:trHeight w:val="2141"/>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Crown </w:t>
            </w:r>
            <w:r>
              <w:t xml:space="preserve"> </w:t>
            </w:r>
          </w:p>
          <w:p w:rsidR="00621D2A" w:rsidRDefault="002063F5">
            <w:pPr>
              <w:spacing w:after="0" w:line="259" w:lineRule="auto"/>
              <w:ind w:left="0" w:firstLine="0"/>
            </w:pPr>
            <w:r>
              <w:rPr>
                <w:b/>
              </w:rPr>
              <w:t xml:space="preserv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621D2A">
        <w:trPr>
          <w:trHeight w:val="126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lastRenderedPageBreak/>
              <w:t xml:space="preserve">Data Loss Event </w:t>
            </w:r>
            <w:r>
              <w:rPr>
                <w:rFonts w:ascii="MS Gothic" w:eastAsia="MS Gothic" w:hAnsi="MS Gothic" w:cs="MS Gothic"/>
              </w:rPr>
              <w:t> </w:t>
            </w:r>
            <w:r>
              <w:rPr>
                <w:b/>
              </w:rPr>
              <w:t xml:space="preserv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right="226" w:firstLine="0"/>
            </w:pPr>
            <w:r>
              <w:t xml:space="preserve">Means a breach of security leading to the accidental or unlawful destruction, loss, alteration, unauthorised disclosure of, or access to, Personal Data transmitted, stored or otherwise processed  </w:t>
            </w:r>
          </w:p>
        </w:tc>
      </w:tr>
      <w:tr w:rsidR="00621D2A">
        <w:trPr>
          <w:trHeight w:val="145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1" w:line="259" w:lineRule="auto"/>
              <w:ind w:left="0" w:firstLine="0"/>
            </w:pPr>
            <w:r>
              <w:rPr>
                <w:b/>
              </w:rPr>
              <w:t xml:space="preserve">Data Protection Impact </w:t>
            </w:r>
          </w:p>
          <w:p w:rsidR="00621D2A" w:rsidRDefault="002063F5">
            <w:pPr>
              <w:spacing w:after="0" w:line="259" w:lineRule="auto"/>
              <w:ind w:left="0" w:firstLine="0"/>
            </w:pPr>
            <w:r>
              <w:rPr>
                <w:b/>
              </w:rPr>
              <w:t xml:space="preserve">Assessment </w:t>
            </w:r>
            <w:r>
              <w:t xml:space="preserve"> </w:t>
            </w:r>
          </w:p>
        </w:tc>
        <w:tc>
          <w:tcPr>
            <w:tcW w:w="7158" w:type="dxa"/>
            <w:tcBorders>
              <w:top w:val="single" w:sz="6" w:space="0" w:color="000001"/>
              <w:left w:val="single" w:sz="6" w:space="0" w:color="000001"/>
              <w:bottom w:val="single" w:sz="6" w:space="0" w:color="000001"/>
              <w:right w:val="single" w:sz="4" w:space="0" w:color="000001"/>
            </w:tcBorders>
          </w:tcPr>
          <w:p w:rsidR="00621D2A" w:rsidRDefault="002063F5">
            <w:pPr>
              <w:spacing w:after="0" w:line="259" w:lineRule="auto"/>
              <w:ind w:left="0" w:firstLine="0"/>
            </w:pPr>
            <w:r>
              <w:t xml:space="preserve">An assessment by the Controller of the impact of the envisaged processing by the Processor under this Call-Off Contract on the protection of Personal Data.  </w:t>
            </w:r>
          </w:p>
        </w:tc>
      </w:tr>
      <w:tr w:rsidR="00621D2A">
        <w:trPr>
          <w:trHeight w:val="3315"/>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Data Protection Legislation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Data Protection Legislation means:   </w:t>
            </w:r>
          </w:p>
          <w:p w:rsidR="00621D2A" w:rsidRDefault="002063F5">
            <w:pPr>
              <w:spacing w:after="53" w:line="259" w:lineRule="auto"/>
              <w:ind w:left="0" w:firstLine="0"/>
            </w:pPr>
            <w:r>
              <w:t xml:space="preserve">  </w:t>
            </w:r>
          </w:p>
          <w:p w:rsidR="00621D2A" w:rsidRDefault="002063F5">
            <w:pPr>
              <w:spacing w:after="0" w:line="259" w:lineRule="auto"/>
              <w:ind w:left="360" w:right="152" w:firstLine="0"/>
            </w:pPr>
            <w:r>
              <w:t>i)</w:t>
            </w:r>
            <w:r>
              <w:rPr>
                <w:rFonts w:ascii="Arial" w:eastAsia="Arial" w:hAnsi="Arial" w:cs="Arial"/>
              </w:rPr>
              <w:t xml:space="preserve">  </w:t>
            </w:r>
            <w:r>
              <w:t>the GDPR, the LED and any applicable national implementing Laws as amended from time to time  ii)</w:t>
            </w:r>
            <w:r>
              <w:rPr>
                <w:rFonts w:ascii="Arial" w:eastAsia="Arial" w:hAnsi="Arial" w:cs="Arial"/>
              </w:rPr>
              <w:t xml:space="preserve">  </w:t>
            </w:r>
            <w:r>
              <w:t>the DPA 2018 to the extent that it relates to processing of personal data and privacy; iii)</w:t>
            </w:r>
            <w:r>
              <w:rPr>
                <w:rFonts w:ascii="Arial" w:eastAsia="Arial" w:hAnsi="Arial" w:cs="Arial"/>
              </w:rPr>
              <w:t xml:space="preserve">  </w:t>
            </w:r>
            <w:r>
              <w:t xml:space="preserve">all applicable Law about the processing of personal data and privacy, including if applicable legally binding guidance  and codes of practice issued by the Information Commissioner.  </w:t>
            </w:r>
          </w:p>
        </w:tc>
      </w:tr>
      <w:tr w:rsidR="00621D2A">
        <w:trPr>
          <w:trHeight w:val="677"/>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Data Subject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Takes the meaning given in the Data Protection Legislation.  </w:t>
            </w:r>
          </w:p>
        </w:tc>
      </w:tr>
      <w:tr w:rsidR="00621D2A">
        <w:trPr>
          <w:trHeight w:val="185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Default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50" w:line="259" w:lineRule="auto"/>
              <w:ind w:left="0" w:firstLine="0"/>
            </w:pPr>
            <w:r>
              <w:t xml:space="preserve">Default is any:  </w:t>
            </w:r>
          </w:p>
          <w:p w:rsidR="00621D2A" w:rsidRDefault="002063F5">
            <w:pPr>
              <w:numPr>
                <w:ilvl w:val="0"/>
                <w:numId w:val="43"/>
              </w:numPr>
              <w:spacing w:after="76" w:line="240" w:lineRule="auto"/>
              <w:ind w:hanging="360"/>
            </w:pPr>
            <w:r>
              <w:t xml:space="preserve">breach of the obligations of the Supplier (including any fundamental breach or breach of a fundamental term)  </w:t>
            </w:r>
          </w:p>
          <w:p w:rsidR="00621D2A" w:rsidRDefault="002063F5">
            <w:pPr>
              <w:numPr>
                <w:ilvl w:val="0"/>
                <w:numId w:val="43"/>
              </w:numPr>
              <w:spacing w:after="0" w:line="259" w:lineRule="auto"/>
              <w:ind w:hanging="360"/>
            </w:pPr>
            <w:r>
              <w:t xml:space="preserve">other default, negligence or negligent statement of the  </w:t>
            </w:r>
          </w:p>
          <w:p w:rsidR="00621D2A" w:rsidRDefault="002063F5">
            <w:pPr>
              <w:spacing w:after="0" w:line="259" w:lineRule="auto"/>
              <w:ind w:left="720" w:firstLine="0"/>
            </w:pPr>
            <w:r>
              <w:t xml:space="preserve">Supplier, of its Subcontractors or any Supplier Staff (whether  </w:t>
            </w:r>
          </w:p>
        </w:tc>
      </w:tr>
    </w:tbl>
    <w:p w:rsidR="00621D2A" w:rsidRDefault="002063F5">
      <w:pPr>
        <w:spacing w:after="0" w:line="259" w:lineRule="auto"/>
        <w:ind w:left="0" w:firstLine="0"/>
        <w:jc w:val="both"/>
      </w:pPr>
      <w:r>
        <w:t xml:space="preserve"> </w:t>
      </w:r>
    </w:p>
    <w:tbl>
      <w:tblPr>
        <w:tblStyle w:val="TableGrid"/>
        <w:tblW w:w="10596" w:type="dxa"/>
        <w:tblInd w:w="715" w:type="dxa"/>
        <w:tblCellMar>
          <w:top w:w="210" w:type="dxa"/>
          <w:left w:w="96" w:type="dxa"/>
          <w:bottom w:w="68" w:type="dxa"/>
          <w:right w:w="19" w:type="dxa"/>
        </w:tblCellMar>
        <w:tblLook w:val="04A0" w:firstRow="1" w:lastRow="0" w:firstColumn="1" w:lastColumn="0" w:noHBand="0" w:noVBand="1"/>
      </w:tblPr>
      <w:tblGrid>
        <w:gridCol w:w="3438"/>
        <w:gridCol w:w="7158"/>
      </w:tblGrid>
      <w:tr w:rsidR="00621D2A">
        <w:trPr>
          <w:trHeight w:val="2611"/>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lastRenderedPageBreak/>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40" w:lineRule="auto"/>
              <w:ind w:left="720" w:firstLine="0"/>
            </w:pPr>
            <w:r>
              <w:t xml:space="preserve">by act or omission), in connection with or in relation to this CallOff Contract  </w:t>
            </w:r>
          </w:p>
          <w:p w:rsidR="00621D2A" w:rsidRDefault="002063F5">
            <w:pPr>
              <w:spacing w:after="0" w:line="259" w:lineRule="auto"/>
              <w:ind w:left="0" w:firstLine="0"/>
            </w:pPr>
            <w:r>
              <w:t xml:space="preserve">  </w:t>
            </w:r>
          </w:p>
          <w:p w:rsidR="00621D2A" w:rsidRDefault="002063F5">
            <w:pPr>
              <w:spacing w:after="0" w:line="259" w:lineRule="auto"/>
              <w:ind w:left="0"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621D2A">
        <w:trPr>
          <w:trHeight w:val="968"/>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Deliverable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G-Cloud Services the Buyer contracts the Supplier to provide under this Call-Off Contract.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Digital Marketplace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The government marketplace where Services are available for Buyers to buy. (</w:t>
            </w:r>
            <w:hyperlink r:id="rId211">
              <w:r>
                <w:rPr>
                  <w:color w:val="1155CC"/>
                  <w:u w:val="single" w:color="1155CC"/>
                </w:rPr>
                <w:t>https://www.digitalmarketplace.service.gov.u</w:t>
              </w:r>
            </w:hyperlink>
            <w:hyperlink r:id="rId212">
              <w:r>
                <w:rPr>
                  <w:color w:val="1155CC"/>
                  <w:u w:val="single" w:color="1155CC"/>
                </w:rPr>
                <w:t>k</w:t>
              </w:r>
            </w:hyperlink>
            <w:hyperlink r:id="rId213">
              <w:r>
                <w:t>/</w:t>
              </w:r>
            </w:hyperlink>
            <w:hyperlink r:id="rId214">
              <w:r>
                <w:t>)</w:t>
              </w:r>
            </w:hyperlink>
            <w:r>
              <w:rPr>
                <w:rFonts w:ascii="Arial" w:eastAsia="Arial" w:hAnsi="Arial" w:cs="Arial"/>
                <w:sz w:val="20"/>
              </w:rPr>
              <w:t xml:space="preserve"> </w:t>
            </w:r>
            <w:r>
              <w:t xml:space="preserve"> </w:t>
            </w:r>
          </w:p>
        </w:tc>
      </w:tr>
      <w:tr w:rsidR="00621D2A">
        <w:trPr>
          <w:trHeight w:val="677"/>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DPA 2018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Data Protection Act 2018.  </w:t>
            </w:r>
          </w:p>
        </w:tc>
      </w:tr>
      <w:tr w:rsidR="00621D2A">
        <w:trPr>
          <w:trHeight w:val="1263"/>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Employment Regulations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Transfer of Undertakings (Protection of Employment) Regulations 2006 (SI 2006/246) (‘TUPE’) which implements the Acquired Rights Directive.  </w:t>
            </w:r>
          </w:p>
        </w:tc>
      </w:tr>
      <w:tr w:rsidR="00621D2A">
        <w:trPr>
          <w:trHeight w:val="677"/>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End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jc w:val="both"/>
            </w:pPr>
            <w:r>
              <w:t xml:space="preserve">Means to terminate; and Ended and Ending are construed accordingly.  </w:t>
            </w:r>
          </w:p>
        </w:tc>
      </w:tr>
      <w:tr w:rsidR="00621D2A">
        <w:trPr>
          <w:trHeight w:val="126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Environmental Information </w:t>
            </w:r>
          </w:p>
          <w:p w:rsidR="00621D2A" w:rsidRDefault="002063F5">
            <w:pPr>
              <w:spacing w:after="0" w:line="259" w:lineRule="auto"/>
              <w:ind w:left="0" w:firstLine="0"/>
            </w:pPr>
            <w:r>
              <w:rPr>
                <w:b/>
              </w:rPr>
              <w:t xml:space="preserve">Regulations or EIR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Environmental Information Regulations 2004 together with any guidance or codes of practice issued by the Information Commissioner or relevant Government department about the regulations.  </w:t>
            </w:r>
          </w:p>
        </w:tc>
      </w:tr>
      <w:tr w:rsidR="00621D2A">
        <w:trPr>
          <w:trHeight w:val="1556"/>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Equipment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621D2A">
        <w:trPr>
          <w:trHeight w:val="967"/>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lastRenderedPageBreak/>
              <w:t xml:space="preserve">ESI Reference Number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14 digit ESI reference number from the summary of outcome screen of the ESI tool.  </w:t>
            </w:r>
          </w:p>
        </w:tc>
      </w:tr>
      <w:tr w:rsidR="00621D2A">
        <w:trPr>
          <w:trHeight w:val="1555"/>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Employment Status Indicator test tool or ESI tool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right="329" w:firstLine="0"/>
            </w:pPr>
            <w:r>
              <w:t>The HMRC Employment Status Indicator test tool. The most uptodate version must be used. At the time of drafting the tool may be found here</w:t>
            </w:r>
            <w:hyperlink r:id="rId215">
              <w:r>
                <w:t xml:space="preserve">: </w:t>
              </w:r>
            </w:hyperlink>
            <w:hyperlink r:id="rId216">
              <w:r>
                <w:rPr>
                  <w:color w:val="1155CC"/>
                  <w:u w:val="single" w:color="1155CC"/>
                </w:rPr>
                <w:t>http://tools.hmrc.gov.uk/es</w:t>
              </w:r>
            </w:hyperlink>
            <w:hyperlink r:id="rId217">
              <w:r>
                <w:rPr>
                  <w:color w:val="1155CC"/>
                  <w:u w:val="single" w:color="1155CC"/>
                </w:rPr>
                <w:t>i</w:t>
              </w:r>
            </w:hyperlink>
            <w:hyperlink r:id="rId218">
              <w:r>
                <w:rPr>
                  <w:rFonts w:ascii="Arial" w:eastAsia="Arial" w:hAnsi="Arial" w:cs="Arial"/>
                  <w:sz w:val="20"/>
                </w:rPr>
                <w:t xml:space="preserve"> </w:t>
              </w:r>
            </w:hyperlink>
            <w:hyperlink r:id="rId219">
              <w:r>
                <w:t xml:space="preserve"> </w:t>
              </w:r>
            </w:hyperlink>
          </w:p>
        </w:tc>
      </w:tr>
      <w:tr w:rsidR="00621D2A">
        <w:trPr>
          <w:trHeight w:val="677"/>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Expiry Date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expiry date of this Call-Off Contract in the Order Form.  </w:t>
            </w:r>
          </w:p>
        </w:tc>
      </w:tr>
      <w:tr w:rsidR="00621D2A">
        <w:trPr>
          <w:trHeight w:val="2434"/>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Force Majeure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72" w:line="242" w:lineRule="auto"/>
              <w:ind w:left="0" w:firstLine="0"/>
            </w:pPr>
            <w:r>
              <w:t xml:space="preserve">A Force Majeure event means anything affecting either Party's performance of their obligations arising from any:  </w:t>
            </w:r>
          </w:p>
          <w:p w:rsidR="00621D2A" w:rsidRDefault="002063F5">
            <w:pPr>
              <w:numPr>
                <w:ilvl w:val="0"/>
                <w:numId w:val="44"/>
              </w:numPr>
              <w:spacing w:after="71" w:line="242" w:lineRule="auto"/>
              <w:ind w:right="22" w:hanging="360"/>
            </w:pPr>
            <w:r>
              <w:t xml:space="preserve">acts, events or omissions beyond the reasonable control of the affected Party  </w:t>
            </w:r>
          </w:p>
          <w:p w:rsidR="00621D2A" w:rsidRDefault="002063F5">
            <w:pPr>
              <w:numPr>
                <w:ilvl w:val="0"/>
                <w:numId w:val="44"/>
              </w:numPr>
              <w:spacing w:after="69" w:line="244" w:lineRule="auto"/>
              <w:ind w:right="22" w:hanging="360"/>
            </w:pPr>
            <w:r>
              <w:t xml:space="preserve">riots, war or armed conflict, acts of terrorism, nuclear, biological or chemical warfare  </w:t>
            </w:r>
          </w:p>
          <w:p w:rsidR="00621D2A" w:rsidRDefault="002063F5">
            <w:pPr>
              <w:numPr>
                <w:ilvl w:val="0"/>
                <w:numId w:val="44"/>
              </w:numPr>
              <w:spacing w:after="0" w:line="259" w:lineRule="auto"/>
              <w:ind w:right="22" w:hanging="360"/>
            </w:pPr>
            <w:r>
              <w:t xml:space="preserve">acts of government, local government or Regulatory Bodies  </w:t>
            </w:r>
          </w:p>
        </w:tc>
      </w:tr>
    </w:tbl>
    <w:p w:rsidR="00621D2A" w:rsidRDefault="002063F5">
      <w:pPr>
        <w:spacing w:after="0" w:line="259" w:lineRule="auto"/>
        <w:ind w:left="0" w:firstLine="0"/>
        <w:jc w:val="both"/>
      </w:pPr>
      <w:r>
        <w:t xml:space="preserve"> </w:t>
      </w:r>
    </w:p>
    <w:p w:rsidR="00621D2A" w:rsidRDefault="00621D2A">
      <w:pPr>
        <w:spacing w:after="0" w:line="259" w:lineRule="auto"/>
        <w:ind w:left="0" w:right="21" w:firstLine="0"/>
      </w:pPr>
    </w:p>
    <w:tbl>
      <w:tblPr>
        <w:tblStyle w:val="TableGrid"/>
        <w:tblW w:w="10596" w:type="dxa"/>
        <w:tblInd w:w="715" w:type="dxa"/>
        <w:tblCellMar>
          <w:top w:w="212" w:type="dxa"/>
          <w:left w:w="96" w:type="dxa"/>
          <w:bottom w:w="29" w:type="dxa"/>
          <w:right w:w="61" w:type="dxa"/>
        </w:tblCellMar>
        <w:tblLook w:val="04A0" w:firstRow="1" w:lastRow="0" w:firstColumn="1" w:lastColumn="0" w:noHBand="0" w:noVBand="1"/>
      </w:tblPr>
      <w:tblGrid>
        <w:gridCol w:w="3438"/>
        <w:gridCol w:w="7158"/>
      </w:tblGrid>
      <w:tr w:rsidR="00621D2A">
        <w:trPr>
          <w:trHeight w:val="514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numPr>
                <w:ilvl w:val="0"/>
                <w:numId w:val="45"/>
              </w:numPr>
              <w:spacing w:after="0" w:line="259" w:lineRule="auto"/>
              <w:ind w:hanging="360"/>
            </w:pPr>
            <w:r>
              <w:t xml:space="preserve">fire, flood or disaster and any failure or shortage of power or </w:t>
            </w:r>
          </w:p>
          <w:p w:rsidR="00621D2A" w:rsidRDefault="002063F5">
            <w:pPr>
              <w:spacing w:after="53" w:line="259" w:lineRule="auto"/>
              <w:ind w:left="720" w:firstLine="0"/>
            </w:pPr>
            <w:r>
              <w:t xml:space="preserve">fuel  </w:t>
            </w:r>
          </w:p>
          <w:p w:rsidR="00621D2A" w:rsidRDefault="002063F5">
            <w:pPr>
              <w:numPr>
                <w:ilvl w:val="0"/>
                <w:numId w:val="45"/>
              </w:numPr>
              <w:spacing w:after="0" w:line="240" w:lineRule="auto"/>
              <w:ind w:hanging="360"/>
            </w:pPr>
            <w:r>
              <w:t xml:space="preserve">industrial dispute affecting a third party for which a substitute third party isn’t reasonably available  </w:t>
            </w:r>
          </w:p>
          <w:p w:rsidR="00621D2A" w:rsidRDefault="002063F5">
            <w:pPr>
              <w:spacing w:after="0" w:line="259" w:lineRule="auto"/>
              <w:ind w:left="0" w:firstLine="0"/>
            </w:pPr>
            <w:r>
              <w:t xml:space="preserve">  </w:t>
            </w:r>
          </w:p>
          <w:p w:rsidR="00621D2A" w:rsidRDefault="002063F5">
            <w:pPr>
              <w:spacing w:after="53" w:line="259" w:lineRule="auto"/>
              <w:ind w:left="0" w:firstLine="0"/>
            </w:pPr>
            <w:r>
              <w:t xml:space="preserve">The following do not constitute a Force Majeure event:  </w:t>
            </w:r>
          </w:p>
          <w:p w:rsidR="00621D2A" w:rsidRDefault="002063F5">
            <w:pPr>
              <w:numPr>
                <w:ilvl w:val="0"/>
                <w:numId w:val="45"/>
              </w:numPr>
              <w:spacing w:after="76" w:line="240" w:lineRule="auto"/>
              <w:ind w:hanging="360"/>
            </w:pPr>
            <w:r>
              <w:t xml:space="preserve">any industrial dispute about the Supplier, its staff, or failure in the Supplier’s (or a Subcontractor's) supply chain  </w:t>
            </w:r>
          </w:p>
          <w:p w:rsidR="00621D2A" w:rsidRDefault="002063F5">
            <w:pPr>
              <w:numPr>
                <w:ilvl w:val="0"/>
                <w:numId w:val="45"/>
              </w:numPr>
              <w:spacing w:after="76" w:line="240" w:lineRule="auto"/>
              <w:ind w:hanging="360"/>
            </w:pPr>
            <w:r>
              <w:t xml:space="preserve">any event which is attributable to the wilful act, neglect or failure to take reasonable precautions by the Party seeking to rely on Force Majeure  </w:t>
            </w:r>
          </w:p>
          <w:p w:rsidR="00621D2A" w:rsidRDefault="002063F5">
            <w:pPr>
              <w:numPr>
                <w:ilvl w:val="0"/>
                <w:numId w:val="45"/>
              </w:numPr>
              <w:spacing w:after="0" w:line="259" w:lineRule="auto"/>
              <w:ind w:hanging="360"/>
            </w:pPr>
            <w:r>
              <w:t xml:space="preserve">the event was foreseeable by the Party seeking to rely on Force </w:t>
            </w:r>
          </w:p>
          <w:p w:rsidR="00621D2A" w:rsidRDefault="002063F5">
            <w:pPr>
              <w:spacing w:after="53" w:line="259" w:lineRule="auto"/>
              <w:ind w:left="720" w:firstLine="0"/>
            </w:pPr>
            <w:r>
              <w:t xml:space="preserve">Majeure at the time this Call-Off Contract was entered into  </w:t>
            </w:r>
          </w:p>
          <w:p w:rsidR="00621D2A" w:rsidRDefault="002063F5">
            <w:pPr>
              <w:numPr>
                <w:ilvl w:val="0"/>
                <w:numId w:val="45"/>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621D2A">
        <w:trPr>
          <w:trHeight w:val="1555"/>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lastRenderedPageBreak/>
              <w:t xml:space="preserve">Former Supplier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Framework Agreement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The clauses of framework agreement</w:t>
            </w:r>
            <w:r>
              <w:rPr>
                <w:rFonts w:ascii="Arial" w:eastAsia="Arial" w:hAnsi="Arial" w:cs="Arial"/>
              </w:rPr>
              <w:t xml:space="preserve"> </w:t>
            </w:r>
            <w:r>
              <w:t>RM1557.10 together with the Framework Schedules.</w:t>
            </w:r>
            <w:r>
              <w:rPr>
                <w:rFonts w:ascii="Arial" w:eastAsia="Arial" w:hAnsi="Arial" w:cs="Arial"/>
                <w:sz w:val="20"/>
              </w:rPr>
              <w:t xml:space="preserve"> </w:t>
            </w:r>
            <w:r>
              <w:t xml:space="preserve"> </w:t>
            </w:r>
          </w:p>
        </w:tc>
      </w:tr>
      <w:tr w:rsidR="00621D2A">
        <w:trPr>
          <w:trHeight w:val="1848"/>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Fraud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621D2A">
        <w:trPr>
          <w:trHeight w:val="1556"/>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Freedom of Information Act or </w:t>
            </w:r>
          </w:p>
          <w:p w:rsidR="00621D2A" w:rsidRDefault="002063F5">
            <w:pPr>
              <w:spacing w:after="0" w:line="259" w:lineRule="auto"/>
              <w:ind w:left="0" w:firstLine="0"/>
            </w:pPr>
            <w:r>
              <w:rPr>
                <w:b/>
              </w:rPr>
              <w:t xml:space="preserve">FOIA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21D2A">
        <w:trPr>
          <w:trHeight w:val="1848"/>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G-Cloud Services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cloud services described in Framework Agreement Section 2  </w:t>
            </w:r>
          </w:p>
          <w:p w:rsidR="00621D2A" w:rsidRDefault="002063F5">
            <w:pPr>
              <w:spacing w:after="0" w:line="259" w:lineRule="auto"/>
              <w:ind w:left="0" w:firstLine="0"/>
            </w:pPr>
            <w:r>
              <w:t xml:space="preserve">(Services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621D2A">
        <w:trPr>
          <w:trHeight w:val="677"/>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GDPR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General Data Protection Regulation (Regulation (EU) 2016/679).  </w:t>
            </w:r>
          </w:p>
        </w:tc>
      </w:tr>
      <w:tr w:rsidR="00621D2A">
        <w:trPr>
          <w:trHeight w:val="126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Good Industry Practice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w:t>
            </w:r>
          </w:p>
        </w:tc>
      </w:tr>
    </w:tbl>
    <w:p w:rsidR="00621D2A" w:rsidRDefault="002063F5">
      <w:pPr>
        <w:spacing w:after="0" w:line="259" w:lineRule="auto"/>
        <w:ind w:left="0" w:firstLine="0"/>
        <w:jc w:val="both"/>
      </w:pPr>
      <w:r>
        <w:t xml:space="preserve"> </w:t>
      </w:r>
    </w:p>
    <w:tbl>
      <w:tblPr>
        <w:tblStyle w:val="TableGrid"/>
        <w:tblW w:w="10596" w:type="dxa"/>
        <w:tblInd w:w="715" w:type="dxa"/>
        <w:tblCellMar>
          <w:top w:w="210" w:type="dxa"/>
          <w:left w:w="96" w:type="dxa"/>
          <w:bottom w:w="58" w:type="dxa"/>
          <w:right w:w="43" w:type="dxa"/>
        </w:tblCellMar>
        <w:tblLook w:val="04A0" w:firstRow="1" w:lastRow="0" w:firstColumn="1" w:lastColumn="0" w:noHBand="0" w:noVBand="1"/>
      </w:tblPr>
      <w:tblGrid>
        <w:gridCol w:w="3438"/>
        <w:gridCol w:w="7158"/>
      </w:tblGrid>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skilled and experienced person or body engaged in a similar undertaking in the same or similar circumstances.  </w:t>
            </w:r>
          </w:p>
        </w:tc>
      </w:tr>
      <w:tr w:rsidR="00621D2A">
        <w:trPr>
          <w:trHeight w:val="677"/>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lastRenderedPageBreak/>
              <w:t xml:space="preserve">Guarantee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guarantee described in Schedule 5.  </w:t>
            </w:r>
          </w:p>
        </w:tc>
      </w:tr>
      <w:tr w:rsidR="00621D2A">
        <w:trPr>
          <w:trHeight w:val="1556"/>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Guidance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Any current UK Government guidance on the Public Contracts  </w:t>
            </w:r>
          </w:p>
          <w:p w:rsidR="00621D2A" w:rsidRDefault="002063F5">
            <w:pPr>
              <w:spacing w:after="0" w:line="259" w:lineRule="auto"/>
              <w:ind w:left="0" w:firstLine="0"/>
            </w:pPr>
            <w:r>
              <w:t xml:space="preserve">Regulations 2015. In the event of a conflict between any current UK Government guidance and the Crown Commercial Service guidance, current UK Government guidance will take precedence.  </w:t>
            </w:r>
          </w:p>
        </w:tc>
      </w:tr>
      <w:tr w:rsidR="00621D2A">
        <w:trPr>
          <w:trHeight w:val="967"/>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Indicative Test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right="26" w:firstLine="0"/>
            </w:pPr>
            <w:r>
              <w:t xml:space="preserve">ESI tool completed by contractors on their own behalf at the request of CCS or the Buyer (as applicable) under clause 4.6.  </w:t>
            </w:r>
          </w:p>
        </w:tc>
      </w:tr>
      <w:tr w:rsidR="00621D2A">
        <w:trPr>
          <w:trHeight w:val="97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Information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Has the meaning given under section 84 of the Freedom of Information Act 2000.  </w:t>
            </w:r>
          </w:p>
        </w:tc>
      </w:tr>
      <w:tr w:rsidR="00621D2A">
        <w:trPr>
          <w:trHeight w:val="965"/>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Information Security </w:t>
            </w:r>
          </w:p>
          <w:p w:rsidR="00621D2A" w:rsidRDefault="002063F5">
            <w:pPr>
              <w:spacing w:after="0" w:line="259" w:lineRule="auto"/>
              <w:ind w:left="0" w:firstLine="0"/>
            </w:pPr>
            <w:r>
              <w:rPr>
                <w:b/>
              </w:rPr>
              <w:t xml:space="preserve">Management System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information security management system and process developed by the Supplier in accordance with clause 16.1.  </w:t>
            </w:r>
          </w:p>
        </w:tc>
      </w:tr>
      <w:tr w:rsidR="00621D2A">
        <w:trPr>
          <w:trHeight w:val="126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Inside IR35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Contractual engagements which would be determined to be within the scope of the IR35 Intermediaries legislation if assessed using the ESI tool.  </w:t>
            </w:r>
          </w:p>
        </w:tc>
      </w:tr>
      <w:tr w:rsidR="00621D2A">
        <w:trPr>
          <w:trHeight w:val="2144"/>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Insolvency Event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50" w:line="259" w:lineRule="auto"/>
              <w:ind w:left="0" w:firstLine="0"/>
            </w:pPr>
            <w:r>
              <w:t xml:space="preserve">Can be:  </w:t>
            </w:r>
          </w:p>
          <w:p w:rsidR="00621D2A" w:rsidRDefault="002063F5">
            <w:pPr>
              <w:numPr>
                <w:ilvl w:val="0"/>
                <w:numId w:val="46"/>
              </w:numPr>
              <w:spacing w:after="53" w:line="259" w:lineRule="auto"/>
              <w:ind w:firstLine="0"/>
            </w:pPr>
            <w:r>
              <w:t xml:space="preserve">a voluntary arrangement  </w:t>
            </w:r>
          </w:p>
          <w:p w:rsidR="00621D2A" w:rsidRDefault="002063F5">
            <w:pPr>
              <w:numPr>
                <w:ilvl w:val="0"/>
                <w:numId w:val="46"/>
              </w:numPr>
              <w:spacing w:after="54" w:line="259" w:lineRule="auto"/>
              <w:ind w:firstLine="0"/>
            </w:pPr>
            <w:r>
              <w:t xml:space="preserve">a winding-up petition  </w:t>
            </w:r>
          </w:p>
          <w:p w:rsidR="00621D2A" w:rsidRDefault="002063F5">
            <w:pPr>
              <w:numPr>
                <w:ilvl w:val="0"/>
                <w:numId w:val="46"/>
              </w:numPr>
              <w:spacing w:after="0" w:line="259" w:lineRule="auto"/>
              <w:ind w:firstLine="0"/>
            </w:pPr>
            <w:r>
              <w:t xml:space="preserve">the appointment of a receiver or administrator </w:t>
            </w:r>
            <w:r>
              <w:rPr>
                <w:rFonts w:ascii="Wingdings" w:eastAsia="Wingdings" w:hAnsi="Wingdings" w:cs="Wingdings"/>
              </w:rPr>
              <w:t></w:t>
            </w:r>
            <w:r>
              <w:rPr>
                <w:rFonts w:ascii="Arial" w:eastAsia="Arial" w:hAnsi="Arial" w:cs="Arial"/>
              </w:rPr>
              <w:t xml:space="preserve"> </w:t>
            </w:r>
            <w:r>
              <w:t xml:space="preserve">an unresolved statutory demand  </w:t>
            </w:r>
            <w:r>
              <w:rPr>
                <w:rFonts w:ascii="Wingdings" w:eastAsia="Wingdings" w:hAnsi="Wingdings" w:cs="Wingdings"/>
              </w:rPr>
              <w:t></w:t>
            </w:r>
            <w:r>
              <w:rPr>
                <w:rFonts w:ascii="Arial" w:eastAsia="Arial" w:hAnsi="Arial" w:cs="Arial"/>
              </w:rPr>
              <w:t xml:space="preserve"> </w:t>
            </w:r>
            <w:r>
              <w:t xml:space="preserve">a Schedule A1 moratorium.  </w:t>
            </w:r>
          </w:p>
        </w:tc>
      </w:tr>
      <w:tr w:rsidR="00621D2A">
        <w:trPr>
          <w:trHeight w:val="390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1" w:line="259" w:lineRule="auto"/>
              <w:ind w:left="0" w:firstLine="0"/>
            </w:pPr>
            <w:r>
              <w:rPr>
                <w:b/>
              </w:rPr>
              <w:lastRenderedPageBreak/>
              <w:t xml:space="preserve">Intellectual Property Rights or </w:t>
            </w:r>
          </w:p>
          <w:p w:rsidR="00621D2A" w:rsidRDefault="002063F5">
            <w:pPr>
              <w:spacing w:after="0" w:line="259" w:lineRule="auto"/>
              <w:ind w:left="0" w:firstLine="0"/>
            </w:pPr>
            <w:r>
              <w:rPr>
                <w:b/>
              </w:rPr>
              <w:t xml:space="preserve">IPR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53" w:line="259" w:lineRule="auto"/>
              <w:ind w:left="0" w:firstLine="0"/>
            </w:pPr>
            <w:r>
              <w:t xml:space="preserve">Intellectual Property Rights are:  </w:t>
            </w:r>
          </w:p>
          <w:p w:rsidR="00621D2A" w:rsidRDefault="002063F5">
            <w:pPr>
              <w:numPr>
                <w:ilvl w:val="0"/>
                <w:numId w:val="47"/>
              </w:numPr>
              <w:spacing w:after="73" w:line="240"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621D2A" w:rsidRDefault="002063F5">
            <w:pPr>
              <w:numPr>
                <w:ilvl w:val="0"/>
                <w:numId w:val="47"/>
              </w:numPr>
              <w:spacing w:after="76" w:line="240" w:lineRule="auto"/>
              <w:ind w:hanging="360"/>
            </w:pPr>
            <w:r>
              <w:t xml:space="preserve">applications for registration, and the right to apply for registration, for any of the rights listed at (a) that are capable of being registered in any country or jurisdiction  </w:t>
            </w:r>
          </w:p>
          <w:p w:rsidR="00621D2A" w:rsidRDefault="002063F5">
            <w:pPr>
              <w:numPr>
                <w:ilvl w:val="0"/>
                <w:numId w:val="47"/>
              </w:numPr>
              <w:spacing w:after="0" w:line="259" w:lineRule="auto"/>
              <w:ind w:hanging="360"/>
            </w:pPr>
            <w:r>
              <w:t xml:space="preserve">all other rights having equivalent or similar effect in any country or jurisdiction  </w:t>
            </w:r>
          </w:p>
        </w:tc>
      </w:tr>
      <w:tr w:rsidR="00621D2A">
        <w:trPr>
          <w:trHeight w:val="1851"/>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Intermediary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50" w:line="259" w:lineRule="auto"/>
              <w:ind w:left="0" w:firstLine="0"/>
            </w:pPr>
            <w:r>
              <w:t xml:space="preserve">For the purposes of the IR35 rules an intermediary can be:  </w:t>
            </w:r>
          </w:p>
          <w:p w:rsidR="00621D2A" w:rsidRDefault="002063F5">
            <w:pPr>
              <w:numPr>
                <w:ilvl w:val="0"/>
                <w:numId w:val="48"/>
              </w:numPr>
              <w:spacing w:after="56" w:line="259" w:lineRule="auto"/>
              <w:ind w:hanging="360"/>
            </w:pPr>
            <w:r>
              <w:t xml:space="preserve">the supplier's own limited company  </w:t>
            </w:r>
          </w:p>
          <w:p w:rsidR="00621D2A" w:rsidRDefault="002063F5">
            <w:pPr>
              <w:numPr>
                <w:ilvl w:val="0"/>
                <w:numId w:val="48"/>
              </w:numPr>
              <w:spacing w:after="47" w:line="259" w:lineRule="auto"/>
              <w:ind w:hanging="360"/>
            </w:pPr>
            <w:r>
              <w:t xml:space="preserve">a service or a personal service company  </w:t>
            </w:r>
          </w:p>
          <w:p w:rsidR="00621D2A" w:rsidRDefault="002063F5">
            <w:pPr>
              <w:numPr>
                <w:ilvl w:val="0"/>
                <w:numId w:val="48"/>
              </w:numPr>
              <w:spacing w:after="2" w:line="259" w:lineRule="auto"/>
              <w:ind w:hanging="360"/>
            </w:pPr>
            <w:r>
              <w:t xml:space="preserve">a partnership  </w:t>
            </w:r>
          </w:p>
          <w:p w:rsidR="00621D2A" w:rsidRDefault="002063F5">
            <w:pPr>
              <w:spacing w:after="0" w:line="259" w:lineRule="auto"/>
              <w:ind w:left="0" w:firstLine="0"/>
            </w:pPr>
            <w:r>
              <w:t xml:space="preserve">  </w:t>
            </w:r>
          </w:p>
        </w:tc>
      </w:tr>
    </w:tbl>
    <w:p w:rsidR="00621D2A" w:rsidRDefault="002063F5">
      <w:pPr>
        <w:spacing w:after="0" w:line="259" w:lineRule="auto"/>
        <w:ind w:left="0" w:firstLine="0"/>
        <w:jc w:val="both"/>
      </w:pPr>
      <w:r>
        <w:t xml:space="preserve"> </w:t>
      </w:r>
    </w:p>
    <w:tbl>
      <w:tblPr>
        <w:tblStyle w:val="TableGrid"/>
        <w:tblW w:w="10596" w:type="dxa"/>
        <w:tblInd w:w="715" w:type="dxa"/>
        <w:tblCellMar>
          <w:top w:w="210" w:type="dxa"/>
          <w:left w:w="96" w:type="dxa"/>
          <w:bottom w:w="68" w:type="dxa"/>
          <w:right w:w="11" w:type="dxa"/>
        </w:tblCellMar>
        <w:tblLook w:val="04A0" w:firstRow="1" w:lastRow="0" w:firstColumn="1" w:lastColumn="0" w:noHBand="0" w:noVBand="1"/>
      </w:tblPr>
      <w:tblGrid>
        <w:gridCol w:w="3438"/>
        <w:gridCol w:w="7158"/>
      </w:tblGrid>
      <w:tr w:rsidR="00621D2A">
        <w:trPr>
          <w:trHeight w:val="97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It does not apply if you work for a client through a Managed Service Company (MSC) or agency (for example, an employment agency).  </w:t>
            </w:r>
          </w:p>
        </w:tc>
      </w:tr>
      <w:tr w:rsidR="00621D2A">
        <w:trPr>
          <w:trHeight w:val="675"/>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IPR Claim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 claim as set out in clause 11.5.  </w:t>
            </w:r>
          </w:p>
        </w:tc>
      </w:tr>
      <w:tr w:rsidR="00621D2A">
        <w:trPr>
          <w:trHeight w:val="126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IR35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IR35 Assessment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Assessment of employment status using the ESI tool to determine if engagement is Inside or Outside IR35.  </w:t>
            </w:r>
          </w:p>
        </w:tc>
      </w:tr>
      <w:tr w:rsidR="00621D2A">
        <w:trPr>
          <w:trHeight w:val="1556"/>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lastRenderedPageBreak/>
              <w:t xml:space="preserve">Know-How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621D2A">
        <w:trPr>
          <w:trHeight w:val="2141"/>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Law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right="86"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621D2A">
        <w:trPr>
          <w:trHeight w:val="677"/>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LED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Law Enforcement Directive (EU) 2016/680.  </w:t>
            </w:r>
          </w:p>
        </w:tc>
      </w:tr>
      <w:tr w:rsidR="00621D2A">
        <w:trPr>
          <w:trHeight w:val="1849"/>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 </w:t>
            </w:r>
            <w:r>
              <w:t xml:space="preserve"> </w:t>
            </w:r>
          </w:p>
          <w:p w:rsidR="00621D2A" w:rsidRDefault="002063F5">
            <w:pPr>
              <w:spacing w:after="0" w:line="259" w:lineRule="auto"/>
              <w:ind w:left="0" w:firstLine="0"/>
            </w:pPr>
            <w:r>
              <w:rPr>
                <w:b/>
              </w:rPr>
              <w:t xml:space="preserve">Loss </w:t>
            </w:r>
            <w:r>
              <w:t xml:space="preserve"> </w:t>
            </w:r>
          </w:p>
          <w:p w:rsidR="00621D2A" w:rsidRDefault="002063F5">
            <w:pPr>
              <w:spacing w:after="1" w:line="259" w:lineRule="auto"/>
              <w:ind w:left="0" w:firstLine="0"/>
            </w:pPr>
            <w:r>
              <w:rPr>
                <w:b/>
              </w:rPr>
              <w:t xml:space="preserve"> </w:t>
            </w:r>
            <w:r>
              <w:t xml:space="preserve"> </w:t>
            </w:r>
          </w:p>
          <w:p w:rsidR="00621D2A" w:rsidRDefault="002063F5">
            <w:pPr>
              <w:spacing w:after="0" w:line="259" w:lineRule="auto"/>
              <w:ind w:left="0" w:firstLine="0"/>
            </w:pPr>
            <w:r>
              <w:rPr>
                <w:b/>
              </w:rPr>
              <w:t xml:space="preserv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r>
              <w:rPr>
                <w:rFonts w:ascii="Arial" w:eastAsia="Arial" w:hAnsi="Arial" w:cs="Arial"/>
                <w:sz w:val="20"/>
              </w:rPr>
              <w:t xml:space="preserve"> </w:t>
            </w:r>
            <w:r>
              <w:t xml:space="preserve"> </w:t>
            </w:r>
          </w:p>
        </w:tc>
      </w:tr>
      <w:tr w:rsidR="00621D2A">
        <w:trPr>
          <w:trHeight w:val="967"/>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Lot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Any of the 3 Lots specified in the ITT and Lots will be construed accordingly.  </w:t>
            </w:r>
          </w:p>
        </w:tc>
      </w:tr>
      <w:tr w:rsidR="00621D2A">
        <w:trPr>
          <w:trHeight w:val="2144"/>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Malicious Software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right="18"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21D2A">
        <w:trPr>
          <w:trHeight w:val="1848"/>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Management Charge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2" w:line="258" w:lineRule="auto"/>
              <w:ind w:left="0" w:firstLine="0"/>
            </w:pPr>
            <w:r>
              <w:t xml:space="preserve">The sum paid by the Supplier to CCS being an amount of up to 1% but currently set at 0.75% of all Charges for the Services invoiced to Buyers </w:t>
            </w:r>
          </w:p>
          <w:p w:rsidR="00621D2A" w:rsidRDefault="002063F5">
            <w:pPr>
              <w:spacing w:after="0" w:line="259" w:lineRule="auto"/>
              <w:ind w:left="0" w:firstLine="0"/>
            </w:pPr>
            <w:r>
              <w:t xml:space="preserve">(net of VAT) in each month throughout the duration of the Framework Agreement and thereafter, until the expiry or End of any Call-Off Contract.  </w:t>
            </w:r>
          </w:p>
        </w:tc>
      </w:tr>
    </w:tbl>
    <w:p w:rsidR="00621D2A" w:rsidRDefault="002063F5">
      <w:pPr>
        <w:spacing w:after="0" w:line="259" w:lineRule="auto"/>
        <w:ind w:left="0" w:firstLine="0"/>
        <w:jc w:val="both"/>
      </w:pPr>
      <w:r>
        <w:lastRenderedPageBreak/>
        <w:t xml:space="preserve"> </w:t>
      </w:r>
    </w:p>
    <w:tbl>
      <w:tblPr>
        <w:tblStyle w:val="TableGrid"/>
        <w:tblW w:w="10596" w:type="dxa"/>
        <w:tblInd w:w="715" w:type="dxa"/>
        <w:tblCellMar>
          <w:top w:w="69" w:type="dxa"/>
          <w:left w:w="5" w:type="dxa"/>
          <w:right w:w="9" w:type="dxa"/>
        </w:tblCellMar>
        <w:tblLook w:val="04A0" w:firstRow="1" w:lastRow="0" w:firstColumn="1" w:lastColumn="0" w:noHBand="0" w:noVBand="1"/>
      </w:tblPr>
      <w:tblGrid>
        <w:gridCol w:w="3438"/>
        <w:gridCol w:w="7158"/>
      </w:tblGrid>
      <w:tr w:rsidR="00621D2A">
        <w:trPr>
          <w:trHeight w:val="85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Management Information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5" w:firstLine="0"/>
            </w:pPr>
            <w:r>
              <w:t xml:space="preserve">The management information specified in Framework Agreement section 6 (What you report to CCS).  </w:t>
            </w:r>
          </w:p>
        </w:tc>
      </w:tr>
      <w:tr w:rsidR="00621D2A">
        <w:trPr>
          <w:trHeight w:val="1143"/>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Material Breach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5" w:firstLine="0"/>
            </w:pPr>
            <w:r>
              <w:t xml:space="preserve">Those breaches which have been expressly set out as a material breach and any other single serious breach or persistent failure to perform as required under this Call-Off Contract.  </w:t>
            </w:r>
          </w:p>
        </w:tc>
      </w:tr>
      <w:tr w:rsidR="00621D2A">
        <w:trPr>
          <w:trHeight w:val="114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Ministry of Justice Code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5" w:firstLine="0"/>
            </w:pPr>
            <w:r>
              <w:t xml:space="preserve">The Ministry of Justice’s Code of Practice on the Discharge of the Functions of Public Authorities under Part 1 of the Freedom of Information Act 2000.  </w:t>
            </w:r>
          </w:p>
        </w:tc>
      </w:tr>
      <w:tr w:rsidR="00621D2A">
        <w:trPr>
          <w:trHeight w:val="1143"/>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94" w:firstLine="0"/>
            </w:pPr>
            <w:r>
              <w:rPr>
                <w:b/>
              </w:rPr>
              <w:t xml:space="preserve">New Fair Deal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98" w:firstLine="0"/>
            </w:pPr>
            <w:r>
              <w:t xml:space="preserve">The revised Fair Deal position in the HM Treasury guidance: “Fair Deal for staff pensions: staff transfer from central government” issued in October 2013 as amended.  </w:t>
            </w:r>
          </w:p>
        </w:tc>
      </w:tr>
      <w:tr w:rsidR="00621D2A">
        <w:trPr>
          <w:trHeight w:val="85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94" w:firstLine="0"/>
            </w:pPr>
            <w:r>
              <w:rPr>
                <w:b/>
              </w:rPr>
              <w:t xml:space="preserve">Order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98" w:firstLine="0"/>
            </w:pPr>
            <w:r>
              <w:t xml:space="preserve">An order for G-Cloud Services placed by a Contracting Body with the Supplier in accordance with the Ordering Processes.  </w:t>
            </w:r>
          </w:p>
        </w:tc>
      </w:tr>
      <w:tr w:rsidR="00621D2A">
        <w:trPr>
          <w:trHeight w:val="85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94" w:firstLine="0"/>
            </w:pPr>
            <w:r>
              <w:rPr>
                <w:b/>
              </w:rPr>
              <w:t xml:space="preserve">Order Form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98" w:firstLine="0"/>
            </w:pPr>
            <w:r>
              <w:t xml:space="preserve">The order form set out in Part A of the Call-Off Contract to be used by a Buyer to order G-Cloud Services.  </w:t>
            </w:r>
          </w:p>
        </w:tc>
      </w:tr>
      <w:tr w:rsidR="00621D2A">
        <w:trPr>
          <w:trHeight w:val="554"/>
        </w:trPr>
        <w:tc>
          <w:tcPr>
            <w:tcW w:w="3438" w:type="dxa"/>
            <w:tcBorders>
              <w:top w:val="single" w:sz="6" w:space="0" w:color="000001"/>
              <w:left w:val="single" w:sz="4" w:space="0" w:color="000001"/>
              <w:bottom w:val="single" w:sz="6" w:space="0" w:color="000001"/>
              <w:right w:val="single" w:sz="6" w:space="0" w:color="000001"/>
            </w:tcBorders>
            <w:vAlign w:val="center"/>
          </w:tcPr>
          <w:p w:rsidR="00621D2A" w:rsidRDefault="002063F5">
            <w:pPr>
              <w:spacing w:after="0" w:line="259" w:lineRule="auto"/>
              <w:ind w:left="94" w:firstLine="0"/>
            </w:pPr>
            <w:r>
              <w:rPr>
                <w:b/>
              </w:rPr>
              <w:t xml:space="preserve">Ordered G-Cloud Services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98" w:firstLine="0"/>
            </w:pPr>
            <w:r>
              <w:t xml:space="preserve">G-Cloud Services which are the subject of an Order by the Buyer.  </w:t>
            </w:r>
          </w:p>
        </w:tc>
      </w:tr>
      <w:tr w:rsidR="00621D2A">
        <w:trPr>
          <w:trHeight w:val="1143"/>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94" w:firstLine="0"/>
            </w:pPr>
            <w:r>
              <w:rPr>
                <w:b/>
              </w:rPr>
              <w:t xml:space="preserve">Outside IR35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98" w:right="86" w:firstLine="0"/>
            </w:pPr>
            <w:r>
              <w:t xml:space="preserve">Contractual engagements which would be determined to not be within the scope of the IR35 intermediaries legislation if assessed using the ESI tool.  </w:t>
            </w:r>
          </w:p>
        </w:tc>
      </w:tr>
      <w:tr w:rsidR="00621D2A">
        <w:trPr>
          <w:trHeight w:val="557"/>
        </w:trPr>
        <w:tc>
          <w:tcPr>
            <w:tcW w:w="3438" w:type="dxa"/>
            <w:tcBorders>
              <w:top w:val="single" w:sz="6" w:space="0" w:color="000001"/>
              <w:left w:val="single" w:sz="4" w:space="0" w:color="000001"/>
              <w:bottom w:val="single" w:sz="6" w:space="0" w:color="000001"/>
              <w:right w:val="single" w:sz="6" w:space="0" w:color="000001"/>
            </w:tcBorders>
            <w:vAlign w:val="center"/>
          </w:tcPr>
          <w:p w:rsidR="00621D2A" w:rsidRDefault="002063F5">
            <w:pPr>
              <w:spacing w:after="0" w:line="259" w:lineRule="auto"/>
              <w:ind w:left="94" w:firstLine="0"/>
            </w:pPr>
            <w:r>
              <w:rPr>
                <w:b/>
              </w:rPr>
              <w:t xml:space="preserve">Party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98" w:firstLine="0"/>
            </w:pPr>
            <w:r>
              <w:t xml:space="preserve">The Buyer or the Supplier and ‘Parties’ will be interpreted accordingly.  </w:t>
            </w:r>
          </w:p>
        </w:tc>
      </w:tr>
      <w:tr w:rsidR="00621D2A">
        <w:trPr>
          <w:trHeight w:val="557"/>
        </w:trPr>
        <w:tc>
          <w:tcPr>
            <w:tcW w:w="3438" w:type="dxa"/>
            <w:tcBorders>
              <w:top w:val="single" w:sz="6" w:space="0" w:color="000001"/>
              <w:left w:val="single" w:sz="4" w:space="0" w:color="000001"/>
              <w:bottom w:val="single" w:sz="6" w:space="0" w:color="000001"/>
              <w:right w:val="single" w:sz="6" w:space="0" w:color="000001"/>
            </w:tcBorders>
            <w:vAlign w:val="center"/>
          </w:tcPr>
          <w:p w:rsidR="00621D2A" w:rsidRDefault="002063F5">
            <w:pPr>
              <w:spacing w:after="0" w:line="259" w:lineRule="auto"/>
              <w:ind w:left="94" w:firstLine="0"/>
            </w:pPr>
            <w:r>
              <w:rPr>
                <w:b/>
              </w:rPr>
              <w:t xml:space="preserve">Personal Data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98" w:firstLine="0"/>
            </w:pPr>
            <w:r>
              <w:t xml:space="preserve">Takes the meaning given in the Data Protection Legislation.  </w:t>
            </w:r>
          </w:p>
        </w:tc>
      </w:tr>
      <w:tr w:rsidR="00621D2A">
        <w:trPr>
          <w:trHeight w:val="554"/>
        </w:trPr>
        <w:tc>
          <w:tcPr>
            <w:tcW w:w="3438" w:type="dxa"/>
            <w:tcBorders>
              <w:top w:val="single" w:sz="6" w:space="0" w:color="000001"/>
              <w:left w:val="single" w:sz="4" w:space="0" w:color="000001"/>
              <w:bottom w:val="single" w:sz="6" w:space="0" w:color="000001"/>
              <w:right w:val="single" w:sz="6" w:space="0" w:color="000001"/>
            </w:tcBorders>
            <w:vAlign w:val="center"/>
          </w:tcPr>
          <w:p w:rsidR="00621D2A" w:rsidRDefault="002063F5">
            <w:pPr>
              <w:spacing w:after="0" w:line="259" w:lineRule="auto"/>
              <w:ind w:left="94" w:firstLine="0"/>
            </w:pPr>
            <w:r>
              <w:rPr>
                <w:b/>
              </w:rPr>
              <w:t xml:space="preserve">Personal Data Breach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98" w:firstLine="0"/>
            </w:pPr>
            <w:r>
              <w:t xml:space="preserve">Takes the meaning given in the Data Protection Legislation.  </w:t>
            </w:r>
          </w:p>
        </w:tc>
      </w:tr>
      <w:tr w:rsidR="00621D2A">
        <w:trPr>
          <w:trHeight w:val="1436"/>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94" w:firstLine="0"/>
            </w:pPr>
            <w:r>
              <w:rPr>
                <w:b/>
              </w:rPr>
              <w:t xml:space="preserve">Processing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98" w:firstLine="0"/>
            </w:pPr>
            <w:r>
              <w:t>Takes the meaning given in the Data Protection Legislation but, for the purposes of this Call-Off Contract, it will include both manual and automatic Processing. ‘Process’ and ‘processed’ will be interpreted accordingly.</w:t>
            </w:r>
            <w:r>
              <w:rPr>
                <w:rFonts w:ascii="Arial" w:eastAsia="Arial" w:hAnsi="Arial" w:cs="Arial"/>
                <w:sz w:val="20"/>
              </w:rPr>
              <w:t xml:space="preserve"> </w:t>
            </w:r>
            <w:r>
              <w:t xml:space="preserve"> </w:t>
            </w:r>
          </w:p>
        </w:tc>
      </w:tr>
      <w:tr w:rsidR="00621D2A">
        <w:trPr>
          <w:trHeight w:val="557"/>
        </w:trPr>
        <w:tc>
          <w:tcPr>
            <w:tcW w:w="3438" w:type="dxa"/>
            <w:tcBorders>
              <w:top w:val="single" w:sz="6" w:space="0" w:color="000001"/>
              <w:left w:val="single" w:sz="4" w:space="0" w:color="000001"/>
              <w:bottom w:val="single" w:sz="6" w:space="0" w:color="000001"/>
              <w:right w:val="single" w:sz="6" w:space="0" w:color="000001"/>
            </w:tcBorders>
            <w:vAlign w:val="center"/>
          </w:tcPr>
          <w:p w:rsidR="00621D2A" w:rsidRDefault="002063F5">
            <w:pPr>
              <w:spacing w:after="0" w:line="259" w:lineRule="auto"/>
              <w:ind w:left="94" w:firstLine="0"/>
            </w:pPr>
            <w:r>
              <w:rPr>
                <w:b/>
              </w:rPr>
              <w:t xml:space="preserve">Processor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621D2A" w:rsidRDefault="002063F5">
            <w:pPr>
              <w:spacing w:after="0" w:line="259" w:lineRule="auto"/>
              <w:ind w:left="98" w:firstLine="0"/>
            </w:pPr>
            <w:r>
              <w:t xml:space="preserve">Takes the meaning given in the Data Protection Legislation.  </w:t>
            </w:r>
          </w:p>
        </w:tc>
      </w:tr>
      <w:tr w:rsidR="00621D2A">
        <w:trPr>
          <w:trHeight w:val="3017"/>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1313" w:line="259" w:lineRule="auto"/>
              <w:ind w:left="94" w:firstLine="0"/>
            </w:pPr>
            <w:r>
              <w:rPr>
                <w:b/>
              </w:rPr>
              <w:lastRenderedPageBreak/>
              <w:t xml:space="preserve">Prohibited Act </w:t>
            </w:r>
            <w:r>
              <w:t xml:space="preserve"> </w:t>
            </w:r>
          </w:p>
          <w:p w:rsidR="00621D2A" w:rsidRDefault="002063F5">
            <w:pPr>
              <w:spacing w:after="351" w:line="259" w:lineRule="auto"/>
              <w:ind w:left="0" w:firstLine="0"/>
            </w:pPr>
            <w:r>
              <w:t xml:space="preserve"> </w:t>
            </w:r>
          </w:p>
          <w:p w:rsidR="00621D2A" w:rsidRDefault="002063F5">
            <w:pPr>
              <w:spacing w:after="0" w:line="259" w:lineRule="auto"/>
              <w:ind w:left="0" w:firstLine="0"/>
            </w:pPr>
            <w:r>
              <w:t xml:space="preserve"> </w:t>
            </w:r>
          </w:p>
        </w:tc>
        <w:tc>
          <w:tcPr>
            <w:tcW w:w="7158" w:type="dxa"/>
            <w:tcBorders>
              <w:top w:val="single" w:sz="6" w:space="0" w:color="000001"/>
              <w:left w:val="single" w:sz="6" w:space="0" w:color="000001"/>
              <w:bottom w:val="single" w:sz="6" w:space="0" w:color="000001"/>
              <w:right w:val="single" w:sz="4" w:space="0" w:color="000001"/>
            </w:tcBorders>
          </w:tcPr>
          <w:p w:rsidR="00621D2A" w:rsidRDefault="002063F5">
            <w:pPr>
              <w:spacing w:after="0" w:line="216" w:lineRule="auto"/>
              <w:ind w:left="98" w:right="364" w:firstLine="0"/>
            </w:pPr>
            <w:r>
              <w:rPr>
                <w:sz w:val="37"/>
                <w:vertAlign w:val="superscript"/>
              </w:rPr>
              <w:t xml:space="preserve">To for </w:t>
            </w:r>
            <w:r>
              <w:t xml:space="preserve">ctly or indirectly offer, promise or give any person working </w:t>
            </w:r>
            <w:r>
              <w:rPr>
                <w:sz w:val="37"/>
                <w:vertAlign w:val="superscript"/>
              </w:rPr>
              <w:t xml:space="preserve">or e to: </w:t>
            </w:r>
            <w:r>
              <w:t xml:space="preserve">ngaged by a Buyer or CCS a financial or other advantage  </w:t>
            </w:r>
          </w:p>
          <w:p w:rsidR="00621D2A" w:rsidRDefault="002063F5">
            <w:pPr>
              <w:numPr>
                <w:ilvl w:val="0"/>
                <w:numId w:val="49"/>
              </w:numPr>
              <w:spacing w:after="44" w:line="284" w:lineRule="auto"/>
              <w:ind w:hanging="353"/>
            </w:pPr>
            <w:r>
              <w:t xml:space="preserve">induce that person to perform improperly a relevant function or activity  </w:t>
            </w:r>
          </w:p>
          <w:p w:rsidR="00621D2A" w:rsidRDefault="002063F5">
            <w:pPr>
              <w:numPr>
                <w:ilvl w:val="0"/>
                <w:numId w:val="49"/>
              </w:numPr>
              <w:spacing w:after="67"/>
              <w:ind w:hanging="353"/>
            </w:pPr>
            <w:r>
              <w:t xml:space="preserve">reward that person for improper performance of a relevant function or activity  </w:t>
            </w:r>
          </w:p>
          <w:p w:rsidR="00621D2A" w:rsidRDefault="002063F5">
            <w:pPr>
              <w:numPr>
                <w:ilvl w:val="0"/>
                <w:numId w:val="49"/>
              </w:numPr>
              <w:spacing w:after="62" w:line="259" w:lineRule="auto"/>
              <w:ind w:hanging="353"/>
            </w:pPr>
            <w:r>
              <w:t xml:space="preserve">commit any offence:  </w:t>
            </w:r>
          </w:p>
          <w:p w:rsidR="00621D2A" w:rsidRDefault="002063F5">
            <w:pPr>
              <w:spacing w:after="0" w:line="259" w:lineRule="auto"/>
              <w:ind w:left="1171" w:firstLine="0"/>
            </w:pPr>
            <w:r>
              <w:rPr>
                <w:rFonts w:ascii="Wingdings 2" w:eastAsia="Wingdings 2" w:hAnsi="Wingdings 2" w:cs="Wingdings 2"/>
              </w:rPr>
              <w:t></w:t>
            </w:r>
            <w:r>
              <w:rPr>
                <w:rFonts w:ascii="Arial" w:eastAsia="Arial" w:hAnsi="Arial" w:cs="Arial"/>
              </w:rPr>
              <w:t xml:space="preserve"> </w:t>
            </w:r>
            <w:r>
              <w:t xml:space="preserve">under the Bribery Act 2010  </w:t>
            </w:r>
          </w:p>
        </w:tc>
      </w:tr>
    </w:tbl>
    <w:p w:rsidR="00621D2A" w:rsidRDefault="002063F5">
      <w:pPr>
        <w:spacing w:after="0" w:line="259" w:lineRule="auto"/>
        <w:ind w:left="0" w:firstLine="0"/>
      </w:pPr>
      <w:r>
        <w:t xml:space="preserve"> </w:t>
      </w:r>
    </w:p>
    <w:tbl>
      <w:tblPr>
        <w:tblStyle w:val="TableGrid"/>
        <w:tblW w:w="10596" w:type="dxa"/>
        <w:tblInd w:w="715" w:type="dxa"/>
        <w:tblCellMar>
          <w:top w:w="213" w:type="dxa"/>
          <w:left w:w="96" w:type="dxa"/>
          <w:bottom w:w="77" w:type="dxa"/>
          <w:right w:w="115" w:type="dxa"/>
        </w:tblCellMar>
        <w:tblLook w:val="04A0" w:firstRow="1" w:lastRow="0" w:firstColumn="1" w:lastColumn="0" w:noHBand="0" w:noVBand="1"/>
      </w:tblPr>
      <w:tblGrid>
        <w:gridCol w:w="3438"/>
        <w:gridCol w:w="7158"/>
      </w:tblGrid>
      <w:tr w:rsidR="00621D2A">
        <w:trPr>
          <w:trHeight w:val="1558"/>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numPr>
                <w:ilvl w:val="0"/>
                <w:numId w:val="50"/>
              </w:numPr>
              <w:spacing w:after="53" w:line="259" w:lineRule="auto"/>
              <w:ind w:hanging="360"/>
            </w:pPr>
            <w:r>
              <w:t xml:space="preserve">under legislation creating offences concerning Fraud  </w:t>
            </w:r>
          </w:p>
          <w:p w:rsidR="00621D2A" w:rsidRDefault="002063F5">
            <w:pPr>
              <w:numPr>
                <w:ilvl w:val="0"/>
                <w:numId w:val="50"/>
              </w:numPr>
              <w:spacing w:after="54" w:line="259" w:lineRule="auto"/>
              <w:ind w:hanging="360"/>
            </w:pPr>
            <w:r>
              <w:t xml:space="preserve">at common Law concerning Fraud  </w:t>
            </w:r>
          </w:p>
          <w:p w:rsidR="00621D2A" w:rsidRDefault="002063F5">
            <w:pPr>
              <w:numPr>
                <w:ilvl w:val="0"/>
                <w:numId w:val="50"/>
              </w:numPr>
              <w:spacing w:after="0" w:line="259" w:lineRule="auto"/>
              <w:ind w:hanging="360"/>
            </w:pPr>
            <w:r>
              <w:t xml:space="preserve">committing or attempting or conspiring to commit Fraud  </w:t>
            </w:r>
          </w:p>
        </w:tc>
      </w:tr>
    </w:tbl>
    <w:p w:rsidR="00621D2A" w:rsidRDefault="00621D2A">
      <w:pPr>
        <w:spacing w:after="0" w:line="259" w:lineRule="auto"/>
        <w:ind w:left="0" w:right="21" w:firstLine="0"/>
      </w:pPr>
    </w:p>
    <w:tbl>
      <w:tblPr>
        <w:tblStyle w:val="TableGrid"/>
        <w:tblW w:w="10596" w:type="dxa"/>
        <w:tblInd w:w="715" w:type="dxa"/>
        <w:tblCellMar>
          <w:top w:w="213" w:type="dxa"/>
          <w:left w:w="96" w:type="dxa"/>
          <w:bottom w:w="56" w:type="dxa"/>
          <w:right w:w="60" w:type="dxa"/>
        </w:tblCellMar>
        <w:tblLook w:val="04A0" w:firstRow="1" w:lastRow="0" w:firstColumn="1" w:lastColumn="0" w:noHBand="0" w:noVBand="1"/>
      </w:tblPr>
      <w:tblGrid>
        <w:gridCol w:w="3438"/>
        <w:gridCol w:w="7158"/>
      </w:tblGrid>
      <w:tr w:rsidR="00621D2A">
        <w:trPr>
          <w:trHeight w:val="2144"/>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Project Specific IPRs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1" w:line="259" w:lineRule="auto"/>
              <w:ind w:left="0"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w:t>
            </w:r>
          </w:p>
          <w:p w:rsidR="00621D2A" w:rsidRDefault="002063F5">
            <w:pPr>
              <w:spacing w:after="0" w:line="259" w:lineRule="auto"/>
              <w:ind w:left="0" w:firstLine="0"/>
            </w:pPr>
            <w:r>
              <w:t xml:space="preserve">Background IPRs.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Property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Assets and property including technical infrastructure, IPRs and equipment.   </w:t>
            </w:r>
          </w:p>
        </w:tc>
      </w:tr>
      <w:tr w:rsidR="00621D2A">
        <w:trPr>
          <w:trHeight w:val="2437"/>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Protective Measures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right="31" w:firstLine="0"/>
            </w:pP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21D2A">
        <w:trPr>
          <w:trHeight w:val="1265"/>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lastRenderedPageBreak/>
              <w:t xml:space="preserve">PSN or Public Services </w:t>
            </w:r>
          </w:p>
          <w:p w:rsidR="00621D2A" w:rsidRDefault="002063F5">
            <w:pPr>
              <w:spacing w:after="0" w:line="259" w:lineRule="auto"/>
              <w:ind w:left="0" w:firstLine="0"/>
            </w:pPr>
            <w:r>
              <w:rPr>
                <w:b/>
              </w:rPr>
              <w:t xml:space="preserve">Network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Public Services Network (PSN) is the Government’s highperformance network which helps public sector organisations work together, reduce duplication and share resources.  </w:t>
            </w:r>
          </w:p>
        </w:tc>
      </w:tr>
      <w:tr w:rsidR="00621D2A">
        <w:trPr>
          <w:trHeight w:val="1265"/>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Regulatory Body or Bodies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621D2A">
        <w:trPr>
          <w:trHeight w:val="126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Relevant Person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Any employee, agent, servant, or representative of the Buyer, any other public body or person employed by or on behalf of the Buyer, or any other public body.  </w:t>
            </w:r>
          </w:p>
        </w:tc>
      </w:tr>
      <w:tr w:rsidR="00621D2A">
        <w:trPr>
          <w:trHeight w:val="97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Relevant Transfer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 transfer of employment to which the Employment Regulations applies.  </w:t>
            </w:r>
          </w:p>
        </w:tc>
      </w:tr>
      <w:tr w:rsidR="00621D2A">
        <w:trPr>
          <w:trHeight w:val="1851"/>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Replacement Services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r>
              <w:rPr>
                <w:rFonts w:ascii="Arial" w:eastAsia="Arial" w:hAnsi="Arial" w:cs="Arial"/>
                <w:sz w:val="20"/>
              </w:rPr>
              <w:t xml:space="preserve"> </w:t>
            </w:r>
            <w:r>
              <w:t xml:space="preserve"> </w:t>
            </w:r>
          </w:p>
        </w:tc>
      </w:tr>
      <w:tr w:rsidR="00621D2A">
        <w:trPr>
          <w:trHeight w:val="1265"/>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Replacement Supplier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Any third party service provider of Replacement Services appointed by the Buyer (or where the Buyer is providing replacement Services for its own account, the Buyer).  </w:t>
            </w:r>
          </w:p>
        </w:tc>
      </w:tr>
    </w:tbl>
    <w:p w:rsidR="00621D2A" w:rsidRDefault="002063F5">
      <w:pPr>
        <w:spacing w:after="0" w:line="259" w:lineRule="auto"/>
        <w:ind w:left="0" w:firstLine="0"/>
        <w:jc w:val="both"/>
      </w:pPr>
      <w:r>
        <w:t xml:space="preserve"> </w:t>
      </w:r>
    </w:p>
    <w:tbl>
      <w:tblPr>
        <w:tblStyle w:val="TableGrid"/>
        <w:tblW w:w="10596" w:type="dxa"/>
        <w:tblInd w:w="715" w:type="dxa"/>
        <w:tblCellMar>
          <w:top w:w="213" w:type="dxa"/>
          <w:left w:w="96" w:type="dxa"/>
          <w:bottom w:w="80" w:type="dxa"/>
          <w:right w:w="65" w:type="dxa"/>
        </w:tblCellMar>
        <w:tblLook w:val="04A0" w:firstRow="1" w:lastRow="0" w:firstColumn="1" w:lastColumn="0" w:noHBand="0" w:noVBand="1"/>
      </w:tblPr>
      <w:tblGrid>
        <w:gridCol w:w="3438"/>
        <w:gridCol w:w="7158"/>
      </w:tblGrid>
      <w:tr w:rsidR="00621D2A">
        <w:trPr>
          <w:trHeight w:val="677"/>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Services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services ordered by the Buyer as set out in the Order Form.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Service Data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Data that is owned or managed by the Buyer and used for the G-Cloud Services, including backup data.  </w:t>
            </w:r>
          </w:p>
        </w:tc>
      </w:tr>
      <w:tr w:rsidR="00621D2A">
        <w:trPr>
          <w:trHeight w:val="1263"/>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lastRenderedPageBreak/>
              <w:t xml:space="preserve">Service Definition(s)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right="259" w:firstLine="0"/>
            </w:pPr>
            <w:r>
              <w:t xml:space="preserve">The definition of the Supplier's G-Cloud Services provided as part of their Application that includes, but isn’t limited to, those items listed in Section 2 (Services Offered) of the Framework Agreement.  </w:t>
            </w:r>
          </w:p>
        </w:tc>
      </w:tr>
      <w:tr w:rsidR="00621D2A">
        <w:trPr>
          <w:trHeight w:val="967"/>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Service Description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description of the Supplier service offering as published on the Digital Marketplace.  </w:t>
            </w:r>
          </w:p>
        </w:tc>
      </w:tr>
      <w:tr w:rsidR="00621D2A">
        <w:trPr>
          <w:trHeight w:val="1265"/>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Service Personal Data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Personal Data supplied by a Buyer to the Supplier in the course of the use of the G-Cloud Services for purposes of or in connection with this Call-Off Contract.  </w:t>
            </w:r>
          </w:p>
        </w:tc>
      </w:tr>
      <w:tr w:rsidR="00621D2A">
        <w:trPr>
          <w:trHeight w:val="1556"/>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Spend Controls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right="31" w:firstLine="0"/>
            </w:pPr>
            <w:r>
              <w:t xml:space="preserve">The approval process used by a central government Buyer if it needs to spend money on certain digital or technology services, see </w:t>
            </w:r>
            <w:hyperlink r:id="rId220">
              <w:r>
                <w:rPr>
                  <w:color w:val="1155CC"/>
                  <w:u w:val="single" w:color="1155CC"/>
                </w:rPr>
                <w:t>https://www.gov.uk/servic</w:t>
              </w:r>
            </w:hyperlink>
            <w:hyperlink r:id="rId221">
              <w:r>
                <w:rPr>
                  <w:color w:val="1155CC"/>
                  <w:u w:val="single" w:color="1155CC"/>
                </w:rPr>
                <w:t>e</w:t>
              </w:r>
            </w:hyperlink>
            <w:hyperlink r:id="rId222">
              <w:r>
                <w:rPr>
                  <w:color w:val="1155CC"/>
                  <w:u w:val="single" w:color="1155CC"/>
                </w:rPr>
                <w:t>-</w:t>
              </w:r>
            </w:hyperlink>
            <w:hyperlink r:id="rId223">
              <w:r>
                <w:rPr>
                  <w:color w:val="1155CC"/>
                  <w:u w:val="single" w:color="1155CC"/>
                </w:rPr>
                <w:t>manual/agil</w:t>
              </w:r>
            </w:hyperlink>
            <w:hyperlink r:id="rId224">
              <w:r>
                <w:rPr>
                  <w:color w:val="1155CC"/>
                  <w:u w:val="single" w:color="1155CC"/>
                </w:rPr>
                <w:t>e</w:t>
              </w:r>
            </w:hyperlink>
            <w:hyperlink r:id="rId225">
              <w:r>
                <w:rPr>
                  <w:color w:val="1155CC"/>
                  <w:u w:val="single" w:color="1155CC"/>
                </w:rPr>
                <w:t>-</w:t>
              </w:r>
            </w:hyperlink>
            <w:hyperlink r:id="rId226">
              <w:r>
                <w:rPr>
                  <w:color w:val="1155CC"/>
                  <w:u w:val="single" w:color="1155CC"/>
                </w:rPr>
                <w:t>delivery/spen</w:t>
              </w:r>
            </w:hyperlink>
            <w:hyperlink r:id="rId227">
              <w:r>
                <w:rPr>
                  <w:color w:val="1155CC"/>
                  <w:u w:val="single" w:color="1155CC"/>
                </w:rPr>
                <w:t>d</w:t>
              </w:r>
            </w:hyperlink>
            <w:hyperlink r:id="rId228"/>
            <w:hyperlink r:id="rId229">
              <w:r>
                <w:rPr>
                  <w:color w:val="1155CC"/>
                  <w:u w:val="single" w:color="1155CC"/>
                </w:rPr>
                <w:t>control</w:t>
              </w:r>
            </w:hyperlink>
            <w:hyperlink r:id="rId230">
              <w:r>
                <w:rPr>
                  <w:color w:val="1155CC"/>
                  <w:u w:val="single" w:color="1155CC"/>
                </w:rPr>
                <w:t>schec</w:t>
              </w:r>
            </w:hyperlink>
            <w:hyperlink r:id="rId231">
              <w:r>
                <w:rPr>
                  <w:color w:val="1155CC"/>
                  <w:u w:val="single" w:color="1155CC"/>
                </w:rPr>
                <w:t>k</w:t>
              </w:r>
            </w:hyperlink>
            <w:hyperlink r:id="rId232">
              <w:r>
                <w:rPr>
                  <w:color w:val="1155CC"/>
                  <w:u w:val="single" w:color="1155CC"/>
                </w:rPr>
                <w:t>-</w:t>
              </w:r>
            </w:hyperlink>
            <w:hyperlink r:id="rId233">
              <w:r>
                <w:rPr>
                  <w:color w:val="1155CC"/>
                  <w:u w:val="single" w:color="1155CC"/>
                </w:rPr>
                <w:t>i</w:t>
              </w:r>
            </w:hyperlink>
            <w:hyperlink r:id="rId234">
              <w:r>
                <w:rPr>
                  <w:color w:val="1155CC"/>
                  <w:u w:val="single" w:color="1155CC"/>
                </w:rPr>
                <w:t>f</w:t>
              </w:r>
            </w:hyperlink>
            <w:hyperlink r:id="rId235">
              <w:r>
                <w:rPr>
                  <w:color w:val="1155CC"/>
                  <w:u w:val="single" w:color="1155CC"/>
                </w:rPr>
                <w:t>-</w:t>
              </w:r>
            </w:hyperlink>
            <w:hyperlink r:id="rId236">
              <w:r>
                <w:rPr>
                  <w:color w:val="1155CC"/>
                  <w:u w:val="single" w:color="1155CC"/>
                </w:rPr>
                <w:t>yo</w:t>
              </w:r>
            </w:hyperlink>
            <w:hyperlink r:id="rId237">
              <w:r>
                <w:rPr>
                  <w:color w:val="1155CC"/>
                  <w:u w:val="single" w:color="1155CC"/>
                </w:rPr>
                <w:t>u</w:t>
              </w:r>
            </w:hyperlink>
            <w:hyperlink r:id="rId238">
              <w:r>
                <w:rPr>
                  <w:color w:val="1155CC"/>
                  <w:u w:val="single" w:color="1155CC"/>
                </w:rPr>
                <w:t>-</w:t>
              </w:r>
            </w:hyperlink>
            <w:hyperlink r:id="rId239">
              <w:r>
                <w:rPr>
                  <w:color w:val="1155CC"/>
                  <w:u w:val="single" w:color="1155CC"/>
                </w:rPr>
                <w:t>nee</w:t>
              </w:r>
            </w:hyperlink>
            <w:hyperlink r:id="rId240">
              <w:r>
                <w:rPr>
                  <w:color w:val="1155CC"/>
                  <w:u w:val="single" w:color="1155CC"/>
                </w:rPr>
                <w:t>d</w:t>
              </w:r>
            </w:hyperlink>
            <w:hyperlink r:id="rId241">
              <w:r>
                <w:rPr>
                  <w:color w:val="1155CC"/>
                  <w:u w:val="single" w:color="1155CC"/>
                </w:rPr>
                <w:t>-</w:t>
              </w:r>
            </w:hyperlink>
            <w:hyperlink r:id="rId242">
              <w:r>
                <w:rPr>
                  <w:color w:val="1155CC"/>
                  <w:u w:val="single" w:color="1155CC"/>
                </w:rPr>
                <w:t>approva</w:t>
              </w:r>
            </w:hyperlink>
            <w:hyperlink r:id="rId243">
              <w:r>
                <w:rPr>
                  <w:color w:val="1155CC"/>
                  <w:u w:val="single" w:color="1155CC"/>
                </w:rPr>
                <w:t>l</w:t>
              </w:r>
            </w:hyperlink>
            <w:hyperlink r:id="rId244">
              <w:r>
                <w:rPr>
                  <w:color w:val="1155CC"/>
                  <w:u w:val="single" w:color="1155CC"/>
                </w:rPr>
                <w:t>-</w:t>
              </w:r>
            </w:hyperlink>
            <w:hyperlink r:id="rId245">
              <w:r>
                <w:rPr>
                  <w:color w:val="1155CC"/>
                  <w:u w:val="single" w:color="1155CC"/>
                </w:rPr>
                <w:t>t</w:t>
              </w:r>
            </w:hyperlink>
            <w:hyperlink r:id="rId246">
              <w:r>
                <w:rPr>
                  <w:color w:val="1155CC"/>
                  <w:u w:val="single" w:color="1155CC"/>
                </w:rPr>
                <w:t>o</w:t>
              </w:r>
            </w:hyperlink>
            <w:hyperlink r:id="rId247">
              <w:r>
                <w:rPr>
                  <w:color w:val="1155CC"/>
                  <w:u w:val="single" w:color="1155CC"/>
                </w:rPr>
                <w:t>-</w:t>
              </w:r>
            </w:hyperlink>
            <w:hyperlink r:id="rId248">
              <w:r>
                <w:rPr>
                  <w:color w:val="1155CC"/>
                  <w:u w:val="single" w:color="1155CC"/>
                </w:rPr>
                <w:t>spen</w:t>
              </w:r>
            </w:hyperlink>
            <w:hyperlink r:id="rId249">
              <w:r>
                <w:rPr>
                  <w:color w:val="1155CC"/>
                  <w:u w:val="single" w:color="1155CC"/>
                </w:rPr>
                <w:t>d</w:t>
              </w:r>
            </w:hyperlink>
            <w:hyperlink r:id="rId250">
              <w:r>
                <w:rPr>
                  <w:color w:val="1155CC"/>
                  <w:u w:val="single" w:color="1155CC"/>
                </w:rPr>
                <w:t>-</w:t>
              </w:r>
            </w:hyperlink>
            <w:hyperlink r:id="rId251">
              <w:r>
                <w:rPr>
                  <w:color w:val="1155CC"/>
                  <w:u w:val="single" w:color="1155CC"/>
                </w:rPr>
                <w:t>mone</w:t>
              </w:r>
            </w:hyperlink>
            <w:hyperlink r:id="rId252">
              <w:r>
                <w:rPr>
                  <w:color w:val="1155CC"/>
                  <w:u w:val="single" w:color="1155CC"/>
                </w:rPr>
                <w:t>y</w:t>
              </w:r>
            </w:hyperlink>
            <w:hyperlink r:id="rId253">
              <w:r>
                <w:rPr>
                  <w:color w:val="1155CC"/>
                  <w:u w:val="single" w:color="1155CC"/>
                </w:rPr>
                <w:t>-</w:t>
              </w:r>
            </w:hyperlink>
            <w:hyperlink r:id="rId254">
              <w:r>
                <w:rPr>
                  <w:color w:val="1155CC"/>
                  <w:u w:val="single" w:color="1155CC"/>
                </w:rPr>
                <w:t>o</w:t>
              </w:r>
            </w:hyperlink>
            <w:hyperlink r:id="rId255">
              <w:r>
                <w:rPr>
                  <w:color w:val="1155CC"/>
                  <w:u w:val="single" w:color="1155CC"/>
                </w:rPr>
                <w:t>n</w:t>
              </w:r>
            </w:hyperlink>
            <w:hyperlink r:id="rId256">
              <w:r>
                <w:rPr>
                  <w:color w:val="1155CC"/>
                  <w:u w:val="single" w:color="1155CC"/>
                </w:rPr>
                <w:t>-</w:t>
              </w:r>
            </w:hyperlink>
            <w:hyperlink r:id="rId257">
              <w:r>
                <w:rPr>
                  <w:color w:val="1155CC"/>
                  <w:u w:val="single" w:color="1155CC"/>
                </w:rPr>
                <w:t>a</w:t>
              </w:r>
            </w:hyperlink>
            <w:hyperlink r:id="rId258">
              <w:r>
                <w:rPr>
                  <w:color w:val="1155CC"/>
                  <w:u w:val="single" w:color="1155CC"/>
                </w:rPr>
                <w:t>-</w:t>
              </w:r>
            </w:hyperlink>
            <w:hyperlink r:id="rId259">
              <w:r>
                <w:rPr>
                  <w:color w:val="1155CC"/>
                  <w:u w:val="single" w:color="1155CC"/>
                </w:rPr>
                <w:t>servic</w:t>
              </w:r>
            </w:hyperlink>
            <w:hyperlink r:id="rId260">
              <w:r>
                <w:rPr>
                  <w:color w:val="1155CC"/>
                  <w:u w:val="single" w:color="1155CC"/>
                </w:rPr>
                <w:t>e</w:t>
              </w:r>
            </w:hyperlink>
            <w:hyperlink r:id="rId261">
              <w:r>
                <w:rPr>
                  <w:rFonts w:ascii="Arial" w:eastAsia="Arial" w:hAnsi="Arial" w:cs="Arial"/>
                  <w:sz w:val="20"/>
                </w:rPr>
                <w:t xml:space="preserve"> </w:t>
              </w:r>
            </w:hyperlink>
            <w:hyperlink r:id="rId262">
              <w:r>
                <w:t xml:space="preserve"> </w:t>
              </w:r>
            </w:hyperlink>
          </w:p>
        </w:tc>
      </w:tr>
      <w:tr w:rsidR="00621D2A">
        <w:trPr>
          <w:trHeight w:val="672"/>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Start Date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start date of this Call-Off Contract as set out in the Order Form.  </w:t>
            </w:r>
          </w:p>
        </w:tc>
      </w:tr>
      <w:tr w:rsidR="00621D2A">
        <w:trPr>
          <w:trHeight w:val="185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Subcontract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621D2A">
        <w:trPr>
          <w:trHeight w:val="1556"/>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Subcontractor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Any third party engaged by the Supplier under a Subcontract  </w:t>
            </w:r>
          </w:p>
          <w:p w:rsidR="00621D2A" w:rsidRDefault="002063F5">
            <w:pPr>
              <w:spacing w:after="0" w:line="259" w:lineRule="auto"/>
              <w:ind w:left="0" w:firstLine="0"/>
            </w:pPr>
            <w:r>
              <w:t xml:space="preserve">(permitted under the Framework Agreement and the Call-Off  </w:t>
            </w:r>
          </w:p>
          <w:p w:rsidR="00621D2A" w:rsidRDefault="002063F5">
            <w:pPr>
              <w:spacing w:after="0" w:line="259" w:lineRule="auto"/>
              <w:ind w:left="0" w:firstLine="0"/>
            </w:pPr>
            <w:r>
              <w:t xml:space="preserve">Contract) and its servants or agents in connection with the provision of G-Cloud Services.  </w:t>
            </w:r>
          </w:p>
        </w:tc>
      </w:tr>
      <w:tr w:rsidR="00621D2A">
        <w:trPr>
          <w:trHeight w:val="968"/>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Subprocessor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Any third party appointed to process Personal Data on behalf of the Supplier under this Call-Off Contract.  </w:t>
            </w:r>
          </w:p>
        </w:tc>
      </w:tr>
      <w:tr w:rsidR="00621D2A">
        <w:trPr>
          <w:trHeight w:val="970"/>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lastRenderedPageBreak/>
              <w:t xml:space="preserve">Supplier Representative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representative appointed by the Supplier from time to time in relation to the Call-Off Contract.  </w:t>
            </w:r>
          </w:p>
        </w:tc>
      </w:tr>
      <w:tr w:rsidR="00621D2A">
        <w:trPr>
          <w:trHeight w:val="126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Supplier Staff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621D2A">
        <w:trPr>
          <w:trHeight w:val="1263"/>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Supplier Terms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relevant G-Cloud Service terms and conditions as set out in the Terms and Conditions document supplied as part of the Supplier’s Application.  </w:t>
            </w:r>
          </w:p>
        </w:tc>
      </w:tr>
      <w:tr w:rsidR="00621D2A">
        <w:trPr>
          <w:trHeight w:val="677"/>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Term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The term of this Call-Off Contract as set out in the Order Form.   </w:t>
            </w:r>
          </w:p>
        </w:tc>
      </w:tr>
      <w:tr w:rsidR="00621D2A">
        <w:trPr>
          <w:trHeight w:val="674"/>
        </w:trPr>
        <w:tc>
          <w:tcPr>
            <w:tcW w:w="3438" w:type="dxa"/>
            <w:tcBorders>
              <w:top w:val="single" w:sz="6" w:space="0" w:color="000001"/>
              <w:left w:val="single" w:sz="4" w:space="0" w:color="000001"/>
              <w:bottom w:val="single" w:sz="6" w:space="0" w:color="000001"/>
              <w:right w:val="single" w:sz="6" w:space="0" w:color="000001"/>
            </w:tcBorders>
            <w:vAlign w:val="bottom"/>
          </w:tcPr>
          <w:p w:rsidR="00621D2A" w:rsidRDefault="002063F5">
            <w:pPr>
              <w:spacing w:after="0" w:line="259" w:lineRule="auto"/>
              <w:ind w:left="0" w:firstLine="0"/>
            </w:pPr>
            <w:r>
              <w:rPr>
                <w:b/>
              </w:rPr>
              <w:t xml:space="preserve">Variation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This has the meaning given to it in clause 32 (Variation process).  </w:t>
            </w:r>
          </w:p>
        </w:tc>
      </w:tr>
      <w:tr w:rsidR="00621D2A">
        <w:trPr>
          <w:trHeight w:val="972"/>
        </w:trPr>
        <w:tc>
          <w:tcPr>
            <w:tcW w:w="3438" w:type="dxa"/>
            <w:tcBorders>
              <w:top w:val="single" w:sz="6" w:space="0" w:color="000001"/>
              <w:left w:val="single" w:sz="4" w:space="0" w:color="000001"/>
              <w:bottom w:val="single" w:sz="6" w:space="0" w:color="000001"/>
              <w:right w:val="single" w:sz="6" w:space="0" w:color="000001"/>
            </w:tcBorders>
          </w:tcPr>
          <w:p w:rsidR="00621D2A" w:rsidRDefault="002063F5">
            <w:pPr>
              <w:spacing w:after="0" w:line="259" w:lineRule="auto"/>
              <w:ind w:left="0" w:firstLine="0"/>
            </w:pPr>
            <w:r>
              <w:rPr>
                <w:b/>
              </w:rPr>
              <w:t xml:space="preserve">Working Days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bottom"/>
          </w:tcPr>
          <w:p w:rsidR="00621D2A" w:rsidRDefault="002063F5">
            <w:pPr>
              <w:spacing w:after="0" w:line="259" w:lineRule="auto"/>
              <w:ind w:left="0" w:firstLine="0"/>
            </w:pPr>
            <w:r>
              <w:t xml:space="preserve">Any day other than a Saturday, Sunday or public holiday in England and Wales.  </w:t>
            </w:r>
          </w:p>
        </w:tc>
      </w:tr>
      <w:tr w:rsidR="00621D2A">
        <w:trPr>
          <w:trHeight w:val="672"/>
        </w:trPr>
        <w:tc>
          <w:tcPr>
            <w:tcW w:w="3438" w:type="dxa"/>
            <w:tcBorders>
              <w:top w:val="single" w:sz="6" w:space="0" w:color="000001"/>
              <w:left w:val="single" w:sz="4" w:space="0" w:color="000001"/>
              <w:bottom w:val="single" w:sz="4" w:space="0" w:color="000001"/>
              <w:right w:val="single" w:sz="6" w:space="0" w:color="000001"/>
            </w:tcBorders>
            <w:vAlign w:val="bottom"/>
          </w:tcPr>
          <w:p w:rsidR="00621D2A" w:rsidRDefault="002063F5">
            <w:pPr>
              <w:spacing w:after="0" w:line="259" w:lineRule="auto"/>
              <w:ind w:left="0" w:firstLine="0"/>
            </w:pPr>
            <w:r>
              <w:rPr>
                <w:b/>
              </w:rPr>
              <w:t xml:space="preserve">Year </w:t>
            </w:r>
            <w:r>
              <w:t xml:space="preserve"> </w:t>
            </w:r>
          </w:p>
        </w:tc>
        <w:tc>
          <w:tcPr>
            <w:tcW w:w="7158" w:type="dxa"/>
            <w:tcBorders>
              <w:top w:val="single" w:sz="6" w:space="0" w:color="000001"/>
              <w:left w:val="single" w:sz="6" w:space="0" w:color="000001"/>
              <w:bottom w:val="single" w:sz="4" w:space="0" w:color="000001"/>
              <w:right w:val="single" w:sz="4" w:space="0" w:color="000001"/>
            </w:tcBorders>
            <w:vAlign w:val="bottom"/>
          </w:tcPr>
          <w:p w:rsidR="00621D2A" w:rsidRDefault="002063F5">
            <w:pPr>
              <w:spacing w:after="0" w:line="259" w:lineRule="auto"/>
              <w:ind w:left="0" w:firstLine="0"/>
            </w:pPr>
            <w:r>
              <w:t xml:space="preserve">A contract year.  </w:t>
            </w:r>
          </w:p>
        </w:tc>
      </w:tr>
    </w:tbl>
    <w:p w:rsidR="00621D2A" w:rsidRDefault="002063F5">
      <w:pPr>
        <w:spacing w:after="235" w:line="259" w:lineRule="auto"/>
        <w:ind w:left="706" w:firstLine="0"/>
      </w:pPr>
      <w:r>
        <w:t xml:space="preserve">  </w:t>
      </w:r>
    </w:p>
    <w:p w:rsidR="00621D2A" w:rsidRDefault="002063F5">
      <w:pPr>
        <w:spacing w:after="0" w:line="259" w:lineRule="auto"/>
        <w:ind w:left="706" w:firstLine="0"/>
        <w:jc w:val="both"/>
      </w:pPr>
      <w:r>
        <w:rPr>
          <w:rFonts w:ascii="Arial" w:eastAsia="Arial" w:hAnsi="Arial" w:cs="Arial"/>
          <w:sz w:val="20"/>
        </w:rPr>
        <w:t xml:space="preserve">  </w:t>
      </w:r>
      <w:r>
        <w:rPr>
          <w:rFonts w:ascii="Arial" w:eastAsia="Arial" w:hAnsi="Arial" w:cs="Arial"/>
          <w:sz w:val="20"/>
        </w:rPr>
        <w:tab/>
      </w:r>
      <w:r>
        <w:t xml:space="preserve">  </w:t>
      </w:r>
      <w:r>
        <w:tab/>
        <w:t xml:space="preserve"> </w:t>
      </w:r>
    </w:p>
    <w:p w:rsidR="00621D2A" w:rsidRDefault="002063F5">
      <w:pPr>
        <w:spacing w:after="224" w:line="259" w:lineRule="auto"/>
        <w:ind w:left="706" w:firstLine="0"/>
      </w:pPr>
      <w:r>
        <w:t xml:space="preserve">  </w:t>
      </w:r>
    </w:p>
    <w:p w:rsidR="00621D2A" w:rsidRDefault="002063F5">
      <w:pPr>
        <w:spacing w:after="19" w:line="259" w:lineRule="auto"/>
        <w:ind w:left="706" w:firstLine="0"/>
      </w:pPr>
      <w:r>
        <w:rPr>
          <w:b/>
        </w:rPr>
        <w:t xml:space="preserve"> </w:t>
      </w:r>
      <w:r>
        <w:t xml:space="preserve"> </w:t>
      </w:r>
    </w:p>
    <w:p w:rsidR="00621D2A" w:rsidRDefault="002063F5">
      <w:pPr>
        <w:pStyle w:val="Heading1"/>
        <w:ind w:left="686"/>
      </w:pPr>
      <w:bookmarkStart w:id="8" w:name="_Toc73323"/>
      <w:r>
        <w:t>Schedule 7 - Processing, Personal Data and Data Subjects</w:t>
      </w:r>
      <w:r>
        <w:rPr>
          <w:rFonts w:ascii="Arial" w:eastAsia="Arial" w:hAnsi="Arial" w:cs="Arial"/>
          <w:sz w:val="22"/>
        </w:rPr>
        <w:t xml:space="preserve"> </w:t>
      </w:r>
      <w:r>
        <w:t xml:space="preserve"> </w:t>
      </w:r>
      <w:bookmarkEnd w:id="8"/>
    </w:p>
    <w:p w:rsidR="00621D2A" w:rsidRDefault="002063F5">
      <w:pPr>
        <w:spacing w:after="3" w:line="254" w:lineRule="auto"/>
        <w:ind w:left="696"/>
      </w:pPr>
      <w:r>
        <w:rPr>
          <w:rFonts w:ascii="MS Gothic" w:eastAsia="MS Gothic" w:hAnsi="MS Gothic" w:cs="MS Gothic"/>
          <w:color w:val="353535"/>
        </w:rPr>
        <w:t> </w:t>
      </w:r>
      <w:r>
        <w:rPr>
          <w:color w:val="353535"/>
        </w:rPr>
        <w:t xml:space="preserve">[GUIDANCE NOTE TO BUYERS:  THE FOLLOWING SCHEDULE IS JUST AN EXAMPLE. YOU MUST </w:t>
      </w:r>
    </w:p>
    <w:p w:rsidR="00621D2A" w:rsidRDefault="002063F5">
      <w:pPr>
        <w:spacing w:after="3" w:line="254" w:lineRule="auto"/>
        <w:ind w:left="696"/>
      </w:pPr>
      <w:r>
        <w:rPr>
          <w:color w:val="353535"/>
        </w:rPr>
        <w:t xml:space="preserve">CONSIDER HOW DATA PROTECTION LEGISLATION APPLIES TO YOUR SPECIFIC SERVICE  AND </w:t>
      </w:r>
    </w:p>
    <w:p w:rsidR="00621D2A" w:rsidRDefault="002063F5">
      <w:pPr>
        <w:spacing w:after="3" w:line="254" w:lineRule="auto"/>
        <w:ind w:left="696"/>
      </w:pPr>
      <w:r>
        <w:rPr>
          <w:color w:val="353535"/>
        </w:rPr>
        <w:t xml:space="preserve">SUPPLIER AND MUST INCLUDE ANY FURTHER DATA DETAILS IN THIS SCHEDULE WHICH MAY BE </w:t>
      </w:r>
    </w:p>
    <w:p w:rsidR="00621D2A" w:rsidRDefault="002063F5">
      <w:pPr>
        <w:spacing w:after="3" w:line="254" w:lineRule="auto"/>
        <w:ind w:left="696"/>
      </w:pPr>
      <w:r>
        <w:rPr>
          <w:color w:val="353535"/>
        </w:rPr>
        <w:t xml:space="preserve">REQUIRED TO ENSURE COMPLIANCE WITH THOSE LAWS.  FOR EXAMPLE, WHERE THERE MAY BE </w:t>
      </w:r>
    </w:p>
    <w:p w:rsidR="00621D2A" w:rsidRDefault="002063F5">
      <w:pPr>
        <w:spacing w:after="3" w:line="254" w:lineRule="auto"/>
        <w:ind w:left="696"/>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447675</wp:posOffset>
                </wp:positionH>
                <wp:positionV relativeFrom="paragraph">
                  <wp:posOffset>-791668</wp:posOffset>
                </wp:positionV>
                <wp:extent cx="6619875" cy="1301114"/>
                <wp:effectExtent l="0" t="0" r="0" b="0"/>
                <wp:wrapNone/>
                <wp:docPr id="70751" name="Group 70751"/>
                <wp:cNvGraphicFramePr/>
                <a:graphic xmlns:a="http://schemas.openxmlformats.org/drawingml/2006/main">
                  <a:graphicData uri="http://schemas.microsoft.com/office/word/2010/wordprocessingGroup">
                    <wpg:wgp>
                      <wpg:cNvGrpSpPr/>
                      <wpg:grpSpPr>
                        <a:xfrm>
                          <a:off x="0" y="0"/>
                          <a:ext cx="6619875" cy="1301114"/>
                          <a:chOff x="0" y="0"/>
                          <a:chExt cx="6619875" cy="1301114"/>
                        </a:xfrm>
                      </wpg:grpSpPr>
                      <wps:wsp>
                        <wps:cNvPr id="73859" name="Shape 73859"/>
                        <wps:cNvSpPr/>
                        <wps:spPr>
                          <a:xfrm>
                            <a:off x="0" y="0"/>
                            <a:ext cx="6275197" cy="185800"/>
                          </a:xfrm>
                          <a:custGeom>
                            <a:avLst/>
                            <a:gdLst/>
                            <a:ahLst/>
                            <a:cxnLst/>
                            <a:rect l="0" t="0" r="0" b="0"/>
                            <a:pathLst>
                              <a:path w="6275197" h="185800">
                                <a:moveTo>
                                  <a:pt x="0" y="0"/>
                                </a:moveTo>
                                <a:lnTo>
                                  <a:pt x="6275197" y="0"/>
                                </a:lnTo>
                                <a:lnTo>
                                  <a:pt x="6275197" y="185800"/>
                                </a:lnTo>
                                <a:lnTo>
                                  <a:pt x="0" y="1858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3860" name="Shape 73860"/>
                        <wps:cNvSpPr/>
                        <wps:spPr>
                          <a:xfrm>
                            <a:off x="0" y="185800"/>
                            <a:ext cx="6159373" cy="185928"/>
                          </a:xfrm>
                          <a:custGeom>
                            <a:avLst/>
                            <a:gdLst/>
                            <a:ahLst/>
                            <a:cxnLst/>
                            <a:rect l="0" t="0" r="0" b="0"/>
                            <a:pathLst>
                              <a:path w="6159373" h="185928">
                                <a:moveTo>
                                  <a:pt x="0" y="0"/>
                                </a:moveTo>
                                <a:lnTo>
                                  <a:pt x="6159373" y="0"/>
                                </a:lnTo>
                                <a:lnTo>
                                  <a:pt x="6159373" y="185928"/>
                                </a:lnTo>
                                <a:lnTo>
                                  <a:pt x="0" y="1859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3861" name="Shape 73861"/>
                        <wps:cNvSpPr/>
                        <wps:spPr>
                          <a:xfrm>
                            <a:off x="0" y="371728"/>
                            <a:ext cx="6353175" cy="185928"/>
                          </a:xfrm>
                          <a:custGeom>
                            <a:avLst/>
                            <a:gdLst/>
                            <a:ahLst/>
                            <a:cxnLst/>
                            <a:rect l="0" t="0" r="0" b="0"/>
                            <a:pathLst>
                              <a:path w="6353175" h="185928">
                                <a:moveTo>
                                  <a:pt x="0" y="0"/>
                                </a:moveTo>
                                <a:lnTo>
                                  <a:pt x="6353175" y="0"/>
                                </a:lnTo>
                                <a:lnTo>
                                  <a:pt x="6353175" y="185928"/>
                                </a:lnTo>
                                <a:lnTo>
                                  <a:pt x="0" y="1859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3862" name="Shape 73862"/>
                        <wps:cNvSpPr/>
                        <wps:spPr>
                          <a:xfrm>
                            <a:off x="0" y="557657"/>
                            <a:ext cx="6400419" cy="185801"/>
                          </a:xfrm>
                          <a:custGeom>
                            <a:avLst/>
                            <a:gdLst/>
                            <a:ahLst/>
                            <a:cxnLst/>
                            <a:rect l="0" t="0" r="0" b="0"/>
                            <a:pathLst>
                              <a:path w="6400419" h="185801">
                                <a:moveTo>
                                  <a:pt x="0" y="0"/>
                                </a:moveTo>
                                <a:lnTo>
                                  <a:pt x="6400419" y="0"/>
                                </a:lnTo>
                                <a:lnTo>
                                  <a:pt x="6400419" y="185801"/>
                                </a:lnTo>
                                <a:lnTo>
                                  <a:pt x="0" y="185801"/>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3863" name="Shape 73863"/>
                        <wps:cNvSpPr/>
                        <wps:spPr>
                          <a:xfrm>
                            <a:off x="0" y="743458"/>
                            <a:ext cx="6013069" cy="185928"/>
                          </a:xfrm>
                          <a:custGeom>
                            <a:avLst/>
                            <a:gdLst/>
                            <a:ahLst/>
                            <a:cxnLst/>
                            <a:rect l="0" t="0" r="0" b="0"/>
                            <a:pathLst>
                              <a:path w="6013069" h="185928">
                                <a:moveTo>
                                  <a:pt x="0" y="0"/>
                                </a:moveTo>
                                <a:lnTo>
                                  <a:pt x="6013069" y="0"/>
                                </a:lnTo>
                                <a:lnTo>
                                  <a:pt x="6013069" y="185928"/>
                                </a:lnTo>
                                <a:lnTo>
                                  <a:pt x="0" y="1859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3864" name="Shape 73864"/>
                        <wps:cNvSpPr/>
                        <wps:spPr>
                          <a:xfrm>
                            <a:off x="0" y="929386"/>
                            <a:ext cx="6619875" cy="185801"/>
                          </a:xfrm>
                          <a:custGeom>
                            <a:avLst/>
                            <a:gdLst/>
                            <a:ahLst/>
                            <a:cxnLst/>
                            <a:rect l="0" t="0" r="0" b="0"/>
                            <a:pathLst>
                              <a:path w="6619875" h="185801">
                                <a:moveTo>
                                  <a:pt x="0" y="0"/>
                                </a:moveTo>
                                <a:lnTo>
                                  <a:pt x="6619875" y="0"/>
                                </a:lnTo>
                                <a:lnTo>
                                  <a:pt x="6619875" y="185801"/>
                                </a:lnTo>
                                <a:lnTo>
                                  <a:pt x="0" y="185801"/>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3865" name="Shape 73865"/>
                        <wps:cNvSpPr/>
                        <wps:spPr>
                          <a:xfrm>
                            <a:off x="0" y="1115187"/>
                            <a:ext cx="1479931" cy="185927"/>
                          </a:xfrm>
                          <a:custGeom>
                            <a:avLst/>
                            <a:gdLst/>
                            <a:ahLst/>
                            <a:cxnLst/>
                            <a:rect l="0" t="0" r="0" b="0"/>
                            <a:pathLst>
                              <a:path w="1479931" h="185927">
                                <a:moveTo>
                                  <a:pt x="0" y="0"/>
                                </a:moveTo>
                                <a:lnTo>
                                  <a:pt x="1479931" y="0"/>
                                </a:lnTo>
                                <a:lnTo>
                                  <a:pt x="1479931" y="185927"/>
                                </a:lnTo>
                                <a:lnTo>
                                  <a:pt x="0" y="185927"/>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70751" style="width:521.25pt;height:102.45pt;position:absolute;z-index:-2147483591;mso-position-horizontal-relative:text;mso-position-horizontal:absolute;margin-left:35.25pt;mso-position-vertical-relative:text;margin-top:-62.3361pt;" coordsize="66198,13011">
                <v:shape id="Shape 73866" style="position:absolute;width:62751;height:1858;left:0;top:0;" coordsize="6275197,185800" path="m0,0l6275197,0l6275197,185800l0,185800l0,0">
                  <v:stroke weight="0pt" endcap="flat" joinstyle="miter" miterlimit="10" on="false" color="#000000" opacity="0"/>
                  <v:fill on="true" color="#00ff00"/>
                </v:shape>
                <v:shape id="Shape 73867" style="position:absolute;width:61593;height:1859;left:0;top:1858;" coordsize="6159373,185928" path="m0,0l6159373,0l6159373,185928l0,185928l0,0">
                  <v:stroke weight="0pt" endcap="flat" joinstyle="miter" miterlimit="10" on="false" color="#000000" opacity="0"/>
                  <v:fill on="true" color="#00ff00"/>
                </v:shape>
                <v:shape id="Shape 73868" style="position:absolute;width:63531;height:1859;left:0;top:3717;" coordsize="6353175,185928" path="m0,0l6353175,0l6353175,185928l0,185928l0,0">
                  <v:stroke weight="0pt" endcap="flat" joinstyle="miter" miterlimit="10" on="false" color="#000000" opacity="0"/>
                  <v:fill on="true" color="#00ff00"/>
                </v:shape>
                <v:shape id="Shape 73869" style="position:absolute;width:64004;height:1858;left:0;top:5576;" coordsize="6400419,185801" path="m0,0l6400419,0l6400419,185801l0,185801l0,0">
                  <v:stroke weight="0pt" endcap="flat" joinstyle="miter" miterlimit="10" on="false" color="#000000" opacity="0"/>
                  <v:fill on="true" color="#00ff00"/>
                </v:shape>
                <v:shape id="Shape 73870" style="position:absolute;width:60130;height:1859;left:0;top:7434;" coordsize="6013069,185928" path="m0,0l6013069,0l6013069,185928l0,185928l0,0">
                  <v:stroke weight="0pt" endcap="flat" joinstyle="miter" miterlimit="10" on="false" color="#000000" opacity="0"/>
                  <v:fill on="true" color="#00ff00"/>
                </v:shape>
                <v:shape id="Shape 73871" style="position:absolute;width:66198;height:1858;left:0;top:9293;" coordsize="6619875,185801" path="m0,0l6619875,0l6619875,185801l0,185801l0,0">
                  <v:stroke weight="0pt" endcap="flat" joinstyle="miter" miterlimit="10" on="false" color="#000000" opacity="0"/>
                  <v:fill on="true" color="#00ff00"/>
                </v:shape>
                <v:shape id="Shape 73872" style="position:absolute;width:14799;height:1859;left:0;top:11151;" coordsize="1479931,185927" path="m0,0l1479931,0l1479931,185927l0,185927l0,0">
                  <v:stroke weight="0pt" endcap="flat" joinstyle="miter" miterlimit="10" on="false" color="#000000" opacity="0"/>
                  <v:fill on="true" color="#00ff00"/>
                </v:shape>
              </v:group>
            </w:pict>
          </mc:Fallback>
        </mc:AlternateContent>
      </w:r>
      <w:r>
        <w:rPr>
          <w:color w:val="353535"/>
        </w:rPr>
        <w:t xml:space="preserve">JOINT CONTROLLERS, DATA SHARING PROVISIONS, ETC.  YOU SHOULD ALSO REVIEW THE </w:t>
      </w:r>
      <w:r>
        <w:rPr>
          <w:b/>
        </w:rPr>
        <w:t xml:space="preserve"> </w:t>
      </w:r>
      <w:r>
        <w:rPr>
          <w:color w:val="353535"/>
        </w:rPr>
        <w:t xml:space="preserve">SUPPLIER’S DATA PROTECTION LEGISLATION TERMS AND CONDITIONS WHICH MAY BE SUFFICIENT IN THEIR OWN RIGHT]  </w:t>
      </w:r>
      <w:r>
        <w:t xml:space="preserve"> </w:t>
      </w:r>
    </w:p>
    <w:p w:rsidR="00621D2A" w:rsidRDefault="002063F5">
      <w:pPr>
        <w:spacing w:after="232" w:line="259" w:lineRule="auto"/>
        <w:ind w:left="706" w:firstLine="0"/>
      </w:pPr>
      <w:r>
        <w:rPr>
          <w:rFonts w:ascii="Arial" w:eastAsia="Arial" w:hAnsi="Arial" w:cs="Arial"/>
        </w:rPr>
        <w:lastRenderedPageBreak/>
        <w:t xml:space="preserve"> </w:t>
      </w:r>
      <w:r>
        <w:t xml:space="preserve"> </w:t>
      </w:r>
    </w:p>
    <w:p w:rsidR="00621D2A" w:rsidRDefault="002063F5">
      <w:pPr>
        <w:spacing w:after="86" w:line="263" w:lineRule="auto"/>
        <w:ind w:left="686"/>
      </w:pPr>
      <w:r>
        <w:rPr>
          <w:b/>
        </w:rPr>
        <w:t xml:space="preserve">Subject matter of the processing: </w:t>
      </w:r>
      <w:r>
        <w:rPr>
          <w:b/>
          <w:color w:val="353535"/>
        </w:rPr>
        <w:t xml:space="preserve"> </w:t>
      </w:r>
      <w:r>
        <w:t xml:space="preserve"> </w:t>
      </w:r>
    </w:p>
    <w:p w:rsidR="00621D2A" w:rsidRDefault="002063F5">
      <w:pPr>
        <w:spacing w:after="200" w:line="267" w:lineRule="auto"/>
        <w:ind w:left="686"/>
      </w:pPr>
      <w:r>
        <w:rPr>
          <w:rFonts w:ascii="MS Gothic" w:eastAsia="MS Gothic" w:hAnsi="MS Gothic" w:cs="MS Gothic"/>
          <w:color w:val="353535"/>
          <w:shd w:val="clear" w:color="auto" w:fill="00FF00"/>
        </w:rPr>
        <w:t> </w:t>
      </w:r>
      <w:r>
        <w:rPr>
          <w:color w:val="353535"/>
          <w:shd w:val="clear" w:color="auto" w:fill="00FF00"/>
        </w:rPr>
        <w:t>[This should be a high level, short description of what the Processing is about ie its subject matter]</w:t>
      </w:r>
      <w:r>
        <w:rPr>
          <w:rFonts w:ascii="Arial" w:eastAsia="Arial" w:hAnsi="Arial" w:cs="Arial"/>
          <w:sz w:val="20"/>
        </w:rPr>
        <w:t xml:space="preserve"> </w:t>
      </w:r>
      <w:r>
        <w:t xml:space="preserve"> </w:t>
      </w:r>
    </w:p>
    <w:p w:rsidR="00621D2A" w:rsidRDefault="002063F5">
      <w:pPr>
        <w:spacing w:after="86" w:line="263" w:lineRule="auto"/>
        <w:ind w:left="686"/>
      </w:pPr>
      <w:r>
        <w:rPr>
          <w:b/>
        </w:rPr>
        <w:t xml:space="preserve">Duration of the processing: </w:t>
      </w:r>
      <w:r>
        <w:rPr>
          <w:b/>
          <w:color w:val="353535"/>
        </w:rPr>
        <w:t xml:space="preserve"> </w:t>
      </w:r>
      <w:r>
        <w:t xml:space="preserve"> </w:t>
      </w:r>
    </w:p>
    <w:p w:rsidR="00621D2A" w:rsidRDefault="002063F5">
      <w:pPr>
        <w:spacing w:after="200" w:line="267" w:lineRule="auto"/>
        <w:ind w:left="686"/>
      </w:pPr>
      <w:r>
        <w:rPr>
          <w:rFonts w:ascii="MS Gothic" w:eastAsia="MS Gothic" w:hAnsi="MS Gothic" w:cs="MS Gothic"/>
          <w:color w:val="353535"/>
        </w:rPr>
        <w:t> </w:t>
      </w:r>
      <w:r>
        <w:rPr>
          <w:color w:val="353535"/>
          <w:shd w:val="clear" w:color="auto" w:fill="00FF00"/>
        </w:rPr>
        <w:t>[Clearly set out the duration of the Processing including dates]</w:t>
      </w:r>
      <w:r>
        <w:rPr>
          <w:color w:val="353535"/>
        </w:rPr>
        <w:t xml:space="preserve">  </w:t>
      </w:r>
      <w:r>
        <w:rPr>
          <w:rFonts w:ascii="Arial" w:eastAsia="Arial" w:hAnsi="Arial" w:cs="Arial"/>
          <w:sz w:val="20"/>
        </w:rPr>
        <w:t xml:space="preserve"> </w:t>
      </w:r>
      <w:r>
        <w:t xml:space="preserve"> </w:t>
      </w:r>
    </w:p>
    <w:p w:rsidR="00621D2A" w:rsidRDefault="002063F5">
      <w:pPr>
        <w:spacing w:after="89" w:line="263" w:lineRule="auto"/>
        <w:ind w:left="686"/>
      </w:pPr>
      <w:r>
        <w:rPr>
          <w:b/>
        </w:rPr>
        <w:t xml:space="preserve">Nature and purposes of the Processing: </w:t>
      </w:r>
      <w:r>
        <w:rPr>
          <w:b/>
          <w:color w:val="353535"/>
        </w:rPr>
        <w:t xml:space="preserve"> </w:t>
      </w:r>
      <w:r>
        <w:t xml:space="preserve"> </w:t>
      </w:r>
    </w:p>
    <w:p w:rsidR="00621D2A" w:rsidRDefault="002063F5">
      <w:pPr>
        <w:spacing w:after="200" w:line="267" w:lineRule="auto"/>
        <w:ind w:left="686"/>
      </w:pPr>
      <w:r>
        <w:rPr>
          <w:rFonts w:ascii="MS Gothic" w:eastAsia="MS Gothic" w:hAnsi="MS Gothic" w:cs="MS Gothic"/>
          <w:color w:val="353535"/>
        </w:rPr>
        <w:t> </w:t>
      </w:r>
      <w:r>
        <w:rPr>
          <w:color w:val="353535"/>
          <w:shd w:val="clear" w:color="auto" w:fill="00FF00"/>
        </w:rPr>
        <w:t>[Please be as specific as possible, but make sure that you cover all intended purposes. The nature of the</w:t>
      </w:r>
      <w:r>
        <w:rPr>
          <w:color w:val="353535"/>
        </w:rPr>
        <w:t xml:space="preserve"> </w:t>
      </w:r>
      <w:r>
        <w:rPr>
          <w:color w:val="353535"/>
          <w:shd w:val="clear" w:color="auto" w:fill="00FF00"/>
        </w:rPr>
        <w:t>Processing means any operation such as collection, recording, organisation, structuring, storage,</w:t>
      </w:r>
      <w:r>
        <w:rPr>
          <w:color w:val="353535"/>
        </w:rPr>
        <w:t xml:space="preserve"> </w:t>
      </w:r>
      <w:r>
        <w:rPr>
          <w:color w:val="353535"/>
          <w:shd w:val="clear" w:color="auto" w:fill="00FF00"/>
        </w:rPr>
        <w:t>adaptation or alteration, retrieval, consultation, use, disclosure by transmission, dissemination or otherwise</w:t>
      </w:r>
      <w:r>
        <w:rPr>
          <w:color w:val="353535"/>
        </w:rPr>
        <w:t xml:space="preserve"> </w:t>
      </w:r>
      <w:r>
        <w:rPr>
          <w:color w:val="353535"/>
          <w:shd w:val="clear" w:color="auto" w:fill="00FF00"/>
        </w:rPr>
        <w:t>making available, alignment or combination, restriction, erasure or destruction of data (whether or not by</w:t>
      </w:r>
      <w:r>
        <w:rPr>
          <w:color w:val="353535"/>
        </w:rPr>
        <w:t xml:space="preserve"> </w:t>
      </w:r>
      <w:r>
        <w:rPr>
          <w:color w:val="353535"/>
          <w:shd w:val="clear" w:color="auto" w:fill="00FF00"/>
        </w:rPr>
        <w:t>automated means) etc) The purpose might include eg: employment Processing, statutory obligation,</w:t>
      </w:r>
      <w:r>
        <w:rPr>
          <w:color w:val="353535"/>
        </w:rPr>
        <w:t xml:space="preserve"> </w:t>
      </w:r>
      <w:r>
        <w:rPr>
          <w:color w:val="353535"/>
          <w:shd w:val="clear" w:color="auto" w:fill="00FF00"/>
        </w:rPr>
        <w:t>recruitment assessment etc]</w:t>
      </w:r>
      <w:r>
        <w:rPr>
          <w:color w:val="353535"/>
        </w:rPr>
        <w:t xml:space="preserve"> </w:t>
      </w:r>
      <w:r>
        <w:rPr>
          <w:rFonts w:ascii="Arial" w:eastAsia="Arial" w:hAnsi="Arial" w:cs="Arial"/>
          <w:sz w:val="20"/>
        </w:rPr>
        <w:t xml:space="preserve"> </w:t>
      </w:r>
      <w:r>
        <w:t xml:space="preserve"> </w:t>
      </w:r>
    </w:p>
    <w:p w:rsidR="00621D2A" w:rsidRDefault="002063F5">
      <w:pPr>
        <w:spacing w:after="89" w:line="263" w:lineRule="auto"/>
        <w:ind w:left="686"/>
      </w:pPr>
      <w:r>
        <w:rPr>
          <w:b/>
        </w:rPr>
        <w:t xml:space="preserve">Type of Personal Data: </w:t>
      </w:r>
      <w:r>
        <w:rPr>
          <w:b/>
          <w:color w:val="353535"/>
        </w:rPr>
        <w:t xml:space="preserve"> </w:t>
      </w:r>
      <w:r>
        <w:t xml:space="preserve"> </w:t>
      </w:r>
    </w:p>
    <w:p w:rsidR="00621D2A" w:rsidRDefault="002063F5">
      <w:pPr>
        <w:spacing w:after="200" w:line="267" w:lineRule="auto"/>
        <w:ind w:left="686"/>
      </w:pPr>
      <w:r>
        <w:rPr>
          <w:rFonts w:ascii="MS Gothic" w:eastAsia="MS Gothic" w:hAnsi="MS Gothic" w:cs="MS Gothic"/>
          <w:color w:val="353535"/>
          <w:shd w:val="clear" w:color="auto" w:fill="00FF00"/>
        </w:rPr>
        <w:t> </w:t>
      </w:r>
      <w:r>
        <w:rPr>
          <w:color w:val="353535"/>
          <w:shd w:val="clear" w:color="auto" w:fill="00FF00"/>
        </w:rPr>
        <w:t>[Examples here include: name, address, date of birth, NI number, telephone number, pay, images,</w:t>
      </w:r>
      <w:r>
        <w:rPr>
          <w:color w:val="353535"/>
        </w:rPr>
        <w:t xml:space="preserve"> </w:t>
      </w:r>
      <w:r>
        <w:rPr>
          <w:color w:val="353535"/>
          <w:shd w:val="clear" w:color="auto" w:fill="00FF00"/>
        </w:rPr>
        <w:t>biometric data etc]</w:t>
      </w:r>
      <w:r>
        <w:rPr>
          <w:color w:val="353535"/>
        </w:rPr>
        <w:t xml:space="preserve">  </w:t>
      </w:r>
      <w:r>
        <w:rPr>
          <w:color w:val="353535"/>
        </w:rPr>
        <w:tab/>
      </w:r>
      <w:r>
        <w:rPr>
          <w:rFonts w:ascii="Arial" w:eastAsia="Arial" w:hAnsi="Arial" w:cs="Arial"/>
          <w:sz w:val="20"/>
        </w:rPr>
        <w:t xml:space="preserve"> </w:t>
      </w:r>
      <w:r>
        <w:t xml:space="preserve"> </w:t>
      </w:r>
    </w:p>
    <w:p w:rsidR="00621D2A" w:rsidRDefault="002063F5">
      <w:pPr>
        <w:spacing w:after="86" w:line="263" w:lineRule="auto"/>
        <w:ind w:left="686"/>
      </w:pPr>
      <w:r>
        <w:rPr>
          <w:b/>
        </w:rPr>
        <w:t xml:space="preserve">Categories of Data Subject: </w:t>
      </w:r>
      <w:r>
        <w:rPr>
          <w:b/>
          <w:color w:val="353535"/>
        </w:rPr>
        <w:t xml:space="preserve"> </w:t>
      </w:r>
      <w:r>
        <w:t xml:space="preserve"> </w:t>
      </w:r>
    </w:p>
    <w:p w:rsidR="00621D2A" w:rsidRDefault="002063F5">
      <w:pPr>
        <w:spacing w:after="200" w:line="267" w:lineRule="auto"/>
        <w:ind w:left="686"/>
      </w:pPr>
      <w:r>
        <w:rPr>
          <w:rFonts w:ascii="MS Gothic" w:eastAsia="MS Gothic" w:hAnsi="MS Gothic" w:cs="MS Gothic"/>
          <w:color w:val="353535"/>
          <w:shd w:val="clear" w:color="auto" w:fill="00FF00"/>
        </w:rPr>
        <w:t> </w:t>
      </w:r>
      <w:r>
        <w:rPr>
          <w:color w:val="353535"/>
          <w:shd w:val="clear" w:color="auto" w:fill="00FF00"/>
        </w:rPr>
        <w:t>[Examples include: Staff (including volunteers, agents, and temporary workers), customers/ clients,</w:t>
      </w:r>
      <w:r>
        <w:rPr>
          <w:color w:val="353535"/>
        </w:rPr>
        <w:t xml:space="preserve"> </w:t>
      </w:r>
      <w:r>
        <w:rPr>
          <w:color w:val="353535"/>
          <w:shd w:val="clear" w:color="auto" w:fill="00FF00"/>
        </w:rPr>
        <w:t>suppliers, patients, students / pupils, members of the public, users of a particular website etc]</w:t>
      </w:r>
      <w:r>
        <w:rPr>
          <w:color w:val="353535"/>
        </w:rPr>
        <w:t xml:space="preserve"> </w:t>
      </w:r>
      <w:r>
        <w:rPr>
          <w:rFonts w:ascii="Arial" w:eastAsia="Arial" w:hAnsi="Arial" w:cs="Arial"/>
          <w:sz w:val="20"/>
        </w:rPr>
        <w:t xml:space="preserve"> </w:t>
      </w:r>
      <w:r>
        <w:t xml:space="preserve"> </w:t>
      </w:r>
    </w:p>
    <w:p w:rsidR="00621D2A" w:rsidRDefault="002063F5">
      <w:pPr>
        <w:spacing w:after="79" w:line="263" w:lineRule="auto"/>
        <w:ind w:left="686"/>
      </w:pPr>
      <w:r>
        <w:rPr>
          <w:b/>
        </w:rPr>
        <w:t xml:space="preserve">Plan for return or destruction of the data once the Processing is complete UNLESS requirement under union or member state law to preserve that type of data: </w:t>
      </w:r>
      <w:r>
        <w:rPr>
          <w:b/>
          <w:color w:val="353535"/>
        </w:rPr>
        <w:t xml:space="preserve"> </w:t>
      </w:r>
      <w:r>
        <w:t xml:space="preserve"> </w:t>
      </w:r>
    </w:p>
    <w:p w:rsidR="00621D2A" w:rsidRDefault="002063F5">
      <w:pPr>
        <w:spacing w:after="141" w:line="267" w:lineRule="auto"/>
        <w:ind w:left="686"/>
      </w:pPr>
      <w:r>
        <w:rPr>
          <w:rFonts w:ascii="MS Gothic" w:eastAsia="MS Gothic" w:hAnsi="MS Gothic" w:cs="MS Gothic"/>
          <w:color w:val="353535"/>
          <w:shd w:val="clear" w:color="auto" w:fill="00FF00"/>
        </w:rPr>
        <w:t> </w:t>
      </w:r>
      <w:r>
        <w:rPr>
          <w:color w:val="353535"/>
          <w:shd w:val="clear" w:color="auto" w:fill="00FF00"/>
        </w:rPr>
        <w:t>[Describe how long the data will be retained for and how it will be returned or destroyed]</w:t>
      </w:r>
      <w:r>
        <w:rPr>
          <w:rFonts w:ascii="Arial" w:eastAsia="Arial" w:hAnsi="Arial" w:cs="Arial"/>
          <w:sz w:val="20"/>
        </w:rPr>
        <w:t xml:space="preserve"> </w:t>
      </w:r>
      <w:r>
        <w:t xml:space="preserve"> </w:t>
      </w:r>
    </w:p>
    <w:p w:rsidR="00621D2A" w:rsidRDefault="002063F5">
      <w:pPr>
        <w:spacing w:after="0" w:line="259" w:lineRule="auto"/>
        <w:ind w:left="706" w:firstLine="0"/>
      </w:pPr>
      <w:r>
        <w:rPr>
          <w:rFonts w:ascii="Arial" w:eastAsia="Arial" w:hAnsi="Arial" w:cs="Arial"/>
          <w:sz w:val="20"/>
        </w:rPr>
        <w:t xml:space="preserve"> </w:t>
      </w:r>
      <w:r>
        <w:t xml:space="preserve"> </w:t>
      </w:r>
    </w:p>
    <w:sectPr w:rsidR="00621D2A">
      <w:headerReference w:type="even" r:id="rId263"/>
      <w:headerReference w:type="default" r:id="rId264"/>
      <w:footerReference w:type="even" r:id="rId265"/>
      <w:footerReference w:type="default" r:id="rId266"/>
      <w:headerReference w:type="first" r:id="rId267"/>
      <w:footerReference w:type="first" r:id="rId268"/>
      <w:pgSz w:w="11906" w:h="16838"/>
      <w:pgMar w:top="1202" w:right="574" w:bottom="2362" w:left="0" w:header="720" w:footer="9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519" w:rsidRDefault="00400519">
      <w:pPr>
        <w:spacing w:after="0" w:line="240" w:lineRule="auto"/>
      </w:pPr>
      <w:r>
        <w:separator/>
      </w:r>
    </w:p>
  </w:endnote>
  <w:endnote w:type="continuationSeparator" w:id="0">
    <w:p w:rsidR="00400519" w:rsidRDefault="0040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85" w:line="259" w:lineRule="auto"/>
      <w:ind w:left="14" w:firstLine="0"/>
    </w:pPr>
    <w:r>
      <w:rPr>
        <w:rFonts w:ascii="Arial" w:eastAsia="Arial" w:hAnsi="Arial" w:cs="Arial"/>
        <w:sz w:val="16"/>
      </w:rPr>
      <w:t xml:space="preserve"> </w:t>
    </w:r>
    <w:r>
      <w:t xml:space="preserve"> </w:t>
    </w:r>
  </w:p>
  <w:p w:rsidR="00BA783F" w:rsidRDefault="00BA783F">
    <w:pPr>
      <w:spacing w:after="157" w:line="257" w:lineRule="auto"/>
      <w:ind w:left="15" w:hanging="5"/>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t xml:space="preserve"> </w:t>
    </w:r>
    <w:r>
      <w:rPr>
        <w:rFonts w:ascii="Arial" w:eastAsia="Arial" w:hAnsi="Arial" w:cs="Arial"/>
        <w:sz w:val="16"/>
      </w:rPr>
      <w:t xml:space="preserve">https://www.gov.uk/government/publications/g-cloud-10-call-off-contract          </w:t>
    </w:r>
    <w:r>
      <w:rPr>
        <w:rFonts w:ascii="Arial" w:eastAsia="Arial" w:hAnsi="Arial" w:cs="Arial"/>
        <w:sz w:val="20"/>
      </w:rPr>
      <w:t xml:space="preserve"> </w:t>
    </w:r>
    <w:r>
      <w:t xml:space="preserve"> </w:t>
    </w:r>
  </w:p>
  <w:p w:rsidR="00BA783F" w:rsidRDefault="00BA783F">
    <w:pPr>
      <w:spacing w:after="0" w:line="259" w:lineRule="auto"/>
      <w:ind w:left="14" w:firstLine="0"/>
    </w:pPr>
    <w:r>
      <w:rPr>
        <w:rFonts w:ascii="Arial" w:eastAsia="Arial" w:hAnsi="Arial" w:cs="Arial"/>
        <w:sz w:val="16"/>
      </w:rPr>
      <w:t xml:space="preserve">                                                                                                                                                                                                                      Page </w:t>
    </w:r>
    <w:r>
      <w:fldChar w:fldCharType="begin"/>
    </w:r>
    <w:r>
      <w:instrText xml:space="preserve"> PAGE   \* MERGEFORMAT </w:instrText>
    </w:r>
    <w:r>
      <w:fldChar w:fldCharType="separate"/>
    </w:r>
    <w:r w:rsidR="00273E6F" w:rsidRPr="00273E6F">
      <w:rPr>
        <w:rFonts w:ascii="Arial" w:eastAsia="Arial" w:hAnsi="Arial" w:cs="Arial"/>
        <w:noProof/>
        <w:sz w:val="16"/>
      </w:rPr>
      <w:t>4</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85" w:line="259" w:lineRule="auto"/>
      <w:ind w:left="14" w:firstLine="0"/>
    </w:pPr>
    <w:r>
      <w:rPr>
        <w:rFonts w:ascii="Arial" w:eastAsia="Arial" w:hAnsi="Arial" w:cs="Arial"/>
        <w:sz w:val="16"/>
      </w:rPr>
      <w:t xml:space="preserve"> </w:t>
    </w:r>
    <w:r>
      <w:t xml:space="preserve"> </w:t>
    </w:r>
  </w:p>
  <w:p w:rsidR="00BA783F" w:rsidRDefault="00BA783F">
    <w:pPr>
      <w:spacing w:after="157" w:line="257" w:lineRule="auto"/>
      <w:ind w:left="15" w:hanging="5"/>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t xml:space="preserve"> </w:t>
    </w:r>
    <w:r>
      <w:rPr>
        <w:rFonts w:ascii="Arial" w:eastAsia="Arial" w:hAnsi="Arial" w:cs="Arial"/>
        <w:sz w:val="16"/>
      </w:rPr>
      <w:t xml:space="preserve">https://www.gov.uk/government/publications/g-cloud-10-call-off-contract          </w:t>
    </w:r>
    <w:r>
      <w:rPr>
        <w:rFonts w:ascii="Arial" w:eastAsia="Arial" w:hAnsi="Arial" w:cs="Arial"/>
        <w:sz w:val="20"/>
      </w:rPr>
      <w:t xml:space="preserve"> </w:t>
    </w:r>
    <w:r>
      <w:t xml:space="preserve"> </w:t>
    </w:r>
  </w:p>
  <w:p w:rsidR="00BA783F" w:rsidRDefault="00BA783F">
    <w:pPr>
      <w:spacing w:after="0" w:line="259" w:lineRule="auto"/>
      <w:ind w:left="14" w:firstLine="0"/>
    </w:pPr>
    <w:r>
      <w:rPr>
        <w:rFonts w:ascii="Arial" w:eastAsia="Arial" w:hAnsi="Arial" w:cs="Arial"/>
        <w:sz w:val="16"/>
      </w:rPr>
      <w:t xml:space="preserve">                                                                                                                                                                                                                      Page </w:t>
    </w:r>
    <w:r>
      <w:fldChar w:fldCharType="begin"/>
    </w:r>
    <w:r>
      <w:instrText xml:space="preserve"> PAGE   \* MERGEFORMAT </w:instrText>
    </w:r>
    <w:r>
      <w:fldChar w:fldCharType="separate"/>
    </w:r>
    <w:r w:rsidR="00273E6F" w:rsidRPr="00273E6F">
      <w:rPr>
        <w:rFonts w:ascii="Arial" w:eastAsia="Arial" w:hAnsi="Arial" w:cs="Arial"/>
        <w:noProof/>
        <w:sz w:val="16"/>
      </w:rPr>
      <w:t>3</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85" w:line="259" w:lineRule="auto"/>
      <w:ind w:left="14" w:firstLine="0"/>
    </w:pPr>
    <w:r>
      <w:rPr>
        <w:rFonts w:ascii="Arial" w:eastAsia="Arial" w:hAnsi="Arial" w:cs="Arial"/>
        <w:sz w:val="16"/>
      </w:rPr>
      <w:t xml:space="preserve"> </w:t>
    </w:r>
    <w:r>
      <w:t xml:space="preserve"> </w:t>
    </w:r>
  </w:p>
  <w:p w:rsidR="00BA783F" w:rsidRDefault="00BA783F">
    <w:pPr>
      <w:spacing w:after="157" w:line="257" w:lineRule="auto"/>
      <w:ind w:left="15" w:hanging="5"/>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t xml:space="preserve"> </w:t>
    </w:r>
    <w:r>
      <w:rPr>
        <w:rFonts w:ascii="Arial" w:eastAsia="Arial" w:hAnsi="Arial" w:cs="Arial"/>
        <w:sz w:val="16"/>
      </w:rPr>
      <w:t xml:space="preserve">https://www.gov.uk/government/publications/g-cloud-10-call-off-contract          </w:t>
    </w:r>
    <w:r>
      <w:rPr>
        <w:rFonts w:ascii="Arial" w:eastAsia="Arial" w:hAnsi="Arial" w:cs="Arial"/>
        <w:sz w:val="20"/>
      </w:rPr>
      <w:t xml:space="preserve"> </w:t>
    </w:r>
    <w:r>
      <w:t xml:space="preserve"> </w:t>
    </w:r>
  </w:p>
  <w:p w:rsidR="00BA783F" w:rsidRDefault="00BA783F">
    <w:pPr>
      <w:spacing w:after="0" w:line="259" w:lineRule="auto"/>
      <w:ind w:left="14" w:firstLine="0"/>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85" w:line="259" w:lineRule="auto"/>
      <w:ind w:left="19" w:firstLine="0"/>
    </w:pPr>
    <w:r>
      <w:rPr>
        <w:rFonts w:ascii="Arial" w:eastAsia="Arial" w:hAnsi="Arial" w:cs="Arial"/>
        <w:sz w:val="16"/>
      </w:rPr>
      <w:t xml:space="preserve"> </w:t>
    </w:r>
    <w:r>
      <w:t xml:space="preserve"> </w:t>
    </w:r>
  </w:p>
  <w:p w:rsidR="00BA783F" w:rsidRDefault="00BA783F">
    <w:pPr>
      <w:spacing w:after="157" w:line="257" w:lineRule="auto"/>
      <w:ind w:left="19" w:hanging="5"/>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t xml:space="preserve"> </w:t>
    </w:r>
    <w:r>
      <w:rPr>
        <w:rFonts w:ascii="Arial" w:eastAsia="Arial" w:hAnsi="Arial" w:cs="Arial"/>
        <w:sz w:val="16"/>
      </w:rPr>
      <w:t xml:space="preserve">https://www.gov.uk/government/publications/g-cloud-10-call-off-contract          </w:t>
    </w:r>
    <w:r>
      <w:rPr>
        <w:rFonts w:ascii="Arial" w:eastAsia="Arial" w:hAnsi="Arial" w:cs="Arial"/>
        <w:sz w:val="20"/>
      </w:rPr>
      <w:t xml:space="preserve"> </w:t>
    </w:r>
    <w:r>
      <w:t xml:space="preserve"> </w:t>
    </w:r>
  </w:p>
  <w:p w:rsidR="00BA783F" w:rsidRDefault="00BA783F">
    <w:pPr>
      <w:spacing w:after="0" w:line="259" w:lineRule="auto"/>
      <w:ind w:left="19" w:firstLine="0"/>
    </w:pPr>
    <w:r>
      <w:rPr>
        <w:rFonts w:ascii="Arial" w:eastAsia="Arial" w:hAnsi="Arial" w:cs="Arial"/>
        <w:sz w:val="16"/>
      </w:rPr>
      <w:t xml:space="preserve">                                                                                                                                                                                                                      Page </w:t>
    </w:r>
    <w:r>
      <w:fldChar w:fldCharType="begin"/>
    </w:r>
    <w:r>
      <w:instrText xml:space="preserve"> PAGE   \* MERGEFORMAT </w:instrText>
    </w:r>
    <w:r>
      <w:fldChar w:fldCharType="separate"/>
    </w:r>
    <w:r w:rsidR="00273E6F" w:rsidRPr="00273E6F">
      <w:rPr>
        <w:rFonts w:ascii="Arial" w:eastAsia="Arial" w:hAnsi="Arial" w:cs="Arial"/>
        <w:noProof/>
        <w:sz w:val="16"/>
      </w:rPr>
      <w:t>14</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85" w:line="259" w:lineRule="auto"/>
      <w:ind w:left="19" w:firstLine="0"/>
    </w:pPr>
    <w:r>
      <w:rPr>
        <w:rFonts w:ascii="Arial" w:eastAsia="Arial" w:hAnsi="Arial" w:cs="Arial"/>
        <w:sz w:val="16"/>
      </w:rPr>
      <w:t xml:space="preserve"> </w:t>
    </w:r>
    <w:r>
      <w:t xml:space="preserve"> </w:t>
    </w:r>
  </w:p>
  <w:p w:rsidR="00BA783F" w:rsidRDefault="00BA783F">
    <w:pPr>
      <w:spacing w:after="157" w:line="257" w:lineRule="auto"/>
      <w:ind w:left="19" w:hanging="5"/>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t xml:space="preserve"> </w:t>
    </w:r>
    <w:r>
      <w:rPr>
        <w:rFonts w:ascii="Arial" w:eastAsia="Arial" w:hAnsi="Arial" w:cs="Arial"/>
        <w:sz w:val="16"/>
      </w:rPr>
      <w:t xml:space="preserve">https://www.gov.uk/government/publications/g-cloud-10-call-off-contract          </w:t>
    </w:r>
    <w:r>
      <w:rPr>
        <w:rFonts w:ascii="Arial" w:eastAsia="Arial" w:hAnsi="Arial" w:cs="Arial"/>
        <w:sz w:val="20"/>
      </w:rPr>
      <w:t xml:space="preserve"> </w:t>
    </w:r>
    <w:r>
      <w:t xml:space="preserve"> </w:t>
    </w:r>
  </w:p>
  <w:p w:rsidR="00BA783F" w:rsidRDefault="00BA783F">
    <w:pPr>
      <w:spacing w:after="0" w:line="259" w:lineRule="auto"/>
      <w:ind w:left="19" w:firstLine="0"/>
      <w:jc w:val="both"/>
    </w:pPr>
    <w:r>
      <w:rPr>
        <w:rFonts w:ascii="Arial" w:eastAsia="Arial" w:hAnsi="Arial" w:cs="Arial"/>
        <w:sz w:val="16"/>
      </w:rPr>
      <w:t xml:space="preserve">                                                                                                                                                                                                                      Page </w:t>
    </w:r>
    <w:r>
      <w:fldChar w:fldCharType="begin"/>
    </w:r>
    <w:r>
      <w:instrText xml:space="preserve"> PAGE   \* MERGEFORMAT </w:instrText>
    </w:r>
    <w:r>
      <w:fldChar w:fldCharType="separate"/>
    </w:r>
    <w:r w:rsidR="00273E6F" w:rsidRPr="00273E6F">
      <w:rPr>
        <w:rFonts w:ascii="Arial" w:eastAsia="Arial" w:hAnsi="Arial" w:cs="Arial"/>
        <w:noProof/>
        <w:sz w:val="16"/>
      </w:rPr>
      <w:t>13</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0" w:line="259" w:lineRule="auto"/>
      <w:ind w:left="0" w:right="104" w:firstLine="0"/>
      <w:jc w:val="right"/>
    </w:pPr>
    <w:r>
      <w:rPr>
        <w:rFonts w:ascii="Arial" w:eastAsia="Arial" w:hAnsi="Arial" w:cs="Arial"/>
        <w:sz w:val="16"/>
      </w:rPr>
      <w:t xml:space="preserve">Page </w:t>
    </w:r>
    <w:r>
      <w:fldChar w:fldCharType="begin"/>
    </w:r>
    <w:r>
      <w:instrText xml:space="preserve"> PAGE   \* MERGEFORMAT </w:instrText>
    </w:r>
    <w:r>
      <w:fldChar w:fldCharType="separate"/>
    </w:r>
    <w:r w:rsidR="00273E6F" w:rsidRPr="00273E6F">
      <w:rPr>
        <w:rFonts w:ascii="Arial" w:eastAsia="Arial" w:hAnsi="Arial" w:cs="Arial"/>
        <w:noProof/>
        <w:sz w:val="16"/>
      </w:rPr>
      <w:t>11</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85" w:line="259" w:lineRule="auto"/>
      <w:ind w:left="706" w:firstLine="0"/>
    </w:pPr>
    <w:r>
      <w:rPr>
        <w:rFonts w:ascii="Arial" w:eastAsia="Arial" w:hAnsi="Arial" w:cs="Arial"/>
        <w:sz w:val="16"/>
      </w:rPr>
      <w:t xml:space="preserve"> </w:t>
    </w:r>
    <w:r>
      <w:t xml:space="preserve"> </w:t>
    </w:r>
  </w:p>
  <w:p w:rsidR="00BA783F" w:rsidRDefault="00BA783F">
    <w:pPr>
      <w:spacing w:after="157" w:line="257" w:lineRule="auto"/>
      <w:ind w:left="706" w:hanging="5"/>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t xml:space="preserve"> </w:t>
    </w:r>
    <w:r>
      <w:rPr>
        <w:rFonts w:ascii="Arial" w:eastAsia="Arial" w:hAnsi="Arial" w:cs="Arial"/>
        <w:sz w:val="16"/>
      </w:rPr>
      <w:t xml:space="preserve">https://www.gov.uk/government/publications/g-cloud-10-call-off-contract          </w:t>
    </w:r>
    <w:r>
      <w:rPr>
        <w:rFonts w:ascii="Arial" w:eastAsia="Arial" w:hAnsi="Arial" w:cs="Arial"/>
        <w:sz w:val="20"/>
      </w:rPr>
      <w:t xml:space="preserve"> </w:t>
    </w:r>
    <w:r>
      <w:t xml:space="preserve"> </w:t>
    </w:r>
  </w:p>
  <w:p w:rsidR="00BA783F" w:rsidRDefault="00BA783F">
    <w:pPr>
      <w:spacing w:after="0" w:line="259" w:lineRule="auto"/>
      <w:ind w:left="706" w:firstLine="0"/>
    </w:pPr>
    <w:r>
      <w:rPr>
        <w:rFonts w:ascii="Arial" w:eastAsia="Arial" w:hAnsi="Arial" w:cs="Arial"/>
        <w:sz w:val="16"/>
      </w:rPr>
      <w:t xml:space="preserve">                                                                                                                                                                                                                      Page </w:t>
    </w:r>
    <w:r>
      <w:fldChar w:fldCharType="begin"/>
    </w:r>
    <w:r>
      <w:instrText xml:space="preserve"> PAGE   \* MERGEFORMAT </w:instrText>
    </w:r>
    <w:r>
      <w:fldChar w:fldCharType="separate"/>
    </w:r>
    <w:r w:rsidR="00273E6F" w:rsidRPr="00273E6F">
      <w:rPr>
        <w:rFonts w:ascii="Arial" w:eastAsia="Arial" w:hAnsi="Arial" w:cs="Arial"/>
        <w:noProof/>
        <w:sz w:val="16"/>
      </w:rPr>
      <w:t>22</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85" w:line="259" w:lineRule="auto"/>
      <w:ind w:left="706" w:firstLine="0"/>
    </w:pPr>
    <w:r>
      <w:rPr>
        <w:rFonts w:ascii="Arial" w:eastAsia="Arial" w:hAnsi="Arial" w:cs="Arial"/>
        <w:sz w:val="16"/>
      </w:rPr>
      <w:t xml:space="preserve"> </w:t>
    </w:r>
    <w:r>
      <w:t xml:space="preserve"> </w:t>
    </w:r>
  </w:p>
  <w:p w:rsidR="00BA783F" w:rsidRDefault="00BA783F">
    <w:pPr>
      <w:spacing w:after="157" w:line="257" w:lineRule="auto"/>
      <w:ind w:left="706" w:hanging="5"/>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t xml:space="preserve"> </w:t>
    </w:r>
    <w:r>
      <w:rPr>
        <w:rFonts w:ascii="Arial" w:eastAsia="Arial" w:hAnsi="Arial" w:cs="Arial"/>
        <w:sz w:val="16"/>
      </w:rPr>
      <w:t xml:space="preserve">https://www.gov.uk/government/publications/g-cloud-10-call-off-contract          </w:t>
    </w:r>
    <w:r>
      <w:rPr>
        <w:rFonts w:ascii="Arial" w:eastAsia="Arial" w:hAnsi="Arial" w:cs="Arial"/>
        <w:sz w:val="20"/>
      </w:rPr>
      <w:t xml:space="preserve"> </w:t>
    </w:r>
    <w:r>
      <w:t xml:space="preserve"> </w:t>
    </w:r>
  </w:p>
  <w:p w:rsidR="00BA783F" w:rsidRDefault="00BA783F">
    <w:pPr>
      <w:spacing w:after="0" w:line="259" w:lineRule="auto"/>
      <w:ind w:left="706" w:firstLine="0"/>
    </w:pPr>
    <w:r>
      <w:rPr>
        <w:rFonts w:ascii="Arial" w:eastAsia="Arial" w:hAnsi="Arial" w:cs="Arial"/>
        <w:sz w:val="16"/>
      </w:rPr>
      <w:t xml:space="preserve">                                                                                                                                                                                                                      Page </w:t>
    </w:r>
    <w:r>
      <w:fldChar w:fldCharType="begin"/>
    </w:r>
    <w:r>
      <w:instrText xml:space="preserve"> PAGE   \* MERGEFORMAT </w:instrText>
    </w:r>
    <w:r>
      <w:fldChar w:fldCharType="separate"/>
    </w:r>
    <w:r w:rsidR="00273E6F" w:rsidRPr="00273E6F">
      <w:rPr>
        <w:rFonts w:ascii="Arial" w:eastAsia="Arial" w:hAnsi="Arial" w:cs="Arial"/>
        <w:noProof/>
        <w:sz w:val="16"/>
      </w:rPr>
      <w:t>21</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85" w:line="259" w:lineRule="auto"/>
      <w:ind w:left="706" w:firstLine="0"/>
    </w:pPr>
    <w:r>
      <w:rPr>
        <w:rFonts w:ascii="Arial" w:eastAsia="Arial" w:hAnsi="Arial" w:cs="Arial"/>
        <w:sz w:val="16"/>
      </w:rPr>
      <w:t xml:space="preserve"> </w:t>
    </w:r>
    <w:r>
      <w:t xml:space="preserve"> </w:t>
    </w:r>
  </w:p>
  <w:p w:rsidR="00BA783F" w:rsidRDefault="00BA783F">
    <w:pPr>
      <w:spacing w:after="157" w:line="257" w:lineRule="auto"/>
      <w:ind w:left="706" w:hanging="5"/>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t xml:space="preserve"> </w:t>
    </w:r>
    <w:r>
      <w:rPr>
        <w:rFonts w:ascii="Arial" w:eastAsia="Arial" w:hAnsi="Arial" w:cs="Arial"/>
        <w:sz w:val="16"/>
      </w:rPr>
      <w:t xml:space="preserve">https://www.gov.uk/government/publications/g-cloud-10-call-off-contract          </w:t>
    </w:r>
    <w:r>
      <w:rPr>
        <w:rFonts w:ascii="Arial" w:eastAsia="Arial" w:hAnsi="Arial" w:cs="Arial"/>
        <w:sz w:val="20"/>
      </w:rPr>
      <w:t xml:space="preserve"> </w:t>
    </w:r>
    <w:r>
      <w:t xml:space="preserve"> </w:t>
    </w:r>
  </w:p>
  <w:p w:rsidR="00BA783F" w:rsidRDefault="00BA783F">
    <w:pPr>
      <w:spacing w:after="0" w:line="259" w:lineRule="auto"/>
      <w:ind w:left="706" w:firstLine="0"/>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17</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519" w:rsidRDefault="00400519">
      <w:pPr>
        <w:spacing w:after="0" w:line="240" w:lineRule="auto"/>
      </w:pPr>
      <w:r>
        <w:separator/>
      </w:r>
    </w:p>
  </w:footnote>
  <w:footnote w:type="continuationSeparator" w:id="0">
    <w:p w:rsidR="00400519" w:rsidRDefault="00400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3A2DB1" w:rsidP="003A2DB1">
    <w:pPr>
      <w:spacing w:after="160" w:line="259" w:lineRule="auto"/>
      <w:ind w:left="0" w:firstLine="0"/>
      <w:jc w:val="right"/>
    </w:pPr>
    <w:r>
      <w:t>Redacted under Section 40 of the FOI Act (2000)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0" w:line="259" w:lineRule="auto"/>
      <w:ind w:left="19" w:firstLine="0"/>
    </w:pPr>
    <w:r>
      <w:rPr>
        <w:rFonts w:ascii="Arial" w:eastAsia="Arial" w:hAnsi="Arial" w:cs="Arial"/>
        <w:sz w:val="20"/>
      </w:rPr>
      <w:t xml:space="preserve"> </w:t>
    </w:r>
    <w:r>
      <w:rPr>
        <w:rFonts w:ascii="Wingdings" w:eastAsia="Wingdings" w:hAnsi="Wingdings" w:cs="Wingdings"/>
      </w:rPr>
      <w:t></w:t>
    </w:r>
    <w:r>
      <w:rPr>
        <w:rFonts w:ascii="Arial" w:eastAsia="Arial" w:hAnsi="Arial" w:cs="Arial"/>
      </w:rPr>
      <w:t xml:space="preserve">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83F" w:rsidRDefault="00BA783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5F6B"/>
    <w:multiLevelType w:val="hybridMultilevel"/>
    <w:tmpl w:val="9FF055D6"/>
    <w:lvl w:ilvl="0" w:tplc="81CCE84E">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1D8907E">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2A8400">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D28C950">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F60196">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120B6E">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AE6D36">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2104BBA">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4EDA88">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030A7"/>
    <w:multiLevelType w:val="multilevel"/>
    <w:tmpl w:val="7B10A4F6"/>
    <w:lvl w:ilvl="0">
      <w:start w:val="22"/>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146"/>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4779CF"/>
    <w:multiLevelType w:val="hybridMultilevel"/>
    <w:tmpl w:val="B02AAA4A"/>
    <w:lvl w:ilvl="0" w:tplc="519646C4">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C4EA6E6">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90C8106">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5EE704">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52AA40">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1401128">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76F106">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A0B950">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E46586">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113942"/>
    <w:multiLevelType w:val="hybridMultilevel"/>
    <w:tmpl w:val="9946B620"/>
    <w:lvl w:ilvl="0" w:tplc="630076EA">
      <w:start w:val="1"/>
      <w:numFmt w:val="lowerRoman"/>
      <w:lvlText w:val="%1)"/>
      <w:lvlJc w:val="left"/>
      <w:pPr>
        <w:ind w:left="286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577CBE6E">
      <w:start w:val="1"/>
      <w:numFmt w:val="lowerLetter"/>
      <w:lvlText w:val="%2"/>
      <w:lvlJc w:val="left"/>
      <w:pPr>
        <w:ind w:left="253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242899E2">
      <w:start w:val="1"/>
      <w:numFmt w:val="lowerRoman"/>
      <w:lvlText w:val="%3"/>
      <w:lvlJc w:val="left"/>
      <w:pPr>
        <w:ind w:left="325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DC20601C">
      <w:start w:val="1"/>
      <w:numFmt w:val="decimal"/>
      <w:lvlText w:val="%4"/>
      <w:lvlJc w:val="left"/>
      <w:pPr>
        <w:ind w:left="397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6ECE36FC">
      <w:start w:val="1"/>
      <w:numFmt w:val="lowerLetter"/>
      <w:lvlText w:val="%5"/>
      <w:lvlJc w:val="left"/>
      <w:pPr>
        <w:ind w:left="469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E55C9668">
      <w:start w:val="1"/>
      <w:numFmt w:val="lowerRoman"/>
      <w:lvlText w:val="%6"/>
      <w:lvlJc w:val="left"/>
      <w:pPr>
        <w:ind w:left="541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779065B6">
      <w:start w:val="1"/>
      <w:numFmt w:val="decimal"/>
      <w:lvlText w:val="%7"/>
      <w:lvlJc w:val="left"/>
      <w:pPr>
        <w:ind w:left="613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7DEA142A">
      <w:start w:val="1"/>
      <w:numFmt w:val="lowerLetter"/>
      <w:lvlText w:val="%8"/>
      <w:lvlJc w:val="left"/>
      <w:pPr>
        <w:ind w:left="685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033A1332">
      <w:start w:val="1"/>
      <w:numFmt w:val="lowerRoman"/>
      <w:lvlText w:val="%9"/>
      <w:lvlJc w:val="left"/>
      <w:pPr>
        <w:ind w:left="757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292B7E"/>
    <w:multiLevelType w:val="hybridMultilevel"/>
    <w:tmpl w:val="697E636A"/>
    <w:lvl w:ilvl="0" w:tplc="54546C02">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340ECB6">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764FEE6">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934AE28">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BE6E4E8">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7447B2">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001EB6">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C267A4">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C2D838">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1B6975"/>
    <w:multiLevelType w:val="multilevel"/>
    <w:tmpl w:val="FC48EDC2"/>
    <w:lvl w:ilvl="0">
      <w:start w:val="2"/>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3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BA6FC8"/>
    <w:multiLevelType w:val="hybridMultilevel"/>
    <w:tmpl w:val="3CE8E0C2"/>
    <w:lvl w:ilvl="0" w:tplc="35C8944A">
      <w:start w:val="1"/>
      <w:numFmt w:val="bullet"/>
      <w:lvlText w:val=""/>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4C9C80D2">
      <w:start w:val="1"/>
      <w:numFmt w:val="bullet"/>
      <w:lvlText w:val="o"/>
      <w:lvlJc w:val="left"/>
      <w:pPr>
        <w:ind w:left="225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95C1AB0">
      <w:start w:val="1"/>
      <w:numFmt w:val="bullet"/>
      <w:lvlText w:val="▪"/>
      <w:lvlJc w:val="left"/>
      <w:pPr>
        <w:ind w:left="29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595C9072">
      <w:start w:val="1"/>
      <w:numFmt w:val="bullet"/>
      <w:lvlText w:val="•"/>
      <w:lvlJc w:val="left"/>
      <w:pPr>
        <w:ind w:left="36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8940B64">
      <w:start w:val="1"/>
      <w:numFmt w:val="bullet"/>
      <w:lvlText w:val="o"/>
      <w:lvlJc w:val="left"/>
      <w:pPr>
        <w:ind w:left="441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6114D5D2">
      <w:start w:val="1"/>
      <w:numFmt w:val="bullet"/>
      <w:lvlText w:val="▪"/>
      <w:lvlJc w:val="left"/>
      <w:pPr>
        <w:ind w:left="513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84C609F6">
      <w:start w:val="1"/>
      <w:numFmt w:val="bullet"/>
      <w:lvlText w:val="•"/>
      <w:lvlJc w:val="left"/>
      <w:pPr>
        <w:ind w:left="585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150BACE">
      <w:start w:val="1"/>
      <w:numFmt w:val="bullet"/>
      <w:lvlText w:val="o"/>
      <w:lvlJc w:val="left"/>
      <w:pPr>
        <w:ind w:left="6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244D7BE">
      <w:start w:val="1"/>
      <w:numFmt w:val="bullet"/>
      <w:lvlText w:val="▪"/>
      <w:lvlJc w:val="left"/>
      <w:pPr>
        <w:ind w:left="72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9A10CC"/>
    <w:multiLevelType w:val="hybridMultilevel"/>
    <w:tmpl w:val="2F72B67A"/>
    <w:lvl w:ilvl="0" w:tplc="FB9E5E74">
      <w:start w:val="3"/>
      <w:numFmt w:val="lowerRoman"/>
      <w:lvlText w:val="%1)"/>
      <w:lvlJc w:val="left"/>
      <w:pPr>
        <w:ind w:left="286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F9CA5BAA">
      <w:start w:val="1"/>
      <w:numFmt w:val="lowerLetter"/>
      <w:lvlText w:val="%2"/>
      <w:lvlJc w:val="left"/>
      <w:pPr>
        <w:ind w:left="253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DEBA2290">
      <w:start w:val="1"/>
      <w:numFmt w:val="lowerRoman"/>
      <w:lvlText w:val="%3"/>
      <w:lvlJc w:val="left"/>
      <w:pPr>
        <w:ind w:left="325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47F60B00">
      <w:start w:val="1"/>
      <w:numFmt w:val="decimal"/>
      <w:lvlText w:val="%4"/>
      <w:lvlJc w:val="left"/>
      <w:pPr>
        <w:ind w:left="397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4E9AC5B4">
      <w:start w:val="1"/>
      <w:numFmt w:val="lowerLetter"/>
      <w:lvlText w:val="%5"/>
      <w:lvlJc w:val="left"/>
      <w:pPr>
        <w:ind w:left="469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0302A8B6">
      <w:start w:val="1"/>
      <w:numFmt w:val="lowerRoman"/>
      <w:lvlText w:val="%6"/>
      <w:lvlJc w:val="left"/>
      <w:pPr>
        <w:ind w:left="541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03182800">
      <w:start w:val="1"/>
      <w:numFmt w:val="decimal"/>
      <w:lvlText w:val="%7"/>
      <w:lvlJc w:val="left"/>
      <w:pPr>
        <w:ind w:left="613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D1A89E1E">
      <w:start w:val="1"/>
      <w:numFmt w:val="lowerLetter"/>
      <w:lvlText w:val="%8"/>
      <w:lvlJc w:val="left"/>
      <w:pPr>
        <w:ind w:left="685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70525F86">
      <w:start w:val="1"/>
      <w:numFmt w:val="lowerRoman"/>
      <w:lvlText w:val="%9"/>
      <w:lvlJc w:val="left"/>
      <w:pPr>
        <w:ind w:left="757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7F16C4"/>
    <w:multiLevelType w:val="multilevel"/>
    <w:tmpl w:val="006C7008"/>
    <w:lvl w:ilvl="0">
      <w:start w:val="1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2146"/>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5B7D5F"/>
    <w:multiLevelType w:val="multilevel"/>
    <w:tmpl w:val="F45E3C60"/>
    <w:lvl w:ilvl="0">
      <w:start w:val="13"/>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2146"/>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C82927"/>
    <w:multiLevelType w:val="hybridMultilevel"/>
    <w:tmpl w:val="03E84F08"/>
    <w:lvl w:ilvl="0" w:tplc="6DDE35AE">
      <w:start w:val="1"/>
      <w:numFmt w:val="bullet"/>
      <w:lvlText w:val=""/>
      <w:lvlJc w:val="left"/>
      <w:pPr>
        <w:ind w:left="1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9428EC">
      <w:start w:val="1"/>
      <w:numFmt w:val="bullet"/>
      <w:lvlText w:val="o"/>
      <w:lvlJc w:val="left"/>
      <w:pPr>
        <w:ind w:left="2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6C3082">
      <w:start w:val="1"/>
      <w:numFmt w:val="bullet"/>
      <w:lvlText w:val="▪"/>
      <w:lvlJc w:val="left"/>
      <w:pPr>
        <w:ind w:left="2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FD4906A">
      <w:start w:val="1"/>
      <w:numFmt w:val="bullet"/>
      <w:lvlText w:val="•"/>
      <w:lvlJc w:val="left"/>
      <w:pPr>
        <w:ind w:left="3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609336">
      <w:start w:val="1"/>
      <w:numFmt w:val="bullet"/>
      <w:lvlText w:val="o"/>
      <w:lvlJc w:val="left"/>
      <w:pPr>
        <w:ind w:left="4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D9687CA">
      <w:start w:val="1"/>
      <w:numFmt w:val="bullet"/>
      <w:lvlText w:val="▪"/>
      <w:lvlJc w:val="left"/>
      <w:pPr>
        <w:ind w:left="5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1A3A1E">
      <w:start w:val="1"/>
      <w:numFmt w:val="bullet"/>
      <w:lvlText w:val="•"/>
      <w:lvlJc w:val="left"/>
      <w:pPr>
        <w:ind w:left="5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D6FD70">
      <w:start w:val="1"/>
      <w:numFmt w:val="bullet"/>
      <w:lvlText w:val="o"/>
      <w:lvlJc w:val="left"/>
      <w:pPr>
        <w:ind w:left="6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290B5CC">
      <w:start w:val="1"/>
      <w:numFmt w:val="bullet"/>
      <w:lvlText w:val="▪"/>
      <w:lvlJc w:val="left"/>
      <w:pPr>
        <w:ind w:left="7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E91006"/>
    <w:multiLevelType w:val="hybridMultilevel"/>
    <w:tmpl w:val="E362C7CA"/>
    <w:lvl w:ilvl="0" w:tplc="047445E0">
      <w:start w:val="1"/>
      <w:numFmt w:val="decimal"/>
      <w:lvlText w:val="%1."/>
      <w:lvlJc w:val="left"/>
      <w:pPr>
        <w:ind w:left="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0244DC">
      <w:start w:val="1"/>
      <w:numFmt w:val="decimal"/>
      <w:lvlText w:val="%2)"/>
      <w:lvlJc w:val="left"/>
      <w:pPr>
        <w:ind w:left="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40E860">
      <w:start w:val="1"/>
      <w:numFmt w:val="lowerRoman"/>
      <w:lvlText w:val="%3"/>
      <w:lvlJc w:val="left"/>
      <w:pPr>
        <w:ind w:left="1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74D332">
      <w:start w:val="1"/>
      <w:numFmt w:val="decimal"/>
      <w:lvlText w:val="%4"/>
      <w:lvlJc w:val="left"/>
      <w:pPr>
        <w:ind w:left="2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7A9C48">
      <w:start w:val="1"/>
      <w:numFmt w:val="lowerLetter"/>
      <w:lvlText w:val="%5"/>
      <w:lvlJc w:val="left"/>
      <w:pPr>
        <w:ind w:left="2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DEA0C2">
      <w:start w:val="1"/>
      <w:numFmt w:val="lowerRoman"/>
      <w:lvlText w:val="%6"/>
      <w:lvlJc w:val="left"/>
      <w:pPr>
        <w:ind w:left="3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76437E">
      <w:start w:val="1"/>
      <w:numFmt w:val="decimal"/>
      <w:lvlText w:val="%7"/>
      <w:lvlJc w:val="left"/>
      <w:pPr>
        <w:ind w:left="4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000134">
      <w:start w:val="1"/>
      <w:numFmt w:val="lowerLetter"/>
      <w:lvlText w:val="%8"/>
      <w:lvlJc w:val="left"/>
      <w:pPr>
        <w:ind w:left="5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5616D6">
      <w:start w:val="1"/>
      <w:numFmt w:val="lowerRoman"/>
      <w:lvlText w:val="%9"/>
      <w:lvlJc w:val="left"/>
      <w:pPr>
        <w:ind w:left="5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544517"/>
    <w:multiLevelType w:val="hybridMultilevel"/>
    <w:tmpl w:val="92BA69CA"/>
    <w:lvl w:ilvl="0" w:tplc="D444BBC4">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1CA2C2">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4AFD6">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A69166">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028880">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B8DF74">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98A906">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D3223CA">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C4FA98">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0B6E31"/>
    <w:multiLevelType w:val="hybridMultilevel"/>
    <w:tmpl w:val="1F40246A"/>
    <w:lvl w:ilvl="0" w:tplc="60F2C00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C6CE070">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480DA6">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E4F2D8">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15069A0">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0C0BCFE">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54B50A">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E12B9DC">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FEE8AE">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6730A5"/>
    <w:multiLevelType w:val="multilevel"/>
    <w:tmpl w:val="CB5AD84A"/>
    <w:lvl w:ilvl="0">
      <w:start w:val="2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2146"/>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BE1079"/>
    <w:multiLevelType w:val="hybridMultilevel"/>
    <w:tmpl w:val="4508B54A"/>
    <w:lvl w:ilvl="0" w:tplc="6060D1BA">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A7CE338">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06B0D8">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A6629FE">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D64BAA">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809FBE">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2A6538C">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0ABF76">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1D07092">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3212DD"/>
    <w:multiLevelType w:val="hybridMultilevel"/>
    <w:tmpl w:val="99E4518C"/>
    <w:lvl w:ilvl="0" w:tplc="B9104E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AAACDC8">
      <w:start w:val="1"/>
      <w:numFmt w:val="bullet"/>
      <w:lvlText w:val="o"/>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3C5F3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56D3A2">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F5AC0FA">
      <w:start w:val="1"/>
      <w:numFmt w:val="bullet"/>
      <w:lvlText w:val="o"/>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9C3CA2">
      <w:start w:val="1"/>
      <w:numFmt w:val="bullet"/>
      <w:lvlText w:val="▪"/>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B787F7A">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ECE40BE">
      <w:start w:val="1"/>
      <w:numFmt w:val="bullet"/>
      <w:lvlText w:val="o"/>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57E4A82">
      <w:start w:val="1"/>
      <w:numFmt w:val="bullet"/>
      <w:lvlText w:val="▪"/>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1A401C"/>
    <w:multiLevelType w:val="hybridMultilevel"/>
    <w:tmpl w:val="817E5AB0"/>
    <w:lvl w:ilvl="0" w:tplc="A3A8D41E">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A6C32FC">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E7072AA">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CD4DB04">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D2C8A24">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147554">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3D00C2E">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DCB3B2">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10230C">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F6D2137"/>
    <w:multiLevelType w:val="hybridMultilevel"/>
    <w:tmpl w:val="C2FA636E"/>
    <w:lvl w:ilvl="0" w:tplc="0B724F92">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3840C00">
      <w:start w:val="1"/>
      <w:numFmt w:val="bullet"/>
      <w:lvlText w:val="o"/>
      <w:lvlJc w:val="left"/>
      <w:pPr>
        <w:ind w:left="2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44AA16">
      <w:start w:val="1"/>
      <w:numFmt w:val="bullet"/>
      <w:lvlText w:val="▪"/>
      <w:lvlJc w:val="left"/>
      <w:pPr>
        <w:ind w:left="2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596B576">
      <w:start w:val="1"/>
      <w:numFmt w:val="bullet"/>
      <w:lvlText w:val="•"/>
      <w:lvlJc w:val="left"/>
      <w:pPr>
        <w:ind w:left="3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16248A">
      <w:start w:val="1"/>
      <w:numFmt w:val="bullet"/>
      <w:lvlText w:val="o"/>
      <w:lvlJc w:val="left"/>
      <w:pPr>
        <w:ind w:left="4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1649C6">
      <w:start w:val="1"/>
      <w:numFmt w:val="bullet"/>
      <w:lvlText w:val="▪"/>
      <w:lvlJc w:val="left"/>
      <w:pPr>
        <w:ind w:left="5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6C40D2">
      <w:start w:val="1"/>
      <w:numFmt w:val="bullet"/>
      <w:lvlText w:val="•"/>
      <w:lvlJc w:val="left"/>
      <w:pPr>
        <w:ind w:left="5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4EBA2A">
      <w:start w:val="1"/>
      <w:numFmt w:val="bullet"/>
      <w:lvlText w:val="o"/>
      <w:lvlJc w:val="left"/>
      <w:pPr>
        <w:ind w:left="6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36F8AE">
      <w:start w:val="1"/>
      <w:numFmt w:val="bullet"/>
      <w:lvlText w:val="▪"/>
      <w:lvlJc w:val="left"/>
      <w:pPr>
        <w:ind w:left="7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FB206D9"/>
    <w:multiLevelType w:val="hybridMultilevel"/>
    <w:tmpl w:val="D73E038E"/>
    <w:lvl w:ilvl="0" w:tplc="CFF21F4C">
      <w:start w:val="1"/>
      <w:numFmt w:val="bullet"/>
      <w:lvlText w:val=""/>
      <w:lvlJc w:val="left"/>
      <w:pPr>
        <w:ind w:left="6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E6525C">
      <w:start w:val="1"/>
      <w:numFmt w:val="bullet"/>
      <w:lvlText w:val="o"/>
      <w:lvlJc w:val="left"/>
      <w:pPr>
        <w:ind w:left="15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A08DBA">
      <w:start w:val="1"/>
      <w:numFmt w:val="bullet"/>
      <w:lvlText w:val="▪"/>
      <w:lvlJc w:val="left"/>
      <w:pPr>
        <w:ind w:left="22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B04B38">
      <w:start w:val="1"/>
      <w:numFmt w:val="bullet"/>
      <w:lvlText w:val="•"/>
      <w:lvlJc w:val="left"/>
      <w:pPr>
        <w:ind w:left="29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10D1B6">
      <w:start w:val="1"/>
      <w:numFmt w:val="bullet"/>
      <w:lvlText w:val="o"/>
      <w:lvlJc w:val="left"/>
      <w:pPr>
        <w:ind w:left="36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5275D4">
      <w:start w:val="1"/>
      <w:numFmt w:val="bullet"/>
      <w:lvlText w:val="▪"/>
      <w:lvlJc w:val="left"/>
      <w:pPr>
        <w:ind w:left="43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F881A5C">
      <w:start w:val="1"/>
      <w:numFmt w:val="bullet"/>
      <w:lvlText w:val="•"/>
      <w:lvlJc w:val="left"/>
      <w:pPr>
        <w:ind w:left="51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966906">
      <w:start w:val="1"/>
      <w:numFmt w:val="bullet"/>
      <w:lvlText w:val="o"/>
      <w:lvlJc w:val="left"/>
      <w:pPr>
        <w:ind w:left="58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78A06D4">
      <w:start w:val="1"/>
      <w:numFmt w:val="bullet"/>
      <w:lvlText w:val="▪"/>
      <w:lvlJc w:val="left"/>
      <w:pPr>
        <w:ind w:left="65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0624EB9"/>
    <w:multiLevelType w:val="multilevel"/>
    <w:tmpl w:val="C82E46EA"/>
    <w:lvl w:ilvl="0">
      <w:start w:val="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1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2"/>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37722C"/>
    <w:multiLevelType w:val="hybridMultilevel"/>
    <w:tmpl w:val="C56079AA"/>
    <w:lvl w:ilvl="0" w:tplc="02B42AAA">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1EDBF2">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9105140">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740A042">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53AE9BE">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989334">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7E3BE4">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A4A048">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6348EC8">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FD7CBA"/>
    <w:multiLevelType w:val="multilevel"/>
    <w:tmpl w:val="8F4E14F2"/>
    <w:lvl w:ilvl="0">
      <w:start w:val="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1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B44F0F"/>
    <w:multiLevelType w:val="multilevel"/>
    <w:tmpl w:val="7BB69706"/>
    <w:lvl w:ilvl="0">
      <w:start w:val="21"/>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46"/>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A4237C"/>
    <w:multiLevelType w:val="hybridMultilevel"/>
    <w:tmpl w:val="175EB2B0"/>
    <w:lvl w:ilvl="0" w:tplc="ADFE9E80">
      <w:start w:val="1"/>
      <w:numFmt w:val="bullet"/>
      <w:lvlText w:val=""/>
      <w:lvlJc w:val="left"/>
      <w:pPr>
        <w:ind w:left="16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4F6F4B0">
      <w:start w:val="1"/>
      <w:numFmt w:val="bullet"/>
      <w:lvlText w:val="o"/>
      <w:lvlJc w:val="left"/>
      <w:pPr>
        <w:ind w:left="16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E4C5996">
      <w:start w:val="1"/>
      <w:numFmt w:val="bullet"/>
      <w:lvlText w:val="▪"/>
      <w:lvlJc w:val="left"/>
      <w:pPr>
        <w:ind w:left="23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A2267C0">
      <w:start w:val="1"/>
      <w:numFmt w:val="bullet"/>
      <w:lvlText w:val="•"/>
      <w:lvlJc w:val="left"/>
      <w:pPr>
        <w:ind w:left="30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D6ADB50">
      <w:start w:val="1"/>
      <w:numFmt w:val="bullet"/>
      <w:lvlText w:val="o"/>
      <w:lvlJc w:val="left"/>
      <w:pPr>
        <w:ind w:left="3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103DC6">
      <w:start w:val="1"/>
      <w:numFmt w:val="bullet"/>
      <w:lvlText w:val="▪"/>
      <w:lvlJc w:val="left"/>
      <w:pPr>
        <w:ind w:left="4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FA4FE5C">
      <w:start w:val="1"/>
      <w:numFmt w:val="bullet"/>
      <w:lvlText w:val="•"/>
      <w:lvlJc w:val="left"/>
      <w:pPr>
        <w:ind w:left="5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58D4CE">
      <w:start w:val="1"/>
      <w:numFmt w:val="bullet"/>
      <w:lvlText w:val="o"/>
      <w:lvlJc w:val="left"/>
      <w:pPr>
        <w:ind w:left="5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8E363A">
      <w:start w:val="1"/>
      <w:numFmt w:val="bullet"/>
      <w:lvlText w:val="▪"/>
      <w:lvlJc w:val="left"/>
      <w:pPr>
        <w:ind w:left="6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00479E"/>
    <w:multiLevelType w:val="hybridMultilevel"/>
    <w:tmpl w:val="9AFAD7DC"/>
    <w:lvl w:ilvl="0" w:tplc="8BA80D18">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1F68188">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F3EB4B4">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5A8B90">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3032EE">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F9A184A">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72A744">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9BC4644">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86A506">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855884"/>
    <w:multiLevelType w:val="multilevel"/>
    <w:tmpl w:val="F9DC227A"/>
    <w:lvl w:ilvl="0">
      <w:start w:val="18"/>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2146"/>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89C5158"/>
    <w:multiLevelType w:val="hybridMultilevel"/>
    <w:tmpl w:val="E598A6B0"/>
    <w:lvl w:ilvl="0" w:tplc="2F1CB5EC">
      <w:start w:val="1"/>
      <w:numFmt w:val="bullet"/>
      <w:lvlText w:val=""/>
      <w:lvlJc w:val="left"/>
      <w:pPr>
        <w:ind w:left="1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E0E1872">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DE54E4">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CAD814">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5846A66">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24DE28">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660142">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DA1E9E">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214FB88">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D0709E"/>
    <w:multiLevelType w:val="multilevel"/>
    <w:tmpl w:val="6BF40D5E"/>
    <w:lvl w:ilvl="0">
      <w:start w:val="4"/>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1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CA6668"/>
    <w:multiLevelType w:val="hybridMultilevel"/>
    <w:tmpl w:val="F9F6F38E"/>
    <w:lvl w:ilvl="0" w:tplc="5404A3C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544E64">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AA03370">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D2C92C">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2BA86DC">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B2ADA8">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0C07D6">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003FA6">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1CE88D8">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142FBA"/>
    <w:multiLevelType w:val="hybridMultilevel"/>
    <w:tmpl w:val="7A10212A"/>
    <w:lvl w:ilvl="0" w:tplc="95BCF14E">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D44719C">
      <w:start w:val="1"/>
      <w:numFmt w:val="bullet"/>
      <w:lvlText w:val="o"/>
      <w:lvlJc w:val="left"/>
      <w:pPr>
        <w:ind w:left="2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AE0B60">
      <w:start w:val="1"/>
      <w:numFmt w:val="bullet"/>
      <w:lvlText w:val="▪"/>
      <w:lvlJc w:val="left"/>
      <w:pPr>
        <w:ind w:left="2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BAA950">
      <w:start w:val="1"/>
      <w:numFmt w:val="bullet"/>
      <w:lvlText w:val="•"/>
      <w:lvlJc w:val="left"/>
      <w:pPr>
        <w:ind w:left="3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F68317E">
      <w:start w:val="1"/>
      <w:numFmt w:val="bullet"/>
      <w:lvlText w:val="o"/>
      <w:lvlJc w:val="left"/>
      <w:pPr>
        <w:ind w:left="4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A6B1BA">
      <w:start w:val="1"/>
      <w:numFmt w:val="bullet"/>
      <w:lvlText w:val="▪"/>
      <w:lvlJc w:val="left"/>
      <w:pPr>
        <w:ind w:left="5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C61C74">
      <w:start w:val="1"/>
      <w:numFmt w:val="bullet"/>
      <w:lvlText w:val="•"/>
      <w:lvlJc w:val="left"/>
      <w:pPr>
        <w:ind w:left="5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2DCF5D8">
      <w:start w:val="1"/>
      <w:numFmt w:val="bullet"/>
      <w:lvlText w:val="o"/>
      <w:lvlJc w:val="left"/>
      <w:pPr>
        <w:ind w:left="6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B2C4CFC">
      <w:start w:val="1"/>
      <w:numFmt w:val="bullet"/>
      <w:lvlText w:val="▪"/>
      <w:lvlJc w:val="left"/>
      <w:pPr>
        <w:ind w:left="7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FF1A58"/>
    <w:multiLevelType w:val="hybridMultilevel"/>
    <w:tmpl w:val="D400C220"/>
    <w:lvl w:ilvl="0" w:tplc="FF6C9F8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A86644">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BDC9714">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5CF2FA">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C60FD0">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0CA6DA">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E021CA">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9960E5A">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7C71E4">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C4B6678"/>
    <w:multiLevelType w:val="hybridMultilevel"/>
    <w:tmpl w:val="882ECB00"/>
    <w:lvl w:ilvl="0" w:tplc="499C69A4">
      <w:start w:val="1"/>
      <w:numFmt w:val="bullet"/>
      <w:lvlText w:val=""/>
      <w:lvlJc w:val="left"/>
      <w:pPr>
        <w:ind w:left="1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546C6A">
      <w:start w:val="1"/>
      <w:numFmt w:val="bullet"/>
      <w:lvlText w:val="o"/>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356106E">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FAD7FE">
      <w:start w:val="1"/>
      <w:numFmt w:val="bullet"/>
      <w:lvlText w:val="•"/>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CD44580">
      <w:start w:val="1"/>
      <w:numFmt w:val="bullet"/>
      <w:lvlText w:val="o"/>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24CB44">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8F0CB88">
      <w:start w:val="1"/>
      <w:numFmt w:val="bullet"/>
      <w:lvlText w:val="•"/>
      <w:lvlJc w:val="left"/>
      <w:pPr>
        <w:ind w:left="57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EEE374E">
      <w:start w:val="1"/>
      <w:numFmt w:val="bullet"/>
      <w:lvlText w:val="o"/>
      <w:lvlJc w:val="left"/>
      <w:pPr>
        <w:ind w:left="64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2B0DA04">
      <w:start w:val="1"/>
      <w:numFmt w:val="bullet"/>
      <w:lvlText w:val="▪"/>
      <w:lvlJc w:val="left"/>
      <w:pPr>
        <w:ind w:left="72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497B85"/>
    <w:multiLevelType w:val="hybridMultilevel"/>
    <w:tmpl w:val="CE3A1BF2"/>
    <w:lvl w:ilvl="0" w:tplc="5BD4281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FFE5C58">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7844578">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9FCC4AC">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864050">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BB20838">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A4D670">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74E555A">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FC67124">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1FC45B5"/>
    <w:multiLevelType w:val="hybridMultilevel"/>
    <w:tmpl w:val="C8202004"/>
    <w:lvl w:ilvl="0" w:tplc="8DEE4A3C">
      <w:start w:val="1"/>
      <w:numFmt w:val="bullet"/>
      <w:lvlText w:val=""/>
      <w:lvlJc w:val="left"/>
      <w:pPr>
        <w:ind w:left="1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A32F3F2">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CA8E6C2">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D9E124A">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28DAB4">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EE09BE2">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683DAA">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8653F4">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B07964">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437584A"/>
    <w:multiLevelType w:val="hybridMultilevel"/>
    <w:tmpl w:val="D566421C"/>
    <w:lvl w:ilvl="0" w:tplc="77E8632C">
      <w:start w:val="1"/>
      <w:numFmt w:val="bullet"/>
      <w:lvlText w:val=""/>
      <w:lvlJc w:val="left"/>
      <w:pPr>
        <w:ind w:left="1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2EACE4">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A0E953A">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1ADE84">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8C6EFA">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0DABA14">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605CBA">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CCCC70">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1465C4">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53A40B4"/>
    <w:multiLevelType w:val="multilevel"/>
    <w:tmpl w:val="0DE44B76"/>
    <w:lvl w:ilvl="0">
      <w:start w:val="2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46"/>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5506B98"/>
    <w:multiLevelType w:val="hybridMultilevel"/>
    <w:tmpl w:val="EF8091D2"/>
    <w:lvl w:ilvl="0" w:tplc="8B7C82B6">
      <w:start w:val="1"/>
      <w:numFmt w:val="bullet"/>
      <w:lvlText w:val=""/>
      <w:lvlJc w:val="left"/>
      <w:pPr>
        <w:ind w:left="1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42BC1E">
      <w:start w:val="1"/>
      <w:numFmt w:val="bullet"/>
      <w:lvlText w:val="o"/>
      <w:lvlJc w:val="left"/>
      <w:pPr>
        <w:ind w:left="2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8C6AEC">
      <w:start w:val="1"/>
      <w:numFmt w:val="bullet"/>
      <w:lvlText w:val="▪"/>
      <w:lvlJc w:val="left"/>
      <w:pPr>
        <w:ind w:left="2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A223D46">
      <w:start w:val="1"/>
      <w:numFmt w:val="bullet"/>
      <w:lvlText w:val="•"/>
      <w:lvlJc w:val="left"/>
      <w:pPr>
        <w:ind w:left="3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E2E6EA">
      <w:start w:val="1"/>
      <w:numFmt w:val="bullet"/>
      <w:lvlText w:val="o"/>
      <w:lvlJc w:val="left"/>
      <w:pPr>
        <w:ind w:left="4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EA3A7A">
      <w:start w:val="1"/>
      <w:numFmt w:val="bullet"/>
      <w:lvlText w:val="▪"/>
      <w:lvlJc w:val="left"/>
      <w:pPr>
        <w:ind w:left="5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56AB60">
      <w:start w:val="1"/>
      <w:numFmt w:val="bullet"/>
      <w:lvlText w:val="•"/>
      <w:lvlJc w:val="left"/>
      <w:pPr>
        <w:ind w:left="5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49EFCFA">
      <w:start w:val="1"/>
      <w:numFmt w:val="bullet"/>
      <w:lvlText w:val="o"/>
      <w:lvlJc w:val="left"/>
      <w:pPr>
        <w:ind w:left="6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8FE6686">
      <w:start w:val="1"/>
      <w:numFmt w:val="bullet"/>
      <w:lvlText w:val="▪"/>
      <w:lvlJc w:val="left"/>
      <w:pPr>
        <w:ind w:left="7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9D249F"/>
    <w:multiLevelType w:val="hybridMultilevel"/>
    <w:tmpl w:val="2B106C20"/>
    <w:lvl w:ilvl="0" w:tplc="A066D6AA">
      <w:start w:val="1"/>
      <w:numFmt w:val="bullet"/>
      <w:lvlText w:val=""/>
      <w:lvlJc w:val="left"/>
      <w:pPr>
        <w:ind w:left="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43EE4B0">
      <w:start w:val="1"/>
      <w:numFmt w:val="bullet"/>
      <w:lvlText w:val="o"/>
      <w:lvlJc w:val="left"/>
      <w:pPr>
        <w:ind w:left="15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F4557C">
      <w:start w:val="1"/>
      <w:numFmt w:val="bullet"/>
      <w:lvlText w:val="▪"/>
      <w:lvlJc w:val="left"/>
      <w:pPr>
        <w:ind w:left="22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1C2844">
      <w:start w:val="1"/>
      <w:numFmt w:val="bullet"/>
      <w:lvlText w:val="•"/>
      <w:lvlJc w:val="left"/>
      <w:pPr>
        <w:ind w:left="29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E960A26">
      <w:start w:val="1"/>
      <w:numFmt w:val="bullet"/>
      <w:lvlText w:val="o"/>
      <w:lvlJc w:val="left"/>
      <w:pPr>
        <w:ind w:left="3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FE21F8">
      <w:start w:val="1"/>
      <w:numFmt w:val="bullet"/>
      <w:lvlText w:val="▪"/>
      <w:lvlJc w:val="left"/>
      <w:pPr>
        <w:ind w:left="44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B6612A">
      <w:start w:val="1"/>
      <w:numFmt w:val="bullet"/>
      <w:lvlText w:val="•"/>
      <w:lvlJc w:val="left"/>
      <w:pPr>
        <w:ind w:left="51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6070BE">
      <w:start w:val="1"/>
      <w:numFmt w:val="bullet"/>
      <w:lvlText w:val="o"/>
      <w:lvlJc w:val="left"/>
      <w:pPr>
        <w:ind w:left="58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FEB71A">
      <w:start w:val="1"/>
      <w:numFmt w:val="bullet"/>
      <w:lvlText w:val="▪"/>
      <w:lvlJc w:val="left"/>
      <w:pPr>
        <w:ind w:left="65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F948B1"/>
    <w:multiLevelType w:val="hybridMultilevel"/>
    <w:tmpl w:val="E26E27DE"/>
    <w:lvl w:ilvl="0" w:tplc="BA1C4F62">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294F632">
      <w:start w:val="1"/>
      <w:numFmt w:val="bullet"/>
      <w:lvlText w:val="o"/>
      <w:lvlJc w:val="left"/>
      <w:pPr>
        <w:ind w:left="2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A207280">
      <w:start w:val="1"/>
      <w:numFmt w:val="bullet"/>
      <w:lvlText w:val="▪"/>
      <w:lvlJc w:val="left"/>
      <w:pPr>
        <w:ind w:left="2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983532">
      <w:start w:val="1"/>
      <w:numFmt w:val="bullet"/>
      <w:lvlText w:val="•"/>
      <w:lvlJc w:val="left"/>
      <w:pPr>
        <w:ind w:left="3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FAD912">
      <w:start w:val="1"/>
      <w:numFmt w:val="bullet"/>
      <w:lvlText w:val="o"/>
      <w:lvlJc w:val="left"/>
      <w:pPr>
        <w:ind w:left="4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24B202">
      <w:start w:val="1"/>
      <w:numFmt w:val="bullet"/>
      <w:lvlText w:val="▪"/>
      <w:lvlJc w:val="left"/>
      <w:pPr>
        <w:ind w:left="5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2608608">
      <w:start w:val="1"/>
      <w:numFmt w:val="bullet"/>
      <w:lvlText w:val="•"/>
      <w:lvlJc w:val="left"/>
      <w:pPr>
        <w:ind w:left="5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381918">
      <w:start w:val="1"/>
      <w:numFmt w:val="bullet"/>
      <w:lvlText w:val="o"/>
      <w:lvlJc w:val="left"/>
      <w:pPr>
        <w:ind w:left="6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29A0CCA">
      <w:start w:val="1"/>
      <w:numFmt w:val="bullet"/>
      <w:lvlText w:val="▪"/>
      <w:lvlJc w:val="left"/>
      <w:pPr>
        <w:ind w:left="7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30394D"/>
    <w:multiLevelType w:val="multilevel"/>
    <w:tmpl w:val="F5D232D0"/>
    <w:lvl w:ilvl="0">
      <w:start w:val="16"/>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146"/>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7E4412"/>
    <w:multiLevelType w:val="hybridMultilevel"/>
    <w:tmpl w:val="5DEC83A0"/>
    <w:lvl w:ilvl="0" w:tplc="1822349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A8A734">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529E0C">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96AD1E">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D63882">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116AE5C">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BAACE2">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20B74C">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B06">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2113823"/>
    <w:multiLevelType w:val="hybridMultilevel"/>
    <w:tmpl w:val="A2C04346"/>
    <w:lvl w:ilvl="0" w:tplc="29027BE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BAEE94">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1108BE0">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1ACFBC">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547E9E">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669FC0">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683FF2">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9C43B56">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A4ED9A">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355675B"/>
    <w:multiLevelType w:val="hybridMultilevel"/>
    <w:tmpl w:val="CA8A8C66"/>
    <w:lvl w:ilvl="0" w:tplc="A66050FA">
      <w:start w:val="1"/>
      <w:numFmt w:val="decimal"/>
      <w:lvlText w:val="%1"/>
      <w:lvlJc w:val="left"/>
      <w:pPr>
        <w:ind w:left="360"/>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1" w:tplc="10F4D394">
      <w:start w:val="1"/>
      <w:numFmt w:val="lowerLetter"/>
      <w:lvlText w:val="%2"/>
      <w:lvlJc w:val="left"/>
      <w:pPr>
        <w:ind w:left="1717"/>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2" w:tplc="52E0CE44">
      <w:start w:val="1"/>
      <w:numFmt w:val="lowerRoman"/>
      <w:lvlRestart w:val="0"/>
      <w:lvlText w:val="%3."/>
      <w:lvlJc w:val="left"/>
      <w:pPr>
        <w:ind w:left="4129"/>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3" w:tplc="8940CF9C">
      <w:start w:val="1"/>
      <w:numFmt w:val="decimal"/>
      <w:lvlText w:val="%4"/>
      <w:lvlJc w:val="left"/>
      <w:pPr>
        <w:ind w:left="3795"/>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4" w:tplc="32ECD828">
      <w:start w:val="1"/>
      <w:numFmt w:val="lowerLetter"/>
      <w:lvlText w:val="%5"/>
      <w:lvlJc w:val="left"/>
      <w:pPr>
        <w:ind w:left="4515"/>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5" w:tplc="275C4548">
      <w:start w:val="1"/>
      <w:numFmt w:val="lowerRoman"/>
      <w:lvlText w:val="%6"/>
      <w:lvlJc w:val="left"/>
      <w:pPr>
        <w:ind w:left="5235"/>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6" w:tplc="528643A0">
      <w:start w:val="1"/>
      <w:numFmt w:val="decimal"/>
      <w:lvlText w:val="%7"/>
      <w:lvlJc w:val="left"/>
      <w:pPr>
        <w:ind w:left="5955"/>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7" w:tplc="E4C02B38">
      <w:start w:val="1"/>
      <w:numFmt w:val="lowerLetter"/>
      <w:lvlText w:val="%8"/>
      <w:lvlJc w:val="left"/>
      <w:pPr>
        <w:ind w:left="6675"/>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8" w:tplc="896C679C">
      <w:start w:val="1"/>
      <w:numFmt w:val="lowerRoman"/>
      <w:lvlText w:val="%9"/>
      <w:lvlJc w:val="left"/>
      <w:pPr>
        <w:ind w:left="7395"/>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abstractNum>
  <w:abstractNum w:abstractNumId="44" w15:restartNumberingAfterBreak="0">
    <w:nsid w:val="73777516"/>
    <w:multiLevelType w:val="multilevel"/>
    <w:tmpl w:val="3C98EDB4"/>
    <w:lvl w:ilvl="0">
      <w:start w:val="18"/>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2146"/>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5C02461"/>
    <w:multiLevelType w:val="hybridMultilevel"/>
    <w:tmpl w:val="BA6A1140"/>
    <w:lvl w:ilvl="0" w:tplc="2DEAD5EA">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66BC0C">
      <w:start w:val="1"/>
      <w:numFmt w:val="bullet"/>
      <w:lvlText w:val="o"/>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3F2D498">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2EFF06">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85C449A">
      <w:start w:val="1"/>
      <w:numFmt w:val="bullet"/>
      <w:lvlText w:val="o"/>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C344266">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389812">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30D1A0">
      <w:start w:val="1"/>
      <w:numFmt w:val="bullet"/>
      <w:lvlText w:val="o"/>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13EB6AE">
      <w:start w:val="1"/>
      <w:numFmt w:val="bullet"/>
      <w:lvlText w:val="▪"/>
      <w:lvlJc w:val="left"/>
      <w:pPr>
        <w:ind w:left="7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81B04F3"/>
    <w:multiLevelType w:val="hybridMultilevel"/>
    <w:tmpl w:val="31249BD8"/>
    <w:lvl w:ilvl="0" w:tplc="520ADF4C">
      <w:start w:val="1"/>
      <w:numFmt w:val="bullet"/>
      <w:lvlText w:val="●"/>
      <w:lvlJc w:val="left"/>
      <w:pPr>
        <w:ind w:left="1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1C6444">
      <w:start w:val="1"/>
      <w:numFmt w:val="bullet"/>
      <w:lvlText w:val="o"/>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B27056">
      <w:start w:val="1"/>
      <w:numFmt w:val="bullet"/>
      <w:lvlText w:val="▪"/>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B0F052">
      <w:start w:val="1"/>
      <w:numFmt w:val="bullet"/>
      <w:lvlText w:val="•"/>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0C7CEA">
      <w:start w:val="1"/>
      <w:numFmt w:val="bullet"/>
      <w:lvlText w:val="o"/>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16208A">
      <w:start w:val="1"/>
      <w:numFmt w:val="bullet"/>
      <w:lvlText w:val="▪"/>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FCDB98">
      <w:start w:val="1"/>
      <w:numFmt w:val="bullet"/>
      <w:lvlText w:val="•"/>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CEA4CA">
      <w:start w:val="1"/>
      <w:numFmt w:val="bullet"/>
      <w:lvlText w:val="o"/>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54C5D0">
      <w:start w:val="1"/>
      <w:numFmt w:val="bullet"/>
      <w:lvlText w:val="▪"/>
      <w:lvlJc w:val="left"/>
      <w:pPr>
        <w:ind w:left="7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92D12AC"/>
    <w:multiLevelType w:val="hybridMultilevel"/>
    <w:tmpl w:val="F2E0447A"/>
    <w:lvl w:ilvl="0" w:tplc="57E8E742">
      <w:start w:val="1"/>
      <w:numFmt w:val="upperLetter"/>
      <w:lvlText w:val="(%1)"/>
      <w:lvlJc w:val="left"/>
      <w:pPr>
        <w:ind w:left="73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4D9CC392">
      <w:start w:val="1"/>
      <w:numFmt w:val="lowerLetter"/>
      <w:lvlText w:val="%2"/>
      <w:lvlJc w:val="left"/>
      <w:pPr>
        <w:ind w:left="10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659CAD86">
      <w:start w:val="1"/>
      <w:numFmt w:val="lowerRoman"/>
      <w:lvlText w:val="%3"/>
      <w:lvlJc w:val="left"/>
      <w:pPr>
        <w:ind w:left="18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5F82537E">
      <w:start w:val="1"/>
      <w:numFmt w:val="decimal"/>
      <w:lvlText w:val="%4"/>
      <w:lvlJc w:val="left"/>
      <w:pPr>
        <w:ind w:left="25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7C707C86">
      <w:start w:val="1"/>
      <w:numFmt w:val="lowerLetter"/>
      <w:lvlText w:val="%5"/>
      <w:lvlJc w:val="left"/>
      <w:pPr>
        <w:ind w:left="32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AA1C5FDC">
      <w:start w:val="1"/>
      <w:numFmt w:val="lowerRoman"/>
      <w:lvlText w:val="%6"/>
      <w:lvlJc w:val="left"/>
      <w:pPr>
        <w:ind w:left="39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DC7659D0">
      <w:start w:val="1"/>
      <w:numFmt w:val="decimal"/>
      <w:lvlText w:val="%7"/>
      <w:lvlJc w:val="left"/>
      <w:pPr>
        <w:ind w:left="46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D3782022">
      <w:start w:val="1"/>
      <w:numFmt w:val="lowerLetter"/>
      <w:lvlText w:val="%8"/>
      <w:lvlJc w:val="left"/>
      <w:pPr>
        <w:ind w:left="54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027C9B16">
      <w:start w:val="1"/>
      <w:numFmt w:val="lowerRoman"/>
      <w:lvlText w:val="%9"/>
      <w:lvlJc w:val="left"/>
      <w:pPr>
        <w:ind w:left="61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CCF51F7"/>
    <w:multiLevelType w:val="multilevel"/>
    <w:tmpl w:val="4FAA7EF6"/>
    <w:lvl w:ilvl="0">
      <w:start w:val="33"/>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14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E5C6D5B"/>
    <w:multiLevelType w:val="hybridMultilevel"/>
    <w:tmpl w:val="2A86CC12"/>
    <w:lvl w:ilvl="0" w:tplc="47FE292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1F8EDC4">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5A9984">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787394">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660DD0">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A201E6">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CA8214">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26E762">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04B380">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7"/>
  </w:num>
  <w:num w:numId="2">
    <w:abstractNumId w:val="11"/>
  </w:num>
  <w:num w:numId="3">
    <w:abstractNumId w:val="27"/>
  </w:num>
  <w:num w:numId="4">
    <w:abstractNumId w:val="5"/>
  </w:num>
  <w:num w:numId="5">
    <w:abstractNumId w:val="35"/>
  </w:num>
  <w:num w:numId="6">
    <w:abstractNumId w:val="28"/>
  </w:num>
  <w:num w:numId="7">
    <w:abstractNumId w:val="10"/>
  </w:num>
  <w:num w:numId="8">
    <w:abstractNumId w:val="34"/>
  </w:num>
  <w:num w:numId="9">
    <w:abstractNumId w:val="22"/>
  </w:num>
  <w:num w:numId="10">
    <w:abstractNumId w:val="46"/>
  </w:num>
  <w:num w:numId="11">
    <w:abstractNumId w:val="20"/>
  </w:num>
  <w:num w:numId="12">
    <w:abstractNumId w:val="37"/>
  </w:num>
  <w:num w:numId="13">
    <w:abstractNumId w:val="32"/>
  </w:num>
  <w:num w:numId="14">
    <w:abstractNumId w:val="21"/>
  </w:num>
  <w:num w:numId="15">
    <w:abstractNumId w:val="0"/>
  </w:num>
  <w:num w:numId="16">
    <w:abstractNumId w:val="9"/>
  </w:num>
  <w:num w:numId="17">
    <w:abstractNumId w:val="24"/>
  </w:num>
  <w:num w:numId="18">
    <w:abstractNumId w:val="40"/>
  </w:num>
  <w:num w:numId="19">
    <w:abstractNumId w:val="30"/>
  </w:num>
  <w:num w:numId="20">
    <w:abstractNumId w:val="39"/>
  </w:num>
  <w:num w:numId="21">
    <w:abstractNumId w:val="44"/>
  </w:num>
  <w:num w:numId="22">
    <w:abstractNumId w:val="26"/>
  </w:num>
  <w:num w:numId="23">
    <w:abstractNumId w:val="2"/>
  </w:num>
  <w:num w:numId="24">
    <w:abstractNumId w:val="12"/>
  </w:num>
  <w:num w:numId="25">
    <w:abstractNumId w:val="8"/>
  </w:num>
  <w:num w:numId="26">
    <w:abstractNumId w:val="25"/>
  </w:num>
  <w:num w:numId="27">
    <w:abstractNumId w:val="23"/>
  </w:num>
  <w:num w:numId="28">
    <w:abstractNumId w:val="17"/>
  </w:num>
  <w:num w:numId="29">
    <w:abstractNumId w:val="1"/>
  </w:num>
  <w:num w:numId="30">
    <w:abstractNumId w:val="4"/>
  </w:num>
  <w:num w:numId="31">
    <w:abstractNumId w:val="18"/>
  </w:num>
  <w:num w:numId="32">
    <w:abstractNumId w:val="45"/>
  </w:num>
  <w:num w:numId="33">
    <w:abstractNumId w:val="36"/>
  </w:num>
  <w:num w:numId="34">
    <w:abstractNumId w:val="14"/>
  </w:num>
  <w:num w:numId="35">
    <w:abstractNumId w:val="15"/>
  </w:num>
  <w:num w:numId="36">
    <w:abstractNumId w:val="7"/>
  </w:num>
  <w:num w:numId="37">
    <w:abstractNumId w:val="48"/>
  </w:num>
  <w:num w:numId="38">
    <w:abstractNumId w:val="3"/>
  </w:num>
  <w:num w:numId="39">
    <w:abstractNumId w:val="43"/>
  </w:num>
  <w:num w:numId="40">
    <w:abstractNumId w:val="19"/>
  </w:num>
  <w:num w:numId="41">
    <w:abstractNumId w:val="16"/>
  </w:num>
  <w:num w:numId="42">
    <w:abstractNumId w:val="31"/>
  </w:num>
  <w:num w:numId="43">
    <w:abstractNumId w:val="29"/>
  </w:num>
  <w:num w:numId="44">
    <w:abstractNumId w:val="13"/>
  </w:num>
  <w:num w:numId="45">
    <w:abstractNumId w:val="49"/>
  </w:num>
  <w:num w:numId="46">
    <w:abstractNumId w:val="41"/>
  </w:num>
  <w:num w:numId="47">
    <w:abstractNumId w:val="33"/>
  </w:num>
  <w:num w:numId="48">
    <w:abstractNumId w:val="42"/>
  </w:num>
  <w:num w:numId="49">
    <w:abstractNumId w:val="38"/>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2A"/>
    <w:rsid w:val="000F728E"/>
    <w:rsid w:val="002063F5"/>
    <w:rsid w:val="00273E6F"/>
    <w:rsid w:val="003A2DB1"/>
    <w:rsid w:val="00400519"/>
    <w:rsid w:val="00621D2A"/>
    <w:rsid w:val="00BA7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8" w:line="268" w:lineRule="auto"/>
      <w:ind w:left="10" w:hanging="10"/>
    </w:pPr>
    <w:rPr>
      <w:rFonts w:ascii="Corbel" w:eastAsia="Corbel" w:hAnsi="Corbel" w:cs="Corbel"/>
      <w:color w:val="000000"/>
      <w:sz w:val="24"/>
    </w:rPr>
  </w:style>
  <w:style w:type="paragraph" w:styleId="Heading1">
    <w:name w:val="heading 1"/>
    <w:next w:val="Normal"/>
    <w:link w:val="Heading1Char"/>
    <w:uiPriority w:val="9"/>
    <w:unhideWhenUsed/>
    <w:qFormat/>
    <w:pPr>
      <w:keepNext/>
      <w:keepLines/>
      <w:spacing w:after="296" w:line="263" w:lineRule="auto"/>
      <w:ind w:left="10" w:hanging="10"/>
      <w:outlineLvl w:val="0"/>
    </w:pPr>
    <w:rPr>
      <w:rFonts w:ascii="Corbel" w:eastAsia="Corbel" w:hAnsi="Corbel" w:cs="Corbel"/>
      <w:b/>
      <w:color w:val="000000"/>
      <w:sz w:val="24"/>
    </w:rPr>
  </w:style>
  <w:style w:type="paragraph" w:styleId="Heading2">
    <w:name w:val="heading 2"/>
    <w:next w:val="Normal"/>
    <w:link w:val="Heading2Char"/>
    <w:uiPriority w:val="9"/>
    <w:unhideWhenUsed/>
    <w:qFormat/>
    <w:pPr>
      <w:keepNext/>
      <w:keepLines/>
      <w:spacing w:after="296" w:line="263" w:lineRule="auto"/>
      <w:ind w:left="10" w:hanging="10"/>
      <w:outlineLvl w:val="1"/>
    </w:pPr>
    <w:rPr>
      <w:rFonts w:ascii="Corbel" w:eastAsia="Corbel" w:hAnsi="Corbel" w:cs="Corbe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rbel" w:eastAsia="Corbel" w:hAnsi="Corbel" w:cs="Corbel"/>
      <w:b/>
      <w:color w:val="000000"/>
      <w:sz w:val="24"/>
    </w:rPr>
  </w:style>
  <w:style w:type="character" w:customStyle="1" w:styleId="Heading1Char">
    <w:name w:val="Heading 1 Char"/>
    <w:link w:val="Heading1"/>
    <w:rPr>
      <w:rFonts w:ascii="Corbel" w:eastAsia="Corbel" w:hAnsi="Corbel" w:cs="Corbel"/>
      <w:b/>
      <w:color w:val="000000"/>
      <w:sz w:val="24"/>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https://www.gov.uk/government/publications/security-policy-framework" TargetMode="External"/><Relationship Id="rId42" Type="http://schemas.openxmlformats.org/officeDocument/2006/relationships/hyperlink" Target="https://www.cpni.gov.uk/content/adopt-risk-management-approach" TargetMode="External"/><Relationship Id="rId63"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government/publications/technology-code-of-practice/technology-code-of-practice" TargetMode="External"/><Relationship Id="rId159" Type="http://schemas.openxmlformats.org/officeDocument/2006/relationships/hyperlink" Target="https://www.gov.uk/guidance/g-cloud-templates-and-legal-documents" TargetMode="External"/><Relationship Id="rId170" Type="http://schemas.openxmlformats.org/officeDocument/2006/relationships/hyperlink" Target="https://www.gov.uk/guidance/g-cloud-templates-and-legal-documents" TargetMode="External"/><Relationship Id="rId191" Type="http://schemas.openxmlformats.org/officeDocument/2006/relationships/hyperlink" Target="https://www.gov.uk/guidance/g-cloud-templates-and-legal-documents" TargetMode="External"/><Relationship Id="rId205" Type="http://schemas.openxmlformats.org/officeDocument/2006/relationships/hyperlink" Target="https://www.gov.uk/guidance/g-cloud-templates-and-legal-documents" TargetMode="External"/><Relationship Id="rId226" Type="http://schemas.openxmlformats.org/officeDocument/2006/relationships/hyperlink" Target="https://www.gov.uk/service-manual/agile-delivery/spend-controls-check-if-you-need-approval-to-spend-money-on-a-service" TargetMode="External"/><Relationship Id="rId247"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ncsc.gov.uk/guidance/implementing-cloud-security-principles" TargetMode="External"/><Relationship Id="rId268" Type="http://schemas.openxmlformats.org/officeDocument/2006/relationships/footer" Target="footer9.xml"/><Relationship Id="rId11" Type="http://schemas.openxmlformats.org/officeDocument/2006/relationships/footer" Target="footer1.xml"/><Relationship Id="rId32" Type="http://schemas.openxmlformats.org/officeDocument/2006/relationships/hyperlink" Target="https://www.gov.uk/government/publications/government-security-classifications" TargetMode="External"/><Relationship Id="rId53" Type="http://schemas.openxmlformats.org/officeDocument/2006/relationships/hyperlink" Target="https://www.cpni.gov.uk/content/adopt-risk-management-approach" TargetMode="External"/><Relationship Id="rId74" Type="http://schemas.openxmlformats.org/officeDocument/2006/relationships/hyperlink" Target="https://www.ncsc.gov.uk/guidance/risk-management-collection" TargetMode="External"/><Relationship Id="rId128" Type="http://schemas.openxmlformats.org/officeDocument/2006/relationships/hyperlink" Target="https://www.gov.uk/government/publications/technology-code-of-practice/technology-code-of-practice" TargetMode="External"/><Relationship Id="rId149" Type="http://schemas.openxmlformats.org/officeDocument/2006/relationships/hyperlink" Target="https://www.ncsc.gov.uk/guidance/10-steps-cyber-security" TargetMode="External"/><Relationship Id="rId5" Type="http://schemas.openxmlformats.org/officeDocument/2006/relationships/footnotes" Target="footnotes.xml"/><Relationship Id="rId95" Type="http://schemas.openxmlformats.org/officeDocument/2006/relationships/hyperlink" Target="https://www.gov.uk/government/publications/technology-code-of-practice/technology-code-of-practice" TargetMode="External"/><Relationship Id="rId160" Type="http://schemas.openxmlformats.org/officeDocument/2006/relationships/hyperlink" Target="https://www.gov.uk/guidance/g-cloud-templates-and-legal-documents" TargetMode="External"/><Relationship Id="rId181" Type="http://schemas.openxmlformats.org/officeDocument/2006/relationships/hyperlink" Target="https://www.gov.uk/guidance/g-cloud-templates-and-legal-documents" TargetMode="External"/><Relationship Id="rId216" Type="http://schemas.openxmlformats.org/officeDocument/2006/relationships/hyperlink" Target="http://tools.hmrc.gov.uk/esi" TargetMode="External"/><Relationship Id="rId237" Type="http://schemas.openxmlformats.org/officeDocument/2006/relationships/hyperlink" Target="https://www.gov.uk/service-manual/agile-delivery/spend-controls-check-if-you-need-approval-to-spend-money-on-a-service" TargetMode="External"/><Relationship Id="rId258"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security-policy-framework" TargetMode="External"/><Relationship Id="rId43" Type="http://schemas.openxmlformats.org/officeDocument/2006/relationships/hyperlink" Target="https://www.cpni.gov.uk/content/adopt-risk-management-approach" TargetMode="External"/><Relationship Id="rId64" Type="http://schemas.openxmlformats.org/officeDocument/2006/relationships/hyperlink" Target="https://www.cpni.gov.uk/protection-sensitive-information-and-assets" TargetMode="External"/><Relationship Id="rId118" Type="http://schemas.openxmlformats.org/officeDocument/2006/relationships/hyperlink" Target="https://www.gov.uk/government/publications/cyber-risk-management-a-board-level-responsibility/10-steps-summary" TargetMode="External"/><Relationship Id="rId139"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ncsc.gov.uk/guidance/10-steps-cyber-security" TargetMode="External"/><Relationship Id="rId171" Type="http://schemas.openxmlformats.org/officeDocument/2006/relationships/hyperlink" Target="https://www.gov.uk/guidance/g-cloud-templates-and-legal-documents" TargetMode="External"/><Relationship Id="rId192" Type="http://schemas.openxmlformats.org/officeDocument/2006/relationships/hyperlink" Target="https://www.gov.uk/guidance/g-cloud-templates-and-legal-documents" TargetMode="External"/><Relationship Id="rId206" Type="http://schemas.openxmlformats.org/officeDocument/2006/relationships/hyperlink" Target="https://www.gov.uk/guidance/g-cloud-templates-and-legal-documents" TargetMode="External"/><Relationship Id="rId227" Type="http://schemas.openxmlformats.org/officeDocument/2006/relationships/hyperlink" Target="https://www.gov.uk/service-manual/agile-delivery/spend-controls-check-if-you-need-approval-to-spend-money-on-a-service" TargetMode="External"/><Relationship Id="rId248" Type="http://schemas.openxmlformats.org/officeDocument/2006/relationships/hyperlink" Target="https://www.gov.uk/service-manual/agile-delivery/spend-controls-check-if-you-need-approval-to-spend-money-on-a-service" TargetMode="External"/><Relationship Id="rId269" Type="http://schemas.openxmlformats.org/officeDocument/2006/relationships/fontTable" Target="fontTable.xml"/><Relationship Id="rId12" Type="http://schemas.openxmlformats.org/officeDocument/2006/relationships/footer" Target="footer2.xml"/><Relationship Id="rId33" Type="http://schemas.openxmlformats.org/officeDocument/2006/relationships/hyperlink" Target="https://www.gov.uk/government/publications/government-security-classifications" TargetMode="External"/><Relationship Id="rId108" Type="http://schemas.openxmlformats.org/officeDocument/2006/relationships/hyperlink" Target="https://www.ncsc.gov.uk/guidance/implementing-cloud-security-principles" TargetMode="External"/><Relationship Id="rId129" Type="http://schemas.openxmlformats.org/officeDocument/2006/relationships/hyperlink" Target="https://www.gov.uk/government/publications/technology-code-of-practice/technology-code-of-practice" TargetMode="External"/><Relationship Id="rId54" Type="http://schemas.openxmlformats.org/officeDocument/2006/relationships/hyperlink" Target="https://www.cpni.gov.uk/protection-sensitive-information-and-assets" TargetMode="External"/><Relationship Id="rId75" Type="http://schemas.openxmlformats.org/officeDocument/2006/relationships/hyperlink" Target="https://www.ncsc.gov.uk/guidance/risk-management-collection" TargetMode="External"/><Relationship Id="rId96" Type="http://schemas.openxmlformats.org/officeDocument/2006/relationships/hyperlink" Target="https://www.gov.uk/government/publications/technology-code-of-practice/technology-code-of-practice" TargetMode="External"/><Relationship Id="rId140" Type="http://schemas.openxmlformats.org/officeDocument/2006/relationships/hyperlink" Target="https://www.gov.uk/government/publications/technology-code-of-practice/technology-code-of-practice" TargetMode="External"/><Relationship Id="rId161" Type="http://schemas.openxmlformats.org/officeDocument/2006/relationships/hyperlink" Target="https://www.gov.uk/guidance/g-cloud-templates-and-legal-documents" TargetMode="External"/><Relationship Id="rId182" Type="http://schemas.openxmlformats.org/officeDocument/2006/relationships/hyperlink" Target="https://www.gov.uk/guidance/g-cloud-templates-and-legal-documents" TargetMode="External"/><Relationship Id="rId217" Type="http://schemas.openxmlformats.org/officeDocument/2006/relationships/hyperlink" Target="http://tools.hmrc.gov.uk/esi" TargetMode="External"/><Relationship Id="rId6" Type="http://schemas.openxmlformats.org/officeDocument/2006/relationships/endnotes" Target="endnotes.xml"/><Relationship Id="rId238" Type="http://schemas.openxmlformats.org/officeDocument/2006/relationships/hyperlink" Target="https://www.gov.uk/service-manual/agile-delivery/spend-controls-check-if-you-need-approval-to-spend-money-on-a-service" TargetMode="External"/><Relationship Id="rId259"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hyperlink" Target="https://www.gov.uk/government/publications/security-policy-framework" TargetMode="External"/><Relationship Id="rId49" Type="http://schemas.openxmlformats.org/officeDocument/2006/relationships/hyperlink" Target="https://www.cpni.gov.uk/content/adopt-risk-management-approach" TargetMode="External"/><Relationship Id="rId114" Type="http://schemas.openxmlformats.org/officeDocument/2006/relationships/hyperlink" Target="https://www.gov.uk/government/publications/cyber-risk-management-a-board-level-responsibility/10-steps-summary" TargetMode="External"/><Relationship Id="rId119" Type="http://schemas.openxmlformats.org/officeDocument/2006/relationships/hyperlink" Target="https://www.gov.uk/government/publications/cyber-risk-management-a-board-level-responsibility/10-steps-summary" TargetMode="External"/><Relationship Id="rId270" Type="http://schemas.openxmlformats.org/officeDocument/2006/relationships/theme" Target="theme/theme1.xml"/><Relationship Id="rId44" Type="http://schemas.openxmlformats.org/officeDocument/2006/relationships/hyperlink" Target="https://www.cpni.gov.uk/content/adopt-risk-management-approach" TargetMode="External"/><Relationship Id="rId60" Type="http://schemas.openxmlformats.org/officeDocument/2006/relationships/hyperlink" Target="https://www.cpni.gov.uk/protection-sensitive-information-and-assets" TargetMode="External"/><Relationship Id="rId65" Type="http://schemas.openxmlformats.org/officeDocument/2006/relationships/hyperlink" Target="https://www.cpni.gov.uk/protection-sensitive-information-and-assets" TargetMode="External"/><Relationship Id="rId81" Type="http://schemas.openxmlformats.org/officeDocument/2006/relationships/hyperlink" Target="https://www.cesg.gov.uk/risk-management-collection"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government/publications/technology-code-of-practice/technology-code-of-practice" TargetMode="External"/><Relationship Id="rId135" Type="http://schemas.openxmlformats.org/officeDocument/2006/relationships/hyperlink" Target="https://www.gov.uk/government/publications/technology-code-of-practice/technology-code-of-practice" TargetMode="External"/><Relationship Id="rId151" Type="http://schemas.openxmlformats.org/officeDocument/2006/relationships/hyperlink" Target="https://www.ncsc.gov.uk/guidance/10-steps-cyber-security" TargetMode="External"/><Relationship Id="rId156" Type="http://schemas.openxmlformats.org/officeDocument/2006/relationships/hyperlink" Target="https://www.ncsc.gov.uk/guidance/10-steps-cyber-security" TargetMode="External"/><Relationship Id="rId177" Type="http://schemas.openxmlformats.org/officeDocument/2006/relationships/hyperlink" Target="https://www.gov.uk/guidance/g-cloud-templates-and-legal-documents" TargetMode="External"/><Relationship Id="rId198" Type="http://schemas.openxmlformats.org/officeDocument/2006/relationships/hyperlink" Target="https://www.gov.uk/guidance/g-cloud-templates-and-legal-documents" TargetMode="External"/><Relationship Id="rId172" Type="http://schemas.openxmlformats.org/officeDocument/2006/relationships/hyperlink" Target="https://www.gov.uk/guidance/g-cloud-templates-and-legal-documents" TargetMode="External"/><Relationship Id="rId193" Type="http://schemas.openxmlformats.org/officeDocument/2006/relationships/hyperlink" Target="https://www.gov.uk/guidance/g-cloud-templates-and-legal-documents" TargetMode="External"/><Relationship Id="rId202" Type="http://schemas.openxmlformats.org/officeDocument/2006/relationships/hyperlink" Target="https://www.gov.uk/guidance/g-cloud-templates-and-legal-documents" TargetMode="External"/><Relationship Id="rId207" Type="http://schemas.openxmlformats.org/officeDocument/2006/relationships/hyperlink" Target="https://www.gov.uk/guidance/g-cloud-templates-and-legal-documents" TargetMode="External"/><Relationship Id="rId223" Type="http://schemas.openxmlformats.org/officeDocument/2006/relationships/hyperlink" Target="https://www.gov.uk/service-manual/agile-delivery/spend-controls-check-if-you-need-approval-to-spend-money-on-a-service" TargetMode="External"/><Relationship Id="rId228" Type="http://schemas.openxmlformats.org/officeDocument/2006/relationships/hyperlink" Target="https://www.gov.uk/service-manual/agile-delivery/spend-controls-check-if-you-need-approval-to-spend-money-on-a-service" TargetMode="External"/><Relationship Id="rId244" Type="http://schemas.openxmlformats.org/officeDocument/2006/relationships/hyperlink" Target="https://www.gov.uk/service-manual/agile-delivery/spend-controls-check-if-you-need-approval-to-spend-money-on-a-service" TargetMode="External"/><Relationship Id="rId249"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s://www.gov.uk/government/publications/government-security-classifications" TargetMode="External"/><Relationship Id="rId109" Type="http://schemas.openxmlformats.org/officeDocument/2006/relationships/hyperlink" Target="https://www.ncsc.gov.uk/guidance/implementing-cloud-security-principles" TargetMode="External"/><Relationship Id="rId260" Type="http://schemas.openxmlformats.org/officeDocument/2006/relationships/hyperlink" Target="https://www.gov.uk/service-manual/agile-delivery/spend-controls-check-if-you-need-approval-to-spend-money-on-a-service" TargetMode="External"/><Relationship Id="rId265" Type="http://schemas.openxmlformats.org/officeDocument/2006/relationships/footer" Target="footer7.xml"/><Relationship Id="rId34" Type="http://schemas.openxmlformats.org/officeDocument/2006/relationships/hyperlink" Target="https://www.gov.uk/government/publications/government-security-classifications" TargetMode="External"/><Relationship Id="rId50" Type="http://schemas.openxmlformats.org/officeDocument/2006/relationships/hyperlink" Target="https://www.cpni.gov.uk/content/adopt-risk-management-approach" TargetMode="External"/><Relationship Id="rId55" Type="http://schemas.openxmlformats.org/officeDocument/2006/relationships/hyperlink" Target="https://www.cpni.gov.uk/protection-sensitive-information-and-assets" TargetMode="External"/><Relationship Id="rId76" Type="http://schemas.openxmlformats.org/officeDocument/2006/relationships/hyperlink" Target="https://www.ncsc.gov.uk/guidance/risk-management-collection" TargetMode="External"/><Relationship Id="rId97"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ncsc.gov.uk/guidance/implementing-cloud-security-principles" TargetMode="External"/><Relationship Id="rId120" Type="http://schemas.openxmlformats.org/officeDocument/2006/relationships/hyperlink" Target="https://www.gov.uk/government/publications/cyber-risk-management-a-board-level-responsibility/10-steps-summary" TargetMode="External"/><Relationship Id="rId125" Type="http://schemas.openxmlformats.org/officeDocument/2006/relationships/hyperlink" Target="https://www.gov.uk/government/publications/technology-code-of-practice/technology-code-of-practice" TargetMode="External"/><Relationship Id="rId141" Type="http://schemas.openxmlformats.org/officeDocument/2006/relationships/hyperlink" Target="https://www.gov.uk/government/publications/technology-code-of-practice/technology-code-of-practice" TargetMode="External"/><Relationship Id="rId146" Type="http://schemas.openxmlformats.org/officeDocument/2006/relationships/hyperlink" Target="https://www.ncsc.gov.uk/guidance/10-steps-cyber-security" TargetMode="External"/><Relationship Id="rId167" Type="http://schemas.openxmlformats.org/officeDocument/2006/relationships/hyperlink" Target="https://www.gov.uk/guidance/g-cloud-templates-and-legal-documents" TargetMode="External"/><Relationship Id="rId188" Type="http://schemas.openxmlformats.org/officeDocument/2006/relationships/hyperlink" Target="https://www.gov.uk/guidance/g-cloud-templates-and-legal-documents" TargetMode="External"/><Relationship Id="rId7" Type="http://schemas.openxmlformats.org/officeDocument/2006/relationships/image" Target="media/image1.jpg"/><Relationship Id="rId71" Type="http://schemas.openxmlformats.org/officeDocument/2006/relationships/hyperlink" Target="https://www.ncsc.gov.uk/guidance/risk-management-collection" TargetMode="External"/><Relationship Id="rId92" Type="http://schemas.openxmlformats.org/officeDocument/2006/relationships/hyperlink" Target="https://www.gov.uk/government/publications/technology-code-of-practice/technology-code-of-practice" TargetMode="External"/><Relationship Id="rId162" Type="http://schemas.openxmlformats.org/officeDocument/2006/relationships/hyperlink" Target="https://www.gov.uk/guidance/g-cloud-templates-and-legal-documents" TargetMode="External"/><Relationship Id="rId183" Type="http://schemas.openxmlformats.org/officeDocument/2006/relationships/hyperlink" Target="https://www.gov.uk/guidance/g-cloud-templates-and-legal-documents" TargetMode="External"/><Relationship Id="rId213" Type="http://schemas.openxmlformats.org/officeDocument/2006/relationships/hyperlink" Target="https://www.digitalmarketplace.service.gov.uk/" TargetMode="External"/><Relationship Id="rId218" Type="http://schemas.openxmlformats.org/officeDocument/2006/relationships/hyperlink" Target="http://tools.hmrc.gov.uk/esi" TargetMode="External"/><Relationship Id="rId234" Type="http://schemas.openxmlformats.org/officeDocument/2006/relationships/hyperlink" Target="https://www.gov.uk/service-manual/agile-delivery/spend-controls-check-if-you-need-approval-to-spend-money-on-a-service" TargetMode="External"/><Relationship Id="rId239"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gov.uk/government/publications/security-policy-framework" TargetMode="External"/><Relationship Id="rId250" Type="http://schemas.openxmlformats.org/officeDocument/2006/relationships/hyperlink" Target="https://www.gov.uk/service-manual/agile-delivery/spend-controls-check-if-you-need-approval-to-spend-money-on-a-service" TargetMode="External"/><Relationship Id="rId255"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security-policy-framework" TargetMode="External"/><Relationship Id="rId40" Type="http://schemas.openxmlformats.org/officeDocument/2006/relationships/hyperlink" Target="https://www.gov.uk/government/publications/government-security-classifications" TargetMode="External"/><Relationship Id="rId45" Type="http://schemas.openxmlformats.org/officeDocument/2006/relationships/hyperlink" Target="https://www.cpni.gov.uk/content/adopt-risk-management-approach" TargetMode="External"/><Relationship Id="rId66" Type="http://schemas.openxmlformats.org/officeDocument/2006/relationships/hyperlink" Target="https://www.cpni.gov.uk/protection-sensitive-information-and-asset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ncsc.gov.uk/guidance/implementing-cloud-security-principles" TargetMode="External"/><Relationship Id="rId115" Type="http://schemas.openxmlformats.org/officeDocument/2006/relationships/hyperlink" Target="https://www.gov.uk/government/publications/cyber-risk-management-a-board-level-responsibility/10-steps-summary" TargetMode="External"/><Relationship Id="rId131" Type="http://schemas.openxmlformats.org/officeDocument/2006/relationships/hyperlink" Target="https://www.gov.uk/government/publications/technology-code-of-practice/technology-code-of-practice" TargetMode="External"/><Relationship Id="rId136" Type="http://schemas.openxmlformats.org/officeDocument/2006/relationships/hyperlink" Target="https://www.gov.uk/government/publications/technology-code-of-practice/technology-code-of-practice" TargetMode="External"/><Relationship Id="rId157" Type="http://schemas.openxmlformats.org/officeDocument/2006/relationships/hyperlink" Target="https://www.ncsc.gov.uk/guidance/10-steps-cyber-security" TargetMode="External"/><Relationship Id="rId178" Type="http://schemas.openxmlformats.org/officeDocument/2006/relationships/hyperlink" Target="https://www.gov.uk/guidance/g-cloud-templates-and-legal-documents" TargetMode="External"/><Relationship Id="rId61" Type="http://schemas.openxmlformats.org/officeDocument/2006/relationships/hyperlink" Target="https://www.cpni.gov.uk/protection-sensitive-information-and-assets" TargetMode="External"/><Relationship Id="rId82" Type="http://schemas.openxmlformats.org/officeDocument/2006/relationships/hyperlink" Target="https://www.cesg.gov.uk/risk-management-collection" TargetMode="External"/><Relationship Id="rId152" Type="http://schemas.openxmlformats.org/officeDocument/2006/relationships/hyperlink" Target="https://www.ncsc.gov.uk/guidance/10-steps-cyber-security" TargetMode="External"/><Relationship Id="rId173" Type="http://schemas.openxmlformats.org/officeDocument/2006/relationships/hyperlink" Target="https://www.gov.uk/guidance/g-cloud-templates-and-legal-documents" TargetMode="External"/><Relationship Id="rId194" Type="http://schemas.openxmlformats.org/officeDocument/2006/relationships/hyperlink" Target="https://www.gov.uk/guidance/g-cloud-templates-and-legal-documents" TargetMode="External"/><Relationship Id="rId199" Type="http://schemas.openxmlformats.org/officeDocument/2006/relationships/hyperlink" Target="https://www.gov.uk/guidance/g-cloud-templates-and-legal-documents" TargetMode="External"/><Relationship Id="rId203" Type="http://schemas.openxmlformats.org/officeDocument/2006/relationships/hyperlink" Target="https://www.gov.uk/guidance/g-cloud-templates-and-legal-documents" TargetMode="External"/><Relationship Id="rId208" Type="http://schemas.openxmlformats.org/officeDocument/2006/relationships/hyperlink" Target="https://www.gov.uk/guidance/g-cloud-templates-and-legal-documents" TargetMode="External"/><Relationship Id="rId229"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eader" Target="header6.xml"/><Relationship Id="rId224" Type="http://schemas.openxmlformats.org/officeDocument/2006/relationships/hyperlink" Target="https://www.gov.uk/service-manual/agile-delivery/spend-controls-check-if-you-need-approval-to-spend-money-on-a-service" TargetMode="External"/><Relationship Id="rId240" Type="http://schemas.openxmlformats.org/officeDocument/2006/relationships/hyperlink" Target="https://www.gov.uk/service-manual/agile-delivery/spend-controls-check-if-you-need-approval-to-spend-money-on-a-service" TargetMode="External"/><Relationship Id="rId245" Type="http://schemas.openxmlformats.org/officeDocument/2006/relationships/hyperlink" Target="https://www.gov.uk/service-manual/agile-delivery/spend-controls-check-if-you-need-approval-to-spend-money-on-a-service" TargetMode="External"/><Relationship Id="rId261" Type="http://schemas.openxmlformats.org/officeDocument/2006/relationships/hyperlink" Target="https://www.gov.uk/service-manual/agile-delivery/spend-controls-check-if-you-need-approval-to-spend-money-on-a-service" TargetMode="External"/><Relationship Id="rId266" Type="http://schemas.openxmlformats.org/officeDocument/2006/relationships/footer" Target="footer8.xml"/><Relationship Id="rId14" Type="http://schemas.openxmlformats.org/officeDocument/2006/relationships/footer" Target="footer3.xml"/><Relationship Id="rId30" Type="http://schemas.openxmlformats.org/officeDocument/2006/relationships/hyperlink" Target="https://www.gov.uk/government/publications/security-policy-framework" TargetMode="External"/><Relationship Id="rId35" Type="http://schemas.openxmlformats.org/officeDocument/2006/relationships/hyperlink" Target="https://www.gov.uk/government/publications/government-security-classifications" TargetMode="External"/><Relationship Id="rId56" Type="http://schemas.openxmlformats.org/officeDocument/2006/relationships/hyperlink" Target="https://www.cpni.gov.uk/protection-sensitive-information-and-assets" TargetMode="External"/><Relationship Id="rId77" Type="http://schemas.openxmlformats.org/officeDocument/2006/relationships/hyperlink" Target="https://www.ncsc.gov.uk/guidance/risk-management-collection" TargetMode="External"/><Relationship Id="rId100" Type="http://schemas.openxmlformats.org/officeDocument/2006/relationships/hyperlink" Target="https://www.gov.uk/government/publications/technology-code-of-practice/technology-code-of-practice" TargetMode="External"/><Relationship Id="rId105" Type="http://schemas.openxmlformats.org/officeDocument/2006/relationships/hyperlink" Target="https://www.ncsc.gov.uk/guidance/implementing-cloud-security-principles" TargetMode="External"/><Relationship Id="rId126" Type="http://schemas.openxmlformats.org/officeDocument/2006/relationships/hyperlink" Target="https://www.gov.uk/government/publications/technology-code-of-practice/technology-code-of-practice" TargetMode="External"/><Relationship Id="rId147" Type="http://schemas.openxmlformats.org/officeDocument/2006/relationships/hyperlink" Target="https://www.ncsc.gov.uk/guidance/10-steps-cyber-security" TargetMode="External"/><Relationship Id="rId168" Type="http://schemas.openxmlformats.org/officeDocument/2006/relationships/hyperlink" Target="https://www.gov.uk/guidance/g-cloud-templates-and-legal-documents" TargetMode="External"/><Relationship Id="rId8" Type="http://schemas.openxmlformats.org/officeDocument/2006/relationships/image" Target="media/image2.jpg"/><Relationship Id="rId51" Type="http://schemas.openxmlformats.org/officeDocument/2006/relationships/hyperlink" Target="https://www.cpni.gov.uk/content/adopt-risk-management-approach" TargetMode="External"/><Relationship Id="rId72" Type="http://schemas.openxmlformats.org/officeDocument/2006/relationships/hyperlink" Target="https://www.ncsc.gov.uk/guidance/risk-management-collection"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gov.uk/government/publications/technology-code-of-practice/technology-code-of-practice" TargetMode="External"/><Relationship Id="rId121" Type="http://schemas.openxmlformats.org/officeDocument/2006/relationships/hyperlink" Target="https://www.gov.uk/government/publications/cyber-risk-management-a-board-level-responsibility/10-steps-summary" TargetMode="External"/><Relationship Id="rId142" Type="http://schemas.openxmlformats.org/officeDocument/2006/relationships/hyperlink" Target="https://www.gov.uk/government/publications/cyber-risk-management-a-board-level-responsibility/10-steps-summary" TargetMode="External"/><Relationship Id="rId163" Type="http://schemas.openxmlformats.org/officeDocument/2006/relationships/hyperlink" Target="https://www.gov.uk/guidance/g-cloud-templates-and-legal-documents" TargetMode="External"/><Relationship Id="rId184" Type="http://schemas.openxmlformats.org/officeDocument/2006/relationships/hyperlink" Target="https://www.gov.uk/guidance/g-cloud-templates-and-legal-documents" TargetMode="External"/><Relationship Id="rId189" Type="http://schemas.openxmlformats.org/officeDocument/2006/relationships/hyperlink" Target="https://www.gov.uk/guidance/g-cloud-templates-and-legal-documents" TargetMode="External"/><Relationship Id="rId219" Type="http://schemas.openxmlformats.org/officeDocument/2006/relationships/hyperlink" Target="http://tools.hmrc.gov.uk/esi" TargetMode="External"/><Relationship Id="rId3" Type="http://schemas.openxmlformats.org/officeDocument/2006/relationships/settings" Target="settings.xml"/><Relationship Id="rId214" Type="http://schemas.openxmlformats.org/officeDocument/2006/relationships/hyperlink" Target="https://www.digitalmarketplace.service.gov.uk/" TargetMode="External"/><Relationship Id="rId230" Type="http://schemas.openxmlformats.org/officeDocument/2006/relationships/hyperlink" Target="https://www.gov.uk/service-manual/agile-delivery/spend-controls-check-if-you-need-approval-to-spend-money-on-a-service" TargetMode="External"/><Relationship Id="rId235" Type="http://schemas.openxmlformats.org/officeDocument/2006/relationships/hyperlink" Target="https://www.gov.uk/service-manual/agile-delivery/spend-controls-check-if-you-need-approval-to-spend-money-on-a-service" TargetMode="External"/><Relationship Id="rId251" Type="http://schemas.openxmlformats.org/officeDocument/2006/relationships/hyperlink" Target="https://www.gov.uk/service-manual/agile-delivery/spend-controls-check-if-you-need-approval-to-spend-money-on-a-service" TargetMode="External"/><Relationship Id="rId256" Type="http://schemas.openxmlformats.org/officeDocument/2006/relationships/hyperlink" Target="https://www.gov.uk/service-manual/agile-delivery/spend-controls-check-if-you-need-approval-to-spend-money-on-a-service" TargetMode="External"/><Relationship Id="rId25" Type="http://schemas.openxmlformats.org/officeDocument/2006/relationships/hyperlink" Target="https://www.gov.uk/government/publications/security-policy-framework" TargetMode="External"/><Relationship Id="rId46" Type="http://schemas.openxmlformats.org/officeDocument/2006/relationships/hyperlink" Target="https://www.cpni.gov.uk/content/adopt-risk-management-approach" TargetMode="Externa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gov.uk/government/publications/cyber-risk-management-a-board-level-responsibility/10-steps-summary" TargetMode="External"/><Relationship Id="rId137" Type="http://schemas.openxmlformats.org/officeDocument/2006/relationships/hyperlink" Target="https://www.gov.uk/government/publications/technology-code-of-practice/technology-code-of-practice" TargetMode="External"/><Relationship Id="rId158" Type="http://schemas.openxmlformats.org/officeDocument/2006/relationships/hyperlink" Target="https://www.gov.uk/guidance/g-cloud-templates-and-legal-documents" TargetMode="External"/><Relationship Id="rId20" Type="http://schemas.openxmlformats.org/officeDocument/2006/relationships/footer" Target="footer6.xml"/><Relationship Id="rId41" Type="http://schemas.openxmlformats.org/officeDocument/2006/relationships/hyperlink" Target="https://www.cpni.gov.uk/content/adopt-risk-management-approach" TargetMode="External"/><Relationship Id="rId62" Type="http://schemas.openxmlformats.org/officeDocument/2006/relationships/hyperlink" Target="https://www.cpni.gov.uk/protection-sensitive-information-and-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ncsc.gov.uk/guidance/implementing-cloud-security-principles" TargetMode="External"/><Relationship Id="rId132" Type="http://schemas.openxmlformats.org/officeDocument/2006/relationships/hyperlink" Target="https://www.gov.uk/government/publications/technology-code-of-practice/technology-code-of-practice" TargetMode="External"/><Relationship Id="rId153" Type="http://schemas.openxmlformats.org/officeDocument/2006/relationships/hyperlink" Target="https://www.ncsc.gov.uk/guidance/10-steps-cyber-security" TargetMode="External"/><Relationship Id="rId174" Type="http://schemas.openxmlformats.org/officeDocument/2006/relationships/hyperlink" Target="https://www.gov.uk/guidance/g-cloud-templates-and-legal-documents" TargetMode="External"/><Relationship Id="rId179" Type="http://schemas.openxmlformats.org/officeDocument/2006/relationships/hyperlink" Target="https://www.gov.uk/guidance/g-cloud-templates-and-legal-documents" TargetMode="External"/><Relationship Id="rId195" Type="http://schemas.openxmlformats.org/officeDocument/2006/relationships/hyperlink" Target="https://www.gov.uk/guidance/g-cloud-templates-and-legal-documents" TargetMode="External"/><Relationship Id="rId209" Type="http://schemas.openxmlformats.org/officeDocument/2006/relationships/hyperlink" Target="https://www.gov.uk/guidance/g-cloud-templates-and-legal-documents" TargetMode="External"/><Relationship Id="rId190" Type="http://schemas.openxmlformats.org/officeDocument/2006/relationships/hyperlink" Target="https://www.gov.uk/guidance/g-cloud-templates-and-legal-documents" TargetMode="External"/><Relationship Id="rId204" Type="http://schemas.openxmlformats.org/officeDocument/2006/relationships/hyperlink" Target="https://www.gov.uk/guidance/g-cloud-templates-and-legal-documents" TargetMode="External"/><Relationship Id="rId220" Type="http://schemas.openxmlformats.org/officeDocument/2006/relationships/hyperlink" Target="https://www.gov.uk/service-manual/agile-delivery/spend-controls-check-if-you-need-approval-to-spend-money-on-a-service" TargetMode="External"/><Relationship Id="rId225" Type="http://schemas.openxmlformats.org/officeDocument/2006/relationships/hyperlink" Target="https://www.gov.uk/service-manual/agile-delivery/spend-controls-check-if-you-need-approval-to-spend-money-on-a-service" TargetMode="External"/><Relationship Id="rId241" Type="http://schemas.openxmlformats.org/officeDocument/2006/relationships/hyperlink" Target="https://www.gov.uk/service-manual/agile-delivery/spend-controls-check-if-you-need-approval-to-spend-money-on-a-service" TargetMode="External"/><Relationship Id="rId246" Type="http://schemas.openxmlformats.org/officeDocument/2006/relationships/hyperlink" Target="https://www.gov.uk/service-manual/agile-delivery/spend-controls-check-if-you-need-approval-to-spend-money-on-a-service" TargetMode="External"/><Relationship Id="rId267" Type="http://schemas.openxmlformats.org/officeDocument/2006/relationships/header" Target="header9.xml"/><Relationship Id="rId15" Type="http://schemas.openxmlformats.org/officeDocument/2006/relationships/header" Target="header4.xml"/><Relationship Id="rId36" Type="http://schemas.openxmlformats.org/officeDocument/2006/relationships/hyperlink" Target="https://www.gov.uk/government/publications/government-security-classifications" TargetMode="External"/><Relationship Id="rId57" Type="http://schemas.openxmlformats.org/officeDocument/2006/relationships/hyperlink" Target="https://www.cpni.gov.uk/protection-sensitive-information-and-assets" TargetMode="External"/><Relationship Id="rId106" Type="http://schemas.openxmlformats.org/officeDocument/2006/relationships/hyperlink" Target="https://www.ncsc.gov.uk/guidance/implementing-cloud-security-principles" TargetMode="External"/><Relationship Id="rId127" Type="http://schemas.openxmlformats.org/officeDocument/2006/relationships/hyperlink" Target="https://www.gov.uk/government/publications/technology-code-of-practice/technology-code-of-practice" TargetMode="External"/><Relationship Id="rId262"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eader" Target="header2.xml"/><Relationship Id="rId31" Type="http://schemas.openxmlformats.org/officeDocument/2006/relationships/hyperlink" Target="https://www.gov.uk/government/publications/government-security-classifications" TargetMode="External"/><Relationship Id="rId52" Type="http://schemas.openxmlformats.org/officeDocument/2006/relationships/hyperlink" Target="https://www.cpni.gov.uk/content/adopt-risk-management-approach" TargetMode="External"/><Relationship Id="rId73" Type="http://schemas.openxmlformats.org/officeDocument/2006/relationships/hyperlink" Target="https://www.ncsc.gov.uk/guidance/risk-management-collection" TargetMode="External"/><Relationship Id="rId78" Type="http://schemas.openxmlformats.org/officeDocument/2006/relationships/hyperlink" Target="https://www.cesg.gov.uk/risk-management-collection"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gov.uk/government/publications/technology-code-of-practice/technology-code-of-practice" TargetMode="External"/><Relationship Id="rId101" Type="http://schemas.openxmlformats.org/officeDocument/2006/relationships/hyperlink" Target="https://www.gov.uk/government/publications/technology-code-of-practice/technology-code-of-practice" TargetMode="External"/><Relationship Id="rId122" Type="http://schemas.openxmlformats.org/officeDocument/2006/relationships/hyperlink" Target="https://www.gov.uk/government/publications/technology-code-of-practice/technology-code-of-practice" TargetMode="External"/><Relationship Id="rId143" Type="http://schemas.openxmlformats.org/officeDocument/2006/relationships/hyperlink" Target="https://www.gov.uk/government/publications/cyber-risk-management-a-board-level-responsibility/10-steps-summary" TargetMode="External"/><Relationship Id="rId148" Type="http://schemas.openxmlformats.org/officeDocument/2006/relationships/hyperlink" Target="https://www.ncsc.gov.uk/guidance/10-steps-cyber-security" TargetMode="External"/><Relationship Id="rId164" Type="http://schemas.openxmlformats.org/officeDocument/2006/relationships/hyperlink" Target="https://www.gov.uk/guidance/g-cloud-templates-and-legal-documents" TargetMode="External"/><Relationship Id="rId169" Type="http://schemas.openxmlformats.org/officeDocument/2006/relationships/hyperlink" Target="https://www.gov.uk/guidance/g-cloud-templates-and-legal-documents" TargetMode="External"/><Relationship Id="rId185" Type="http://schemas.openxmlformats.org/officeDocument/2006/relationships/hyperlink" Target="https://www.gov.uk/guidance/g-cloud-templates-and-legal-documents" TargetMode="Externa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yperlink" Target="https://www.gov.uk/guidance/g-cloud-templates-and-legal-documents" TargetMode="External"/><Relationship Id="rId210" Type="http://schemas.openxmlformats.org/officeDocument/2006/relationships/hyperlink" Target="https://www.gov.uk/guidance/g-cloud-templates-and-legal-documents" TargetMode="External"/><Relationship Id="rId215" Type="http://schemas.openxmlformats.org/officeDocument/2006/relationships/hyperlink" Target="http://tools.hmrc.gov.uk/esi" TargetMode="External"/><Relationship Id="rId236" Type="http://schemas.openxmlformats.org/officeDocument/2006/relationships/hyperlink" Target="https://www.gov.uk/service-manual/agile-delivery/spend-controls-check-if-you-need-approval-to-spend-money-on-a-service" TargetMode="External"/><Relationship Id="rId257"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government/publications/security-policy-framework" TargetMode="External"/><Relationship Id="rId231" Type="http://schemas.openxmlformats.org/officeDocument/2006/relationships/hyperlink" Target="https://www.gov.uk/service-manual/agile-delivery/spend-controls-check-if-you-need-approval-to-spend-money-on-a-service" TargetMode="External"/><Relationship Id="rId252"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www.cpni.gov.uk/content/adopt-risk-management-approach" TargetMode="External"/><Relationship Id="rId68" Type="http://schemas.openxmlformats.org/officeDocument/2006/relationships/hyperlink" Target="https://www.ncsc.gov.uk/guidance/risk-management-collection"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ncsc.gov.uk/guidance/implementing-cloud-security-principles" TargetMode="External"/><Relationship Id="rId133" Type="http://schemas.openxmlformats.org/officeDocument/2006/relationships/hyperlink" Target="https://www.gov.uk/government/publications/technology-code-of-practice/technology-code-of-practice" TargetMode="External"/><Relationship Id="rId154" Type="http://schemas.openxmlformats.org/officeDocument/2006/relationships/hyperlink" Target="https://www.ncsc.gov.uk/guidance/10-steps-cyber-security" TargetMode="External"/><Relationship Id="rId175" Type="http://schemas.openxmlformats.org/officeDocument/2006/relationships/hyperlink" Target="https://www.gov.uk/guidance/g-cloud-templates-and-legal-documents" TargetMode="External"/><Relationship Id="rId196" Type="http://schemas.openxmlformats.org/officeDocument/2006/relationships/hyperlink" Target="https://www.gov.uk/guidance/g-cloud-templates-and-legal-documents" TargetMode="External"/><Relationship Id="rId200" Type="http://schemas.openxmlformats.org/officeDocument/2006/relationships/hyperlink" Target="https://www.gov.uk/guidance/g-cloud-templates-and-legal-documents" TargetMode="External"/><Relationship Id="rId16" Type="http://schemas.openxmlformats.org/officeDocument/2006/relationships/header" Target="header5.xml"/><Relationship Id="rId221" Type="http://schemas.openxmlformats.org/officeDocument/2006/relationships/hyperlink" Target="https://www.gov.uk/service-manual/agile-delivery/spend-controls-check-if-you-need-approval-to-spend-money-on-a-service" TargetMode="External"/><Relationship Id="rId242" Type="http://schemas.openxmlformats.org/officeDocument/2006/relationships/hyperlink" Target="https://www.gov.uk/service-manual/agile-delivery/spend-controls-check-if-you-need-approval-to-spend-money-on-a-service" TargetMode="External"/><Relationship Id="rId263" Type="http://schemas.openxmlformats.org/officeDocument/2006/relationships/header" Target="header7.xml"/><Relationship Id="rId37" Type="http://schemas.openxmlformats.org/officeDocument/2006/relationships/hyperlink" Target="https://www.gov.uk/government/publications/government-security-classifications" TargetMode="External"/><Relationship Id="rId58" Type="http://schemas.openxmlformats.org/officeDocument/2006/relationships/hyperlink" Target="https://www.cpni.gov.uk/protection-sensitive-information-and-assets" TargetMode="External"/><Relationship Id="rId79" Type="http://schemas.openxmlformats.org/officeDocument/2006/relationships/hyperlink" Target="https://www.cesg.gov.uk/risk-management-collection" TargetMode="External"/><Relationship Id="rId102" Type="http://schemas.openxmlformats.org/officeDocument/2006/relationships/hyperlink" Target="https://www.gov.uk/government/publications/technology-code-of-practice/technology-code-of-practice" TargetMode="External"/><Relationship Id="rId123" Type="http://schemas.openxmlformats.org/officeDocument/2006/relationships/hyperlink" Target="https://www.gov.uk/government/publications/technology-code-of-practice/technology-code-of-practice" TargetMode="External"/><Relationship Id="rId144" Type="http://schemas.openxmlformats.org/officeDocument/2006/relationships/hyperlink" Target="https://www.gov.uk/government/publications/cyber-risk-management-a-board-level-responsibility/10-steps-summary" TargetMode="External"/><Relationship Id="rId90" Type="http://schemas.openxmlformats.org/officeDocument/2006/relationships/hyperlink" Target="https://www.gov.uk/government/publications/technology-code-of-practice/technology-code-of-practice" TargetMode="External"/><Relationship Id="rId165" Type="http://schemas.openxmlformats.org/officeDocument/2006/relationships/hyperlink" Target="https://www.gov.uk/guidance/g-cloud-templates-and-legal-documents" TargetMode="External"/><Relationship Id="rId186" Type="http://schemas.openxmlformats.org/officeDocument/2006/relationships/hyperlink" Target="https://www.gov.uk/guidance/g-cloud-templates-and-legal-documents" TargetMode="External"/><Relationship Id="rId211" Type="http://schemas.openxmlformats.org/officeDocument/2006/relationships/hyperlink" Target="https://www.digitalmarketplace.service.gov.uk/" TargetMode="External"/><Relationship Id="rId232" Type="http://schemas.openxmlformats.org/officeDocument/2006/relationships/hyperlink" Target="https://www.gov.uk/service-manual/agile-delivery/spend-controls-check-if-you-need-approval-to-spend-money-on-a-service" TargetMode="External"/><Relationship Id="rId253"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government/publications/security-policy-framework" TargetMode="External"/><Relationship Id="rId48" Type="http://schemas.openxmlformats.org/officeDocument/2006/relationships/hyperlink" Target="https://www.cpni.gov.uk/content/adopt-risk-management-approach" TargetMode="External"/><Relationship Id="rId69" Type="http://schemas.openxmlformats.org/officeDocument/2006/relationships/hyperlink" Target="https://www.ncsc.gov.uk/guidance/risk-management-collection" TargetMode="External"/><Relationship Id="rId113" Type="http://schemas.openxmlformats.org/officeDocument/2006/relationships/hyperlink" Target="https://www.ncsc.gov.uk/guidance/implementing-cloud-security-principles" TargetMode="External"/><Relationship Id="rId134" Type="http://schemas.openxmlformats.org/officeDocument/2006/relationships/hyperlink" Target="https://www.gov.uk/government/publications/technology-code-of-practice/technology-code-of-practice" TargetMode="External"/><Relationship Id="rId80" Type="http://schemas.openxmlformats.org/officeDocument/2006/relationships/hyperlink" Target="https://www.cesg.gov.uk/risk-management-collection" TargetMode="External"/><Relationship Id="rId155" Type="http://schemas.openxmlformats.org/officeDocument/2006/relationships/hyperlink" Target="https://www.ncsc.gov.uk/guidance/10-steps-cyber-security" TargetMode="External"/><Relationship Id="rId176" Type="http://schemas.openxmlformats.org/officeDocument/2006/relationships/hyperlink" Target="https://www.gov.uk/guidance/g-cloud-templates-and-legal-documents" TargetMode="External"/><Relationship Id="rId197" Type="http://schemas.openxmlformats.org/officeDocument/2006/relationships/hyperlink" Target="https://www.gov.uk/guidance/g-cloud-templates-and-legal-documents" TargetMode="External"/><Relationship Id="rId201" Type="http://schemas.openxmlformats.org/officeDocument/2006/relationships/hyperlink" Target="https://www.gov.uk/guidance/g-cloud-templates-and-legal-documents" TargetMode="External"/><Relationship Id="rId222" Type="http://schemas.openxmlformats.org/officeDocument/2006/relationships/hyperlink" Target="https://www.gov.uk/service-manual/agile-delivery/spend-controls-check-if-you-need-approval-to-spend-money-on-a-service" TargetMode="External"/><Relationship Id="rId243" Type="http://schemas.openxmlformats.org/officeDocument/2006/relationships/hyperlink" Target="https://www.gov.uk/service-manual/agile-delivery/spend-controls-check-if-you-need-approval-to-spend-money-on-a-service" TargetMode="External"/><Relationship Id="rId264" Type="http://schemas.openxmlformats.org/officeDocument/2006/relationships/header" Target="header8.xml"/><Relationship Id="rId17" Type="http://schemas.openxmlformats.org/officeDocument/2006/relationships/footer" Target="footer4.xml"/><Relationship Id="rId38" Type="http://schemas.openxmlformats.org/officeDocument/2006/relationships/hyperlink" Target="https://www.gov.uk/government/publications/government-security-classifications" TargetMode="External"/><Relationship Id="rId59" Type="http://schemas.openxmlformats.org/officeDocument/2006/relationships/hyperlink" Target="https://www.cpni.gov.uk/protection-sensitive-information-and-assets" TargetMode="External"/><Relationship Id="rId103" Type="http://schemas.openxmlformats.org/officeDocument/2006/relationships/hyperlink" Target="https://www.ncsc.gov.uk/guidance/implementing-cloud-security-principles" TargetMode="External"/><Relationship Id="rId124"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ncsc.gov.uk/guidance/risk-management-collection" TargetMode="External"/><Relationship Id="rId91" Type="http://schemas.openxmlformats.org/officeDocument/2006/relationships/hyperlink" Target="https://www.gov.uk/government/publications/technology-code-of-practice/technology-code-of-practice" TargetMode="External"/><Relationship Id="rId145" Type="http://schemas.openxmlformats.org/officeDocument/2006/relationships/hyperlink" Target="https://www.ncsc.gov.uk/guidance/10-steps-cyber-security" TargetMode="External"/><Relationship Id="rId166" Type="http://schemas.openxmlformats.org/officeDocument/2006/relationships/hyperlink" Target="https://www.gov.uk/guidance/g-cloud-templates-and-legal-documents" TargetMode="External"/><Relationship Id="rId187" Type="http://schemas.openxmlformats.org/officeDocument/2006/relationships/hyperlink" Target="https://www.gov.uk/guidance/g-cloud-templates-and-legal-documents" TargetMode="External"/><Relationship Id="rId1" Type="http://schemas.openxmlformats.org/officeDocument/2006/relationships/numbering" Target="numbering.xml"/><Relationship Id="rId212" Type="http://schemas.openxmlformats.org/officeDocument/2006/relationships/hyperlink" Target="https://www.digitalmarketplace.service.gov.uk/" TargetMode="External"/><Relationship Id="rId233" Type="http://schemas.openxmlformats.org/officeDocument/2006/relationships/hyperlink" Target="https://www.gov.uk/service-manual/agile-delivery/spend-controls-check-if-you-need-approval-to-spend-money-on-a-service" TargetMode="External"/><Relationship Id="rId254"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15662</Words>
  <Characters>89278</Characters>
  <Application>Microsoft Office Word</Application>
  <DocSecurity>0</DocSecurity>
  <Lines>743</Lines>
  <Paragraphs>209</Paragraphs>
  <ScaleCrop>false</ScaleCrop>
  <Company/>
  <LinksUpToDate>false</LinksUpToDate>
  <CharactersWithSpaces>104731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2019-02-18T10:06:00Z</dcterms:created>
  <dcterms:modified xsi:type="dcterms:W3CDTF">2019-02-18T10:06:00Z</dcterms:modified>
</cp:coreProperties>
</file>