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54" w:lineRule="auto"/>
        <w:ind w:left="720" w:firstLine="2268"/>
        <w:rPr>
          <w:rFonts w:ascii="Arial" w:cs="Arial" w:eastAsia="Arial" w:hAnsi="Arial"/>
        </w:rPr>
      </w:pPr>
      <w:bookmarkStart w:colFirst="0" w:colLast="0" w:name="_heading=h.2s8eyo1"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187450" cy="9271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sz w:val="40"/>
          <w:szCs w:val="40"/>
          <w:rtl w:val="0"/>
        </w:rPr>
        <w:t xml:space="preserve">RM6244 Purchase of Standard and Specialist Vehicles</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1ci93x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What you need to know</w:t>
              <w:tab/>
              <w:t xml:space="preserve">6</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The opportunity</w:t>
              <w:tab/>
              <w:t xml:space="preserve">7</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What a Framework is</w:t>
              <w:tab/>
              <w:t xml:space="preserve">8</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Who can bid</w:t>
              <w:tab/>
              <w:t xml:space="preserve">9</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Timelines for the competition</w:t>
              <w:tab/>
              <w:t xml:space="preserve">10</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tab/>
              <w:t xml:space="preserve">When and how to ask questions</w:t>
              <w:tab/>
              <w:t xml:space="preserve">10</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tab/>
              <w:t xml:space="preserve">Management information and management charge</w:t>
              <w:tab/>
              <w:t xml:space="preserve">11</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tab/>
              <w:t xml:space="preserve">Transfer of Undertakings (Protection of Employment) Regulations 2006 (“TUPE”)</w:t>
              <w:tab/>
              <w:t xml:space="preserve">11</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tab/>
              <w:t xml:space="preserve">How the Framework is structured</w:t>
              <w:tab/>
              <w:t xml:space="preserve">16</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563c1"/>
              <w:sz w:val="24"/>
              <w:szCs w:val="24"/>
              <w:u w:val="single"/>
              <w:shd w:fill="auto" w:val="clear"/>
              <w:vertAlign w:val="baseline"/>
            </w:rPr>
          </w:pPr>
          <w:hyperlink w:anchor="_heading=h.ihv6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Additional information</w:t>
              <w:tab/>
              <w:t xml:space="preserve">21</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563c1"/>
              <w:sz w:val="24"/>
              <w:szCs w:val="24"/>
              <w:u w:val="single"/>
              <w:shd w:fill="auto" w:val="clear"/>
              <w:vertAlign w:val="baseline"/>
            </w:rPr>
          </w:pPr>
          <w:hyperlink w:anchor="_heading=h.32hioq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tab/>
              <w:t xml:space="preserve">The Armed Forces Covenant</w:t>
              <w:tab/>
              <w:t xml:space="preserve">22</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rPr>
          <w:sz w:val="24"/>
          <w:szCs w:val="24"/>
        </w:rPr>
      </w:pPr>
      <w:bookmarkStart w:colFirst="0" w:colLast="0" w:name="_heading=h.2xcytpi" w:id="1"/>
      <w:bookmarkEnd w:id="1"/>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spacing w:after="120" w:before="120" w:line="240" w:lineRule="auto"/>
        <w:ind w:left="357" w:firstLine="0"/>
        <w:rPr>
          <w:rFonts w:ascii="Arial" w:cs="Arial" w:eastAsia="Arial" w:hAnsi="Arial"/>
          <w:b w:val="1"/>
          <w:color w:val="000000"/>
        </w:rPr>
      </w:pPr>
      <w:bookmarkStart w:colFirst="0" w:colLast="0" w:name="_heading=h.1ci93xb" w:id="2"/>
      <w:bookmarkEnd w:id="2"/>
      <w:r w:rsidDel="00000000" w:rsidR="00000000" w:rsidRPr="00000000">
        <w:rPr>
          <w:rFonts w:ascii="Arial" w:cs="Arial" w:eastAsia="Arial" w:hAnsi="Arial"/>
          <w:b w:val="1"/>
          <w:color w:val="000000"/>
          <w:rtl w:val="0"/>
        </w:rPr>
        <w:t xml:space="preserve">Welcome</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RM6244 Purchase of Standard and Specialist Vehicles.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in divided into two main parts:</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3">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4">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6">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28">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Suite (qualification envelope)</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Certificate of Past Performance</w:t>
      </w:r>
      <w:r w:rsidDel="00000000" w:rsidR="00000000" w:rsidRPr="00000000">
        <w:rPr>
          <w:rFonts w:ascii="Arial" w:cs="Arial" w:eastAsia="Arial" w:hAnsi="Arial"/>
          <w:sz w:val="24"/>
          <w:szCs w:val="24"/>
          <w:rtl w:val="0"/>
        </w:rPr>
        <w:t xml:space="preserve"> – you must get your customer to populate this attachment for your contract example. You must then attach each certificate to the relevant selection questions in the eSourcing Suite (qualification envelope).</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Suite (commercial envelope)</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Suite (qualification envelope). </w:t>
      </w:r>
    </w:p>
    <w:p w:rsidR="00000000" w:rsidDel="00000000" w:rsidP="00000000" w:rsidRDefault="00000000" w:rsidRPr="00000000" w14:paraId="0000003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5 Financial Viability Risk Assessment (FVRA) Guidance – </w:t>
      </w:r>
      <w:r w:rsidDel="00000000" w:rsidR="00000000" w:rsidRPr="00000000">
        <w:rPr>
          <w:rFonts w:ascii="Arial" w:cs="Arial" w:eastAsia="Arial" w:hAnsi="Arial"/>
          <w:sz w:val="24"/>
          <w:szCs w:val="24"/>
          <w:rtl w:val="0"/>
        </w:rPr>
        <w:t xml:space="preserve">for information only. It is important that you read this document before completing Attachment 5a – [Silver] FVRA Tool. Or before being asked to complete Attachment 5b – [Bronze] FVRA Tool.</w:t>
      </w:r>
      <w:r w:rsidDel="00000000" w:rsidR="00000000" w:rsidRPr="00000000">
        <w:rPr>
          <w:rtl w:val="0"/>
        </w:rPr>
      </w:r>
    </w:p>
    <w:p w:rsidR="00000000" w:rsidDel="00000000" w:rsidP="00000000" w:rsidRDefault="00000000" w:rsidRPr="00000000" w14:paraId="0000003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5a Silver FVRA Tool </w:t>
      </w:r>
      <w:r w:rsidDel="00000000" w:rsidR="00000000" w:rsidRPr="00000000">
        <w:rPr>
          <w:rFonts w:ascii="Arial" w:cs="Arial" w:eastAsia="Arial" w:hAnsi="Arial"/>
          <w:sz w:val="24"/>
          <w:szCs w:val="24"/>
          <w:rtl w:val="0"/>
        </w:rPr>
        <w:t xml:space="preserve">– you and each consortium member must complete this and then upload to the relevant questions in Part 5 Financial Risk in the eSourcing tool (qualification envelope). Please read Attachment 5 - Financial Viability Risk Assessment guidance note before completing this document. </w:t>
      </w:r>
      <w:r w:rsidDel="00000000" w:rsidR="00000000" w:rsidRPr="00000000">
        <w:rPr>
          <w:rtl w:val="0"/>
        </w:rPr>
      </w:r>
    </w:p>
    <w:p w:rsidR="00000000" w:rsidDel="00000000" w:rsidP="00000000" w:rsidRDefault="00000000" w:rsidRPr="00000000" w14:paraId="0000003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5b Bronze FVRA Tool </w:t>
      </w:r>
      <w:r w:rsidDel="00000000" w:rsidR="00000000" w:rsidRPr="00000000">
        <w:rPr>
          <w:rFonts w:ascii="Arial" w:cs="Arial" w:eastAsia="Arial" w:hAnsi="Arial"/>
          <w:sz w:val="24"/>
          <w:szCs w:val="24"/>
          <w:rtl w:val="0"/>
        </w:rPr>
        <w:t xml:space="preserve">– If you do not pass the financial threshold as set out in Part 5 Financial Risk of the Selection Questionnaire, you and each consortium member will be asked to complete this and return via the eSourcing portal. Please read Attachment 5 - Financial Viability Risk Assessment guidance note before completing this document. </w:t>
      </w: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1.8.3 in the eSourcing Suite (qualification envelope).</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Subcontracts in your bid and attach to selection question 1.10 in the eSourcing Suite (qualification envelope) </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sz w:val="24"/>
          <w:szCs w:val="24"/>
          <w:rtl w:val="0"/>
        </w:rPr>
        <w:t xml:space="preserve">you do not need to submit this as part of your Bid. This document contains a list of questions and answers relating to our competitions that may be helpful to you. </w:t>
      </w:r>
    </w:p>
    <w:p w:rsidR="00000000" w:rsidDel="00000000" w:rsidP="00000000" w:rsidRDefault="00000000" w:rsidRPr="00000000" w14:paraId="00000037">
      <w:pPr>
        <w:rPr>
          <w:rFonts w:ascii="Arial" w:cs="Arial" w:eastAsia="Arial" w:hAnsi="Arial"/>
          <w:sz w:val="23"/>
          <w:szCs w:val="23"/>
          <w:highlight w:val="white"/>
        </w:rPr>
      </w:pPr>
      <w:r w:rsidDel="00000000" w:rsidR="00000000" w:rsidRPr="00000000">
        <w:rPr>
          <w:rFonts w:ascii="Arial" w:cs="Arial" w:eastAsia="Arial" w:hAnsi="Arial"/>
          <w:b w:val="1"/>
          <w:color w:val="000000"/>
          <w:sz w:val="23"/>
          <w:szCs w:val="23"/>
          <w:highlight w:val="white"/>
          <w:rtl w:val="0"/>
        </w:rPr>
        <w:t xml:space="preserve">Attachment 9</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Letter of intent to guarantee </w:t>
      </w:r>
      <w:r w:rsidDel="00000000" w:rsidR="00000000" w:rsidRPr="00000000">
        <w:rPr>
          <w:rFonts w:ascii="Arial" w:cs="Arial" w:eastAsia="Arial" w:hAnsi="Arial"/>
          <w:color w:val="000000"/>
          <w:sz w:val="23"/>
          <w:szCs w:val="23"/>
          <w:highlight w:val="white"/>
          <w:rtl w:val="0"/>
        </w:rPr>
        <w:t xml:space="preserve">– If at q</w:t>
      </w:r>
      <w:r w:rsidDel="00000000" w:rsidR="00000000" w:rsidRPr="00000000">
        <w:rPr>
          <w:rFonts w:ascii="Arial" w:cs="Arial" w:eastAsia="Arial" w:hAnsi="Arial"/>
          <w:sz w:val="23"/>
          <w:szCs w:val="23"/>
          <w:highlight w:val="white"/>
          <w:rtl w:val="0"/>
        </w:rPr>
        <w:t xml:space="preserve">uestion 1.19</w:t>
      </w:r>
      <w:r w:rsidDel="00000000" w:rsidR="00000000" w:rsidRPr="00000000">
        <w:rPr>
          <w:rFonts w:ascii="Arial" w:cs="Arial" w:eastAsia="Arial" w:hAnsi="Arial"/>
          <w:color w:val="000000"/>
          <w:sz w:val="23"/>
          <w:szCs w:val="23"/>
          <w:highlight w:val="white"/>
          <w:rtl w:val="0"/>
        </w:rPr>
        <w:t xml:space="preserve"> you have confirmed that you would like to nominate a guarantor to provide additional assurance to a Buyer that you will meet their obligations under a Call off contract, you are required to submit the Letter of Intent to Guarantee at questio</w:t>
      </w:r>
      <w:r w:rsidDel="00000000" w:rsidR="00000000" w:rsidRPr="00000000">
        <w:rPr>
          <w:rFonts w:ascii="Arial" w:cs="Arial" w:eastAsia="Arial" w:hAnsi="Arial"/>
          <w:sz w:val="23"/>
          <w:szCs w:val="23"/>
          <w:highlight w:val="white"/>
          <w:rtl w:val="0"/>
        </w:rPr>
        <w:t xml:space="preserve">n 1.19.3 in addition to a Certified copy of the extract of the board minutes and/or resolution of the Guarantor approving the intention to enter into a Letter of Intent to Guarantee at question 1.19.4.</w:t>
      </w:r>
    </w:p>
    <w:p w:rsidR="00000000" w:rsidDel="00000000" w:rsidP="00000000" w:rsidRDefault="00000000" w:rsidRPr="00000000" w14:paraId="00000038">
      <w:pPr>
        <w:rPr>
          <w:rFonts w:ascii="Arial" w:cs="Arial" w:eastAsia="Arial" w:hAnsi="Arial"/>
          <w:color w:val="000000"/>
          <w:sz w:val="23"/>
          <w:szCs w:val="23"/>
          <w:highlight w:val="white"/>
        </w:rPr>
      </w:pPr>
      <w:r w:rsidDel="00000000" w:rsidR="00000000" w:rsidRPr="00000000">
        <w:rPr>
          <w:rFonts w:ascii="Arial" w:cs="Arial" w:eastAsia="Arial" w:hAnsi="Arial"/>
          <w:b w:val="1"/>
          <w:color w:val="000000"/>
          <w:sz w:val="23"/>
          <w:szCs w:val="23"/>
          <w:highlight w:val="white"/>
          <w:rtl w:val="0"/>
        </w:rPr>
        <w:t xml:space="preserve">Attachment 10</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Framework Contract Documents –</w:t>
      </w:r>
      <w:r w:rsidDel="00000000" w:rsidR="00000000" w:rsidRPr="00000000">
        <w:rPr>
          <w:rFonts w:ascii="Arial" w:cs="Arial" w:eastAsia="Arial" w:hAnsi="Arial"/>
          <w:color w:val="000000"/>
          <w:sz w:val="23"/>
          <w:szCs w:val="23"/>
          <w:highlight w:val="white"/>
          <w:rtl w:val="0"/>
        </w:rPr>
        <w:t xml:space="preserve"> this folder forms the Framework Contract and consists of: </w:t>
      </w:r>
    </w:p>
    <w:p w:rsidR="00000000" w:rsidDel="00000000" w:rsidP="00000000" w:rsidRDefault="00000000" w:rsidRPr="00000000" w14:paraId="00000039">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Core terms; </w:t>
      </w:r>
    </w:p>
    <w:p w:rsidR="00000000" w:rsidDel="00000000" w:rsidP="00000000" w:rsidRDefault="00000000" w:rsidRPr="00000000" w14:paraId="0000003A">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Framework schedules; </w:t>
      </w:r>
    </w:p>
    <w:p w:rsidR="00000000" w:rsidDel="00000000" w:rsidP="00000000" w:rsidRDefault="00000000" w:rsidRPr="00000000" w14:paraId="0000003B">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Joint schedules </w:t>
      </w:r>
    </w:p>
    <w:p w:rsidR="00000000" w:rsidDel="00000000" w:rsidP="00000000" w:rsidRDefault="00000000" w:rsidRPr="00000000" w14:paraId="0000003C">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Call Off schedules; and</w:t>
      </w:r>
    </w:p>
    <w:p w:rsidR="00000000" w:rsidDel="00000000" w:rsidP="00000000" w:rsidRDefault="00000000" w:rsidRPr="00000000" w14:paraId="0000003D">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Framework award form (CCS will populate this at framework award)</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1">
      <w:pPr>
        <w:rPr>
          <w:rFonts w:ascii="Arial" w:cs="Arial" w:eastAsia="Arial" w:hAnsi="Arial"/>
          <w:sz w:val="24"/>
          <w:szCs w:val="24"/>
        </w:rPr>
      </w:pPr>
      <w:hyperlink r:id="rId11">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Further to the above, please ensure that you familiarise yourself with the documentation on the framework page at:</w:t>
      </w:r>
    </w:p>
    <w:p w:rsidR="00000000" w:rsidDel="00000000" w:rsidP="00000000" w:rsidRDefault="00000000" w:rsidRPr="00000000" w14:paraId="00000043">
      <w:pPr>
        <w:rPr>
          <w:rFonts w:ascii="Arial" w:cs="Arial" w:eastAsia="Arial" w:hAnsi="Arial"/>
          <w:b w:val="1"/>
          <w:sz w:val="32"/>
          <w:szCs w:val="32"/>
        </w:rPr>
      </w:pPr>
      <w:hyperlink r:id="rId12">
        <w:r w:rsidDel="00000000" w:rsidR="00000000" w:rsidRPr="00000000">
          <w:rPr>
            <w:rFonts w:ascii="Arial" w:cs="Arial" w:eastAsia="Arial" w:hAnsi="Arial"/>
            <w:color w:val="1155cc"/>
            <w:sz w:val="24"/>
            <w:szCs w:val="24"/>
            <w:u w:val="single"/>
            <w:rtl w:val="0"/>
          </w:rPr>
          <w:t xml:space="preserve">https://www.crowncommercial.gov.uk/agreements/RM6244</w:t>
        </w:r>
      </w:hyperlink>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numPr>
          <w:ilvl w:val="0"/>
          <w:numId w:val="6"/>
        </w:numPr>
        <w:spacing w:after="120" w:before="120" w:line="240" w:lineRule="auto"/>
        <w:ind w:left="357" w:hanging="357"/>
        <w:rPr/>
      </w:pPr>
      <w:bookmarkStart w:colFirst="0" w:colLast="0" w:name="_heading=h.3whwml4" w:id="3"/>
      <w:bookmarkEnd w:id="3"/>
      <w:r w:rsidDel="00000000" w:rsidR="00000000" w:rsidRPr="00000000">
        <w:rPr>
          <w:rFonts w:ascii="Arial" w:cs="Arial" w:eastAsia="Arial" w:hAnsi="Arial"/>
          <w:b w:val="1"/>
          <w:color w:val="000000"/>
          <w:rtl w:val="0"/>
        </w:rPr>
        <w:t xml:space="preserve">What you need to know</w:t>
      </w:r>
      <w:r w:rsidDel="00000000" w:rsidR="00000000" w:rsidRPr="00000000">
        <w:rPr>
          <w:rtl w:val="0"/>
        </w:rPr>
      </w:r>
    </w:p>
    <w:p w:rsidR="00000000" w:rsidDel="00000000" w:rsidP="00000000" w:rsidRDefault="00000000" w:rsidRPr="00000000" w14:paraId="00000045">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sz w:val="28"/>
          <w:szCs w:val="28"/>
        </w:rPr>
      </w:pPr>
      <w:bookmarkStart w:colFirst="0" w:colLast="0" w:name="_heading=h.3znysh7" w:id="4"/>
      <w:bookmarkEnd w:id="4"/>
      <w:r w:rsidDel="00000000" w:rsidR="00000000" w:rsidRPr="00000000">
        <w:rPr>
          <w:rFonts w:ascii="Arial" w:cs="Arial" w:eastAsia="Arial" w:hAnsi="Arial"/>
          <w:color w:val="000000"/>
          <w:sz w:val="28"/>
          <w:szCs w:val="28"/>
          <w:rtl w:val="0"/>
        </w:rPr>
        <w:t xml:space="preserve">What ’we’ and ‘you’ means</w:t>
      </w:r>
      <w:r w:rsidDel="00000000" w:rsidR="00000000" w:rsidRPr="00000000">
        <w:rPr>
          <w:rtl w:val="0"/>
        </w:rPr>
      </w:r>
    </w:p>
    <w:p w:rsidR="00000000" w:rsidDel="00000000" w:rsidP="00000000" w:rsidRDefault="00000000" w:rsidRPr="00000000" w14:paraId="0000004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4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4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49">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sz w:val="28"/>
          <w:szCs w:val="28"/>
        </w:rPr>
      </w:pPr>
      <w:r w:rsidDel="00000000" w:rsidR="00000000" w:rsidRPr="00000000">
        <w:rPr>
          <w:rFonts w:ascii="Arial" w:cs="Arial" w:eastAsia="Arial" w:hAnsi="Arial"/>
          <w:color w:val="000000"/>
          <w:sz w:val="28"/>
          <w:szCs w:val="28"/>
          <w:rtl w:val="0"/>
        </w:rPr>
        <w:t xml:space="preserve">Who are ‘buyers’?</w:t>
      </w:r>
      <w:r w:rsidDel="00000000" w:rsidR="00000000" w:rsidRPr="00000000">
        <w:rPr>
          <w:rtl w:val="0"/>
        </w:rPr>
      </w:r>
    </w:p>
    <w:p w:rsidR="00000000" w:rsidDel="00000000" w:rsidP="00000000" w:rsidRDefault="00000000" w:rsidRPr="00000000" w14:paraId="0000004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sz w:val="28"/>
          <w:szCs w:val="28"/>
        </w:rPr>
      </w:pPr>
      <w:r w:rsidDel="00000000" w:rsidR="00000000" w:rsidRPr="00000000">
        <w:rPr>
          <w:rFonts w:ascii="Arial" w:cs="Arial" w:eastAsia="Arial" w:hAnsi="Arial"/>
          <w:color w:val="000000"/>
          <w:sz w:val="28"/>
          <w:szCs w:val="28"/>
          <w:rtl w:val="0"/>
        </w:rPr>
        <w:t xml:space="preserve">What is a ‘lot’?</w:t>
      </w:r>
      <w:r w:rsidDel="00000000" w:rsidR="00000000" w:rsidRPr="00000000">
        <w:rPr>
          <w:rtl w:val="0"/>
        </w:rPr>
      </w:r>
    </w:p>
    <w:p w:rsidR="00000000" w:rsidDel="00000000" w:rsidP="00000000" w:rsidRDefault="00000000" w:rsidRPr="00000000" w14:paraId="0000004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sub-division of the deliverables which are the subject of this competition as described in the published contract notice.</w:t>
      </w:r>
    </w:p>
    <w:p w:rsidR="00000000" w:rsidDel="00000000" w:rsidP="00000000" w:rsidRDefault="00000000" w:rsidRPr="00000000" w14:paraId="0000004D">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sz w:val="28"/>
          <w:szCs w:val="28"/>
        </w:rPr>
      </w:pPr>
      <w:r w:rsidDel="00000000" w:rsidR="00000000" w:rsidRPr="00000000">
        <w:rPr>
          <w:rFonts w:ascii="Arial" w:cs="Arial" w:eastAsia="Arial" w:hAnsi="Arial"/>
          <w:color w:val="000000"/>
          <w:sz w:val="28"/>
          <w:szCs w:val="28"/>
          <w:rtl w:val="0"/>
        </w:rPr>
        <w:t xml:space="preserve">What do we mean by ‘deliverables’?</w:t>
      </w:r>
      <w:r w:rsidDel="00000000" w:rsidR="00000000" w:rsidRPr="00000000">
        <w:rPr>
          <w:rtl w:val="0"/>
        </w:rPr>
      </w:r>
    </w:p>
    <w:p w:rsidR="00000000" w:rsidDel="00000000" w:rsidP="00000000" w:rsidRDefault="00000000" w:rsidRPr="00000000" w14:paraId="0000004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4F">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sz w:val="28"/>
          <w:szCs w:val="28"/>
        </w:rPr>
      </w:pPr>
      <w:r w:rsidDel="00000000" w:rsidR="00000000" w:rsidRPr="00000000">
        <w:rPr>
          <w:rFonts w:ascii="Arial" w:cs="Arial" w:eastAsia="Arial" w:hAnsi="Arial"/>
          <w:color w:val="000000"/>
          <w:sz w:val="28"/>
          <w:szCs w:val="28"/>
          <w:rtl w:val="0"/>
        </w:rPr>
        <w:t xml:space="preserve">Who are ‘key subcontractors’?</w:t>
      </w:r>
      <w:r w:rsidDel="00000000" w:rsidR="00000000" w:rsidRPr="00000000">
        <w:rPr>
          <w:rtl w:val="0"/>
        </w:rPr>
      </w:r>
    </w:p>
    <w:p w:rsidR="00000000" w:rsidDel="00000000" w:rsidP="00000000" w:rsidRDefault="00000000" w:rsidRPr="00000000" w14:paraId="0000005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51">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2">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3">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5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rsidR="00000000" w:rsidDel="00000000" w:rsidP="00000000" w:rsidRDefault="00000000" w:rsidRPr="00000000" w14:paraId="00000055">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r w:rsidDel="00000000" w:rsidR="00000000" w:rsidRPr="00000000">
        <w:rPr>
          <w:rtl w:val="0"/>
        </w:rPr>
      </w:r>
    </w:p>
    <w:p w:rsidR="00000000" w:rsidDel="00000000" w:rsidP="00000000" w:rsidRDefault="00000000" w:rsidRPr="00000000" w14:paraId="0000005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57">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sz w:val="28"/>
          <w:szCs w:val="28"/>
        </w:rPr>
      </w:pPr>
      <w:r w:rsidDel="00000000" w:rsidR="00000000" w:rsidRPr="00000000">
        <w:rPr>
          <w:rFonts w:ascii="Arial" w:cs="Arial" w:eastAsia="Arial" w:hAnsi="Arial"/>
          <w:color w:val="000000"/>
          <w:sz w:val="28"/>
          <w:szCs w:val="28"/>
          <w:rtl w:val="0"/>
        </w:rPr>
        <w:t xml:space="preserve">The Public Contracts Regulations 2015</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59">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sz w:val="28"/>
          <w:szCs w:val="28"/>
        </w:rPr>
      </w:pPr>
      <w:r w:rsidDel="00000000" w:rsidR="00000000" w:rsidRPr="00000000">
        <w:rPr>
          <w:rFonts w:ascii="Arial" w:cs="Arial" w:eastAsia="Arial" w:hAnsi="Arial"/>
          <w:color w:val="000000"/>
          <w:sz w:val="28"/>
          <w:szCs w:val="28"/>
          <w:rtl w:val="0"/>
        </w:rPr>
        <w:t xml:space="preserve">Government Security Classifications (GSC)</w:t>
      </w:r>
      <w:r w:rsidDel="00000000" w:rsidR="00000000" w:rsidRPr="00000000">
        <w:rPr>
          <w:rtl w:val="0"/>
        </w:rPr>
      </w:r>
    </w:p>
    <w:p w:rsidR="00000000" w:rsidDel="00000000" w:rsidP="00000000" w:rsidRDefault="00000000" w:rsidRPr="00000000" w14:paraId="0000005A">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5B">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5C">
      <w:pPr>
        <w:ind w:left="737" w:firstLine="0"/>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D">
      <w:pPr>
        <w:pStyle w:val="Heading1"/>
        <w:numPr>
          <w:ilvl w:val="0"/>
          <w:numId w:val="6"/>
        </w:numPr>
        <w:spacing w:after="120" w:before="120" w:line="240" w:lineRule="auto"/>
        <w:ind w:left="357" w:hanging="357"/>
        <w:rPr>
          <w:rFonts w:ascii="Arial" w:cs="Arial" w:eastAsia="Arial" w:hAnsi="Arial"/>
          <w:b w:val="1"/>
          <w:color w:val="000000"/>
        </w:rPr>
      </w:pPr>
      <w:bookmarkStart w:colFirst="0" w:colLast="0" w:name="_heading=h.2bn6wsx" w:id="5"/>
      <w:bookmarkEnd w:id="5"/>
      <w:r w:rsidDel="00000000" w:rsidR="00000000" w:rsidRPr="00000000">
        <w:rPr>
          <w:rFonts w:ascii="Arial" w:cs="Arial" w:eastAsia="Arial" w:hAnsi="Arial"/>
          <w:b w:val="1"/>
          <w:color w:val="000000"/>
          <w:rtl w:val="0"/>
        </w:rPr>
        <w:t xml:space="preserve">The opportunity </w:t>
      </w:r>
    </w:p>
    <w:p w:rsidR="00000000" w:rsidDel="00000000" w:rsidP="00000000" w:rsidRDefault="00000000" w:rsidRPr="00000000" w14:paraId="0000005E">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(CCS) as the Authority intends to put in place a pan Government framework agreement for the provision of standard and specialist vehicles to be utilised by Central Government Departments and all other UK Public Sector Bodies, including Local Authorities, Health, Police, Fire and Rescue, Education, Devolved Administrations, British Crown Dependencies and British Overseas Territories, nationalised industry, voluntary bodies, charities and private sector organisations procuring on behalf of these bodies.</w:t>
      </w:r>
    </w:p>
    <w:p w:rsidR="00000000" w:rsidDel="00000000" w:rsidP="00000000" w:rsidRDefault="00000000" w:rsidRPr="00000000" w14:paraId="0000005F">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agreement will replace the previous Vehicle Purchase framework agreement RM6060 and Vehicle Conversions dynamic purchasing system RM3814. The aim of the framework agreement is to appoint suppliers who will be responsible for either the complete supply chain from product development, vehicle manufacture, conversion and supply to customers through to after sales support, warranties and parts or vehicle conversion as a stand-alone service.</w:t>
      </w:r>
    </w:p>
    <w:p w:rsidR="00000000" w:rsidDel="00000000" w:rsidP="00000000" w:rsidRDefault="00000000" w:rsidRPr="00000000" w14:paraId="00000060">
      <w:pPr>
        <w:rPr>
          <w:rFonts w:ascii="Arial" w:cs="Arial" w:eastAsia="Arial" w:hAnsi="Arial"/>
          <w:color w:val="7030a0"/>
          <w:sz w:val="24"/>
          <w:szCs w:val="24"/>
        </w:rPr>
      </w:pPr>
      <w:r w:rsidDel="00000000" w:rsidR="00000000" w:rsidRPr="00000000">
        <w:rPr>
          <w:rFonts w:ascii="Arial" w:cs="Arial" w:eastAsia="Arial" w:hAnsi="Arial"/>
          <w:sz w:val="24"/>
          <w:szCs w:val="24"/>
          <w:rtl w:val="0"/>
        </w:rPr>
        <w:t xml:space="preserve">Remember that the full specification is in Attachment 1a - Framework Schedule 1 (Specification).</w:t>
      </w:r>
      <w:r w:rsidDel="00000000" w:rsidR="00000000" w:rsidRPr="00000000">
        <w:rPr>
          <w:rtl w:val="0"/>
        </w:rPr>
      </w:r>
    </w:p>
    <w:p w:rsidR="00000000" w:rsidDel="00000000" w:rsidP="00000000" w:rsidRDefault="00000000" w:rsidRPr="00000000" w14:paraId="00000061">
      <w:pPr>
        <w:pStyle w:val="Heading1"/>
        <w:numPr>
          <w:ilvl w:val="0"/>
          <w:numId w:val="6"/>
        </w:numPr>
        <w:spacing w:after="120" w:before="120" w:line="240" w:lineRule="auto"/>
        <w:ind w:left="357" w:hanging="357"/>
        <w:rPr>
          <w:rFonts w:ascii="Arial" w:cs="Arial" w:eastAsia="Arial" w:hAnsi="Arial"/>
          <w:b w:val="1"/>
          <w:color w:val="000000"/>
        </w:rPr>
      </w:pPr>
      <w:bookmarkStart w:colFirst="0" w:colLast="0" w:name="_heading=h.qsh70q" w:id="6"/>
      <w:bookmarkEnd w:id="6"/>
      <w:r w:rsidDel="00000000" w:rsidR="00000000" w:rsidRPr="00000000">
        <w:rPr>
          <w:rFonts w:ascii="Arial" w:cs="Arial" w:eastAsia="Arial" w:hAnsi="Arial"/>
          <w:b w:val="1"/>
          <w:color w:val="000000"/>
          <w:rtl w:val="0"/>
        </w:rPr>
        <w:t xml:space="preserve">What a Framework is </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w:t>
      </w:r>
      <w:r w:rsidDel="00000000" w:rsidR="00000000" w:rsidRPr="00000000">
        <w:rPr>
          <w:rFonts w:ascii="Arial" w:cs="Arial" w:eastAsia="Arial" w:hAnsi="Arial"/>
          <w:color w:val="000000"/>
          <w:sz w:val="24"/>
          <w:szCs w:val="24"/>
          <w:rtl w:val="0"/>
        </w:rPr>
        <w:t xml:space="preserve">purchases (‘Call-Offs’) during the life of the Framework. This competition is for a multi-supplier Framework.</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64">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tender (FTS). There may be multiple Call-Off agreements under one Framework.</w:t>
      </w:r>
    </w:p>
    <w:p w:rsidR="00000000" w:rsidDel="00000000" w:rsidP="00000000" w:rsidRDefault="00000000" w:rsidRPr="00000000" w14:paraId="00000066">
      <w:pPr>
        <w:spacing w:after="120" w:before="120" w:lineRule="auto"/>
        <w:rPr>
          <w:rFonts w:ascii="Arial" w:cs="Arial" w:eastAsia="Arial" w:hAnsi="Arial"/>
          <w:sz w:val="24"/>
          <w:szCs w:val="24"/>
        </w:rPr>
      </w:pPr>
      <w:bookmarkStart w:colFirst="0" w:colLast="0" w:name="_heading=h.3dy6vkm" w:id="7"/>
      <w:bookmarkEnd w:id="7"/>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67">
      <w:pPr>
        <w:numPr>
          <w:ilvl w:val="0"/>
          <w:numId w:val="5"/>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w:t>
      </w:r>
      <w:r w:rsidDel="00000000" w:rsidR="00000000" w:rsidRPr="00000000">
        <w:rPr>
          <w:rFonts w:ascii="Arial" w:cs="Arial" w:eastAsia="Arial" w:hAnsi="Arial"/>
          <w:sz w:val="24"/>
          <w:szCs w:val="24"/>
          <w:rtl w:val="0"/>
        </w:rPr>
        <w:t xml:space="preserve">or forty eight (48) m</w:t>
      </w:r>
      <w:r w:rsidDel="00000000" w:rsidR="00000000" w:rsidRPr="00000000">
        <w:rPr>
          <w:rFonts w:ascii="Arial" w:cs="Arial" w:eastAsia="Arial" w:hAnsi="Arial"/>
          <w:color w:val="000000"/>
          <w:sz w:val="24"/>
          <w:szCs w:val="24"/>
          <w:rtl w:val="0"/>
        </w:rPr>
        <w:t xml:space="preserve">onths with </w:t>
      </w:r>
      <w:r w:rsidDel="00000000" w:rsidR="00000000" w:rsidRPr="00000000">
        <w:rPr>
          <w:rFonts w:ascii="Arial" w:cs="Arial" w:eastAsia="Arial" w:hAnsi="Arial"/>
          <w:sz w:val="24"/>
          <w:szCs w:val="24"/>
          <w:rtl w:val="0"/>
        </w:rPr>
        <w:t xml:space="preserve">no</w:t>
      </w:r>
      <w:r w:rsidDel="00000000" w:rsidR="00000000" w:rsidRPr="00000000">
        <w:rPr>
          <w:rFonts w:ascii="Arial" w:cs="Arial" w:eastAsia="Arial" w:hAnsi="Arial"/>
          <w:color w:val="000000"/>
          <w:sz w:val="24"/>
          <w:szCs w:val="24"/>
          <w:rtl w:val="0"/>
        </w:rPr>
        <w:t xml:space="preserve"> option </w:t>
      </w:r>
      <w:r w:rsidDel="00000000" w:rsidR="00000000" w:rsidRPr="00000000">
        <w:rPr>
          <w:rFonts w:ascii="Arial" w:cs="Arial" w:eastAsia="Arial" w:hAnsi="Arial"/>
          <w:sz w:val="24"/>
          <w:szCs w:val="24"/>
          <w:rtl w:val="0"/>
        </w:rPr>
        <w:t xml:space="preserve">to extend.</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 ten (10) lots, the lots are:</w:t>
      </w:r>
    </w:p>
    <w:tbl>
      <w:tblPr>
        <w:tblStyle w:val="Table1"/>
        <w:tblW w:w="850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
        <w:gridCol w:w="7655"/>
        <w:tblGridChange w:id="0">
          <w:tblGrid>
            <w:gridCol w:w="850"/>
            <w:gridCol w:w="765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6A">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6B">
            <w:pPr>
              <w:rPr/>
            </w:pPr>
            <w:r w:rsidDel="00000000" w:rsidR="00000000" w:rsidRPr="00000000">
              <w:rPr>
                <w:rtl w:val="0"/>
              </w:rPr>
              <w:t xml:space="preserve">Lot name and description </w:t>
            </w:r>
          </w:p>
        </w:tc>
      </w:tr>
      <w:tr>
        <w:trPr>
          <w:cantSplit w:val="0"/>
          <w:trHeight w:val="15" w:hRule="atLeast"/>
          <w:tblHeader w:val="0"/>
        </w:trPr>
        <w:tc>
          <w:tcPr/>
          <w:p w:rsidR="00000000" w:rsidDel="00000000" w:rsidP="00000000" w:rsidRDefault="00000000" w:rsidRPr="00000000" w14:paraId="0000006C">
            <w:pPr>
              <w:rPr/>
            </w:pPr>
            <w:r w:rsidDel="00000000" w:rsidR="00000000" w:rsidRPr="00000000">
              <w:rPr>
                <w:rtl w:val="0"/>
              </w:rPr>
              <w:t xml:space="preserve">1</w:t>
            </w:r>
          </w:p>
        </w:tc>
        <w:tc>
          <w:tcPr/>
          <w:p w:rsidR="00000000" w:rsidDel="00000000" w:rsidP="00000000" w:rsidRDefault="00000000" w:rsidRPr="00000000" w14:paraId="0000006D">
            <w:pPr>
              <w:rPr/>
            </w:pPr>
            <w:r w:rsidDel="00000000" w:rsidR="00000000" w:rsidRPr="00000000">
              <w:rPr>
                <w:rtl w:val="0"/>
              </w:rPr>
              <w:t xml:space="preserve">Passenger Cars</w:t>
            </w:r>
          </w:p>
        </w:tc>
      </w:tr>
      <w:tr>
        <w:trPr>
          <w:cantSplit w:val="0"/>
          <w:trHeight w:val="15" w:hRule="atLeast"/>
          <w:tblHeader w:val="0"/>
        </w:trPr>
        <w:tc>
          <w:tcPr/>
          <w:p w:rsidR="00000000" w:rsidDel="00000000" w:rsidP="00000000" w:rsidRDefault="00000000" w:rsidRPr="00000000" w14:paraId="0000006E">
            <w:pPr>
              <w:rPr/>
            </w:pPr>
            <w:r w:rsidDel="00000000" w:rsidR="00000000" w:rsidRPr="00000000">
              <w:rPr>
                <w:rtl w:val="0"/>
              </w:rPr>
              <w:t xml:space="preserve">2</w:t>
            </w:r>
          </w:p>
        </w:tc>
        <w:tc>
          <w:tcPr/>
          <w:p w:rsidR="00000000" w:rsidDel="00000000" w:rsidP="00000000" w:rsidRDefault="00000000" w:rsidRPr="00000000" w14:paraId="0000006F">
            <w:pPr>
              <w:rPr/>
            </w:pPr>
            <w:r w:rsidDel="00000000" w:rsidR="00000000" w:rsidRPr="00000000">
              <w:rPr>
                <w:rtl w:val="0"/>
              </w:rPr>
              <w:t xml:space="preserve">Light and Medium Commercial Vehicles up to 7.5 tonnes</w:t>
            </w:r>
          </w:p>
        </w:tc>
      </w:tr>
      <w:tr>
        <w:trPr>
          <w:cantSplit w:val="0"/>
          <w:trHeight w:val="15" w:hRule="atLeast"/>
          <w:tblHeader w:val="0"/>
        </w:trPr>
        <w:tc>
          <w:tcPr/>
          <w:p w:rsidR="00000000" w:rsidDel="00000000" w:rsidP="00000000" w:rsidRDefault="00000000" w:rsidRPr="00000000" w14:paraId="00000070">
            <w:pPr>
              <w:rPr/>
            </w:pPr>
            <w:r w:rsidDel="00000000" w:rsidR="00000000" w:rsidRPr="00000000">
              <w:rPr>
                <w:rtl w:val="0"/>
              </w:rPr>
              <w:t xml:space="preserve">3</w:t>
            </w:r>
          </w:p>
        </w:tc>
        <w:tc>
          <w:tcPr/>
          <w:p w:rsidR="00000000" w:rsidDel="00000000" w:rsidP="00000000" w:rsidRDefault="00000000" w:rsidRPr="00000000" w14:paraId="00000071">
            <w:pPr>
              <w:rPr/>
            </w:pPr>
            <w:r w:rsidDel="00000000" w:rsidR="00000000" w:rsidRPr="00000000">
              <w:rPr>
                <w:rtl w:val="0"/>
              </w:rPr>
              <w:t xml:space="preserve">Medium and Heavy Commercial Vehicles including Chassis and Cabs</w:t>
            </w:r>
          </w:p>
        </w:tc>
      </w:tr>
      <w:tr>
        <w:trPr>
          <w:cantSplit w:val="0"/>
          <w:trHeight w:val="15" w:hRule="atLeast"/>
          <w:tblHeader w:val="0"/>
        </w:trPr>
        <w:tc>
          <w:tcPr/>
          <w:p w:rsidR="00000000" w:rsidDel="00000000" w:rsidP="00000000" w:rsidRDefault="00000000" w:rsidRPr="00000000" w14:paraId="00000072">
            <w:pPr>
              <w:rPr/>
            </w:pPr>
            <w:r w:rsidDel="00000000" w:rsidR="00000000" w:rsidRPr="00000000">
              <w:rPr>
                <w:rtl w:val="0"/>
              </w:rPr>
              <w:t xml:space="preserve">4</w:t>
            </w:r>
          </w:p>
        </w:tc>
        <w:tc>
          <w:tcPr/>
          <w:p w:rsidR="00000000" w:rsidDel="00000000" w:rsidP="00000000" w:rsidRDefault="00000000" w:rsidRPr="00000000" w14:paraId="00000073">
            <w:pPr>
              <w:rPr/>
            </w:pPr>
            <w:r w:rsidDel="00000000" w:rsidR="00000000" w:rsidRPr="00000000">
              <w:rPr>
                <w:rtl w:val="0"/>
              </w:rPr>
              <w:t xml:space="preserve">Bluelight Cars and Motorcycles</w:t>
            </w:r>
          </w:p>
        </w:tc>
      </w:tr>
      <w:tr>
        <w:trPr>
          <w:cantSplit w:val="0"/>
          <w:trHeight w:val="15" w:hRule="atLeast"/>
          <w:tblHeader w:val="0"/>
        </w:trPr>
        <w:tc>
          <w:tcPr/>
          <w:p w:rsidR="00000000" w:rsidDel="00000000" w:rsidP="00000000" w:rsidRDefault="00000000" w:rsidRPr="00000000" w14:paraId="00000074">
            <w:pPr>
              <w:rPr/>
            </w:pPr>
            <w:r w:rsidDel="00000000" w:rsidR="00000000" w:rsidRPr="00000000">
              <w:rPr>
                <w:rtl w:val="0"/>
              </w:rPr>
              <w:t xml:space="preserve">5</w:t>
            </w:r>
          </w:p>
        </w:tc>
        <w:tc>
          <w:tcPr/>
          <w:p w:rsidR="00000000" w:rsidDel="00000000" w:rsidP="00000000" w:rsidRDefault="00000000" w:rsidRPr="00000000" w14:paraId="00000075">
            <w:pPr>
              <w:rPr/>
            </w:pPr>
            <w:r w:rsidDel="00000000" w:rsidR="00000000" w:rsidRPr="00000000">
              <w:rPr>
                <w:rtl w:val="0"/>
              </w:rPr>
              <w:t xml:space="preserve">Bluelight Light and Commercial Vehicles up to 7.5 tonnes</w:t>
            </w:r>
          </w:p>
        </w:tc>
      </w:tr>
      <w:tr>
        <w:trPr>
          <w:cantSplit w:val="0"/>
          <w:trHeight w:val="20" w:hRule="atLeast"/>
          <w:tblHeader w:val="0"/>
        </w:trPr>
        <w:tc>
          <w:tcPr/>
          <w:p w:rsidR="00000000" w:rsidDel="00000000" w:rsidP="00000000" w:rsidRDefault="00000000" w:rsidRPr="00000000" w14:paraId="00000076">
            <w:pPr>
              <w:rPr/>
            </w:pPr>
            <w:r w:rsidDel="00000000" w:rsidR="00000000" w:rsidRPr="00000000">
              <w:rPr>
                <w:rtl w:val="0"/>
              </w:rPr>
              <w:t xml:space="preserve">6</w:t>
            </w:r>
          </w:p>
        </w:tc>
        <w:tc>
          <w:tcPr/>
          <w:p w:rsidR="00000000" w:rsidDel="00000000" w:rsidP="00000000" w:rsidRDefault="00000000" w:rsidRPr="00000000" w14:paraId="00000077">
            <w:pPr>
              <w:rPr/>
            </w:pPr>
            <w:r w:rsidDel="00000000" w:rsidR="00000000" w:rsidRPr="00000000">
              <w:rPr>
                <w:rtl w:val="0"/>
              </w:rPr>
              <w:t xml:space="preserve">Refuse Collection and other Waste Management Vehicles</w:t>
            </w:r>
          </w:p>
        </w:tc>
      </w:tr>
      <w:tr>
        <w:trPr>
          <w:cantSplit w:val="0"/>
          <w:trHeight w:val="15" w:hRule="atLeast"/>
          <w:tblHeader w:val="0"/>
        </w:trPr>
        <w:tc>
          <w:tcPr/>
          <w:p w:rsidR="00000000" w:rsidDel="00000000" w:rsidP="00000000" w:rsidRDefault="00000000" w:rsidRPr="00000000" w14:paraId="00000078">
            <w:pPr>
              <w:rPr/>
            </w:pPr>
            <w:r w:rsidDel="00000000" w:rsidR="00000000" w:rsidRPr="00000000">
              <w:rPr>
                <w:rtl w:val="0"/>
              </w:rPr>
              <w:t xml:space="preserve">7</w:t>
            </w:r>
          </w:p>
        </w:tc>
        <w:tc>
          <w:tcPr/>
          <w:p w:rsidR="00000000" w:rsidDel="00000000" w:rsidP="00000000" w:rsidRDefault="00000000" w:rsidRPr="00000000" w14:paraId="00000079">
            <w:pPr>
              <w:rPr/>
            </w:pPr>
            <w:r w:rsidDel="00000000" w:rsidR="00000000" w:rsidRPr="00000000">
              <w:rPr>
                <w:rtl w:val="0"/>
              </w:rPr>
              <w:t xml:space="preserve">Minibuses (9 - 17 seats), (including Accessible and Patient Transport)</w:t>
            </w:r>
          </w:p>
        </w:tc>
      </w:tr>
      <w:tr>
        <w:trPr>
          <w:cantSplit w:val="0"/>
          <w:trHeight w:val="15" w:hRule="atLeast"/>
          <w:tblHeader w:val="0"/>
        </w:trPr>
        <w:tc>
          <w:tcPr/>
          <w:p w:rsidR="00000000" w:rsidDel="00000000" w:rsidP="00000000" w:rsidRDefault="00000000" w:rsidRPr="00000000" w14:paraId="0000007A">
            <w:pPr>
              <w:rPr/>
            </w:pPr>
            <w:r w:rsidDel="00000000" w:rsidR="00000000" w:rsidRPr="00000000">
              <w:rPr>
                <w:rtl w:val="0"/>
              </w:rPr>
              <w:t xml:space="preserve">8</w:t>
            </w:r>
          </w:p>
        </w:tc>
        <w:tc>
          <w:tcPr/>
          <w:p w:rsidR="00000000" w:rsidDel="00000000" w:rsidP="00000000" w:rsidRDefault="00000000" w:rsidRPr="00000000" w14:paraId="0000007B">
            <w:pPr>
              <w:rPr/>
            </w:pPr>
            <w:r w:rsidDel="00000000" w:rsidR="00000000" w:rsidRPr="00000000">
              <w:rPr>
                <w:rtl w:val="0"/>
              </w:rPr>
              <w:t xml:space="preserve">Buses &amp; Coaches (over 17 seats)</w:t>
            </w:r>
          </w:p>
        </w:tc>
      </w:tr>
      <w:tr>
        <w:trPr>
          <w:cantSplit w:val="0"/>
          <w:trHeight w:val="567" w:hRule="atLeast"/>
          <w:tblHeader w:val="0"/>
        </w:trPr>
        <w:tc>
          <w:tcPr/>
          <w:p w:rsidR="00000000" w:rsidDel="00000000" w:rsidP="00000000" w:rsidRDefault="00000000" w:rsidRPr="00000000" w14:paraId="0000007C">
            <w:pPr>
              <w:rPr/>
            </w:pPr>
            <w:r w:rsidDel="00000000" w:rsidR="00000000" w:rsidRPr="00000000">
              <w:rPr>
                <w:rtl w:val="0"/>
              </w:rPr>
              <w:t xml:space="preserve">9</w:t>
            </w:r>
          </w:p>
        </w:tc>
        <w:tc>
          <w:tcPr/>
          <w:p w:rsidR="00000000" w:rsidDel="00000000" w:rsidP="00000000" w:rsidRDefault="00000000" w:rsidRPr="00000000" w14:paraId="0000007D">
            <w:pPr>
              <w:rPr/>
            </w:pPr>
            <w:r w:rsidDel="00000000" w:rsidR="00000000" w:rsidRPr="00000000">
              <w:rPr>
                <w:rtl w:val="0"/>
              </w:rPr>
              <w:t xml:space="preserve">Trailers &amp; Mobile Units (including Health Screening, Events and Mobile Office Units)</w:t>
            </w:r>
          </w:p>
        </w:tc>
      </w:tr>
      <w:tr>
        <w:trPr>
          <w:cantSplit w:val="0"/>
          <w:trHeight w:val="567" w:hRule="atLeast"/>
          <w:tblHeader w:val="0"/>
        </w:trPr>
        <w:tc>
          <w:tcPr/>
          <w:p w:rsidR="00000000" w:rsidDel="00000000" w:rsidP="00000000" w:rsidRDefault="00000000" w:rsidRPr="00000000" w14:paraId="0000007E">
            <w:pPr>
              <w:rPr/>
            </w:pPr>
            <w:r w:rsidDel="00000000" w:rsidR="00000000" w:rsidRPr="00000000">
              <w:rPr>
                <w:rtl w:val="0"/>
              </w:rPr>
              <w:t xml:space="preserve">10</w:t>
            </w:r>
          </w:p>
        </w:tc>
        <w:tc>
          <w:tcPr/>
          <w:p w:rsidR="00000000" w:rsidDel="00000000" w:rsidP="00000000" w:rsidRDefault="00000000" w:rsidRPr="00000000" w14:paraId="0000007F">
            <w:pPr>
              <w:rPr/>
            </w:pPr>
            <w:r w:rsidDel="00000000" w:rsidR="00000000" w:rsidRPr="00000000">
              <w:rPr>
                <w:rtl w:val="0"/>
              </w:rPr>
              <w:t xml:space="preserve">Specialist vehicles and conversion  services (cars, light and heavy commercial vehicles up to 12T)</w:t>
            </w:r>
          </w:p>
        </w:tc>
      </w:tr>
    </w:tb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Lots 1-5 - suppliers appointed to these lots will be responsible for managing and controlling the complete supply chain from product development, vehicle manufacture, conversion and supply to customers through to after-sales support, maintenance and support, warranties and parts.</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Lots 6-9 - suppliers appointed to these lots will either be responsible for managing and controlling the complete supply chain from product development, vehicle manufacture, conversion and supply to customers through to after-sales support, maintenance and support, warranties and parts or offer vehicle conversion as a stand-alone service.</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Lots 10- suppliers appointed to this lot will provide vehicle conversion as a stand-alone service.</w:t>
      </w:r>
    </w:p>
    <w:p w:rsidR="00000000" w:rsidDel="00000000" w:rsidP="00000000" w:rsidRDefault="00000000" w:rsidRPr="00000000" w14:paraId="00000083">
      <w:pP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will be no limit on the number of suppliers appointed to lots 1-5. The number of suppliers appointed to lots 6-10 will be limited in accordance with the table below. </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p>
    <w:tbl>
      <w:tblPr>
        <w:tblStyle w:val="Table2"/>
        <w:tblW w:w="822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
        <w:gridCol w:w="7335"/>
        <w:tblGridChange w:id="0">
          <w:tblGrid>
            <w:gridCol w:w="885"/>
            <w:gridCol w:w="733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85">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86">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87">
            <w:pPr>
              <w:ind w:firstLine="30"/>
              <w:rPr/>
            </w:pPr>
            <w:r w:rsidDel="00000000" w:rsidR="00000000" w:rsidRPr="00000000">
              <w:rPr>
                <w:rtl w:val="0"/>
              </w:rPr>
              <w:t xml:space="preserve">Lot 1</w:t>
            </w:r>
          </w:p>
        </w:tc>
        <w:tc>
          <w:tcPr>
            <w:vAlign w:val="center"/>
          </w:tcPr>
          <w:p w:rsidR="00000000" w:rsidDel="00000000" w:rsidP="00000000" w:rsidRDefault="00000000" w:rsidRPr="00000000" w14:paraId="00000088">
            <w:pPr>
              <w:ind w:firstLine="30"/>
              <w:rPr/>
            </w:pPr>
            <w:r w:rsidDel="00000000" w:rsidR="00000000" w:rsidRPr="00000000">
              <w:rPr>
                <w:rtl w:val="0"/>
              </w:rPr>
              <w:t xml:space="preserve">Unlimited</w:t>
            </w:r>
          </w:p>
        </w:tc>
      </w:tr>
      <w:tr>
        <w:trPr>
          <w:cantSplit w:val="0"/>
          <w:trHeight w:val="567" w:hRule="atLeast"/>
          <w:tblHeader w:val="0"/>
        </w:trPr>
        <w:tc>
          <w:tcPr>
            <w:vAlign w:val="center"/>
          </w:tcPr>
          <w:p w:rsidR="00000000" w:rsidDel="00000000" w:rsidP="00000000" w:rsidRDefault="00000000" w:rsidRPr="00000000" w14:paraId="00000089">
            <w:pPr>
              <w:ind w:firstLine="30"/>
              <w:rPr/>
            </w:pPr>
            <w:r w:rsidDel="00000000" w:rsidR="00000000" w:rsidRPr="00000000">
              <w:rPr>
                <w:rtl w:val="0"/>
              </w:rPr>
              <w:t xml:space="preserve">Lot 2</w:t>
            </w:r>
          </w:p>
        </w:tc>
        <w:tc>
          <w:tcPr>
            <w:vAlign w:val="center"/>
          </w:tcPr>
          <w:p w:rsidR="00000000" w:rsidDel="00000000" w:rsidP="00000000" w:rsidRDefault="00000000" w:rsidRPr="00000000" w14:paraId="0000008A">
            <w:pPr>
              <w:ind w:firstLine="30"/>
              <w:rPr/>
            </w:pPr>
            <w:r w:rsidDel="00000000" w:rsidR="00000000" w:rsidRPr="00000000">
              <w:rPr>
                <w:rtl w:val="0"/>
              </w:rPr>
              <w:t xml:space="preserve">Unlimited</w:t>
            </w:r>
          </w:p>
        </w:tc>
      </w:tr>
      <w:tr>
        <w:trPr>
          <w:cantSplit w:val="0"/>
          <w:trHeight w:val="567" w:hRule="atLeast"/>
          <w:tblHeader w:val="0"/>
        </w:trPr>
        <w:tc>
          <w:tcPr>
            <w:vAlign w:val="center"/>
          </w:tcPr>
          <w:p w:rsidR="00000000" w:rsidDel="00000000" w:rsidP="00000000" w:rsidRDefault="00000000" w:rsidRPr="00000000" w14:paraId="0000008B">
            <w:pPr>
              <w:ind w:firstLine="30"/>
              <w:rPr/>
            </w:pPr>
            <w:r w:rsidDel="00000000" w:rsidR="00000000" w:rsidRPr="00000000">
              <w:rPr>
                <w:rtl w:val="0"/>
              </w:rPr>
              <w:t xml:space="preserve">Lot 3</w:t>
            </w:r>
          </w:p>
        </w:tc>
        <w:tc>
          <w:tcPr>
            <w:vAlign w:val="center"/>
          </w:tcPr>
          <w:p w:rsidR="00000000" w:rsidDel="00000000" w:rsidP="00000000" w:rsidRDefault="00000000" w:rsidRPr="00000000" w14:paraId="0000008C">
            <w:pPr>
              <w:ind w:firstLine="30"/>
              <w:rPr/>
            </w:pPr>
            <w:r w:rsidDel="00000000" w:rsidR="00000000" w:rsidRPr="00000000">
              <w:rPr>
                <w:rtl w:val="0"/>
              </w:rPr>
              <w:t xml:space="preserve">Unlimited</w:t>
            </w:r>
          </w:p>
        </w:tc>
      </w:tr>
      <w:tr>
        <w:trPr>
          <w:cantSplit w:val="0"/>
          <w:trHeight w:val="567" w:hRule="atLeast"/>
          <w:tblHeader w:val="0"/>
        </w:trPr>
        <w:tc>
          <w:tcPr>
            <w:vAlign w:val="center"/>
          </w:tcPr>
          <w:p w:rsidR="00000000" w:rsidDel="00000000" w:rsidP="00000000" w:rsidRDefault="00000000" w:rsidRPr="00000000" w14:paraId="0000008D">
            <w:pPr>
              <w:ind w:firstLine="30"/>
              <w:rPr/>
            </w:pPr>
            <w:r w:rsidDel="00000000" w:rsidR="00000000" w:rsidRPr="00000000">
              <w:rPr>
                <w:rtl w:val="0"/>
              </w:rPr>
              <w:t xml:space="preserve">Lot 4</w:t>
            </w:r>
          </w:p>
        </w:tc>
        <w:tc>
          <w:tcPr>
            <w:vAlign w:val="center"/>
          </w:tcPr>
          <w:p w:rsidR="00000000" w:rsidDel="00000000" w:rsidP="00000000" w:rsidRDefault="00000000" w:rsidRPr="00000000" w14:paraId="0000008E">
            <w:pPr>
              <w:ind w:firstLine="30"/>
              <w:rPr/>
            </w:pPr>
            <w:r w:rsidDel="00000000" w:rsidR="00000000" w:rsidRPr="00000000">
              <w:rPr>
                <w:rtl w:val="0"/>
              </w:rPr>
              <w:t xml:space="preserve">Unlimited</w:t>
            </w:r>
          </w:p>
        </w:tc>
      </w:tr>
      <w:tr>
        <w:trPr>
          <w:cantSplit w:val="0"/>
          <w:trHeight w:val="567" w:hRule="atLeast"/>
          <w:tblHeader w:val="0"/>
        </w:trPr>
        <w:tc>
          <w:tcPr>
            <w:vAlign w:val="center"/>
          </w:tcPr>
          <w:p w:rsidR="00000000" w:rsidDel="00000000" w:rsidP="00000000" w:rsidRDefault="00000000" w:rsidRPr="00000000" w14:paraId="0000008F">
            <w:pPr>
              <w:ind w:firstLine="30"/>
              <w:rPr/>
            </w:pPr>
            <w:r w:rsidDel="00000000" w:rsidR="00000000" w:rsidRPr="00000000">
              <w:rPr>
                <w:rtl w:val="0"/>
              </w:rPr>
              <w:t xml:space="preserve">Lot 5</w:t>
            </w:r>
          </w:p>
        </w:tc>
        <w:tc>
          <w:tcPr>
            <w:vAlign w:val="center"/>
          </w:tcPr>
          <w:p w:rsidR="00000000" w:rsidDel="00000000" w:rsidP="00000000" w:rsidRDefault="00000000" w:rsidRPr="00000000" w14:paraId="00000090">
            <w:pPr>
              <w:ind w:firstLine="30"/>
              <w:rPr/>
            </w:pPr>
            <w:r w:rsidDel="00000000" w:rsidR="00000000" w:rsidRPr="00000000">
              <w:rPr>
                <w:rtl w:val="0"/>
              </w:rPr>
              <w:t xml:space="preserve">Unlimited</w:t>
            </w:r>
          </w:p>
        </w:tc>
      </w:tr>
      <w:tr>
        <w:trPr>
          <w:cantSplit w:val="0"/>
          <w:trHeight w:val="567" w:hRule="atLeast"/>
          <w:tblHeader w:val="0"/>
        </w:trPr>
        <w:tc>
          <w:tcPr>
            <w:vAlign w:val="center"/>
          </w:tcPr>
          <w:p w:rsidR="00000000" w:rsidDel="00000000" w:rsidP="00000000" w:rsidRDefault="00000000" w:rsidRPr="00000000" w14:paraId="00000091">
            <w:pPr>
              <w:ind w:firstLine="30"/>
              <w:rPr/>
            </w:pPr>
            <w:r w:rsidDel="00000000" w:rsidR="00000000" w:rsidRPr="00000000">
              <w:rPr>
                <w:rtl w:val="0"/>
              </w:rPr>
              <w:t xml:space="preserve">Lot 6</w:t>
            </w:r>
          </w:p>
        </w:tc>
        <w:tc>
          <w:tcPr>
            <w:vAlign w:val="center"/>
          </w:tcPr>
          <w:p w:rsidR="00000000" w:rsidDel="00000000" w:rsidP="00000000" w:rsidRDefault="00000000" w:rsidRPr="00000000" w14:paraId="00000092">
            <w:pPr>
              <w:ind w:firstLine="30"/>
              <w:rPr/>
            </w:pPr>
            <w:r w:rsidDel="00000000" w:rsidR="00000000" w:rsidRPr="00000000">
              <w:rPr>
                <w:rtl w:val="0"/>
              </w:rPr>
              <w:t xml:space="preserve">Ten (10)</w:t>
            </w:r>
          </w:p>
        </w:tc>
      </w:tr>
      <w:tr>
        <w:trPr>
          <w:cantSplit w:val="0"/>
          <w:trHeight w:val="567" w:hRule="atLeast"/>
          <w:tblHeader w:val="0"/>
        </w:trPr>
        <w:tc>
          <w:tcPr>
            <w:vAlign w:val="center"/>
          </w:tcPr>
          <w:p w:rsidR="00000000" w:rsidDel="00000000" w:rsidP="00000000" w:rsidRDefault="00000000" w:rsidRPr="00000000" w14:paraId="00000093">
            <w:pPr>
              <w:ind w:firstLine="30"/>
              <w:rPr/>
            </w:pPr>
            <w:r w:rsidDel="00000000" w:rsidR="00000000" w:rsidRPr="00000000">
              <w:rPr>
                <w:rtl w:val="0"/>
              </w:rPr>
              <w:t xml:space="preserve">Lot 7</w:t>
            </w:r>
          </w:p>
        </w:tc>
        <w:tc>
          <w:tcPr>
            <w:vAlign w:val="center"/>
          </w:tcPr>
          <w:p w:rsidR="00000000" w:rsidDel="00000000" w:rsidP="00000000" w:rsidRDefault="00000000" w:rsidRPr="00000000" w14:paraId="00000094">
            <w:pPr>
              <w:ind w:firstLine="30"/>
              <w:rPr/>
            </w:pPr>
            <w:r w:rsidDel="00000000" w:rsidR="00000000" w:rsidRPr="00000000">
              <w:rPr>
                <w:rtl w:val="0"/>
              </w:rPr>
              <w:t xml:space="preserve">Twelve (12)</w:t>
            </w:r>
          </w:p>
        </w:tc>
      </w:tr>
      <w:tr>
        <w:trPr>
          <w:cantSplit w:val="0"/>
          <w:trHeight w:val="567" w:hRule="atLeast"/>
          <w:tblHeader w:val="0"/>
        </w:trPr>
        <w:tc>
          <w:tcPr>
            <w:vAlign w:val="center"/>
          </w:tcPr>
          <w:p w:rsidR="00000000" w:rsidDel="00000000" w:rsidP="00000000" w:rsidRDefault="00000000" w:rsidRPr="00000000" w14:paraId="00000095">
            <w:pPr>
              <w:ind w:firstLine="30"/>
              <w:rPr/>
            </w:pPr>
            <w:r w:rsidDel="00000000" w:rsidR="00000000" w:rsidRPr="00000000">
              <w:rPr>
                <w:rtl w:val="0"/>
              </w:rPr>
              <w:t xml:space="preserve">Lot 8</w:t>
            </w:r>
          </w:p>
        </w:tc>
        <w:tc>
          <w:tcPr>
            <w:vAlign w:val="center"/>
          </w:tcPr>
          <w:p w:rsidR="00000000" w:rsidDel="00000000" w:rsidP="00000000" w:rsidRDefault="00000000" w:rsidRPr="00000000" w14:paraId="00000096">
            <w:pPr>
              <w:ind w:firstLine="30"/>
              <w:rPr/>
            </w:pPr>
            <w:r w:rsidDel="00000000" w:rsidR="00000000" w:rsidRPr="00000000">
              <w:rPr>
                <w:rtl w:val="0"/>
              </w:rPr>
              <w:t xml:space="preserve">Fifteen (15)</w:t>
            </w:r>
          </w:p>
        </w:tc>
      </w:tr>
      <w:tr>
        <w:trPr>
          <w:cantSplit w:val="0"/>
          <w:trHeight w:val="567" w:hRule="atLeast"/>
          <w:tblHeader w:val="0"/>
        </w:trPr>
        <w:tc>
          <w:tcPr>
            <w:vAlign w:val="center"/>
          </w:tcPr>
          <w:p w:rsidR="00000000" w:rsidDel="00000000" w:rsidP="00000000" w:rsidRDefault="00000000" w:rsidRPr="00000000" w14:paraId="00000097">
            <w:pPr>
              <w:ind w:firstLine="30"/>
              <w:rPr/>
            </w:pPr>
            <w:r w:rsidDel="00000000" w:rsidR="00000000" w:rsidRPr="00000000">
              <w:rPr>
                <w:rtl w:val="0"/>
              </w:rPr>
              <w:t xml:space="preserve">Lot 9</w:t>
            </w:r>
          </w:p>
        </w:tc>
        <w:tc>
          <w:tcPr>
            <w:vAlign w:val="center"/>
          </w:tcPr>
          <w:p w:rsidR="00000000" w:rsidDel="00000000" w:rsidP="00000000" w:rsidRDefault="00000000" w:rsidRPr="00000000" w14:paraId="00000098">
            <w:pPr>
              <w:ind w:firstLine="30"/>
              <w:rPr/>
            </w:pPr>
            <w:r w:rsidDel="00000000" w:rsidR="00000000" w:rsidRPr="00000000">
              <w:rPr>
                <w:rtl w:val="0"/>
              </w:rPr>
              <w:t xml:space="preserve">Eight (8)</w:t>
            </w:r>
          </w:p>
        </w:tc>
      </w:tr>
      <w:tr>
        <w:trPr>
          <w:cantSplit w:val="0"/>
          <w:trHeight w:val="567" w:hRule="atLeast"/>
          <w:tblHeader w:val="0"/>
        </w:trPr>
        <w:tc>
          <w:tcPr>
            <w:vAlign w:val="center"/>
          </w:tcPr>
          <w:p w:rsidR="00000000" w:rsidDel="00000000" w:rsidP="00000000" w:rsidRDefault="00000000" w:rsidRPr="00000000" w14:paraId="00000099">
            <w:pPr>
              <w:ind w:firstLine="30"/>
              <w:rPr/>
            </w:pPr>
            <w:r w:rsidDel="00000000" w:rsidR="00000000" w:rsidRPr="00000000">
              <w:rPr>
                <w:rtl w:val="0"/>
              </w:rPr>
              <w:t xml:space="preserve">Lot10</w:t>
            </w:r>
          </w:p>
        </w:tc>
        <w:tc>
          <w:tcPr>
            <w:vAlign w:val="center"/>
          </w:tcPr>
          <w:p w:rsidR="00000000" w:rsidDel="00000000" w:rsidP="00000000" w:rsidRDefault="00000000" w:rsidRPr="00000000" w14:paraId="0000009A">
            <w:pPr>
              <w:ind w:firstLine="30"/>
              <w:rPr/>
            </w:pPr>
            <w:r w:rsidDel="00000000" w:rsidR="00000000" w:rsidRPr="00000000">
              <w:rPr>
                <w:rtl w:val="0"/>
              </w:rPr>
              <w:t xml:space="preserve">Twenty (20)</w:t>
            </w:r>
          </w:p>
        </w:tc>
      </w:tr>
    </w:tbl>
    <w:p w:rsidR="00000000" w:rsidDel="00000000" w:rsidP="00000000" w:rsidRDefault="00000000" w:rsidRPr="00000000" w14:paraId="0000009B">
      <w:pPr>
        <w:pStyle w:val="Heading1"/>
        <w:numPr>
          <w:ilvl w:val="0"/>
          <w:numId w:val="6"/>
        </w:numPr>
        <w:spacing w:after="120" w:before="120" w:line="240" w:lineRule="auto"/>
        <w:ind w:left="357" w:hanging="357"/>
        <w:rPr>
          <w:rFonts w:ascii="Arial" w:cs="Arial" w:eastAsia="Arial" w:hAnsi="Arial"/>
          <w:b w:val="1"/>
          <w:color w:val="000000"/>
        </w:rPr>
      </w:pPr>
      <w:bookmarkStart w:colFirst="0" w:colLast="0" w:name="_heading=h.3as4poj" w:id="8"/>
      <w:bookmarkEnd w:id="8"/>
      <w:r w:rsidDel="00000000" w:rsidR="00000000" w:rsidRPr="00000000">
        <w:rPr>
          <w:rFonts w:ascii="Arial" w:cs="Arial" w:eastAsia="Arial" w:hAnsi="Arial"/>
          <w:b w:val="1"/>
          <w:color w:val="000000"/>
          <w:rtl w:val="0"/>
        </w:rPr>
        <w:t xml:space="preserve">Who can bid</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bookmarkStart w:colFirst="0" w:colLast="0" w:name="_heading=h.lnxbz9" w:id="9"/>
      <w:bookmarkEnd w:id="9"/>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4">
        <w:r w:rsidDel="00000000" w:rsidR="00000000" w:rsidRPr="00000000">
          <w:rPr>
            <w:rFonts w:ascii="Arial" w:cs="Arial" w:eastAsia="Arial" w:hAnsi="Arial"/>
            <w:color w:val="1155cc"/>
            <w:sz w:val="24"/>
            <w:szCs w:val="24"/>
            <w:u w:val="single"/>
            <w:rtl w:val="0"/>
          </w:rPr>
          <w:t xml:space="preserve">https://www.crowncommercial.gov.uk/agreements/upcoming</w:t>
        </w:r>
      </w:hyperlink>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9F">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0">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pos="1134"/>
        </w:tabs>
        <w:spacing w:after="120" w:before="120" w:line="240" w:lineRule="auto"/>
        <w:ind w:hanging="14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A2">
      <w:pPr>
        <w:pStyle w:val="Heading1"/>
        <w:numPr>
          <w:ilvl w:val="0"/>
          <w:numId w:val="6"/>
        </w:numPr>
        <w:spacing w:after="120" w:before="120" w:line="240" w:lineRule="auto"/>
        <w:ind w:left="357" w:hanging="357"/>
        <w:rPr>
          <w:rFonts w:ascii="Arial" w:cs="Arial" w:eastAsia="Arial" w:hAnsi="Arial"/>
          <w:b w:val="1"/>
          <w:color w:val="000000"/>
        </w:rPr>
      </w:pPr>
      <w:bookmarkStart w:colFirst="0" w:colLast="0" w:name="_heading=h.1pxezwc" w:id="10"/>
      <w:bookmarkEnd w:id="10"/>
      <w:r w:rsidDel="00000000" w:rsidR="00000000" w:rsidRPr="00000000">
        <w:rPr>
          <w:rFonts w:ascii="Arial" w:cs="Arial" w:eastAsia="Arial" w:hAnsi="Arial"/>
          <w:b w:val="1"/>
          <w:color w:val="000000"/>
          <w:rtl w:val="0"/>
        </w:rPr>
        <w:t xml:space="preserve">Timelines for the competition</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w:t>
      </w:r>
      <w:r w:rsidDel="00000000" w:rsidR="00000000" w:rsidRPr="00000000">
        <w:rPr>
          <w:rFonts w:ascii="Arial" w:cs="Arial" w:eastAsia="Arial" w:hAnsi="Arial"/>
          <w:sz w:val="24"/>
          <w:szCs w:val="24"/>
          <w:rtl w:val="0"/>
        </w:rPr>
        <w:t xml:space="preserve">these; however</w:t>
      </w:r>
      <w:r w:rsidDel="00000000" w:rsidR="00000000" w:rsidRPr="00000000">
        <w:rPr>
          <w:rFonts w:ascii="Arial" w:cs="Arial" w:eastAsia="Arial" w:hAnsi="Arial"/>
          <w:color w:val="000000"/>
          <w:sz w:val="24"/>
          <w:szCs w:val="24"/>
          <w:rtl w:val="0"/>
        </w:rPr>
        <w:t xml:space="preserve">, for a range of reasons, dates can change. We will tell you if and when timelines change:</w:t>
      </w:r>
    </w:p>
    <w:tbl>
      <w:tblPr>
        <w:tblStyle w:val="Table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A4">
            <w:pPr>
              <w:ind w:firstLine="30"/>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A5">
            <w:pPr>
              <w:ind w:firstLine="30"/>
              <w:rPr/>
            </w:pPr>
            <w:r w:rsidDel="00000000" w:rsidR="00000000" w:rsidRPr="00000000">
              <w:rPr>
                <w:rtl w:val="0"/>
              </w:rPr>
              <w:t xml:space="preserve">24/03/2022</w:t>
            </w:r>
          </w:p>
        </w:tc>
      </w:tr>
      <w:tr>
        <w:trPr>
          <w:cantSplit w:val="0"/>
          <w:tblHeader w:val="0"/>
        </w:trPr>
        <w:tc>
          <w:tcPr/>
          <w:p w:rsidR="00000000" w:rsidDel="00000000" w:rsidP="00000000" w:rsidRDefault="00000000" w:rsidRPr="00000000" w14:paraId="000000A6">
            <w:pPr>
              <w:ind w:firstLine="30"/>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A7">
            <w:pPr>
              <w:ind w:firstLine="30"/>
              <w:rPr/>
            </w:pPr>
            <w:r w:rsidDel="00000000" w:rsidR="00000000" w:rsidRPr="00000000">
              <w:rPr>
                <w:rtl w:val="0"/>
              </w:rPr>
              <w:t xml:space="preserve">25/03/2022</w:t>
            </w:r>
          </w:p>
        </w:tc>
      </w:tr>
      <w:tr>
        <w:trPr>
          <w:cantSplit w:val="0"/>
          <w:tblHeader w:val="0"/>
        </w:trPr>
        <w:tc>
          <w:tcPr/>
          <w:p w:rsidR="00000000" w:rsidDel="00000000" w:rsidP="00000000" w:rsidRDefault="00000000" w:rsidRPr="00000000" w14:paraId="000000A8">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A9">
            <w:pPr>
              <w:ind w:firstLine="30"/>
              <w:rPr/>
            </w:pPr>
            <w:r w:rsidDel="00000000" w:rsidR="00000000" w:rsidRPr="00000000">
              <w:rPr>
                <w:rtl w:val="0"/>
              </w:rPr>
              <w:t xml:space="preserve">17:00 12/04/2022</w:t>
            </w:r>
          </w:p>
        </w:tc>
      </w:tr>
      <w:tr>
        <w:trPr>
          <w:cantSplit w:val="0"/>
          <w:tblHeader w:val="0"/>
        </w:trPr>
        <w:tc>
          <w:tcPr/>
          <w:p w:rsidR="00000000" w:rsidDel="00000000" w:rsidP="00000000" w:rsidRDefault="00000000" w:rsidRPr="00000000" w14:paraId="000000AA">
            <w:pPr>
              <w:ind w:firstLine="30"/>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AB">
            <w:pPr>
              <w:ind w:firstLine="30"/>
              <w:rPr/>
            </w:pPr>
            <w:r w:rsidDel="00000000" w:rsidR="00000000" w:rsidRPr="00000000">
              <w:rPr>
                <w:rtl w:val="0"/>
              </w:rPr>
              <w:t xml:space="preserve">17:00 22/04/2022</w:t>
            </w:r>
          </w:p>
        </w:tc>
      </w:tr>
      <w:tr>
        <w:trPr>
          <w:cantSplit w:val="0"/>
          <w:tblHeader w:val="0"/>
        </w:trPr>
        <w:tc>
          <w:tcPr/>
          <w:p w:rsidR="00000000" w:rsidDel="00000000" w:rsidP="00000000" w:rsidRDefault="00000000" w:rsidRPr="00000000" w14:paraId="000000AC">
            <w:pPr>
              <w:ind w:firstLine="30"/>
              <w:rPr/>
            </w:pPr>
            <w:r w:rsidDel="00000000" w:rsidR="00000000" w:rsidRPr="00000000">
              <w:rPr>
                <w:rtl w:val="0"/>
              </w:rPr>
              <w:t xml:space="preserve">Bid submission deadline</w:t>
            </w:r>
          </w:p>
        </w:tc>
        <w:tc>
          <w:tcPr>
            <w:vAlign w:val="center"/>
          </w:tcPr>
          <w:p w:rsidR="00000000" w:rsidDel="00000000" w:rsidP="00000000" w:rsidRDefault="00000000" w:rsidRPr="00000000" w14:paraId="000000AD">
            <w:pPr>
              <w:ind w:firstLine="30"/>
              <w:rPr/>
            </w:pPr>
            <w:r w:rsidDel="00000000" w:rsidR="00000000" w:rsidRPr="00000000">
              <w:rPr>
                <w:rtl w:val="0"/>
              </w:rPr>
              <w:t xml:space="preserve">15:00 04/05/2022</w:t>
            </w:r>
          </w:p>
        </w:tc>
      </w:tr>
      <w:tr>
        <w:trPr>
          <w:cantSplit w:val="0"/>
          <w:tblHeader w:val="0"/>
        </w:trPr>
        <w:tc>
          <w:tcPr>
            <w:vAlign w:val="center"/>
          </w:tcPr>
          <w:p w:rsidR="00000000" w:rsidDel="00000000" w:rsidP="00000000" w:rsidRDefault="00000000" w:rsidRPr="00000000" w14:paraId="000000AE">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AF">
            <w:pPr>
              <w:rPr/>
            </w:pPr>
            <w:r w:rsidDel="00000000" w:rsidR="00000000" w:rsidRPr="00000000">
              <w:rPr>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B0">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B1">
            <w:pPr>
              <w:rPr/>
            </w:pPr>
            <w:r w:rsidDel="00000000" w:rsidR="00000000" w:rsidRPr="00000000">
              <w:rPr>
                <w:rtl w:val="0"/>
              </w:rPr>
              <w:t xml:space="preserve">22/09/2022</w:t>
            </w:r>
          </w:p>
        </w:tc>
      </w:tr>
      <w:tr>
        <w:trPr>
          <w:cantSplit w:val="0"/>
          <w:trHeight w:val="737" w:hRule="atLeast"/>
          <w:tblHeader w:val="0"/>
        </w:trPr>
        <w:tc>
          <w:tcPr/>
          <w:p w:rsidR="00000000" w:rsidDel="00000000" w:rsidP="00000000" w:rsidRDefault="00000000" w:rsidRPr="00000000" w14:paraId="000000B2">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B3">
            <w:pPr>
              <w:rPr/>
            </w:pPr>
            <w:r w:rsidDel="00000000" w:rsidR="00000000" w:rsidRPr="00000000">
              <w:rPr>
                <w:rtl w:val="0"/>
              </w:rPr>
              <w:t xml:space="preserve">midnight at the end of  03/10/2022</w:t>
            </w:r>
          </w:p>
        </w:tc>
      </w:tr>
      <w:tr>
        <w:trPr>
          <w:cantSplit w:val="0"/>
          <w:tblHeader w:val="0"/>
        </w:trPr>
        <w:tc>
          <w:tcPr/>
          <w:p w:rsidR="00000000" w:rsidDel="00000000" w:rsidP="00000000" w:rsidRDefault="00000000" w:rsidRPr="00000000" w14:paraId="000000B4">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B5">
            <w:pPr>
              <w:rPr/>
            </w:pPr>
            <w:r w:rsidDel="00000000" w:rsidR="00000000" w:rsidRPr="00000000">
              <w:rPr>
                <w:rtl w:val="0"/>
              </w:rPr>
              <w:t xml:space="preserve">04/10/2022</w:t>
            </w:r>
          </w:p>
        </w:tc>
      </w:tr>
      <w:tr>
        <w:trPr>
          <w:cantSplit w:val="0"/>
          <w:tblHeader w:val="0"/>
        </w:trPr>
        <w:tc>
          <w:tcPr/>
          <w:p w:rsidR="00000000" w:rsidDel="00000000" w:rsidP="00000000" w:rsidRDefault="00000000" w:rsidRPr="00000000" w14:paraId="000000B6">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B7">
            <w:pPr>
              <w:rPr/>
            </w:pPr>
            <w:r w:rsidDel="00000000" w:rsidR="00000000" w:rsidRPr="00000000">
              <w:rPr>
                <w:rtl w:val="0"/>
              </w:rPr>
              <w:t xml:space="preserve">01/12/2022</w:t>
            </w:r>
          </w:p>
        </w:tc>
      </w:tr>
    </w:tbl>
    <w:p w:rsidR="00000000" w:rsidDel="00000000" w:rsidP="00000000" w:rsidRDefault="00000000" w:rsidRPr="00000000" w14:paraId="000000B8">
      <w:pPr>
        <w:pStyle w:val="Heading1"/>
        <w:numPr>
          <w:ilvl w:val="0"/>
          <w:numId w:val="6"/>
        </w:numPr>
        <w:spacing w:after="120" w:before="240" w:line="240" w:lineRule="auto"/>
        <w:ind w:left="357" w:hanging="357"/>
        <w:rPr>
          <w:rFonts w:ascii="Arial" w:cs="Arial" w:eastAsia="Arial" w:hAnsi="Arial"/>
          <w:b w:val="1"/>
          <w:color w:val="000000"/>
        </w:rPr>
      </w:pPr>
      <w:bookmarkStart w:colFirst="0" w:colLast="0" w:name="_heading=h.49x2ik5" w:id="11"/>
      <w:bookmarkEnd w:id="11"/>
      <w:r w:rsidDel="00000000" w:rsidR="00000000" w:rsidRPr="00000000">
        <w:rPr>
          <w:rFonts w:ascii="Arial" w:cs="Arial" w:eastAsia="Arial" w:hAnsi="Arial"/>
          <w:b w:val="1"/>
          <w:color w:val="000000"/>
          <w:rtl w:val="0"/>
        </w:rPr>
        <w:t xml:space="preserve">When and how to ask questions</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pos="1134"/>
        </w:tabs>
        <w:spacing w:after="120" w:before="120" w:line="240" w:lineRule="auto"/>
        <w:ind w:left="1920" w:hanging="19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BE">
      <w:pPr>
        <w:pStyle w:val="Heading1"/>
        <w:numPr>
          <w:ilvl w:val="0"/>
          <w:numId w:val="6"/>
        </w:numPr>
        <w:spacing w:after="120" w:before="120" w:line="240" w:lineRule="auto"/>
        <w:ind w:left="357" w:hanging="357"/>
        <w:rPr>
          <w:rFonts w:ascii="Arial" w:cs="Arial" w:eastAsia="Arial" w:hAnsi="Arial"/>
          <w:b w:val="1"/>
          <w:color w:val="000000"/>
        </w:rPr>
      </w:pPr>
      <w:bookmarkStart w:colFirst="0" w:colLast="0" w:name="_heading=h.2p2csry" w:id="12"/>
      <w:bookmarkEnd w:id="12"/>
      <w:r w:rsidDel="00000000" w:rsidR="00000000" w:rsidRPr="00000000">
        <w:rPr>
          <w:rFonts w:ascii="Arial" w:cs="Arial" w:eastAsia="Arial" w:hAnsi="Arial"/>
          <w:b w:val="1"/>
          <w:color w:val="000000"/>
          <w:rtl w:val="0"/>
        </w:rPr>
        <w:t xml:space="preserve">Management information and management charge</w:t>
      </w:r>
    </w:p>
    <w:p w:rsidR="00000000" w:rsidDel="00000000" w:rsidP="00000000" w:rsidRDefault="00000000" w:rsidRPr="00000000" w14:paraId="000000BF">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5">
        <w:r w:rsidDel="00000000" w:rsidR="00000000" w:rsidRPr="00000000">
          <w:rPr>
            <w:rFonts w:ascii="Arial" w:cs="Arial" w:eastAsia="Arial" w:hAnsi="Arial"/>
            <w:color w:val="1155cc"/>
            <w:sz w:val="24"/>
            <w:szCs w:val="24"/>
            <w:u w:val="single"/>
            <w:rtl w:val="0"/>
          </w:rPr>
          <w:t xml:space="preserve">https://www.crowncommercial.gov.uk/agreements/upcoming</w:t>
        </w:r>
      </w:hyperlink>
      <w:r w:rsidDel="00000000" w:rsidR="00000000" w:rsidRPr="00000000">
        <w:rPr>
          <w:rtl w:val="0"/>
        </w:rPr>
      </w:r>
    </w:p>
    <w:p w:rsidR="00000000" w:rsidDel="00000000" w:rsidP="00000000" w:rsidRDefault="00000000" w:rsidRPr="00000000" w14:paraId="000000C0">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C1">
      <w:pPr>
        <w:pStyle w:val="Heading1"/>
        <w:numPr>
          <w:ilvl w:val="0"/>
          <w:numId w:val="6"/>
        </w:numPr>
        <w:spacing w:after="120" w:before="120" w:line="240" w:lineRule="auto"/>
        <w:ind w:left="357" w:hanging="357"/>
        <w:rPr>
          <w:rFonts w:ascii="Arial" w:cs="Arial" w:eastAsia="Arial" w:hAnsi="Arial"/>
          <w:b w:val="1"/>
          <w:color w:val="000000"/>
        </w:rPr>
      </w:pPr>
      <w:bookmarkStart w:colFirst="0" w:colLast="0" w:name="_heading=h.147n2zr" w:id="13"/>
      <w:bookmarkEnd w:id="13"/>
      <w:r w:rsidDel="00000000" w:rsidR="00000000" w:rsidRPr="00000000">
        <w:rPr>
          <w:rFonts w:ascii="Arial" w:cs="Arial" w:eastAsia="Arial" w:hAnsi="Arial"/>
          <w:b w:val="1"/>
          <w:color w:val="000000"/>
          <w:rtl w:val="0"/>
        </w:rPr>
        <w:t xml:space="preserve">Transfer of Undertakings (Protection of Employment) Regulations 2006 (“TUPE”)</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p>
    <w:p w:rsidR="00000000" w:rsidDel="00000000" w:rsidP="00000000" w:rsidRDefault="00000000" w:rsidRPr="00000000" w14:paraId="000000C3">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no services are provided to CCS under any existing Framework Contract or arrangements that this Framework will replace</w:t>
      </w:r>
    </w:p>
    <w:p w:rsidR="00000000" w:rsidDel="00000000" w:rsidP="00000000" w:rsidRDefault="00000000" w:rsidRPr="00000000" w14:paraId="000000C4">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p>
    <w:p w:rsidR="00000000" w:rsidDel="00000000" w:rsidP="00000000" w:rsidRDefault="00000000" w:rsidRPr="00000000" w14:paraId="000000C7">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it will be a contract for delivery of goods only.</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0CA">
      <w:pPr>
        <w:pStyle w:val="Heading1"/>
        <w:numPr>
          <w:ilvl w:val="0"/>
          <w:numId w:val="6"/>
        </w:numPr>
        <w:spacing w:after="120" w:before="120" w:line="240" w:lineRule="auto"/>
        <w:ind w:left="357" w:hanging="357"/>
        <w:rPr>
          <w:rFonts w:ascii="Arial" w:cs="Arial" w:eastAsia="Arial" w:hAnsi="Arial"/>
          <w:b w:val="1"/>
          <w:color w:val="000000"/>
        </w:rPr>
      </w:pPr>
      <w:bookmarkStart w:colFirst="0" w:colLast="0" w:name="_heading=h.3o7alnk" w:id="14"/>
      <w:bookmarkEnd w:id="14"/>
      <w:r w:rsidDel="00000000" w:rsidR="00000000" w:rsidRPr="00000000">
        <w:rPr>
          <w:rFonts w:ascii="Arial" w:cs="Arial" w:eastAsia="Arial" w:hAnsi="Arial"/>
          <w:b w:val="1"/>
          <w:color w:val="000000"/>
          <w:rtl w:val="0"/>
        </w:rPr>
        <w:t xml:space="preserve">Competition rules </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section, sets out the rules of this competition. It needs to be read together with the ITT pack. </w:t>
      </w:r>
    </w:p>
    <w:p w:rsidR="00000000" w:rsidDel="00000000" w:rsidP="00000000" w:rsidRDefault="00000000" w:rsidRPr="00000000" w14:paraId="000000CC">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pPr>
      <w:bookmarkStart w:colFirst="0" w:colLast="0" w:name="_heading=h.1ksv4uv" w:id="15"/>
      <w:bookmarkEnd w:id="15"/>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CE">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[120] days after the bid submission deadline. </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D2">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w:t>
      </w:r>
      <w:r w:rsidDel="00000000" w:rsidR="00000000" w:rsidRPr="00000000">
        <w:rPr>
          <w:rFonts w:ascii="Arial" w:cs="Arial" w:eastAsia="Arial" w:hAnsi="Arial"/>
          <w:sz w:val="24"/>
          <w:szCs w:val="24"/>
          <w:rtl w:val="0"/>
        </w:rPr>
        <w:t xml:space="preserve">nother bid for the same requirement or the same lot, we may make further enq</w:t>
      </w:r>
      <w:r w:rsidDel="00000000" w:rsidR="00000000" w:rsidRPr="00000000">
        <w:rPr>
          <w:rFonts w:ascii="Arial" w:cs="Arial" w:eastAsia="Arial" w:hAnsi="Arial"/>
          <w:color w:val="000000"/>
          <w:sz w:val="24"/>
          <w:szCs w:val="24"/>
          <w:rtl w:val="0"/>
        </w:rPr>
        <w:t xml:space="preserve">uiries. For example, where you submit a bid:</w:t>
      </w:r>
    </w:p>
    <w:p w:rsidR="00000000" w:rsidDel="00000000" w:rsidP="00000000" w:rsidRDefault="00000000" w:rsidRPr="00000000" w14:paraId="000000D4">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D5">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D6">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D7">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D8">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D9">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DA">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DB">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bookmarkStart w:colFirst="0" w:colLast="0" w:name="_heading=h.44sinio" w:id="16"/>
      <w:bookmarkEnd w:id="16"/>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DD">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DE">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DF">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E0">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E1">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E4">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E6">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w:t>
      </w:r>
      <w:r w:rsidDel="00000000" w:rsidR="00000000" w:rsidRPr="00000000">
        <w:rPr>
          <w:rFonts w:ascii="Arial" w:cs="Arial" w:eastAsia="Arial" w:hAnsi="Arial"/>
          <w:sz w:val="24"/>
          <w:szCs w:val="24"/>
          <w:rtl w:val="0"/>
        </w:rPr>
        <w:t xml:space="preserve">e may r</w:t>
      </w:r>
      <w:r w:rsidDel="00000000" w:rsidR="00000000" w:rsidRPr="00000000">
        <w:rPr>
          <w:rFonts w:ascii="Arial" w:cs="Arial" w:eastAsia="Arial" w:hAnsi="Arial"/>
          <w:color w:val="000000"/>
          <w:sz w:val="24"/>
          <w:szCs w:val="24"/>
          <w:rtl w:val="0"/>
        </w:rPr>
        <w:t xml:space="preserve">eq</w:t>
      </w:r>
      <w:r w:rsidDel="00000000" w:rsidR="00000000" w:rsidRPr="00000000">
        <w:rPr>
          <w:rFonts w:ascii="Arial" w:cs="Arial" w:eastAsia="Arial" w:hAnsi="Arial"/>
          <w:sz w:val="24"/>
          <w:szCs w:val="24"/>
          <w:rtl w:val="0"/>
        </w:rPr>
        <w:t xml:space="preserve">uire a consortium to form a specific legal entity when signing a </w:t>
      </w:r>
      <w:r w:rsidDel="00000000" w:rsidR="00000000" w:rsidRPr="00000000">
        <w:rPr>
          <w:rFonts w:ascii="Arial" w:cs="Arial" w:eastAsia="Arial" w:hAnsi="Arial"/>
          <w:color w:val="000000"/>
          <w:sz w:val="24"/>
          <w:szCs w:val="24"/>
          <w:rtl w:val="0"/>
        </w:rPr>
        <w:t xml:space="preserve">Framework Contract. </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E9">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EB">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 others over the content and submission of bids. However, you may work in good faith with a proposed partner, supplier, consortium member or provider of finance.</w:t>
      </w:r>
    </w:p>
    <w:p w:rsidR="00000000" w:rsidDel="00000000" w:rsidP="00000000" w:rsidRDefault="00000000" w:rsidRPr="00000000" w14:paraId="000000EC">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ED">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EF">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bookmarkStart w:colFirst="0" w:colLast="0" w:name="_heading=h.2jxsxqh" w:id="17"/>
      <w:bookmarkEnd w:id="17"/>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F1">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F2">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F3">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F5">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0F7">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0F8">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0F9">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0FA">
      <w:pPr>
        <w:numPr>
          <w:ilvl w:val="0"/>
          <w:numId w:val="7"/>
        </w:numPr>
        <w:pBdr>
          <w:top w:space="0" w:sz="0" w:val="nil"/>
          <w:left w:space="0" w:sz="0" w:val="nil"/>
          <w:bottom w:space="0" w:sz="0" w:val="nil"/>
          <w:right w:space="0" w:sz="0" w:val="nil"/>
          <w:between w:space="0" w:sz="0" w:val="nil"/>
        </w:pBd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0FB">
      <w:pPr>
        <w:numPr>
          <w:ilvl w:val="0"/>
          <w:numId w:val="7"/>
        </w:numPr>
        <w:pBdr>
          <w:top w:space="0" w:sz="0" w:val="nil"/>
          <w:left w:space="0" w:sz="0" w:val="nil"/>
          <w:bottom w:space="0" w:sz="0" w:val="nil"/>
          <w:right w:space="0" w:sz="0" w:val="nil"/>
          <w:between w:space="0" w:sz="0" w:val="nil"/>
        </w:pBd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0FC">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0FD">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0FE">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0FF">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00">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01">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02">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03">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04">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05">
      <w:pPr>
        <w:numPr>
          <w:ilvl w:val="1"/>
          <w:numId w:val="3"/>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06">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08">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09">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0A">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0B">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0C">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0E">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10">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11">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14">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17">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18">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19">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1B">
      <w:pPr>
        <w:numPr>
          <w:ilvl w:val="1"/>
          <w:numId w:val="2"/>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1D">
      <w:pPr>
        <w:pStyle w:val="Heading1"/>
        <w:numPr>
          <w:ilvl w:val="0"/>
          <w:numId w:val="6"/>
        </w:numPr>
        <w:spacing w:after="120" w:before="120" w:line="240" w:lineRule="auto"/>
        <w:ind w:left="357" w:hanging="357"/>
        <w:rPr>
          <w:rFonts w:ascii="Arial" w:cs="Arial" w:eastAsia="Arial" w:hAnsi="Arial"/>
          <w:b w:val="1"/>
          <w:color w:val="000000"/>
        </w:rPr>
      </w:pPr>
      <w:bookmarkStart w:colFirst="0" w:colLast="0" w:name="_heading=h.23ckvvd" w:id="18"/>
      <w:bookmarkEnd w:id="18"/>
      <w:r w:rsidDel="00000000" w:rsidR="00000000" w:rsidRPr="00000000">
        <w:rPr>
          <w:rFonts w:ascii="Arial" w:cs="Arial" w:eastAsia="Arial" w:hAnsi="Arial"/>
          <w:b w:val="1"/>
          <w:color w:val="000000"/>
          <w:rtl w:val="0"/>
        </w:rPr>
        <w:t xml:space="preserve">How the Framework is structured</w:t>
      </w:r>
    </w:p>
    <w:p w:rsidR="00000000" w:rsidDel="00000000" w:rsidP="00000000" w:rsidRDefault="00000000" w:rsidRPr="00000000" w14:paraId="0000011E">
      <w:pPr>
        <w:spacing w:after="200" w:line="276"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The Framework Contract is made up of four key components: </w:t>
      </w:r>
      <w:hyperlink r:id="rId16">
        <w:r w:rsidDel="00000000" w:rsidR="00000000" w:rsidRPr="00000000">
          <w:rPr>
            <w:rFonts w:ascii="Arial" w:cs="Arial" w:eastAsia="Arial" w:hAnsi="Arial"/>
            <w:color w:val="1155cc"/>
            <w:sz w:val="24"/>
            <w:szCs w:val="24"/>
            <w:u w:val="single"/>
            <w:rtl w:val="0"/>
          </w:rPr>
          <w:t xml:space="preserve">https://www.crowncommercial.gov.uk/agreements/upcoming</w:t>
        </w:r>
      </w:hyperlink>
      <w:r w:rsidDel="00000000" w:rsidR="00000000" w:rsidRPr="00000000">
        <w:rPr>
          <w:rtl w:val="0"/>
        </w:rPr>
      </w:r>
    </w:p>
    <w:p w:rsidR="00000000" w:rsidDel="00000000" w:rsidP="00000000" w:rsidRDefault="00000000" w:rsidRPr="00000000" w14:paraId="0000011F">
      <w:pPr>
        <w:numPr>
          <w:ilvl w:val="1"/>
          <w:numId w:val="1"/>
        </w:numPr>
        <w:pBdr>
          <w:top w:space="0" w:sz="0" w:val="nil"/>
          <w:left w:space="0" w:sz="0" w:val="nil"/>
          <w:bottom w:space="0" w:sz="0" w:val="nil"/>
          <w:right w:space="0" w:sz="0" w:val="nil"/>
          <w:between w:space="0" w:sz="0" w:val="nil"/>
        </w:pBdr>
        <w:tabs>
          <w:tab w:val="left" w:pos="709"/>
        </w:tabs>
        <w:spacing w:after="120" w:before="240" w:line="240" w:lineRule="auto"/>
        <w:ind w:left="720" w:hanging="72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Core terms </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r w:rsidDel="00000000" w:rsidR="00000000" w:rsidRPr="00000000">
        <w:rPr>
          <w:rtl w:val="0"/>
        </w:rPr>
      </w:r>
    </w:p>
    <w:p w:rsidR="00000000" w:rsidDel="00000000" w:rsidP="00000000" w:rsidRDefault="00000000" w:rsidRPr="00000000" w14:paraId="00000121">
      <w:pPr>
        <w:numPr>
          <w:ilvl w:val="1"/>
          <w:numId w:val="1"/>
        </w:numPr>
        <w:pBdr>
          <w:top w:space="0" w:sz="0" w:val="nil"/>
          <w:left w:space="0" w:sz="0" w:val="nil"/>
          <w:bottom w:space="0" w:sz="0" w:val="nil"/>
          <w:right w:space="0" w:sz="0" w:val="nil"/>
          <w:between w:space="0" w:sz="0" w:val="nil"/>
        </w:pBdr>
        <w:tabs>
          <w:tab w:val="left" w:pos="709"/>
        </w:tabs>
        <w:spacing w:after="120" w:before="240" w:line="240" w:lineRule="auto"/>
        <w:ind w:left="720" w:hanging="720"/>
        <w:rPr/>
      </w:pPr>
      <w:r w:rsidDel="00000000" w:rsidR="00000000" w:rsidRPr="00000000">
        <w:rPr>
          <w:rFonts w:ascii="Arial" w:cs="Arial" w:eastAsia="Arial" w:hAnsi="Arial"/>
          <w:b w:val="1"/>
          <w:sz w:val="28"/>
          <w:szCs w:val="28"/>
          <w:rtl w:val="0"/>
        </w:rPr>
        <w:t xml:space="preserve">Schedules </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23">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24">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25">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numPr>
          <w:ilvl w:val="1"/>
          <w:numId w:val="1"/>
        </w:numPr>
        <w:pBdr>
          <w:top w:space="0" w:sz="0" w:val="nil"/>
          <w:left w:space="0" w:sz="0" w:val="nil"/>
          <w:bottom w:space="0" w:sz="0" w:val="nil"/>
          <w:right w:space="0" w:sz="0" w:val="nil"/>
          <w:between w:space="0" w:sz="0" w:val="nil"/>
        </w:pBdr>
        <w:tabs>
          <w:tab w:val="left" w:pos="709"/>
        </w:tabs>
        <w:spacing w:after="120" w:before="240" w:line="240" w:lineRule="auto"/>
        <w:ind w:left="720" w:hanging="720"/>
        <w:rPr/>
      </w:pPr>
      <w:r w:rsidDel="00000000" w:rsidR="00000000" w:rsidRPr="00000000">
        <w:rPr>
          <w:rFonts w:ascii="Arial" w:cs="Arial" w:eastAsia="Arial" w:hAnsi="Arial"/>
          <w:b w:val="1"/>
          <w:sz w:val="28"/>
          <w:szCs w:val="28"/>
          <w:rtl w:val="0"/>
        </w:rPr>
        <w:t xml:space="preserve">Framework award form</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w:t>
      </w:r>
      <w:r w:rsidDel="00000000" w:rsidR="00000000" w:rsidRPr="00000000">
        <w:rPr>
          <w:rFonts w:ascii="Arial" w:cs="Arial" w:eastAsia="Arial" w:hAnsi="Arial"/>
          <w:sz w:val="24"/>
          <w:szCs w:val="24"/>
          <w:rtl w:val="0"/>
        </w:rPr>
        <w:t xml:space="preserve">hin 10 d</w:t>
      </w:r>
      <w:r w:rsidDel="00000000" w:rsidR="00000000" w:rsidRPr="00000000">
        <w:rPr>
          <w:rFonts w:ascii="Arial" w:cs="Arial" w:eastAsia="Arial" w:hAnsi="Arial"/>
          <w:color w:val="000000"/>
          <w:sz w:val="24"/>
          <w:szCs w:val="24"/>
          <w:rtl w:val="0"/>
        </w:rPr>
        <w:t xml:space="preserve">ays of being asked. If you do not sign and return, we will withdraw our offer of a Framework agreement.</w:t>
      </w:r>
    </w:p>
    <w:p w:rsidR="00000000" w:rsidDel="00000000" w:rsidP="00000000" w:rsidRDefault="00000000" w:rsidRPr="00000000" w14:paraId="0000012D">
      <w:pPr>
        <w:numPr>
          <w:ilvl w:val="1"/>
          <w:numId w:val="1"/>
        </w:numPr>
        <w:pBdr>
          <w:top w:space="0" w:sz="0" w:val="nil"/>
          <w:left w:space="0" w:sz="0" w:val="nil"/>
          <w:bottom w:space="0" w:sz="0" w:val="nil"/>
          <w:right w:space="0" w:sz="0" w:val="nil"/>
          <w:between w:space="0" w:sz="0" w:val="nil"/>
        </w:pBdr>
        <w:tabs>
          <w:tab w:val="left" w:pos="709"/>
        </w:tabs>
        <w:spacing w:after="120" w:before="240" w:line="240" w:lineRule="auto"/>
        <w:ind w:left="720" w:hanging="720"/>
        <w:rPr/>
      </w:pPr>
      <w:r w:rsidDel="00000000" w:rsidR="00000000" w:rsidRPr="00000000">
        <w:rPr>
          <w:rFonts w:ascii="Arial" w:cs="Arial" w:eastAsia="Arial" w:hAnsi="Arial"/>
          <w:b w:val="1"/>
          <w:sz w:val="28"/>
          <w:szCs w:val="28"/>
          <w:rtl w:val="0"/>
        </w:rPr>
        <w:t xml:space="preserve">Order form</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30">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31">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32">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33">
      <w:pPr>
        <w:numPr>
          <w:ilvl w:val="0"/>
          <w:numId w:val="7"/>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34">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36">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37">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39">
      <w:pPr>
        <w:numPr>
          <w:ilvl w:val="1"/>
          <w:numId w:val="1"/>
        </w:numPr>
        <w:pBdr>
          <w:top w:space="0" w:sz="0" w:val="nil"/>
          <w:left w:space="0" w:sz="0" w:val="nil"/>
          <w:bottom w:space="0" w:sz="0" w:val="nil"/>
          <w:right w:space="0" w:sz="0" w:val="nil"/>
          <w:between w:space="0" w:sz="0" w:val="nil"/>
        </w:pBdr>
        <w:tabs>
          <w:tab w:val="left" w:pos="709"/>
        </w:tabs>
        <w:spacing w:after="120" w:before="240" w:line="240" w:lineRule="auto"/>
        <w:ind w:left="720" w:hanging="720"/>
        <w:rPr/>
      </w:pPr>
      <w:r w:rsidDel="00000000" w:rsidR="00000000" w:rsidRPr="00000000">
        <w:rPr>
          <w:rFonts w:ascii="Arial" w:cs="Arial" w:eastAsia="Arial" w:hAnsi="Arial"/>
          <w:b w:val="1"/>
          <w:sz w:val="28"/>
          <w:szCs w:val="28"/>
          <w:rtl w:val="0"/>
        </w:rPr>
        <w:t xml:space="preserve">The contract documents</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highlight w:val="yellow"/>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w:t>
      </w:r>
      <w:r w:rsidDel="00000000" w:rsidR="00000000" w:rsidRPr="00000000">
        <w:rPr>
          <w:rFonts w:ascii="Arial" w:cs="Arial" w:eastAsia="Arial" w:hAnsi="Arial"/>
          <w:sz w:val="24"/>
          <w:szCs w:val="24"/>
          <w:rtl w:val="0"/>
        </w:rPr>
        <w:t xml:space="preserve"> https://www.crowncommercial.gov.uk/agreements/RM6244</w:t>
      </w:r>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3B">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3C">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3D">
            <w:pPr>
              <w:widowControl w:val="0"/>
              <w:spacing w:after="80" w:line="259" w:lineRule="auto"/>
              <w:ind w:left="0" w:firstLine="0"/>
              <w:rPr>
                <w:sz w:val="28"/>
                <w:szCs w:val="28"/>
              </w:rPr>
            </w:pPr>
            <w:r w:rsidDel="00000000" w:rsidR="00000000" w:rsidRPr="00000000">
              <w:rPr>
                <w:sz w:val="28"/>
                <w:szCs w:val="28"/>
                <w:rtl w:val="0"/>
              </w:rPr>
              <w:t xml:space="preserve">Optional?</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3F">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40">
            <w:pPr>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b w:val="1"/>
              </w:rPr>
            </w:pPr>
            <w:r w:rsidDel="00000000" w:rsidR="00000000" w:rsidRPr="00000000">
              <w:rPr>
                <w:b w:val="1"/>
                <w:rtl w:val="0"/>
              </w:rPr>
              <w:t xml:space="preserve">Framework Schedule 6A (Simple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pPr>
            <w:r w:rsidDel="00000000" w:rsidR="00000000" w:rsidRPr="00000000">
              <w:rPr>
                <w:rtl w:val="0"/>
              </w:rPr>
              <w:t xml:space="preserve">The simple order form and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64">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65">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66">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t xml:space="preserve">Refer to </w:t>
            </w:r>
            <w:hyperlink r:id="rId17">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Framework Schedule 10 Requesting Bodies</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t xml:space="preserve">How leasing companies on the CCS vehicle lease framework agreement are able to access the Contract.</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999999"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999999"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999999"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Additional terms for the delivery of ICT Services.</w:t>
            </w:r>
          </w:p>
        </w:tc>
        <w:tc>
          <w:tcPr>
            <w:shd w:fill="999999"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999999"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999999"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999999"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999999"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sz w:val="22"/>
                <w:szCs w:val="22"/>
                <w:rtl w:val="0"/>
              </w:rPr>
              <w:t xml:space="preserve">The standards of service required by the Buyer and what happens when these are not met.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CA">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Rule="auto"/>
              <w:rPr/>
            </w:pPr>
            <w:r w:rsidDel="00000000" w:rsidR="00000000" w:rsidRPr="00000000">
              <w:rPr>
                <w:rtl w:val="0"/>
              </w:rPr>
            </w:r>
          </w:p>
        </w:tc>
      </w:tr>
      <w:tr>
        <w:trPr>
          <w:cantSplit w:val="0"/>
          <w:trHeight w:val="440"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1CD">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CE">
            <w:pPr>
              <w:widowControl w:val="0"/>
              <w:spacing w:after="80" w:lineRule="auto"/>
              <w:rPr>
                <w:b w:val="1"/>
              </w:rPr>
            </w:pPr>
            <w:r w:rsidDel="00000000" w:rsidR="00000000" w:rsidRPr="00000000">
              <w:rPr>
                <w:b w:val="1"/>
                <w:rtl w:val="0"/>
              </w:rPr>
              <w:t xml:space="preserve">(Lease Terms)</w:t>
            </w:r>
          </w:p>
        </w:tc>
        <w:tc>
          <w:tcPr>
            <w:shd w:fill="999999" w:val="clear"/>
            <w:tcMar>
              <w:top w:w="100.0" w:type="dxa"/>
              <w:left w:w="100.0" w:type="dxa"/>
              <w:bottom w:w="100.0" w:type="dxa"/>
              <w:right w:w="100.0" w:type="dxa"/>
            </w:tcMar>
          </w:tcPr>
          <w:p w:rsidR="00000000" w:rsidDel="00000000" w:rsidP="00000000" w:rsidRDefault="00000000" w:rsidRPr="00000000" w14:paraId="000001CF">
            <w:pPr>
              <w:widowControl w:val="0"/>
              <w:spacing w:after="80" w:lineRule="auto"/>
              <w:rPr/>
            </w:pPr>
            <w:r w:rsidDel="00000000" w:rsidR="00000000" w:rsidRPr="00000000">
              <w:rPr>
                <w:rtl w:val="0"/>
              </w:rPr>
              <w:t xml:space="preserve">This schedule is for buyers who want to lease equipment via our agreements</w:t>
            </w:r>
          </w:p>
        </w:tc>
        <w:tc>
          <w:tcPr>
            <w:shd w:fill="999999"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D2">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Rule="auto"/>
              <w:rPr/>
            </w:pPr>
            <w:r w:rsidDel="00000000" w:rsidR="00000000" w:rsidRPr="00000000">
              <w:rPr>
                <w:rtl w:val="0"/>
              </w:rPr>
            </w:r>
          </w:p>
        </w:tc>
      </w:tr>
    </w:tbl>
    <w:p w:rsidR="00000000" w:rsidDel="00000000" w:rsidP="00000000" w:rsidRDefault="00000000" w:rsidRPr="00000000" w14:paraId="000001D5">
      <w:pPr>
        <w:pStyle w:val="Heading1"/>
        <w:numPr>
          <w:ilvl w:val="0"/>
          <w:numId w:val="6"/>
        </w:numPr>
        <w:spacing w:after="120" w:before="120" w:line="240" w:lineRule="auto"/>
        <w:ind w:left="357" w:hanging="357"/>
        <w:rPr>
          <w:rFonts w:ascii="Arial" w:cs="Arial" w:eastAsia="Arial" w:hAnsi="Arial"/>
          <w:b w:val="1"/>
          <w:color w:val="000000"/>
        </w:rPr>
      </w:pPr>
      <w:bookmarkStart w:colFirst="0" w:colLast="0" w:name="_heading=h.ihv636" w:id="19"/>
      <w:bookmarkEnd w:id="19"/>
      <w:r w:rsidDel="00000000" w:rsidR="00000000" w:rsidRPr="00000000">
        <w:rPr>
          <w:rFonts w:ascii="Arial" w:cs="Arial" w:eastAsia="Arial" w:hAnsi="Arial"/>
          <w:b w:val="1"/>
          <w:color w:val="000000"/>
          <w:rtl w:val="0"/>
        </w:rPr>
        <w:t xml:space="preserve">Additional information</w:t>
      </w:r>
    </w:p>
    <w:p w:rsidR="00000000" w:rsidDel="00000000" w:rsidP="00000000" w:rsidRDefault="00000000" w:rsidRPr="00000000" w14:paraId="000001D6">
      <w:pPr>
        <w:numPr>
          <w:ilvl w:val="1"/>
          <w:numId w:val="4"/>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sz w:val="28"/>
          <w:szCs w:val="28"/>
        </w:rPr>
      </w:pPr>
      <w:bookmarkStart w:colFirst="0" w:colLast="0" w:name="_heading=h.1y810tw" w:id="20"/>
      <w:bookmarkEnd w:id="20"/>
      <w:r w:rsidDel="00000000" w:rsidR="00000000" w:rsidRPr="00000000">
        <w:rPr>
          <w:rFonts w:ascii="Arial" w:cs="Arial" w:eastAsia="Arial" w:hAnsi="Arial"/>
          <w:color w:val="000000"/>
          <w:sz w:val="24"/>
          <w:szCs w:val="24"/>
          <w:rtl w:val="0"/>
        </w:rPr>
        <w:t xml:space="preserve">In this section 11, “Procurement Regulations” means each of:</w:t>
      </w:r>
      <w:r w:rsidDel="00000000" w:rsidR="00000000" w:rsidRPr="00000000">
        <w:rPr>
          <w:rtl w:val="0"/>
        </w:rPr>
      </w:r>
    </w:p>
    <w:p w:rsidR="00000000" w:rsidDel="00000000" w:rsidP="00000000" w:rsidRDefault="00000000" w:rsidRPr="00000000" w14:paraId="000001D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D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D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D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D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D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D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D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D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E0">
      <w:pPr>
        <w:numPr>
          <w:ilvl w:val="1"/>
          <w:numId w:val="4"/>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sz w:val="28"/>
          <w:szCs w:val="28"/>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r w:rsidDel="00000000" w:rsidR="00000000" w:rsidRPr="00000000">
        <w:rPr>
          <w:rtl w:val="0"/>
        </w:rPr>
      </w:r>
    </w:p>
    <w:p w:rsidR="00000000" w:rsidDel="00000000" w:rsidP="00000000" w:rsidRDefault="00000000" w:rsidRPr="00000000" w14:paraId="000001E1">
      <w:pPr>
        <w:pStyle w:val="Heading1"/>
        <w:numPr>
          <w:ilvl w:val="0"/>
          <w:numId w:val="6"/>
        </w:numPr>
        <w:spacing w:after="120" w:before="120" w:line="240" w:lineRule="auto"/>
        <w:ind w:left="357" w:hanging="357"/>
        <w:rPr>
          <w:rFonts w:ascii="Arial" w:cs="Arial" w:eastAsia="Arial" w:hAnsi="Arial"/>
          <w:b w:val="1"/>
          <w:color w:val="000000"/>
        </w:rPr>
      </w:pPr>
      <w:bookmarkStart w:colFirst="0" w:colLast="0" w:name="_heading=h.32hioqz" w:id="21"/>
      <w:bookmarkEnd w:id="21"/>
      <w:r w:rsidDel="00000000" w:rsidR="00000000" w:rsidRPr="00000000">
        <w:rPr>
          <w:rFonts w:ascii="Arial" w:cs="Arial" w:eastAsia="Arial" w:hAnsi="Arial"/>
          <w:b w:val="1"/>
          <w:color w:val="000000"/>
          <w:rtl w:val="0"/>
        </w:rPr>
        <w:t xml:space="preserve">The Armed Forces Covenant</w:t>
      </w:r>
    </w:p>
    <w:p w:rsidR="00000000" w:rsidDel="00000000" w:rsidP="00000000" w:rsidRDefault="00000000" w:rsidRPr="00000000" w14:paraId="000001E2">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sz w:val="28"/>
          <w:szCs w:val="28"/>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E3">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sz w:val="28"/>
          <w:szCs w:val="28"/>
        </w:rPr>
      </w:pP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1E4">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E5">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8">
        <w:r w:rsidDel="00000000" w:rsidR="00000000" w:rsidRPr="00000000">
          <w:rPr>
            <w:rFonts w:ascii="Arial" w:cs="Arial" w:eastAsia="Arial" w:hAnsi="Arial"/>
            <w:color w:val="000000"/>
            <w:sz w:val="24"/>
            <w:szCs w:val="24"/>
            <w:rtl w:val="0"/>
          </w:rPr>
          <w:t xml:space="preserve"> </w:t>
        </w:r>
      </w:hyperlink>
      <w:hyperlink r:id="rId19">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E7">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sz w:val="28"/>
          <w:szCs w:val="28"/>
        </w:rPr>
      </w:pPr>
      <w:hyperlink r:id="rId20">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1E8">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sz w:val="28"/>
          <w:szCs w:val="28"/>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1">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EC">
      <w:pPr>
        <w:numPr>
          <w:ilvl w:val="1"/>
          <w:numId w:val="6"/>
        </w:numPr>
        <w:pBdr>
          <w:top w:space="0" w:sz="0" w:val="nil"/>
          <w:left w:space="0" w:sz="0" w:val="nil"/>
          <w:bottom w:space="0" w:sz="0" w:val="nil"/>
          <w:right w:space="0" w:sz="0" w:val="nil"/>
          <w:between w:space="0" w:sz="0" w:val="nil"/>
        </w:pBdr>
        <w:tabs>
          <w:tab w:val="left" w:pos="142"/>
        </w:tabs>
        <w:spacing w:after="240" w:before="240" w:line="240" w:lineRule="auto"/>
        <w:ind w:left="851" w:hanging="709"/>
        <w:jc w:val="both"/>
        <w:rPr>
          <w:sz w:val="28"/>
          <w:szCs w:val="28"/>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r w:rsidDel="00000000" w:rsidR="00000000" w:rsidRPr="00000000">
        <w:rPr>
          <w:rtl w:val="0"/>
        </w:rPr>
      </w:r>
    </w:p>
    <w:sectPr>
      <w:headerReference r:id="rId22" w:type="default"/>
      <w:footerReference r:id="rId23" w:type="default"/>
      <w:footerReference r:id="rId24"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26</w:t>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v2.0</w:t>
    </w:r>
  </w:p>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RM6244 Standard and Specialist Vehicles Framework </w:t>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color w:val="000000"/>
        <w:rtl w:val="0"/>
      </w:rPr>
      <w:t xml:space="preserve">Page </w:t>
    </w:r>
    <w:r w:rsidDel="00000000" w:rsidR="00000000" w:rsidRPr="00000000">
      <w:rPr>
        <w:smallCaps w:val="1"/>
        <w:color w:val="000000"/>
      </w:rPr>
      <w:fldChar w:fldCharType="begin"/>
      <w:instrText xml:space="preserve">PAGE</w:instrText>
      <w:fldChar w:fldCharType="separate"/>
      <w:fldChar w:fldCharType="end"/>
    </w:r>
    <w:r w:rsidDel="00000000" w:rsidR="00000000" w:rsidRPr="00000000">
      <w:rPr>
        <w:color w:val="000000"/>
        <w:rtl w:val="0"/>
      </w:rPr>
      <w:t xml:space="preserve"> of 25</w:t>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Attachment 1 - About the Framework v2.0</w:t>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RM6244 Standard and Specialist Vehicles </w:t>
    </w:r>
    <w:r w:rsidDel="00000000" w:rsidR="00000000" w:rsidRPr="00000000">
      <w:rPr>
        <w:rFonts w:ascii="Arial" w:cs="Arial" w:eastAsia="Arial" w:hAnsi="Arial"/>
        <w:color w:val="000000"/>
        <w:sz w:val="20"/>
        <w:szCs w:val="20"/>
        <w:rtl w:val="0"/>
      </w:rPr>
      <w:t xml:space="preserve">Framework </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w:t>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0"/>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b w:val="0"/>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4">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5">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rFonts w:ascii="Arial" w:cs="Arial" w:eastAsia="Arial" w:hAnsi="Arial"/>
        <w:b w:val="1"/>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8"/>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9"/>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9"/>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9"/>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uploads/system/uploads/attachment_data/file/649954/20171005_Armed_Forces_Covenant_Guidance_Notes_for_Businesses.pdf" TargetMode="External"/><Relationship Id="rId11" Type="http://schemas.openxmlformats.org/officeDocument/2006/relationships/hyperlink" Target="https://www.gov.uk/government/publications/esourcing-tool-guidance-for-suppliers" TargetMode="External"/><Relationship Id="rId22" Type="http://schemas.openxmlformats.org/officeDocument/2006/relationships/header" Target="header1.xml"/><Relationship Id="rId10" Type="http://schemas.openxmlformats.org/officeDocument/2006/relationships/hyperlink" Target="https://www.crowncommercial.gov.uk/esourcing-training" TargetMode="External"/><Relationship Id="rId21" Type="http://schemas.openxmlformats.org/officeDocument/2006/relationships/hyperlink" Target="mailto:covenant-mailbox@mod.uk" TargetMode="External"/><Relationship Id="rId13" Type="http://schemas.openxmlformats.org/officeDocument/2006/relationships/hyperlink" Target="https://www.gov.uk/government/publications/government-security-classifications" TargetMode="External"/><Relationship Id="rId24" Type="http://schemas.openxmlformats.org/officeDocument/2006/relationships/footer" Target="footer2.xml"/><Relationship Id="rId12" Type="http://schemas.openxmlformats.org/officeDocument/2006/relationships/hyperlink" Target="https://www.crowncommercial.gov.uk/agreements/RM6244"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upcoming" TargetMode="External"/><Relationship Id="rId14" Type="http://schemas.openxmlformats.org/officeDocument/2006/relationships/hyperlink" Target="https://www.crowncommercial.gov.uk/agreements/upcoming" TargetMode="External"/><Relationship Id="rId17" Type="http://schemas.openxmlformats.org/officeDocument/2006/relationships/hyperlink" Target="https://www.ncsc.gov.uk/information/cyber-essentials-faqs" TargetMode="External"/><Relationship Id="rId16" Type="http://schemas.openxmlformats.org/officeDocument/2006/relationships/hyperlink" Target="https://www.crowncommercial.gov.uk/agreements/upcoming" TargetMode="External"/><Relationship Id="rId5" Type="http://schemas.openxmlformats.org/officeDocument/2006/relationships/styles" Target="styles.xml"/><Relationship Id="rId19" Type="http://schemas.openxmlformats.org/officeDocument/2006/relationships/hyperlink" Target="https://www.gov.uk/government/publications/corporate-covenant-pledge"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9jCZKmYsMm4kQu8nLrE2Ktq6bg==">AMUW2mUTd8Y3wEpXeWcyiGKIzeTauoornmW/AWS7Lq8yrAHEVjQlA+cxGx9r26nHKbJpu9P6iM4+UeCS6k4jWK1P/aESlAQMfgZirYBspOemfAiw+DyElwzNDBhuKn848wUxKR6qdmC75wBK4eVtxJAssFSzkC46sQ2k6dMVo3g/S2kdVXkbVgK+x0SYee1Rxz+EqpIAANrPcjxrRmwDrmnEC5bj3LBmgP4CNFNtYFI010Q2eVIjn1uX5ST8oFYkUWQGq3FyRSIG++xxtXKw5ScJhogFaTURXEadJN0KFPhfzoQPnlMJaNNgcUdzG5DaWtScSkld+IX/fglt04V3MW7lZOvCxBXHEHFHvTRKJlQTEFDyZnMnQ40W0rkNDwRED6v198SuOBueoqActE/mU6aC4gRaPgeBmKT/cI6ammBA8iiWfvO3NB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2021-09-15T13:10:00Z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