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FD284" w14:textId="77777777" w:rsidR="008C59AD" w:rsidRPr="00727EF6" w:rsidRDefault="003A6402">
      <w:pPr>
        <w:spacing w:before="72"/>
        <w:ind w:left="100"/>
        <w:rPr>
          <w:rFonts w:ascii="Arial" w:eastAsia="Arial" w:hAnsi="Arial" w:cs="Arial"/>
        </w:rPr>
      </w:pPr>
      <w:r w:rsidRPr="00727EF6">
        <w:rPr>
          <w:rFonts w:ascii="Arial" w:eastAsia="Arial" w:hAnsi="Arial" w:cs="Arial"/>
          <w:b/>
        </w:rPr>
        <w:t>Call-Off Schedule 20 (Call-Off Specification)</w:t>
      </w:r>
    </w:p>
    <w:p w14:paraId="597BD78F" w14:textId="72BC3723" w:rsidR="008C59AD" w:rsidRPr="00727EF6" w:rsidRDefault="003A6402">
      <w:pPr>
        <w:spacing w:before="10"/>
        <w:ind w:left="100"/>
        <w:rPr>
          <w:rFonts w:ascii="Arial" w:eastAsia="Arial" w:hAnsi="Arial" w:cs="Arial"/>
        </w:rPr>
      </w:pPr>
      <w:r w:rsidRPr="00727EF6">
        <w:rPr>
          <w:rFonts w:ascii="Arial" w:eastAsia="Arial" w:hAnsi="Arial" w:cs="Arial"/>
        </w:rPr>
        <w:t>Call-Off Ref:</w:t>
      </w:r>
      <w:r w:rsidR="00727EF6">
        <w:rPr>
          <w:rFonts w:ascii="Arial" w:eastAsia="Arial" w:hAnsi="Arial" w:cs="Arial"/>
        </w:rPr>
        <w:t xml:space="preserve"> </w:t>
      </w:r>
      <w:r w:rsidR="00727EF6" w:rsidRPr="00727EF6">
        <w:rPr>
          <w:rFonts w:ascii="Arial" w:eastAsia="Arial" w:hAnsi="Arial" w:cs="Arial"/>
        </w:rPr>
        <w:t>704934450</w:t>
      </w:r>
    </w:p>
    <w:p w14:paraId="7F097F55" w14:textId="77777777" w:rsidR="008C59AD" w:rsidRPr="00727EF6" w:rsidRDefault="003A6402">
      <w:pPr>
        <w:spacing w:before="10"/>
        <w:ind w:left="100"/>
        <w:rPr>
          <w:rFonts w:ascii="Arial" w:eastAsia="Arial" w:hAnsi="Arial" w:cs="Arial"/>
        </w:rPr>
      </w:pPr>
      <w:r w:rsidRPr="00727EF6">
        <w:rPr>
          <w:rFonts w:ascii="Arial" w:eastAsia="Arial" w:hAnsi="Arial" w:cs="Arial"/>
        </w:rPr>
        <w:t>Crown Copyright 2021</w:t>
      </w:r>
    </w:p>
    <w:p w14:paraId="2A66DFC8" w14:textId="77777777" w:rsidR="008C59AD" w:rsidRPr="00727EF6" w:rsidRDefault="008C59AD">
      <w:pPr>
        <w:spacing w:before="3" w:line="140" w:lineRule="exact"/>
        <w:rPr>
          <w:rFonts w:ascii="Arial" w:hAnsi="Arial" w:cs="Arial"/>
          <w:sz w:val="14"/>
          <w:szCs w:val="14"/>
        </w:rPr>
      </w:pPr>
    </w:p>
    <w:p w14:paraId="1062A5A6" w14:textId="77777777" w:rsidR="008C59AD" w:rsidRPr="00727EF6" w:rsidRDefault="008C59AD">
      <w:pPr>
        <w:spacing w:line="200" w:lineRule="exact"/>
        <w:rPr>
          <w:rFonts w:ascii="Arial" w:hAnsi="Arial" w:cs="Arial"/>
        </w:rPr>
      </w:pPr>
    </w:p>
    <w:p w14:paraId="33798010" w14:textId="77777777" w:rsidR="008C59AD" w:rsidRPr="000B2B03" w:rsidRDefault="003A6402">
      <w:pPr>
        <w:ind w:left="100"/>
        <w:rPr>
          <w:rFonts w:ascii="Arial" w:eastAsia="Arial" w:hAnsi="Arial" w:cs="Arial"/>
          <w:sz w:val="24"/>
          <w:szCs w:val="24"/>
        </w:rPr>
      </w:pPr>
      <w:r w:rsidRPr="000B2B03">
        <w:rPr>
          <w:rFonts w:ascii="Arial" w:eastAsia="Arial" w:hAnsi="Arial" w:cs="Arial"/>
          <w:b/>
          <w:sz w:val="24"/>
          <w:szCs w:val="24"/>
        </w:rPr>
        <w:t>Call-Off Schedule 20 (Call-Off Specification)</w:t>
      </w:r>
    </w:p>
    <w:p w14:paraId="5732A679" w14:textId="77777777" w:rsidR="008C59AD" w:rsidRPr="00727EF6" w:rsidRDefault="008C59AD">
      <w:pPr>
        <w:spacing w:before="15" w:line="260" w:lineRule="exact"/>
        <w:rPr>
          <w:rFonts w:ascii="Arial" w:hAnsi="Arial" w:cs="Arial"/>
          <w:sz w:val="26"/>
          <w:szCs w:val="26"/>
        </w:rPr>
      </w:pPr>
    </w:p>
    <w:p w14:paraId="020974D0" w14:textId="77777777" w:rsidR="00727EF6" w:rsidRDefault="003A6402">
      <w:pPr>
        <w:spacing w:line="256" w:lineRule="auto"/>
        <w:ind w:left="100" w:right="829"/>
        <w:rPr>
          <w:rFonts w:ascii="Arial" w:eastAsia="Arial" w:hAnsi="Arial" w:cs="Arial"/>
          <w:sz w:val="22"/>
          <w:szCs w:val="22"/>
        </w:rPr>
      </w:pPr>
      <w:r w:rsidRPr="00727EF6">
        <w:rPr>
          <w:rFonts w:ascii="Arial" w:eastAsia="Arial" w:hAnsi="Arial" w:cs="Arial"/>
          <w:sz w:val="22"/>
          <w:szCs w:val="22"/>
        </w:rPr>
        <w:t>This Schedule sets out the characteristics of the Deliverables that the Supplier will be required to make to the Buyers under this Call-Off Contract.</w:t>
      </w:r>
      <w:r w:rsidR="00727EF6">
        <w:rPr>
          <w:rFonts w:ascii="Arial" w:eastAsia="Arial" w:hAnsi="Arial" w:cs="Arial"/>
          <w:sz w:val="22"/>
          <w:szCs w:val="22"/>
        </w:rPr>
        <w:t xml:space="preserve"> </w:t>
      </w:r>
    </w:p>
    <w:p w14:paraId="1A9EC58A" w14:textId="77777777" w:rsidR="00727EF6" w:rsidRDefault="00727EF6">
      <w:pPr>
        <w:spacing w:line="256" w:lineRule="auto"/>
        <w:ind w:left="100" w:right="829"/>
        <w:rPr>
          <w:rFonts w:ascii="Arial" w:eastAsia="Arial" w:hAnsi="Arial" w:cs="Arial"/>
          <w:sz w:val="22"/>
          <w:szCs w:val="22"/>
        </w:rPr>
      </w:pPr>
    </w:p>
    <w:p w14:paraId="4D2966CB" w14:textId="71C0FD89" w:rsidR="008C59AD" w:rsidRPr="00727EF6" w:rsidRDefault="00727EF6">
      <w:pPr>
        <w:spacing w:line="256" w:lineRule="auto"/>
        <w:ind w:left="100" w:right="829"/>
        <w:rPr>
          <w:rFonts w:ascii="Arial" w:eastAsia="Arial" w:hAnsi="Arial" w:cs="Arial"/>
          <w:sz w:val="22"/>
          <w:szCs w:val="22"/>
        </w:rPr>
      </w:pPr>
      <w:r>
        <w:rPr>
          <w:rFonts w:ascii="Arial" w:eastAsia="Arial" w:hAnsi="Arial" w:cs="Arial"/>
          <w:sz w:val="22"/>
          <w:szCs w:val="22"/>
        </w:rPr>
        <w:t xml:space="preserve">Please refer to </w:t>
      </w:r>
      <w:r w:rsidR="000B2B03" w:rsidRPr="000B2B03">
        <w:rPr>
          <w:rFonts w:ascii="Arial" w:eastAsia="Arial" w:hAnsi="Arial" w:cs="Arial"/>
          <w:sz w:val="22"/>
          <w:szCs w:val="22"/>
        </w:rPr>
        <w:t>RM6263-704934450-Attachment 3-Statement of Requirement v1_0 FINAL</w:t>
      </w:r>
    </w:p>
    <w:p w14:paraId="485956BB" w14:textId="77777777" w:rsidR="008C59AD" w:rsidRPr="00727EF6" w:rsidRDefault="008C59AD">
      <w:pPr>
        <w:spacing w:before="6" w:line="120" w:lineRule="exact"/>
        <w:rPr>
          <w:rFonts w:ascii="Arial" w:hAnsi="Arial" w:cs="Arial"/>
          <w:sz w:val="12"/>
          <w:szCs w:val="12"/>
        </w:rPr>
      </w:pPr>
    </w:p>
    <w:p w14:paraId="06063BCF" w14:textId="77777777" w:rsidR="008C59AD" w:rsidRPr="00727EF6" w:rsidRDefault="008C59AD">
      <w:pPr>
        <w:spacing w:before="2" w:line="140" w:lineRule="exact"/>
        <w:rPr>
          <w:rFonts w:ascii="Arial" w:hAnsi="Arial" w:cs="Arial"/>
          <w:sz w:val="14"/>
          <w:szCs w:val="14"/>
        </w:rPr>
      </w:pPr>
    </w:p>
    <w:p w14:paraId="53587A89" w14:textId="77777777" w:rsidR="008C59AD" w:rsidRPr="00727EF6" w:rsidRDefault="008C59AD">
      <w:pPr>
        <w:spacing w:line="200" w:lineRule="exact"/>
        <w:rPr>
          <w:rFonts w:ascii="Arial" w:hAnsi="Arial" w:cs="Arial"/>
        </w:rPr>
      </w:pPr>
    </w:p>
    <w:p w14:paraId="0461AF1E" w14:textId="77777777" w:rsidR="008C59AD" w:rsidRPr="00727EF6" w:rsidRDefault="003A6402">
      <w:pPr>
        <w:ind w:left="100"/>
        <w:rPr>
          <w:rFonts w:ascii="Arial" w:eastAsia="Arial" w:hAnsi="Arial" w:cs="Arial"/>
          <w:sz w:val="22"/>
          <w:szCs w:val="22"/>
        </w:rPr>
      </w:pPr>
      <w:r w:rsidRPr="00727EF6">
        <w:rPr>
          <w:rFonts w:ascii="Arial" w:eastAsia="Arial" w:hAnsi="Arial" w:cs="Arial"/>
          <w:b/>
          <w:sz w:val="22"/>
          <w:szCs w:val="22"/>
        </w:rPr>
        <w:t>Worker Engagement Status (including IR35 status)</w:t>
      </w:r>
    </w:p>
    <w:p w14:paraId="3287C11B" w14:textId="77777777" w:rsidR="008C59AD" w:rsidRPr="00727EF6" w:rsidRDefault="008C59AD">
      <w:pPr>
        <w:spacing w:before="7" w:line="120" w:lineRule="exact"/>
        <w:rPr>
          <w:rFonts w:ascii="Arial" w:hAnsi="Arial" w:cs="Arial"/>
          <w:sz w:val="13"/>
          <w:szCs w:val="13"/>
        </w:rPr>
      </w:pPr>
    </w:p>
    <w:p w14:paraId="1D07ECEC" w14:textId="52243F7A" w:rsidR="008C59AD" w:rsidRPr="00727EF6" w:rsidRDefault="003A6402">
      <w:pPr>
        <w:spacing w:line="256" w:lineRule="auto"/>
        <w:ind w:left="100" w:right="182"/>
        <w:rPr>
          <w:rFonts w:ascii="Arial" w:eastAsia="Arial" w:hAnsi="Arial" w:cs="Arial"/>
          <w:sz w:val="22"/>
          <w:szCs w:val="22"/>
        </w:rPr>
      </w:pPr>
      <w:r w:rsidRPr="00727EF6">
        <w:rPr>
          <w:rFonts w:ascii="Arial" w:eastAsia="Arial" w:hAnsi="Arial" w:cs="Arial"/>
          <w:sz w:val="22"/>
          <w:szCs w:val="22"/>
        </w:rPr>
        <w:t>Where the Buyer has assessed its requirement and it is for Resource, the IR35 status of the Supplier Staff in Key Roles must be detailed in this Specification and, if applicable, in each Statement of Work</w:t>
      </w:r>
      <w:r w:rsidR="00727EF6">
        <w:rPr>
          <w:rFonts w:ascii="Arial" w:eastAsia="Arial" w:hAnsi="Arial" w:cs="Arial"/>
          <w:sz w:val="22"/>
          <w:szCs w:val="22"/>
        </w:rPr>
        <w:t xml:space="preserve"> </w:t>
      </w:r>
      <w:r w:rsidR="0012380A">
        <w:rPr>
          <w:rFonts w:ascii="Arial" w:eastAsia="Arial" w:hAnsi="Arial" w:cs="Arial"/>
          <w:sz w:val="22"/>
          <w:szCs w:val="22"/>
        </w:rPr>
        <w:t xml:space="preserve">- </w:t>
      </w:r>
      <w:r w:rsidR="0012380A" w:rsidRPr="0012380A">
        <w:rPr>
          <w:rFonts w:ascii="Arial" w:eastAsia="Arial" w:hAnsi="Arial" w:cs="Arial"/>
          <w:i/>
          <w:iCs/>
          <w:sz w:val="22"/>
          <w:szCs w:val="22"/>
        </w:rPr>
        <w:t>tbc</w:t>
      </w:r>
    </w:p>
    <w:p w14:paraId="5418D17B" w14:textId="77777777" w:rsidR="008C59AD" w:rsidRPr="00727EF6" w:rsidRDefault="008C59AD">
      <w:pPr>
        <w:spacing w:line="200" w:lineRule="exact"/>
        <w:rPr>
          <w:rFonts w:ascii="Arial" w:hAnsi="Arial" w:cs="Arial"/>
        </w:rPr>
      </w:pPr>
    </w:p>
    <w:p w14:paraId="57293AEB" w14:textId="4D99A25E" w:rsidR="008C59AD" w:rsidRPr="00727EF6" w:rsidRDefault="00975572" w:rsidP="00975572">
      <w:pPr>
        <w:tabs>
          <w:tab w:val="left" w:pos="2640"/>
        </w:tabs>
        <w:spacing w:line="200" w:lineRule="exact"/>
        <w:rPr>
          <w:rFonts w:ascii="Arial" w:hAnsi="Arial" w:cs="Arial"/>
        </w:rPr>
      </w:pPr>
      <w:r>
        <w:rPr>
          <w:rFonts w:ascii="Arial" w:hAnsi="Arial" w:cs="Arial"/>
        </w:rPr>
        <w:tab/>
      </w:r>
    </w:p>
    <w:p w14:paraId="63C61E0A" w14:textId="77777777" w:rsidR="008C59AD" w:rsidRPr="003A6402" w:rsidRDefault="008C59AD">
      <w:pPr>
        <w:spacing w:line="200" w:lineRule="exact"/>
        <w:rPr>
          <w:rFonts w:asciiTheme="minorHAnsi" w:hAnsiTheme="minorHAnsi" w:cstheme="minorHAnsi"/>
        </w:rPr>
      </w:pPr>
    </w:p>
    <w:p w14:paraId="427B4936" w14:textId="77777777" w:rsidR="008C59AD" w:rsidRPr="003A6402" w:rsidRDefault="008C59AD">
      <w:pPr>
        <w:spacing w:line="200" w:lineRule="exact"/>
        <w:rPr>
          <w:rFonts w:asciiTheme="minorHAnsi" w:hAnsiTheme="minorHAnsi" w:cstheme="minorHAnsi"/>
        </w:rPr>
      </w:pPr>
    </w:p>
    <w:p w14:paraId="0EB485D2" w14:textId="77777777" w:rsidR="008C59AD" w:rsidRPr="003A6402" w:rsidRDefault="008C59AD">
      <w:pPr>
        <w:spacing w:line="200" w:lineRule="exact"/>
        <w:rPr>
          <w:rFonts w:asciiTheme="minorHAnsi" w:hAnsiTheme="minorHAnsi" w:cstheme="minorHAnsi"/>
        </w:rPr>
      </w:pPr>
    </w:p>
    <w:p w14:paraId="3E7E7DAA" w14:textId="77777777" w:rsidR="008C59AD" w:rsidRPr="003A6402" w:rsidRDefault="008C59AD">
      <w:pPr>
        <w:spacing w:line="200" w:lineRule="exact"/>
        <w:rPr>
          <w:rFonts w:asciiTheme="minorHAnsi" w:hAnsiTheme="minorHAnsi" w:cstheme="minorHAnsi"/>
        </w:rPr>
      </w:pPr>
    </w:p>
    <w:p w14:paraId="15A7BB53" w14:textId="77777777" w:rsidR="008C59AD" w:rsidRPr="003A6402" w:rsidRDefault="008C59AD">
      <w:pPr>
        <w:spacing w:line="200" w:lineRule="exact"/>
        <w:rPr>
          <w:rFonts w:asciiTheme="minorHAnsi" w:hAnsiTheme="minorHAnsi" w:cstheme="minorHAnsi"/>
        </w:rPr>
      </w:pPr>
    </w:p>
    <w:p w14:paraId="5ECA2D73" w14:textId="77777777" w:rsidR="008C59AD" w:rsidRPr="003A6402" w:rsidRDefault="008C59AD">
      <w:pPr>
        <w:spacing w:line="200" w:lineRule="exact"/>
        <w:rPr>
          <w:rFonts w:asciiTheme="minorHAnsi" w:hAnsiTheme="minorHAnsi" w:cstheme="minorHAnsi"/>
        </w:rPr>
      </w:pPr>
    </w:p>
    <w:p w14:paraId="0D3E8DDD" w14:textId="77777777" w:rsidR="008C59AD" w:rsidRPr="003A6402" w:rsidRDefault="008C59AD">
      <w:pPr>
        <w:spacing w:line="200" w:lineRule="exact"/>
        <w:rPr>
          <w:rFonts w:asciiTheme="minorHAnsi" w:hAnsiTheme="minorHAnsi" w:cstheme="minorHAnsi"/>
        </w:rPr>
      </w:pPr>
    </w:p>
    <w:p w14:paraId="33D51F24" w14:textId="77777777" w:rsidR="008C59AD" w:rsidRPr="003A6402" w:rsidRDefault="008C59AD">
      <w:pPr>
        <w:spacing w:line="200" w:lineRule="exact"/>
        <w:rPr>
          <w:rFonts w:asciiTheme="minorHAnsi" w:hAnsiTheme="minorHAnsi" w:cstheme="minorHAnsi"/>
        </w:rPr>
      </w:pPr>
    </w:p>
    <w:p w14:paraId="12188957" w14:textId="77777777" w:rsidR="008C59AD" w:rsidRPr="003A6402" w:rsidRDefault="008C59AD">
      <w:pPr>
        <w:spacing w:line="200" w:lineRule="exact"/>
        <w:rPr>
          <w:rFonts w:asciiTheme="minorHAnsi" w:hAnsiTheme="minorHAnsi" w:cstheme="minorHAnsi"/>
        </w:rPr>
      </w:pPr>
    </w:p>
    <w:p w14:paraId="5259793D" w14:textId="77777777" w:rsidR="008C59AD" w:rsidRPr="003A6402" w:rsidRDefault="008C59AD">
      <w:pPr>
        <w:spacing w:line="200" w:lineRule="exact"/>
        <w:rPr>
          <w:rFonts w:asciiTheme="minorHAnsi" w:hAnsiTheme="minorHAnsi" w:cstheme="minorHAnsi"/>
        </w:rPr>
      </w:pPr>
    </w:p>
    <w:p w14:paraId="4D8D0090" w14:textId="77777777" w:rsidR="008C59AD" w:rsidRPr="003A6402" w:rsidRDefault="008C59AD">
      <w:pPr>
        <w:spacing w:line="200" w:lineRule="exact"/>
        <w:rPr>
          <w:rFonts w:asciiTheme="minorHAnsi" w:hAnsiTheme="minorHAnsi" w:cstheme="minorHAnsi"/>
        </w:rPr>
      </w:pPr>
    </w:p>
    <w:p w14:paraId="355B6144" w14:textId="77777777" w:rsidR="008C59AD" w:rsidRPr="003A6402" w:rsidRDefault="008C59AD">
      <w:pPr>
        <w:spacing w:line="200" w:lineRule="exact"/>
        <w:rPr>
          <w:rFonts w:asciiTheme="minorHAnsi" w:hAnsiTheme="minorHAnsi" w:cstheme="minorHAnsi"/>
        </w:rPr>
      </w:pPr>
    </w:p>
    <w:p w14:paraId="0DAF3616" w14:textId="77777777" w:rsidR="008C59AD" w:rsidRPr="003A6402" w:rsidRDefault="008C59AD">
      <w:pPr>
        <w:spacing w:line="200" w:lineRule="exact"/>
        <w:rPr>
          <w:rFonts w:asciiTheme="minorHAnsi" w:hAnsiTheme="minorHAnsi" w:cstheme="minorHAnsi"/>
        </w:rPr>
      </w:pPr>
    </w:p>
    <w:p w14:paraId="15BAAF4E" w14:textId="77777777" w:rsidR="008C59AD" w:rsidRPr="003A6402" w:rsidRDefault="008C59AD">
      <w:pPr>
        <w:spacing w:line="200" w:lineRule="exact"/>
        <w:rPr>
          <w:rFonts w:asciiTheme="minorHAnsi" w:hAnsiTheme="minorHAnsi" w:cstheme="minorHAnsi"/>
        </w:rPr>
      </w:pPr>
    </w:p>
    <w:p w14:paraId="35E3F77D" w14:textId="77777777" w:rsidR="008C59AD" w:rsidRPr="003A6402" w:rsidRDefault="008C59AD">
      <w:pPr>
        <w:spacing w:line="200" w:lineRule="exact"/>
        <w:rPr>
          <w:rFonts w:asciiTheme="minorHAnsi" w:hAnsiTheme="minorHAnsi" w:cstheme="minorHAnsi"/>
        </w:rPr>
      </w:pPr>
    </w:p>
    <w:p w14:paraId="059A3A13" w14:textId="77777777" w:rsidR="008C59AD" w:rsidRPr="003A6402" w:rsidRDefault="008C59AD">
      <w:pPr>
        <w:spacing w:line="200" w:lineRule="exact"/>
        <w:rPr>
          <w:rFonts w:asciiTheme="minorHAnsi" w:hAnsiTheme="minorHAnsi" w:cstheme="minorHAnsi"/>
        </w:rPr>
      </w:pPr>
    </w:p>
    <w:p w14:paraId="08B29F35" w14:textId="77777777" w:rsidR="008C59AD" w:rsidRPr="003A6402" w:rsidRDefault="008C59AD">
      <w:pPr>
        <w:spacing w:line="200" w:lineRule="exact"/>
        <w:rPr>
          <w:rFonts w:asciiTheme="minorHAnsi" w:hAnsiTheme="minorHAnsi" w:cstheme="minorHAnsi"/>
        </w:rPr>
      </w:pPr>
    </w:p>
    <w:p w14:paraId="47925F7D" w14:textId="77777777" w:rsidR="008C59AD" w:rsidRPr="003A6402" w:rsidRDefault="008C59AD">
      <w:pPr>
        <w:spacing w:line="200" w:lineRule="exact"/>
        <w:rPr>
          <w:rFonts w:asciiTheme="minorHAnsi" w:hAnsiTheme="minorHAnsi" w:cstheme="minorHAnsi"/>
        </w:rPr>
      </w:pPr>
    </w:p>
    <w:p w14:paraId="556610D5" w14:textId="77777777" w:rsidR="008C59AD" w:rsidRPr="003A6402" w:rsidRDefault="008C59AD">
      <w:pPr>
        <w:spacing w:line="200" w:lineRule="exact"/>
        <w:rPr>
          <w:rFonts w:asciiTheme="minorHAnsi" w:hAnsiTheme="minorHAnsi" w:cstheme="minorHAnsi"/>
        </w:rPr>
      </w:pPr>
    </w:p>
    <w:p w14:paraId="47A08DBA" w14:textId="77777777" w:rsidR="008C59AD" w:rsidRPr="003A6402" w:rsidRDefault="008C59AD">
      <w:pPr>
        <w:spacing w:line="200" w:lineRule="exact"/>
        <w:rPr>
          <w:rFonts w:asciiTheme="minorHAnsi" w:hAnsiTheme="minorHAnsi" w:cstheme="minorHAnsi"/>
        </w:rPr>
      </w:pPr>
    </w:p>
    <w:p w14:paraId="7569E3F2" w14:textId="77777777" w:rsidR="008C59AD" w:rsidRPr="003A6402" w:rsidRDefault="008C59AD">
      <w:pPr>
        <w:spacing w:line="200" w:lineRule="exact"/>
        <w:rPr>
          <w:rFonts w:asciiTheme="minorHAnsi" w:hAnsiTheme="minorHAnsi" w:cstheme="minorHAnsi"/>
        </w:rPr>
      </w:pPr>
    </w:p>
    <w:p w14:paraId="7A5AB0C6" w14:textId="77777777" w:rsidR="008C59AD" w:rsidRPr="003A6402" w:rsidRDefault="008C59AD">
      <w:pPr>
        <w:spacing w:line="200" w:lineRule="exact"/>
        <w:rPr>
          <w:rFonts w:asciiTheme="minorHAnsi" w:hAnsiTheme="minorHAnsi" w:cstheme="minorHAnsi"/>
        </w:rPr>
      </w:pPr>
    </w:p>
    <w:p w14:paraId="043C917F" w14:textId="77777777" w:rsidR="008C59AD" w:rsidRPr="003A6402" w:rsidRDefault="008C59AD">
      <w:pPr>
        <w:spacing w:line="200" w:lineRule="exact"/>
        <w:rPr>
          <w:rFonts w:asciiTheme="minorHAnsi" w:hAnsiTheme="minorHAnsi" w:cstheme="minorHAnsi"/>
        </w:rPr>
      </w:pPr>
    </w:p>
    <w:p w14:paraId="22A66877" w14:textId="77777777" w:rsidR="008C59AD" w:rsidRPr="003A6402" w:rsidRDefault="008C59AD">
      <w:pPr>
        <w:spacing w:line="200" w:lineRule="exact"/>
        <w:rPr>
          <w:rFonts w:asciiTheme="minorHAnsi" w:hAnsiTheme="minorHAnsi" w:cstheme="minorHAnsi"/>
        </w:rPr>
      </w:pPr>
    </w:p>
    <w:p w14:paraId="650260F7" w14:textId="77777777" w:rsidR="008C59AD" w:rsidRPr="003A6402" w:rsidRDefault="008C59AD">
      <w:pPr>
        <w:spacing w:line="200" w:lineRule="exact"/>
        <w:rPr>
          <w:rFonts w:asciiTheme="minorHAnsi" w:hAnsiTheme="minorHAnsi" w:cstheme="minorHAnsi"/>
        </w:rPr>
      </w:pPr>
    </w:p>
    <w:p w14:paraId="274EC55D" w14:textId="77777777" w:rsidR="008C59AD" w:rsidRPr="003A6402" w:rsidRDefault="008C59AD">
      <w:pPr>
        <w:spacing w:line="200" w:lineRule="exact"/>
        <w:rPr>
          <w:rFonts w:asciiTheme="minorHAnsi" w:hAnsiTheme="minorHAnsi" w:cstheme="minorHAnsi"/>
        </w:rPr>
      </w:pPr>
    </w:p>
    <w:p w14:paraId="13F64E44" w14:textId="77777777" w:rsidR="008C59AD" w:rsidRPr="003A6402" w:rsidRDefault="008C59AD">
      <w:pPr>
        <w:spacing w:line="200" w:lineRule="exact"/>
        <w:rPr>
          <w:rFonts w:asciiTheme="minorHAnsi" w:hAnsiTheme="minorHAnsi" w:cstheme="minorHAnsi"/>
        </w:rPr>
      </w:pPr>
    </w:p>
    <w:p w14:paraId="6B253322" w14:textId="77777777" w:rsidR="008C59AD" w:rsidRPr="003A6402" w:rsidRDefault="008C59AD">
      <w:pPr>
        <w:spacing w:line="200" w:lineRule="exact"/>
        <w:rPr>
          <w:rFonts w:asciiTheme="minorHAnsi" w:hAnsiTheme="minorHAnsi" w:cstheme="minorHAnsi"/>
        </w:rPr>
      </w:pPr>
    </w:p>
    <w:p w14:paraId="0D27948B" w14:textId="77777777" w:rsidR="008C59AD" w:rsidRPr="003A6402" w:rsidRDefault="008C59AD">
      <w:pPr>
        <w:spacing w:line="200" w:lineRule="exact"/>
        <w:rPr>
          <w:rFonts w:asciiTheme="minorHAnsi" w:hAnsiTheme="minorHAnsi" w:cstheme="minorHAnsi"/>
        </w:rPr>
      </w:pPr>
    </w:p>
    <w:p w14:paraId="427A4F45" w14:textId="77777777" w:rsidR="008C59AD" w:rsidRPr="003A6402" w:rsidRDefault="008C59AD">
      <w:pPr>
        <w:spacing w:line="200" w:lineRule="exact"/>
        <w:rPr>
          <w:rFonts w:asciiTheme="minorHAnsi" w:hAnsiTheme="minorHAnsi" w:cstheme="minorHAnsi"/>
        </w:rPr>
      </w:pPr>
    </w:p>
    <w:p w14:paraId="693FDB70" w14:textId="77777777" w:rsidR="008C59AD" w:rsidRPr="003A6402" w:rsidRDefault="008C59AD">
      <w:pPr>
        <w:spacing w:line="200" w:lineRule="exact"/>
        <w:rPr>
          <w:rFonts w:asciiTheme="minorHAnsi" w:hAnsiTheme="minorHAnsi" w:cstheme="minorHAnsi"/>
        </w:rPr>
      </w:pPr>
    </w:p>
    <w:p w14:paraId="51D23B91" w14:textId="77777777" w:rsidR="008C59AD" w:rsidRPr="003A6402" w:rsidRDefault="008C59AD">
      <w:pPr>
        <w:spacing w:line="200" w:lineRule="exact"/>
        <w:rPr>
          <w:rFonts w:asciiTheme="minorHAnsi" w:hAnsiTheme="minorHAnsi" w:cstheme="minorHAnsi"/>
        </w:rPr>
      </w:pPr>
    </w:p>
    <w:p w14:paraId="09440864" w14:textId="77777777" w:rsidR="008C59AD" w:rsidRPr="003A6402" w:rsidRDefault="008C59AD">
      <w:pPr>
        <w:spacing w:line="200" w:lineRule="exact"/>
        <w:rPr>
          <w:rFonts w:asciiTheme="minorHAnsi" w:hAnsiTheme="minorHAnsi" w:cstheme="minorHAnsi"/>
        </w:rPr>
      </w:pPr>
    </w:p>
    <w:p w14:paraId="12028839" w14:textId="77777777" w:rsidR="008C59AD" w:rsidRPr="003A6402" w:rsidRDefault="008C59AD">
      <w:pPr>
        <w:spacing w:line="200" w:lineRule="exact"/>
        <w:rPr>
          <w:rFonts w:asciiTheme="minorHAnsi" w:hAnsiTheme="minorHAnsi" w:cstheme="minorHAnsi"/>
        </w:rPr>
      </w:pPr>
    </w:p>
    <w:p w14:paraId="0630A669" w14:textId="77777777" w:rsidR="008C59AD" w:rsidRPr="003A6402" w:rsidRDefault="008C59AD">
      <w:pPr>
        <w:spacing w:line="200" w:lineRule="exact"/>
        <w:rPr>
          <w:rFonts w:asciiTheme="minorHAnsi" w:hAnsiTheme="minorHAnsi" w:cstheme="minorHAnsi"/>
        </w:rPr>
      </w:pPr>
    </w:p>
    <w:p w14:paraId="136CCA5C" w14:textId="77777777" w:rsidR="008C59AD" w:rsidRPr="003A6402" w:rsidRDefault="008C59AD">
      <w:pPr>
        <w:spacing w:line="200" w:lineRule="exact"/>
        <w:rPr>
          <w:rFonts w:asciiTheme="minorHAnsi" w:hAnsiTheme="minorHAnsi" w:cstheme="minorHAnsi"/>
        </w:rPr>
      </w:pPr>
    </w:p>
    <w:p w14:paraId="4F9BF873" w14:textId="77777777" w:rsidR="008C59AD" w:rsidRPr="003A6402" w:rsidRDefault="008C59AD">
      <w:pPr>
        <w:spacing w:line="200" w:lineRule="exact"/>
        <w:rPr>
          <w:rFonts w:asciiTheme="minorHAnsi" w:hAnsiTheme="minorHAnsi" w:cstheme="minorHAnsi"/>
        </w:rPr>
      </w:pPr>
    </w:p>
    <w:p w14:paraId="2D972321" w14:textId="77777777" w:rsidR="008C59AD" w:rsidRPr="003A6402" w:rsidRDefault="008C59AD">
      <w:pPr>
        <w:spacing w:line="200" w:lineRule="exact"/>
        <w:rPr>
          <w:rFonts w:asciiTheme="minorHAnsi" w:hAnsiTheme="minorHAnsi" w:cstheme="minorHAnsi"/>
        </w:rPr>
      </w:pPr>
    </w:p>
    <w:p w14:paraId="1A2B6A2E" w14:textId="77777777" w:rsidR="008C59AD" w:rsidRPr="003A6402" w:rsidRDefault="008C59AD">
      <w:pPr>
        <w:spacing w:line="200" w:lineRule="exact"/>
        <w:rPr>
          <w:rFonts w:asciiTheme="minorHAnsi" w:hAnsiTheme="minorHAnsi" w:cstheme="minorHAnsi"/>
        </w:rPr>
      </w:pPr>
    </w:p>
    <w:p w14:paraId="0E951B3D" w14:textId="77777777" w:rsidR="008C59AD" w:rsidRPr="003A6402" w:rsidRDefault="008C59AD">
      <w:pPr>
        <w:spacing w:line="200" w:lineRule="exact"/>
        <w:rPr>
          <w:rFonts w:asciiTheme="minorHAnsi" w:hAnsiTheme="minorHAnsi" w:cstheme="minorHAnsi"/>
        </w:rPr>
      </w:pPr>
    </w:p>
    <w:p w14:paraId="0942B34D" w14:textId="77777777" w:rsidR="008C59AD" w:rsidRPr="003A6402" w:rsidRDefault="008C59AD">
      <w:pPr>
        <w:spacing w:line="200" w:lineRule="exact"/>
        <w:rPr>
          <w:rFonts w:asciiTheme="minorHAnsi" w:hAnsiTheme="minorHAnsi" w:cstheme="minorHAnsi"/>
        </w:rPr>
      </w:pPr>
    </w:p>
    <w:p w14:paraId="5EE55707" w14:textId="77777777" w:rsidR="008C59AD" w:rsidRPr="003A6402" w:rsidRDefault="008C59AD">
      <w:pPr>
        <w:spacing w:line="200" w:lineRule="exact"/>
        <w:rPr>
          <w:rFonts w:asciiTheme="minorHAnsi" w:hAnsiTheme="minorHAnsi" w:cstheme="minorHAnsi"/>
        </w:rPr>
      </w:pPr>
    </w:p>
    <w:p w14:paraId="1F48A161" w14:textId="77777777" w:rsidR="008C59AD" w:rsidRPr="003A6402" w:rsidRDefault="008C59AD">
      <w:pPr>
        <w:spacing w:line="200" w:lineRule="exact"/>
        <w:rPr>
          <w:rFonts w:asciiTheme="minorHAnsi" w:hAnsiTheme="minorHAnsi" w:cstheme="minorHAnsi"/>
        </w:rPr>
      </w:pPr>
    </w:p>
    <w:p w14:paraId="4063C70D" w14:textId="77777777" w:rsidR="008C59AD" w:rsidRPr="003A6402" w:rsidRDefault="008C59AD">
      <w:pPr>
        <w:spacing w:before="14" w:line="280" w:lineRule="exact"/>
        <w:rPr>
          <w:rFonts w:asciiTheme="minorHAnsi" w:hAnsiTheme="minorHAnsi" w:cstheme="minorHAnsi"/>
          <w:sz w:val="28"/>
          <w:szCs w:val="28"/>
        </w:rPr>
      </w:pPr>
    </w:p>
    <w:p w14:paraId="4ED81C22" w14:textId="77777777" w:rsidR="008C59AD" w:rsidRPr="003A6402" w:rsidRDefault="003A6402">
      <w:pPr>
        <w:ind w:left="100"/>
        <w:rPr>
          <w:rFonts w:asciiTheme="minorHAnsi" w:eastAsia="Arial" w:hAnsiTheme="minorHAnsi" w:cstheme="minorHAnsi"/>
        </w:rPr>
      </w:pPr>
      <w:r w:rsidRPr="003A6402">
        <w:rPr>
          <w:rFonts w:asciiTheme="minorHAnsi" w:eastAsia="Arial" w:hAnsiTheme="minorHAnsi" w:cstheme="minorHAnsi"/>
        </w:rPr>
        <w:t>Framework Ref: RM6263</w:t>
      </w:r>
    </w:p>
    <w:p w14:paraId="53BC1918" w14:textId="77777777" w:rsidR="008C59AD" w:rsidRPr="003A6402" w:rsidRDefault="003A6402">
      <w:pPr>
        <w:spacing w:before="40"/>
        <w:ind w:left="100"/>
        <w:rPr>
          <w:rFonts w:asciiTheme="minorHAnsi" w:eastAsia="Arial" w:hAnsiTheme="minorHAnsi" w:cstheme="minorHAnsi"/>
        </w:rPr>
      </w:pPr>
      <w:r w:rsidRPr="003A6402">
        <w:rPr>
          <w:rFonts w:asciiTheme="minorHAnsi" w:eastAsia="Arial" w:hAnsiTheme="minorHAnsi" w:cstheme="minorHAnsi"/>
        </w:rPr>
        <w:t>Project Version: v1.0                                                                                                                                1</w:t>
      </w:r>
    </w:p>
    <w:p w14:paraId="721B9844" w14:textId="77777777" w:rsidR="008C59AD" w:rsidRPr="003A6402" w:rsidRDefault="003A6402">
      <w:pPr>
        <w:spacing w:before="40"/>
        <w:ind w:left="100"/>
        <w:rPr>
          <w:rFonts w:asciiTheme="minorHAnsi" w:eastAsia="Arial" w:hAnsiTheme="minorHAnsi" w:cstheme="minorHAnsi"/>
        </w:rPr>
      </w:pPr>
      <w:r w:rsidRPr="003A6402">
        <w:rPr>
          <w:rFonts w:asciiTheme="minorHAnsi" w:eastAsia="Arial" w:hAnsiTheme="minorHAnsi" w:cstheme="minorHAnsi"/>
        </w:rPr>
        <w:t>Model Version: v3.0</w:t>
      </w:r>
    </w:p>
    <w:sectPr w:rsidR="008C59AD" w:rsidRPr="003A6402">
      <w:type w:val="continuous"/>
      <w:pgSz w:w="11920" w:h="16840"/>
      <w:pgMar w:top="64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A005A"/>
    <w:multiLevelType w:val="multilevel"/>
    <w:tmpl w:val="601C73A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9AD"/>
    <w:rsid w:val="000B2B03"/>
    <w:rsid w:val="0012380A"/>
    <w:rsid w:val="003A6402"/>
    <w:rsid w:val="00727EF6"/>
    <w:rsid w:val="007F52E4"/>
    <w:rsid w:val="008C59AD"/>
    <w:rsid w:val="00975572"/>
    <w:rsid w:val="00CA60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DCCD8"/>
  <w15:docId w15:val="{4221527F-9A5D-4E83-96A1-431DE70E2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131</Words>
  <Characters>747</Characters>
  <Application>Microsoft Office Word</Application>
  <DocSecurity>0</DocSecurity>
  <Lines>6</Lines>
  <Paragraphs>1</Paragraphs>
  <ScaleCrop>false</ScaleCrop>
  <Company>Cabinet Office</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Elliott, Liga Mrs (Air-Comrcl Proc 1&amp;11Gp Ld Mgr)</dc:creator>
  <cp:lastModifiedBy>Elliott, Liga Mrs (Air-Comrcl Proc 1&amp;11Gp Ld Mgr)</cp:lastModifiedBy>
  <cp:revision>7</cp:revision>
  <dcterms:created xsi:type="dcterms:W3CDTF">2022-08-23T10:50:00Z</dcterms:created>
  <dcterms:modified xsi:type="dcterms:W3CDTF">2022-08-23T17:52:00Z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2022-08-23T10:42:32Z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ac1b2658-b165-45b9-ae8e-8f15fc73d87e</vt:lpwstr>
  </property>
  <property fmtid="{D5CDD505-2E9C-101B-9397-08002B2CF9AE}" pid="8" name="MSIP_Label_d8a60473-494b-4586-a1bb-b0e663054676_ContentBits">
    <vt:lpwstr>0</vt:lpwstr>
  </property>
</Properties>
</file>