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2">
      <w:pPr>
        <w:rPr>
          <w:rFonts w:ascii="Arial" w:cs="Arial" w:eastAsia="Arial" w:hAnsi="Arial"/>
          <w:sz w:val="52"/>
          <w:szCs w:val="52"/>
        </w:rPr>
      </w:pPr>
      <w:r w:rsidDel="00000000" w:rsidR="00000000" w:rsidRPr="00000000">
        <w:rPr>
          <w:rFonts w:ascii="Arial" w:cs="Arial" w:eastAsia="Arial" w:hAnsi="Arial"/>
          <w:sz w:val="52"/>
          <w:szCs w:val="52"/>
          <w:rtl w:val="0"/>
        </w:rPr>
        <w:t xml:space="preserve"> </w:t>
      </w:r>
    </w:p>
    <w:p w:rsidR="00000000" w:rsidDel="00000000" w:rsidP="00000000" w:rsidRDefault="00000000" w:rsidRPr="00000000" w14:paraId="00000003">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1a – Specification</w:t>
      </w:r>
      <w:r w:rsidDel="00000000" w:rsidR="00000000" w:rsidRPr="00000000">
        <w:rPr>
          <w:rtl w:val="0"/>
        </w:rPr>
      </w:r>
    </w:p>
    <w:p w:rsidR="00000000" w:rsidDel="00000000" w:rsidP="00000000" w:rsidRDefault="00000000" w:rsidRPr="00000000" w14:paraId="00000005">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b w:val="1"/>
          <w:u w:val="single"/>
        </w:rPr>
      </w:pPr>
      <w:r w:rsidDel="00000000" w:rsidR="00000000" w:rsidRPr="00000000">
        <w:rPr>
          <w:rFonts w:ascii="Arial" w:cs="Arial" w:eastAsia="Arial" w:hAnsi="Arial"/>
          <w:b w:val="1"/>
          <w:sz w:val="40"/>
          <w:szCs w:val="40"/>
          <w:rtl w:val="0"/>
        </w:rPr>
        <w:t xml:space="preserve">RM6186 Fuel Cards and Associated Services</w:t>
      </w:r>
      <w:r w:rsidDel="00000000" w:rsidR="00000000" w:rsidRPr="00000000">
        <w:rPr>
          <w:rtl w:val="0"/>
        </w:rPr>
      </w:r>
    </w:p>
    <w:p w:rsidR="00000000" w:rsidDel="00000000" w:rsidP="00000000" w:rsidRDefault="00000000" w:rsidRPr="00000000" w14:paraId="00000007">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8">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9">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A">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B">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C">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D">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E">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F">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0">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1">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2">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3">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4">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5">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6">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7">
      <w:pPr>
        <w:spacing w:after="240" w:before="24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8">
      <w:pPr>
        <w:spacing w:after="240" w:before="24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Table of Contents</w:t>
      </w:r>
    </w:p>
    <w:p w:rsidR="00000000" w:rsidDel="00000000" w:rsidP="00000000" w:rsidRDefault="00000000" w:rsidRPr="00000000" w14:paraId="00000019">
      <w:pPr>
        <w:spacing w:after="240" w:before="240" w:line="240" w:lineRule="auto"/>
        <w:ind w:left="360" w:firstLine="0"/>
        <w:rPr>
          <w:rFonts w:ascii="Arial" w:cs="Arial" w:eastAsia="Arial" w:hAnsi="Arial"/>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sz w:val="14"/>
          <w:szCs w:val="14"/>
          <w:rtl w:val="0"/>
        </w:rPr>
        <w:tab/>
      </w:r>
      <w:r w:rsidDel="00000000" w:rsidR="00000000" w:rsidRPr="00000000">
        <w:rPr>
          <w:rFonts w:ascii="Arial" w:cs="Arial" w:eastAsia="Arial" w:hAnsi="Arial"/>
          <w:b w:val="1"/>
          <w:rtl w:val="0"/>
        </w:rPr>
        <w:t xml:space="preserve">Introduction</w:t>
      </w:r>
      <w:r w:rsidDel="00000000" w:rsidR="00000000" w:rsidRPr="00000000">
        <w:rPr>
          <w:rFonts w:ascii="Arial" w:cs="Arial" w:eastAsia="Arial" w:hAnsi="Arial"/>
          <w:rtl w:val="0"/>
        </w:rPr>
        <w:t xml:space="preserve">.............…………………………………………………    1               </w:t>
        <w:tab/>
      </w:r>
    </w:p>
    <w:p w:rsidR="00000000" w:rsidDel="00000000" w:rsidP="00000000" w:rsidRDefault="00000000" w:rsidRPr="00000000" w14:paraId="0000001A">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Customer Needs Statement………………………………. </w:t>
        <w:tab/>
        <w:t xml:space="preserve">1</w:t>
      </w:r>
    </w:p>
    <w:p w:rsidR="00000000" w:rsidDel="00000000" w:rsidP="00000000" w:rsidRDefault="00000000" w:rsidRPr="00000000" w14:paraId="0000001B">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Current Statement………………………………………….. </w:t>
        <w:tab/>
        <w:t xml:space="preserve">1</w:t>
      </w:r>
    </w:p>
    <w:p w:rsidR="00000000" w:rsidDel="00000000" w:rsidP="00000000" w:rsidRDefault="00000000" w:rsidRPr="00000000" w14:paraId="0000001C">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1.3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Opportunity………………………………………………….. </w:t>
        <w:tab/>
        <w:t xml:space="preserve">1 </w:t>
      </w:r>
    </w:p>
    <w:p w:rsidR="00000000" w:rsidDel="00000000" w:rsidP="00000000" w:rsidRDefault="00000000" w:rsidRPr="00000000" w14:paraId="0000001D">
      <w:pPr>
        <w:spacing w:after="240" w:before="240" w:line="240" w:lineRule="auto"/>
        <w:ind w:left="360" w:firstLine="0"/>
        <w:rPr>
          <w:rFonts w:ascii="Arial" w:cs="Arial" w:eastAsia="Arial" w:hAnsi="Arial"/>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sz w:val="14"/>
          <w:szCs w:val="14"/>
          <w:rtl w:val="0"/>
        </w:rPr>
        <w:tab/>
      </w:r>
      <w:r w:rsidDel="00000000" w:rsidR="00000000" w:rsidRPr="00000000">
        <w:rPr>
          <w:rFonts w:ascii="Arial" w:cs="Arial" w:eastAsia="Arial" w:hAnsi="Arial"/>
          <w:b w:val="1"/>
          <w:rtl w:val="0"/>
        </w:rPr>
        <w:t xml:space="preserve">Specification</w:t>
      </w:r>
      <w:r w:rsidDel="00000000" w:rsidR="00000000" w:rsidRPr="00000000">
        <w:rPr>
          <w:rFonts w:ascii="Arial" w:cs="Arial" w:eastAsia="Arial" w:hAnsi="Arial"/>
          <w:rtl w:val="0"/>
        </w:rPr>
        <w:t xml:space="preserve">. …………………………………………………………. </w:t>
        <w:tab/>
        <w:t xml:space="preserve">2</w:t>
      </w:r>
    </w:p>
    <w:p w:rsidR="00000000" w:rsidDel="00000000" w:rsidP="00000000" w:rsidRDefault="00000000" w:rsidRPr="00000000" w14:paraId="0000001E">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Definitions………………………………………………….. </w:t>
        <w:tab/>
        <w:t xml:space="preserve">2</w:t>
      </w:r>
    </w:p>
    <w:p w:rsidR="00000000" w:rsidDel="00000000" w:rsidP="00000000" w:rsidRDefault="00000000" w:rsidRPr="00000000" w14:paraId="0000001F">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Summary …………………………………………………… </w:t>
        <w:tab/>
        <w:t xml:space="preserve">3</w:t>
      </w:r>
    </w:p>
    <w:p w:rsidR="00000000" w:rsidDel="00000000" w:rsidP="00000000" w:rsidRDefault="00000000" w:rsidRPr="00000000" w14:paraId="00000020">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The Services – Mandatory Requirements……………… </w:t>
        <w:tab/>
        <w:t xml:space="preserve">4</w:t>
      </w:r>
    </w:p>
    <w:p w:rsidR="00000000" w:rsidDel="00000000" w:rsidP="00000000" w:rsidRDefault="00000000" w:rsidRPr="00000000" w14:paraId="00000021">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Coverage…………………………………………………… </w:t>
        <w:tab/>
        <w:t xml:space="preserve">4</w:t>
      </w:r>
    </w:p>
    <w:p w:rsidR="00000000" w:rsidDel="00000000" w:rsidP="00000000" w:rsidRDefault="00000000" w:rsidRPr="00000000" w14:paraId="00000022">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Functionality……………………………………………….. </w:t>
        <w:tab/>
        <w:t xml:space="preserve">4</w:t>
      </w:r>
    </w:p>
    <w:p w:rsidR="00000000" w:rsidDel="00000000" w:rsidP="00000000" w:rsidRDefault="00000000" w:rsidRPr="00000000" w14:paraId="00000023">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Fraud……………………………………………………….. </w:t>
        <w:tab/>
        <w:t xml:space="preserve">5</w:t>
      </w:r>
    </w:p>
    <w:p w:rsidR="00000000" w:rsidDel="00000000" w:rsidP="00000000" w:rsidRDefault="00000000" w:rsidRPr="00000000" w14:paraId="00000024">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Security…………………………………………………….. </w:t>
        <w:tab/>
        <w:t xml:space="preserve">5</w:t>
      </w:r>
    </w:p>
    <w:p w:rsidR="00000000" w:rsidDel="00000000" w:rsidP="00000000" w:rsidRDefault="00000000" w:rsidRPr="00000000" w14:paraId="00000025">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2.8</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Customer Service and Account Management…………. </w:t>
        <w:tab/>
        <w:t xml:space="preserve">5</w:t>
      </w:r>
    </w:p>
    <w:p w:rsidR="00000000" w:rsidDel="00000000" w:rsidP="00000000" w:rsidRDefault="00000000" w:rsidRPr="00000000" w14:paraId="00000026">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2.9</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Social Value……………………………………………….. </w:t>
        <w:tab/>
        <w:t xml:space="preserve">6</w:t>
      </w:r>
    </w:p>
    <w:p w:rsidR="00000000" w:rsidDel="00000000" w:rsidP="00000000" w:rsidRDefault="00000000" w:rsidRPr="00000000" w14:paraId="00000027">
      <w:pPr>
        <w:spacing w:after="240" w:before="240" w:line="240" w:lineRule="auto"/>
        <w:ind w:left="2520" w:hanging="720"/>
        <w:rPr>
          <w:rFonts w:ascii="Arial" w:cs="Arial" w:eastAsia="Arial" w:hAnsi="Arial"/>
        </w:rPr>
      </w:pPr>
      <w:r w:rsidDel="00000000" w:rsidR="00000000" w:rsidRPr="00000000">
        <w:rPr>
          <w:rFonts w:ascii="Arial" w:cs="Arial" w:eastAsia="Arial" w:hAnsi="Arial"/>
          <w:rtl w:val="0"/>
        </w:rPr>
        <w:t xml:space="preserve">2.9.1</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Theme 5 Wellbeing…………………………… </w:t>
        <w:tab/>
        <w:t xml:space="preserve">6</w:t>
      </w:r>
    </w:p>
    <w:p w:rsidR="00000000" w:rsidDel="00000000" w:rsidP="00000000" w:rsidRDefault="00000000" w:rsidRPr="00000000" w14:paraId="00000028">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2.10</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Transition and Implementation…………………… </w:t>
        <w:tab/>
        <w:t xml:space="preserve">6</w:t>
      </w:r>
    </w:p>
    <w:p w:rsidR="00000000" w:rsidDel="00000000" w:rsidP="00000000" w:rsidRDefault="00000000" w:rsidRPr="00000000" w14:paraId="00000029">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2.11</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Continuous Improvement…………………………. </w:t>
        <w:tab/>
        <w:t xml:space="preserve">7</w:t>
      </w:r>
    </w:p>
    <w:p w:rsidR="00000000" w:rsidDel="00000000" w:rsidP="00000000" w:rsidRDefault="00000000" w:rsidRPr="00000000" w14:paraId="0000002A">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2.12</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Invoice and Payment………………………………. </w:t>
        <w:tab/>
        <w:t xml:space="preserve">7</w:t>
      </w:r>
    </w:p>
    <w:p w:rsidR="00000000" w:rsidDel="00000000" w:rsidP="00000000" w:rsidRDefault="00000000" w:rsidRPr="00000000" w14:paraId="0000002B">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2.13</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Online Management Tool…………………………..</w:t>
        <w:tab/>
        <w:t xml:space="preserve">7</w:t>
      </w:r>
    </w:p>
    <w:p w:rsidR="00000000" w:rsidDel="00000000" w:rsidP="00000000" w:rsidRDefault="00000000" w:rsidRPr="00000000" w14:paraId="0000002C">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2.14</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Contracting Authority Management Information….   7</w:t>
      </w:r>
    </w:p>
    <w:p w:rsidR="00000000" w:rsidDel="00000000" w:rsidP="00000000" w:rsidRDefault="00000000" w:rsidRPr="00000000" w14:paraId="0000002D">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2.15</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Authority Management Information………………..</w:t>
        <w:tab/>
        <w:t xml:space="preserve">8</w:t>
      </w:r>
    </w:p>
    <w:p w:rsidR="00000000" w:rsidDel="00000000" w:rsidP="00000000" w:rsidRDefault="00000000" w:rsidRPr="00000000" w14:paraId="0000002E">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2.16</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Specific Services…………………………………….</w:t>
        <w:tab/>
        <w:t xml:space="preserve">8</w:t>
      </w:r>
    </w:p>
    <w:p w:rsidR="00000000" w:rsidDel="00000000" w:rsidP="00000000" w:rsidRDefault="00000000" w:rsidRPr="00000000" w14:paraId="0000002F">
      <w:pPr>
        <w:spacing w:after="240" w:before="240" w:line="240" w:lineRule="auto"/>
        <w:ind w:left="1520" w:hanging="400"/>
        <w:rPr>
          <w:rFonts w:ascii="Arial" w:cs="Arial" w:eastAsia="Arial" w:hAnsi="Arial"/>
        </w:rPr>
      </w:pPr>
      <w:r w:rsidDel="00000000" w:rsidR="00000000" w:rsidRPr="00000000">
        <w:rPr>
          <w:rFonts w:ascii="Arial" w:cs="Arial" w:eastAsia="Arial" w:hAnsi="Arial"/>
          <w:rtl w:val="0"/>
        </w:rPr>
        <w:t xml:space="preserve">2.17</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The Services - Optional Requirement…………….    8</w:t>
      </w:r>
    </w:p>
    <w:p w:rsidR="00000000" w:rsidDel="00000000" w:rsidP="00000000" w:rsidRDefault="00000000" w:rsidRPr="00000000" w14:paraId="00000030">
      <w:pPr>
        <w:spacing w:after="240" w:before="24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 </w:t>
      </w:r>
    </w:p>
    <w:p w:rsidR="00000000" w:rsidDel="00000000" w:rsidP="00000000" w:rsidRDefault="00000000" w:rsidRPr="00000000" w14:paraId="00000031">
      <w:pP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33">
      <w:pPr>
        <w:numPr>
          <w:ilvl w:val="0"/>
          <w:numId w:val="12"/>
        </w:numPr>
        <w:spacing w:after="0" w:line="240" w:lineRule="auto"/>
        <w:ind w:left="720" w:hanging="360"/>
        <w:rPr>
          <w:rFonts w:ascii="Arial" w:cs="Arial" w:eastAsia="Arial" w:hAnsi="Arial"/>
          <w:b w:val="1"/>
          <w:u w:val="none"/>
        </w:rPr>
      </w:pPr>
      <w:r w:rsidDel="00000000" w:rsidR="00000000" w:rsidRPr="00000000">
        <w:rPr>
          <w:rFonts w:ascii="Arial" w:cs="Arial" w:eastAsia="Arial" w:hAnsi="Arial"/>
          <w:b w:val="1"/>
          <w:u w:val="single"/>
          <w:rtl w:val="0"/>
        </w:rPr>
        <w:t xml:space="preserve">INTRODUCTION</w:t>
      </w: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Customer Needs Statement </w:t>
      </w:r>
    </w:p>
    <w:p w:rsidR="00000000" w:rsidDel="00000000" w:rsidP="00000000" w:rsidRDefault="00000000" w:rsidRPr="00000000" w14:paraId="00000036">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A fuel card is a payment product for organisations that enables drivers to purchase fuel and related products for the vehicles they use for business purposes; essentially a payment card for vehicle related purchases. </w:t>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Benefits of using a fuel card include (but not limited to):</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Removes the need for cash</w:t>
      </w:r>
    </w:p>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Significantly reduces admin requirements as opposed to pat and reclaim</w:t>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consistent, competitive pricing </w:t>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 payments</w:t>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Detailed Management Information to help with budgets</w:t>
      </w:r>
    </w:p>
    <w:p w:rsidR="00000000" w:rsidDel="00000000" w:rsidP="00000000" w:rsidRDefault="00000000" w:rsidRPr="00000000" w14:paraId="0000004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Carbon emission reports to help with social value commitments </w:t>
      </w:r>
    </w:p>
    <w:p w:rsidR="00000000" w:rsidDel="00000000" w:rsidP="00000000" w:rsidRDefault="00000000" w:rsidRPr="00000000" w14:paraId="0000004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This procurement is concerned with replacing the Authority’s existing Fuel Card Commercial Agreement (RM6000), which supports key organisations including the Ministry of Defence and Blue Light/Emergency Services.</w:t>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The current situation</w:t>
      </w: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current Commercial Agreement (RM6000) expires on 22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March 2022. CCS has previously awarded five (5) successful generations of the Fuel Card Commercial Agreement, dating back to 2002.</w:t>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replacement Commercial Agreement (RM6186) needs to be available for use by 23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March 2022, encompassing existing fuel card solutions and additional service areas (i.e. alternative fuels such as electricity and Social Value) required by the customers whilst providing competitive, transparent pricing with increased savings opportunities.</w:t>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The opportunity</w:t>
      </w: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Crown Commercial Services are seeking to establish a single Lot, multi-supplier Commercial Agreement for the provision of Fuel Cards and Associated Services, across the UK (regional and nationwide) and Europe.</w:t>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duration of this Commercial Agreement will be four (4) years.</w:t>
      </w:r>
    </w:p>
    <w:p w:rsidR="00000000" w:rsidDel="00000000" w:rsidP="00000000" w:rsidRDefault="00000000" w:rsidRPr="00000000" w14:paraId="0000004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value of this Commercial Agreement is located within Section II.1.5 of the published FTS notice. </w:t>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u w:val="single"/>
          <w:rtl w:val="0"/>
        </w:rPr>
        <w:t xml:space="preserve">SPECIFICATION</w:t>
      </w: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Definitions</w:t>
      </w: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tl w:val="0"/>
        </w:rPr>
      </w:r>
    </w:p>
    <w:tbl>
      <w:tblPr>
        <w:tblStyle w:val="Table1"/>
        <w:tblW w:w="9030.0" w:type="dxa"/>
        <w:jc w:val="left"/>
        <w:tblInd w:w="3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0"/>
        <w:gridCol w:w="7200"/>
        <w:tblGridChange w:id="0">
          <w:tblGrid>
            <w:gridCol w:w="1830"/>
            <w:gridCol w:w="7200"/>
          </w:tblGrid>
        </w:tblGridChange>
      </w:tblGrid>
      <w:tr>
        <w:trPr>
          <w:cantSplit w:val="0"/>
          <w:tblHeader w:val="0"/>
        </w:trPr>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Authority Management Information</w:t>
            </w:r>
          </w:p>
        </w:tc>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 information that is collated on the performance of the Commercial Agreement as described in the Framework Agreement;</w:t>
            </w:r>
          </w:p>
        </w:tc>
      </w:tr>
      <w:tr>
        <w:trPr>
          <w:cantSplit w:val="0"/>
          <w:tblHeader w:val="0"/>
        </w:trPr>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Bearer Cards</w:t>
            </w:r>
            <w:r w:rsidDel="00000000" w:rsidR="00000000" w:rsidRPr="00000000">
              <w:rPr>
                <w:rtl w:val="0"/>
              </w:rPr>
            </w:r>
          </w:p>
        </w:tc>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Fuel Cards that have no employee name or vehicle registration ascribed to them;</w:t>
            </w:r>
            <w:r w:rsidDel="00000000" w:rsidR="00000000" w:rsidRPr="00000000">
              <w:rPr>
                <w:rtl w:val="0"/>
              </w:rPr>
            </w:r>
          </w:p>
        </w:tc>
      </w:tr>
      <w:tr>
        <w:trPr>
          <w:cantSplit w:val="0"/>
          <w:tblHeader w:val="0"/>
        </w:trPr>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 Off Contract</w:t>
            </w:r>
            <w:r w:rsidDel="00000000" w:rsidR="00000000" w:rsidRPr="00000000">
              <w:rPr>
                <w:rtl w:val="0"/>
              </w:rPr>
            </w:r>
          </w:p>
        </w:tc>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 specific contract awarded by a Contracting Authority under the terms of the Framework Agreement;</w:t>
            </w:r>
            <w:r w:rsidDel="00000000" w:rsidR="00000000" w:rsidRPr="00000000">
              <w:rPr>
                <w:rtl w:val="0"/>
              </w:rPr>
            </w:r>
          </w:p>
        </w:tc>
      </w:tr>
      <w:tr>
        <w:trPr>
          <w:cantSplit w:val="0"/>
          <w:tblHeader w:val="0"/>
        </w:trPr>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Agreement</w:t>
            </w:r>
          </w:p>
        </w:tc>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 contract set out in Attachment 1 of this Bid Pack to be entered into between the Authority and successful Bidder(s) at the conclusion of this Procurement;</w:t>
            </w:r>
          </w:p>
        </w:tc>
      </w:tr>
      <w:tr>
        <w:trPr>
          <w:cantSplit w:val="0"/>
          <w:tblHeader w:val="0"/>
        </w:trP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Contracting Authority</w:t>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 Authority and/or any other bodies who are authorised to award specific contracts under the Framework Agreement, as described in the Contract Notice;</w:t>
            </w:r>
          </w:p>
        </w:tc>
      </w:tr>
      <w:tr>
        <w:trPr>
          <w:cantSplit w:val="0"/>
          <w:tblHeader w:val="0"/>
        </w:trPr>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Contracting Authority Management Information</w:t>
            </w:r>
          </w:p>
        </w:tc>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eans the information that is collated on the performance of the Call-Off Contract as described in the Framework Agreement;</w:t>
            </w:r>
          </w:p>
        </w:tc>
      </w:tr>
      <w:tr>
        <w:trPr>
          <w:cantSplit w:val="0"/>
          <w:tblHeader w:val="0"/>
        </w:trPr>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 Essentials</w:t>
            </w:r>
          </w:p>
        </w:tc>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simple but effective, Government backed scheme that will help you to protect your organisation, whatever its size, against a whole range of the most common cyber-attacks (more information can be found </w:t>
            </w:r>
            <w:hyperlink r:id="rId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here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shd w:fill="auto" w:val="cle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 User</w:t>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 person authorised by a Contracting Authority who has entered into a Call Off Contract, to use the Services;</w:t>
            </w:r>
          </w:p>
        </w:tc>
      </w:tr>
      <w:tr>
        <w:trPr>
          <w:cantSplit w:val="0"/>
          <w:tblHeader w:val="0"/>
        </w:trP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Schedule</w:t>
            </w:r>
          </w:p>
        </w:tc>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 schedule to the Framework Agreement;</w:t>
            </w:r>
          </w:p>
        </w:tc>
      </w:tr>
      <w:tr>
        <w:trPr>
          <w:cantSplit w:val="0"/>
          <w:tblHeader w:val="0"/>
        </w:trPr>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Fuel Card</w:t>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 payment card used to purchase fuels and associated services at sales outlets, described further in Framework Schedule 1 (Attachment 1);</w:t>
            </w:r>
          </w:p>
        </w:tc>
      </w:tr>
      <w:tr>
        <w:trPr>
          <w:cantSplit w:val="0"/>
          <w:tblHeader w:val="0"/>
        </w:trPr>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Competition</w:t>
            </w:r>
          </w:p>
        </w:tc>
        <w:tc>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means the further competition procedure described in Framework Schedule 5 paragraph 3.1;</w:t>
            </w:r>
          </w:p>
        </w:tc>
      </w:tr>
      <w:tr>
        <w:trPr>
          <w:cantSplit w:val="0"/>
          <w:tblHeader w:val="0"/>
        </w:trP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 Pack </w:t>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complete Bid Pack, comprising of Bid Pack 1, 2 and 3 as illustrated at the end of this document;</w:t>
            </w:r>
          </w:p>
        </w:tc>
      </w:tr>
      <w:tr>
        <w:trPr>
          <w:cantSplit w:val="0"/>
          <w:tblHeader w:val="0"/>
        </w:trP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OJEU Contract Notice</w:t>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 advertisement for this Procurement issued in the Official Journal of the European Union;</w:t>
            </w:r>
          </w:p>
        </w:tc>
      </w:tr>
      <w:tr>
        <w:trPr>
          <w:cantSplit w:val="0"/>
          <w:tblHeader w:val="0"/>
        </w:trPr>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Bidder</w:t>
            </w:r>
          </w:p>
        </w:tc>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 person or organization making a formal offer; </w:t>
            </w: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Procurement</w:t>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 process used to establish a Framework Agreement that facilitates the supply of the Services to Contracting Authorities, as described in the Contract Notice;</w:t>
            </w:r>
          </w:p>
        </w:tc>
      </w:tr>
      <w:tr>
        <w:trPr>
          <w:cantSplit w:val="0"/>
          <w:tblHeader w:val="0"/>
        </w:trPr>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Regulations</w:t>
            </w:r>
          </w:p>
        </w:tc>
        <w:tc>
          <w:tcPr>
            <w:shd w:fill="auto"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 Public Contracts Regulations 20015  as amended (located at http://www.legislation.gov.uk/uksi/2015/102/pdfs/uksi</w:t>
            </w:r>
            <w:r w:rsidDel="00000000" w:rsidR="00000000" w:rsidRPr="00000000">
              <w:rPr>
                <w:rFonts w:ascii="Arial" w:cs="Arial" w:eastAsia="Arial" w:hAnsi="Arial"/>
                <w:b w:val="0"/>
                <w:i w:val="0"/>
                <w:smallCaps w:val="0"/>
                <w:strike w:val="0"/>
                <w:color w:val="00008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Public Contracts (Scotland) Regulations 2006 as amended; and</w:t>
            </w:r>
          </w:p>
        </w:tc>
      </w:tr>
      <w:tr>
        <w:trPr>
          <w:cantSplit w:val="0"/>
          <w:tblHeader w:val="0"/>
        </w:trPr>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w:t>
            </w:r>
          </w:p>
        </w:tc>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 Bidder(s) with whom the Authority has concluded a Framework Agreement.</w:t>
            </w:r>
          </w:p>
        </w:tc>
      </w:tr>
    </w:tbl>
    <w:p w:rsidR="00000000" w:rsidDel="00000000" w:rsidP="00000000" w:rsidRDefault="00000000" w:rsidRPr="00000000" w14:paraId="0000007A">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Summary</w:t>
      </w: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D">
      <w:pPr>
        <w:numPr>
          <w:ilvl w:val="0"/>
          <w:numId w:val="11"/>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This procurement will create a multi-Supplier Commercial Agreement for the provision of Fuel Cards and Associated Services across the UK (regional and nationwide) and Europe.</w:t>
      </w:r>
    </w:p>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Section 2 will provide a description of the Mandatory requirements that the Supplier must make available to Contracting Authorities as part of this Commercial Agreement. In summary, the Mandatory requirements are:</w:t>
      </w:r>
    </w:p>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Coverage</w:t>
      </w:r>
    </w:p>
    <w:p w:rsidR="00000000" w:rsidDel="00000000" w:rsidP="00000000" w:rsidRDefault="00000000" w:rsidRPr="00000000" w14:paraId="0000008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Functionality</w:t>
      </w:r>
    </w:p>
    <w:p w:rsidR="00000000" w:rsidDel="00000000" w:rsidP="00000000" w:rsidRDefault="00000000" w:rsidRPr="00000000" w14:paraId="0000008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Fraud</w:t>
      </w:r>
    </w:p>
    <w:p w:rsidR="00000000" w:rsidDel="00000000" w:rsidP="00000000" w:rsidRDefault="00000000" w:rsidRPr="00000000" w14:paraId="0000008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w:t>
      </w:r>
    </w:p>
    <w:p w:rsidR="00000000" w:rsidDel="00000000" w:rsidP="00000000" w:rsidRDefault="00000000" w:rsidRPr="00000000" w14:paraId="0000008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 Service and Account Management</w:t>
      </w:r>
    </w:p>
    <w:p w:rsidR="00000000" w:rsidDel="00000000" w:rsidP="00000000" w:rsidRDefault="00000000" w:rsidRPr="00000000" w14:paraId="0000008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Value</w:t>
      </w:r>
    </w:p>
    <w:p w:rsidR="00000000" w:rsidDel="00000000" w:rsidP="00000000" w:rsidRDefault="00000000" w:rsidRPr="00000000" w14:paraId="0000008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Transition and Implementation</w:t>
      </w:r>
    </w:p>
    <w:p w:rsidR="00000000" w:rsidDel="00000000" w:rsidP="00000000" w:rsidRDefault="00000000" w:rsidRPr="00000000" w14:paraId="0000008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Continuous Improvement: Delivering Efficiencies and Increasing Performance</w:t>
      </w:r>
    </w:p>
    <w:p w:rsidR="00000000" w:rsidDel="00000000" w:rsidP="00000000" w:rsidRDefault="00000000" w:rsidRPr="00000000" w14:paraId="0000008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Invoicing and Payment Online Management Tool</w:t>
      </w:r>
    </w:p>
    <w:p w:rsidR="00000000" w:rsidDel="00000000" w:rsidP="00000000" w:rsidRDefault="00000000" w:rsidRPr="00000000" w14:paraId="0000008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Contracting Authority Management Information</w:t>
      </w:r>
    </w:p>
    <w:p w:rsidR="00000000" w:rsidDel="00000000" w:rsidP="00000000" w:rsidRDefault="00000000" w:rsidRPr="00000000" w14:paraId="0000008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Authority Management Information</w:t>
      </w:r>
    </w:p>
    <w:p w:rsidR="00000000" w:rsidDel="00000000" w:rsidP="00000000" w:rsidRDefault="00000000" w:rsidRPr="00000000" w14:paraId="000000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 Services</w:t>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Section 2 will also provide a description of the other Optional Requirements that the Suppliers can make available to Contracting Authorities, should they be required.</w:t>
      </w:r>
    </w:p>
    <w:p w:rsidR="00000000" w:rsidDel="00000000" w:rsidP="00000000" w:rsidRDefault="00000000" w:rsidRPr="00000000" w14:paraId="0000008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Contracting Authorities may require Suppliers to provide additional requirements in relation to the Services delivered under this Commercial Agreement. These include but are not limited to:</w:t>
      </w:r>
    </w:p>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 mechanism for the purchase of fuel and associated services (i.e. a card);</w:t>
      </w:r>
    </w:p>
    <w:p w:rsidR="00000000" w:rsidDel="00000000" w:rsidP="00000000" w:rsidRDefault="00000000" w:rsidRPr="00000000" w14:paraId="0000009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an Online Management tool;</w:t>
      </w:r>
    </w:p>
    <w:p w:rsidR="00000000" w:rsidDel="00000000" w:rsidP="00000000" w:rsidRDefault="00000000" w:rsidRPr="00000000" w14:paraId="0000009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configuration of Fuel Cards (at an individual level) as required by the Contracting Authority;</w:t>
      </w:r>
    </w:p>
    <w:p w:rsidR="00000000" w:rsidDel="00000000" w:rsidP="00000000" w:rsidRDefault="00000000" w:rsidRPr="00000000" w14:paraId="0000009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orders for the Services from Contracting Authorities in respect of the Services;</w:t>
      </w:r>
    </w:p>
    <w:p w:rsidR="00000000" w:rsidDel="00000000" w:rsidP="00000000" w:rsidRDefault="00000000" w:rsidRPr="00000000" w14:paraId="0000009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conforming to the charging structure;</w:t>
      </w:r>
    </w:p>
    <w:p w:rsidR="00000000" w:rsidDel="00000000" w:rsidP="00000000" w:rsidRDefault="00000000" w:rsidRPr="00000000" w14:paraId="0000009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undertaking any billing requirements;</w:t>
      </w:r>
    </w:p>
    <w:p w:rsidR="00000000" w:rsidDel="00000000" w:rsidP="00000000" w:rsidRDefault="00000000" w:rsidRPr="00000000" w14:paraId="0000009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undertaking to meet all Contracting Authority requirements as detailed further in any Call-Off Contract;</w:t>
      </w:r>
    </w:p>
    <w:p w:rsidR="00000000" w:rsidDel="00000000" w:rsidP="00000000" w:rsidRDefault="00000000" w:rsidRPr="00000000" w14:paraId="0000009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 support function to deal with Contracting Authority enquiries and issues;</w:t>
      </w:r>
    </w:p>
    <w:p w:rsidR="00000000" w:rsidDel="00000000" w:rsidP="00000000" w:rsidRDefault="00000000" w:rsidRPr="00000000" w14:paraId="0000009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complying to all KPIs, Service Levels and reporting requirements as specified in the Framework Agreement and as defined by a Contracting Authority in any Call-Off Contract;</w:t>
      </w:r>
    </w:p>
    <w:p w:rsidR="00000000" w:rsidDel="00000000" w:rsidP="00000000" w:rsidRDefault="00000000" w:rsidRPr="00000000" w14:paraId="0000009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 dedicated Account Manager to manage the relationship between the Authority and the Supplier under the Framework Agreement, to resolve any issues arising from the Framework Agreement and to implement any improvements/innovations during the Framework period; and</w:t>
      </w:r>
    </w:p>
    <w:p w:rsidR="00000000" w:rsidDel="00000000" w:rsidP="00000000" w:rsidRDefault="00000000" w:rsidRPr="00000000" w14:paraId="0000009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complying with the Authority’s Management Charge/Levy requirements.</w:t>
      </w:r>
    </w:p>
    <w:p w:rsidR="00000000" w:rsidDel="00000000" w:rsidP="00000000" w:rsidRDefault="00000000" w:rsidRPr="00000000" w14:paraId="0000009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The Services – Mandatory Requirements</w:t>
      </w:r>
      <w:r w:rsidDel="00000000" w:rsidR="00000000" w:rsidRPr="00000000">
        <w:rPr>
          <w:rtl w:val="0"/>
        </w:rPr>
      </w:r>
    </w:p>
    <w:p w:rsidR="00000000" w:rsidDel="00000000" w:rsidP="00000000" w:rsidRDefault="00000000" w:rsidRPr="00000000" w14:paraId="0000009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The purpose of this section is to provide a detailed description of the Mandatory Requirements that Suppliers must make available to Contracting Authorities under this Commercial Agreement.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Coverage</w:t>
      </w: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provide UK national and regional Fuel Card coverage for vehicle fleet operations. The Supplier shall provide access to a minimum of 10% Fuel Card coverage for vehicle fleet operations within at least 1 of the listed 12 UK regions:</w:t>
      </w:r>
    </w:p>
    <w:p w:rsidR="00000000" w:rsidDel="00000000" w:rsidP="00000000" w:rsidRDefault="00000000" w:rsidRPr="00000000" w14:paraId="000000A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East</w:t>
      </w:r>
    </w:p>
    <w:p w:rsidR="00000000" w:rsidDel="00000000" w:rsidP="00000000" w:rsidRDefault="00000000" w:rsidRPr="00000000" w14:paraId="000000A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East Midlands</w:t>
      </w:r>
    </w:p>
    <w:p w:rsidR="00000000" w:rsidDel="00000000" w:rsidP="00000000" w:rsidRDefault="00000000" w:rsidRPr="00000000" w14:paraId="000000A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London</w:t>
      </w:r>
    </w:p>
    <w:p w:rsidR="00000000" w:rsidDel="00000000" w:rsidP="00000000" w:rsidRDefault="00000000" w:rsidRPr="00000000" w14:paraId="000000A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North East</w:t>
      </w:r>
    </w:p>
    <w:p w:rsidR="00000000" w:rsidDel="00000000" w:rsidP="00000000" w:rsidRDefault="00000000" w:rsidRPr="00000000" w14:paraId="000000A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North West</w:t>
      </w:r>
    </w:p>
    <w:p w:rsidR="00000000" w:rsidDel="00000000" w:rsidP="00000000" w:rsidRDefault="00000000" w:rsidRPr="00000000" w14:paraId="000000A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Northern Ireland</w:t>
      </w:r>
    </w:p>
    <w:p w:rsidR="00000000" w:rsidDel="00000000" w:rsidP="00000000" w:rsidRDefault="00000000" w:rsidRPr="00000000" w14:paraId="000000A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Scotland</w:t>
      </w:r>
    </w:p>
    <w:p w:rsidR="00000000" w:rsidDel="00000000" w:rsidP="00000000" w:rsidRDefault="00000000" w:rsidRPr="00000000" w14:paraId="000000A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South East</w:t>
      </w:r>
    </w:p>
    <w:p w:rsidR="00000000" w:rsidDel="00000000" w:rsidP="00000000" w:rsidRDefault="00000000" w:rsidRPr="00000000" w14:paraId="000000A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South West</w:t>
      </w:r>
    </w:p>
    <w:p w:rsidR="00000000" w:rsidDel="00000000" w:rsidP="00000000" w:rsidRDefault="00000000" w:rsidRPr="00000000" w14:paraId="000000A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Wales</w:t>
      </w:r>
    </w:p>
    <w:p w:rsidR="00000000" w:rsidDel="00000000" w:rsidP="00000000" w:rsidRDefault="00000000" w:rsidRPr="00000000" w14:paraId="000000B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West Midlands</w:t>
      </w:r>
    </w:p>
    <w:p w:rsidR="00000000" w:rsidDel="00000000" w:rsidP="00000000" w:rsidRDefault="00000000" w:rsidRPr="00000000" w14:paraId="000000B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Yorkshire and the Humber</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Functionality</w:t>
      </w:r>
      <w:r w:rsidDel="00000000" w:rsidR="00000000" w:rsidRPr="00000000">
        <w:rPr>
          <w:rtl w:val="0"/>
        </w:rPr>
      </w:r>
    </w:p>
    <w:p w:rsidR="00000000" w:rsidDel="00000000" w:rsidP="00000000" w:rsidRDefault="00000000" w:rsidRPr="00000000" w14:paraId="000000B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provide Fuel Cards that allows for the purchase of road fuels which includes:</w:t>
      </w:r>
    </w:p>
    <w:p w:rsidR="00000000" w:rsidDel="00000000" w:rsidP="00000000" w:rsidRDefault="00000000" w:rsidRPr="00000000" w14:paraId="000000B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diesel (standard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B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petrol (leaded, unleaded and super unleaded).</w:t>
      </w:r>
    </w:p>
    <w:p w:rsidR="00000000" w:rsidDel="00000000" w:rsidP="00000000" w:rsidRDefault="00000000" w:rsidRPr="00000000" w14:paraId="000000B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issue Fuel Cards to a named employee, vehicle or organisation (or a combination of).</w:t>
      </w:r>
    </w:p>
    <w:p w:rsidR="00000000" w:rsidDel="00000000" w:rsidP="00000000" w:rsidRDefault="00000000" w:rsidRPr="00000000" w14:paraId="000000BC">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Fraud</w:t>
      </w:r>
      <w:r w:rsidDel="00000000" w:rsidR="00000000" w:rsidRPr="00000000">
        <w:rPr>
          <w:rtl w:val="0"/>
        </w:rPr>
      </w:r>
    </w:p>
    <w:p w:rsidR="00000000" w:rsidDel="00000000" w:rsidP="00000000" w:rsidRDefault="00000000" w:rsidRPr="00000000" w14:paraId="000000B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provide a service to report lost and stolen Fuel Cards (i.e. a telephone service and or internet service) and must be accessible 24 hours per day, 7 days per week and 365 days per year (including Bank Holidays). </w:t>
      </w:r>
    </w:p>
    <w:p w:rsidR="00000000" w:rsidDel="00000000" w:rsidP="00000000" w:rsidRDefault="00000000" w:rsidRPr="00000000" w14:paraId="000000C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As a minimum, the service must allow for the reporting of:</w:t>
      </w:r>
    </w:p>
    <w:p w:rsidR="00000000" w:rsidDel="00000000" w:rsidP="00000000" w:rsidRDefault="00000000" w:rsidRPr="00000000" w14:paraId="000000C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lost or stolen cards;</w:t>
      </w:r>
    </w:p>
    <w:p w:rsidR="00000000" w:rsidDel="00000000" w:rsidP="00000000" w:rsidRDefault="00000000" w:rsidRPr="00000000" w14:paraId="000000C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breaches; and</w:t>
      </w:r>
    </w:p>
    <w:p w:rsidR="00000000" w:rsidDel="00000000" w:rsidP="00000000" w:rsidRDefault="00000000" w:rsidRPr="00000000" w14:paraId="000000C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suspected fraud, theft, misuse and unauthorised misuse.</w:t>
      </w:r>
    </w:p>
    <w:p w:rsidR="00000000" w:rsidDel="00000000" w:rsidP="00000000" w:rsidRDefault="00000000" w:rsidRPr="00000000" w14:paraId="000000C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Upon receiving a report, the Supplier shall deactivate and or suspend suspected Fuel Cards and immediately inform the Contracting Authority. The Supplier shall fully investigate the report ensuring that the Contracting Authority is updated regularly. </w:t>
      </w:r>
    </w:p>
    <w:p w:rsidR="00000000" w:rsidDel="00000000" w:rsidP="00000000" w:rsidRDefault="00000000" w:rsidRPr="00000000" w14:paraId="000000C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ensure that all written communication between the Supplier, Contracting Authority and End User are secure.</w:t>
      </w:r>
    </w:p>
    <w:p w:rsidR="00000000" w:rsidDel="00000000" w:rsidP="00000000" w:rsidRDefault="00000000" w:rsidRPr="00000000" w14:paraId="000000C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as detailed within the Framework Agreement and any subsequent Call-Off Contract, shall implement anti-fraud measures to ensure the safe delivery of Fuel Cards to a Contracting Authority and or End User.</w:t>
      </w:r>
    </w:p>
    <w:p w:rsidR="00000000" w:rsidDel="00000000" w:rsidP="00000000" w:rsidRDefault="00000000" w:rsidRPr="00000000" w14:paraId="000000C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Security</w:t>
      </w:r>
      <w:r w:rsidDel="00000000" w:rsidR="00000000" w:rsidRPr="00000000">
        <w:rPr>
          <w:rtl w:val="0"/>
        </w:rPr>
      </w:r>
    </w:p>
    <w:p w:rsidR="00000000" w:rsidDel="00000000" w:rsidP="00000000" w:rsidRDefault="00000000" w:rsidRPr="00000000" w14:paraId="000000C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ensure that Contracting Authorities’ information (i.e. personal and transactional) is kept secure throughout the lifetime of the Commercial Agreement and any subsequent Call-Off Contract, maintaining confidentiality and integrity. </w:t>
      </w:r>
    </w:p>
    <w:p w:rsidR="00000000" w:rsidDel="00000000" w:rsidP="00000000" w:rsidRDefault="00000000" w:rsidRPr="00000000" w14:paraId="000000D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ensure that they hold and maintain Cyber Essentials Certification, which helps protect organisations against cyber-attacks, for the lifetime of the Commercial Agreement and any subsequent Call-Off Contract. </w:t>
      </w:r>
    </w:p>
    <w:p w:rsidR="00000000" w:rsidDel="00000000" w:rsidP="00000000" w:rsidRDefault="00000000" w:rsidRPr="00000000" w14:paraId="000000D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Prior to the execution of the first Call-Off Contract or within twelve (12) months of the Commercial Agreement commencement date, The Supplier shall provide the Authority with evidence of a valid Cyber Essentials Certificate and any subsequent renewal certificates. </w:t>
      </w:r>
    </w:p>
    <w:p w:rsidR="00000000" w:rsidDel="00000000" w:rsidP="00000000" w:rsidRDefault="00000000" w:rsidRPr="00000000" w14:paraId="000000D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Customer Service and Account Management</w:t>
      </w:r>
      <w:r w:rsidDel="00000000" w:rsidR="00000000" w:rsidRPr="00000000">
        <w:rPr>
          <w:rtl w:val="0"/>
        </w:rPr>
      </w:r>
    </w:p>
    <w:p w:rsidR="00000000" w:rsidDel="00000000" w:rsidP="00000000" w:rsidRDefault="00000000" w:rsidRPr="00000000" w14:paraId="000000D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provide a named contact(s) for the management of Call-Off Contracts for all large accounts (above 500,000 litres per annum).</w:t>
      </w:r>
    </w:p>
    <w:p w:rsidR="00000000" w:rsidDel="00000000" w:rsidP="00000000" w:rsidRDefault="00000000" w:rsidRPr="00000000" w14:paraId="000000D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provide a Customer Service Help Desk, Monday to Friday 08:00 hours to 18:00 hours for all Contracting Authorities (regardless of account size) to cover, but not limited to:</w:t>
      </w:r>
    </w:p>
    <w:p w:rsidR="00000000" w:rsidDel="00000000" w:rsidP="00000000" w:rsidRDefault="00000000" w:rsidRPr="00000000" w14:paraId="000000D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responding to queries made by a Contracting Authority or a potential Contracting Authority in relation to a Call-Off Contract; and</w:t>
      </w:r>
    </w:p>
    <w:p w:rsidR="00000000" w:rsidDel="00000000" w:rsidP="00000000" w:rsidRDefault="00000000" w:rsidRPr="00000000" w14:paraId="000000D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request of an authorised official, resetting credit and usage limits and making amendments to card controls for a Contracting Authority.</w:t>
      </w:r>
    </w:p>
    <w:p w:rsidR="00000000" w:rsidDel="00000000" w:rsidP="00000000" w:rsidRDefault="00000000" w:rsidRPr="00000000" w14:paraId="000000D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Social Value</w:t>
      </w:r>
      <w:r w:rsidDel="00000000" w:rsidR="00000000" w:rsidRPr="00000000">
        <w:rPr>
          <w:rtl w:val="0"/>
        </w:rPr>
      </w:r>
    </w:p>
    <w:p w:rsidR="00000000" w:rsidDel="00000000" w:rsidP="00000000" w:rsidRDefault="00000000" w:rsidRPr="00000000" w14:paraId="000000D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color w:val="000000"/>
          <w:rtl w:val="0"/>
        </w:rPr>
        <w:t xml:space="preserve">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General information on the Social Value Act can be found at: </w:t>
      </w:r>
      <w:hyperlink r:id="rId8">
        <w:r w:rsidDel="00000000" w:rsidR="00000000" w:rsidRPr="00000000">
          <w:rPr>
            <w:rFonts w:ascii="Arial" w:cs="Arial" w:eastAsia="Arial" w:hAnsi="Arial"/>
            <w:color w:val="0563c1"/>
            <w:u w:val="single"/>
            <w:rtl w:val="0"/>
          </w:rPr>
          <w:t xml:space="preserve">https://www.gov.uk/government/publications/social-value-act-introductory-guide</w:t>
        </w:r>
      </w:hyperlink>
      <w:r w:rsidDel="00000000" w:rsidR="00000000" w:rsidRPr="00000000">
        <w:rPr>
          <w:rtl w:val="0"/>
        </w:rPr>
      </w:r>
    </w:p>
    <w:p w:rsidR="00000000" w:rsidDel="00000000" w:rsidP="00000000" w:rsidRDefault="00000000" w:rsidRPr="00000000" w14:paraId="000000E1">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You</w:t>
      </w:r>
      <w:r w:rsidDel="00000000" w:rsidR="00000000" w:rsidRPr="00000000">
        <w:rPr>
          <w:rFonts w:ascii="Arial" w:cs="Arial" w:eastAsia="Arial" w:hAnsi="Arial"/>
          <w:color w:val="000000"/>
          <w:rtl w:val="0"/>
        </w:rPr>
        <w:t xml:space="preserve"> can find recent guidance published in </w:t>
      </w:r>
      <w:hyperlink r:id="rId9">
        <w:r w:rsidDel="00000000" w:rsidR="00000000" w:rsidRPr="00000000">
          <w:rPr>
            <w:rFonts w:ascii="Arial" w:cs="Arial" w:eastAsia="Arial" w:hAnsi="Arial"/>
            <w:color w:val="1155cc"/>
            <w:u w:val="single"/>
            <w:rtl w:val="0"/>
          </w:rPr>
          <w:t xml:space="preserve">Procurement Policy Note 06/20</w:t>
        </w:r>
      </w:hyperlink>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Updated</w:t>
      </w:r>
      <w:r w:rsidDel="00000000" w:rsidR="00000000" w:rsidRPr="00000000">
        <w:rPr>
          <w:rFonts w:ascii="Arial" w:cs="Arial" w:eastAsia="Arial" w:hAnsi="Arial"/>
          <w:color w:val="000000"/>
          <w:rtl w:val="0"/>
        </w:rPr>
        <w:t xml:space="preserve"> social value themes for public bodies can be found on this link:</w:t>
      </w:r>
    </w:p>
    <w:p w:rsidR="00000000" w:rsidDel="00000000" w:rsidP="00000000" w:rsidRDefault="00000000" w:rsidRPr="00000000" w14:paraId="000000E5">
      <w:pPr>
        <w:spacing w:after="0" w:line="240" w:lineRule="auto"/>
        <w:ind w:left="1440" w:firstLine="0"/>
        <w:rPr>
          <w:rFonts w:ascii="Arial" w:cs="Arial" w:eastAsia="Arial" w:hAnsi="Arial"/>
          <w:color w:val="000000"/>
        </w:rPr>
      </w:pPr>
      <w:hyperlink r:id="rId10">
        <w:r w:rsidDel="00000000" w:rsidR="00000000" w:rsidRPr="00000000">
          <w:rPr>
            <w:rFonts w:ascii="Arial" w:cs="Arial" w:eastAsia="Arial" w:hAnsi="Arial"/>
            <w:color w:val="0563c1"/>
            <w:u w:val="single"/>
            <w:rtl w:val="0"/>
          </w:rPr>
          <w:t xml:space="preserve">https://www.gov.uk/government/publications/procurement-policy-note-0620-taking-account-of-social-value-in-the-award-of-central-government-contracts</w:t>
        </w:r>
      </w:hyperlink>
      <w:r w:rsidDel="00000000" w:rsidR="00000000" w:rsidRPr="00000000">
        <w:rPr>
          <w:rtl w:val="0"/>
        </w:rPr>
      </w:r>
    </w:p>
    <w:p w:rsidR="00000000" w:rsidDel="00000000" w:rsidP="00000000" w:rsidRDefault="00000000" w:rsidRPr="00000000" w14:paraId="000000E6">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following Social Value priorities are intrinsic to the Specification for this Framework Contract:</w:t>
      </w:r>
    </w:p>
    <w:p w:rsidR="00000000" w:rsidDel="00000000" w:rsidP="00000000" w:rsidRDefault="00000000" w:rsidRPr="00000000" w14:paraId="000000E8">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THEME</w:t>
      </w:r>
      <w:r w:rsidDel="00000000" w:rsidR="00000000" w:rsidRPr="00000000">
        <w:rPr>
          <w:rFonts w:ascii="Arial" w:cs="Arial" w:eastAsia="Arial" w:hAnsi="Arial"/>
          <w:color w:val="000000"/>
          <w:rtl w:val="0"/>
        </w:rPr>
        <w:t xml:space="preserve"> 5: Wellbeing</w:t>
      </w:r>
    </w:p>
    <w:p w:rsidR="00000000" w:rsidDel="00000000" w:rsidP="00000000" w:rsidRDefault="00000000" w:rsidRPr="00000000" w14:paraId="000000E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color w:val="000000"/>
          <w:rtl w:val="0"/>
        </w:rPr>
        <w:t xml:space="preserve">Policy Outcome: Support and improve health and wellbeing </w:t>
      </w:r>
    </w:p>
    <w:p w:rsidR="00000000" w:rsidDel="00000000" w:rsidP="00000000" w:rsidRDefault="00000000" w:rsidRPr="00000000" w14:paraId="000000EB">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color w:val="000000"/>
          <w:rtl w:val="0"/>
        </w:rPr>
        <w:t xml:space="preserve">Demonstrate action to support and improve upon the health and wellbeing, including physical and mental health, in the contract workforce for the lifetime of the Framework Agreement</w:t>
      </w:r>
    </w:p>
    <w:p w:rsidR="00000000" w:rsidDel="00000000" w:rsidP="00000000" w:rsidRDefault="00000000" w:rsidRPr="00000000" w14:paraId="000000ED">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Where</w:t>
      </w:r>
      <w:r w:rsidDel="00000000" w:rsidR="00000000" w:rsidRPr="00000000">
        <w:rPr>
          <w:rFonts w:ascii="Arial" w:cs="Arial" w:eastAsia="Arial" w:hAnsi="Arial"/>
          <w:color w:val="000000"/>
          <w:rtl w:val="0"/>
        </w:rPr>
        <w:t xml:space="preserve"> Buyers require Social Value to be delivered in line with the Buyer’s specific policy objectives, the Buyer may specify additional Social Value requirements as part of their Call-Off Contracts</w:t>
      </w:r>
    </w:p>
    <w:p w:rsidR="00000000" w:rsidDel="00000000" w:rsidP="00000000" w:rsidRDefault="00000000" w:rsidRPr="00000000" w14:paraId="000000EF">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Transition and Implementation</w:t>
      </w:r>
      <w:r w:rsidDel="00000000" w:rsidR="00000000" w:rsidRPr="00000000">
        <w:rPr>
          <w:rtl w:val="0"/>
        </w:rPr>
      </w:r>
    </w:p>
    <w:p w:rsidR="00000000" w:rsidDel="00000000" w:rsidP="00000000" w:rsidRDefault="00000000" w:rsidRPr="00000000" w14:paraId="000000F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Where the award of a Call-Off Contract results in a change of Supplier, the Supplier shall develop a transition and implementation plan in conjunction with the Contracting Authority. </w:t>
      </w:r>
    </w:p>
    <w:p w:rsidR="00000000" w:rsidDel="00000000" w:rsidP="00000000" w:rsidRDefault="00000000" w:rsidRPr="00000000" w14:paraId="000000F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manage the transition and or implementation plan in accordance with the Contracting Authority’s requirements and timescales. </w:t>
      </w:r>
    </w:p>
    <w:p w:rsidR="00000000" w:rsidDel="00000000" w:rsidP="00000000" w:rsidRDefault="00000000" w:rsidRPr="00000000" w14:paraId="000000F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At the request of a Contracting Authority, the Supplier shall:</w:t>
      </w:r>
    </w:p>
    <w:p w:rsidR="00000000" w:rsidDel="00000000" w:rsidP="00000000" w:rsidRDefault="00000000" w:rsidRPr="00000000" w14:paraId="000000F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carry out site mapping exercises to map its own network of sales outlets that accept their Fuel Cards against Contracting Authority’s coverage requirements; and</w:t>
      </w:r>
    </w:p>
    <w:p w:rsidR="00000000" w:rsidDel="00000000" w:rsidP="00000000" w:rsidRDefault="00000000" w:rsidRPr="00000000" w14:paraId="000000F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training regarding the use of the Fuel Card and how to access and use the Online Management tool.</w:t>
      </w:r>
    </w:p>
    <w:p w:rsidR="00000000" w:rsidDel="00000000" w:rsidP="00000000" w:rsidRDefault="00000000" w:rsidRPr="00000000" w14:paraId="000000F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Continuous Improvement: Delivering Efficiencies and Increasing Performance</w:t>
      </w:r>
      <w:r w:rsidDel="00000000" w:rsidR="00000000" w:rsidRPr="00000000">
        <w:rPr>
          <w:rtl w:val="0"/>
        </w:rPr>
      </w:r>
    </w:p>
    <w:p w:rsidR="00000000" w:rsidDel="00000000" w:rsidP="00000000" w:rsidRDefault="00000000" w:rsidRPr="00000000" w14:paraId="000000F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comply with continuous improvement requirements in accordance with the Framework Agreement and any subsequent Call-Off Contract.</w:t>
      </w:r>
    </w:p>
    <w:p w:rsidR="00000000" w:rsidDel="00000000" w:rsidP="00000000" w:rsidRDefault="00000000" w:rsidRPr="00000000" w14:paraId="000000F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comply with any performance monitoring and review requirements as set out in the Framework Agreement and any subsequent Call-Off Contract.</w:t>
      </w:r>
    </w:p>
    <w:p w:rsidR="00000000" w:rsidDel="00000000" w:rsidP="00000000" w:rsidRDefault="00000000" w:rsidRPr="00000000" w14:paraId="0000010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Invoicing and Payment</w:t>
      </w:r>
      <w:r w:rsidDel="00000000" w:rsidR="00000000" w:rsidRPr="00000000">
        <w:rPr>
          <w:rtl w:val="0"/>
        </w:rPr>
      </w:r>
    </w:p>
    <w:p w:rsidR="00000000" w:rsidDel="00000000" w:rsidP="00000000" w:rsidRDefault="00000000" w:rsidRPr="00000000" w14:paraId="0000010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provide electronic invoicing in accordance with the Contracting Authority’s requirements. Contracting Authority requirements could require the Supplier to upload invoicing data in specific data feeds/formats directly into a Contracting Authority’s finance system. </w:t>
      </w:r>
    </w:p>
    <w:p w:rsidR="00000000" w:rsidDel="00000000" w:rsidP="00000000" w:rsidRDefault="00000000" w:rsidRPr="00000000" w14:paraId="000001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Settlement terms for the payment of invoices shall be deemed by a Contracting Authority and detailed within the Call-Off Contract. </w:t>
      </w:r>
    </w:p>
    <w:p w:rsidR="00000000" w:rsidDel="00000000" w:rsidP="00000000" w:rsidRDefault="00000000" w:rsidRPr="00000000" w14:paraId="000001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Online Management Tool</w:t>
      </w:r>
      <w:r w:rsidDel="00000000" w:rsidR="00000000" w:rsidRPr="00000000">
        <w:rPr>
          <w:rtl w:val="0"/>
        </w:rPr>
      </w:r>
    </w:p>
    <w:p w:rsidR="00000000" w:rsidDel="00000000" w:rsidP="00000000" w:rsidRDefault="00000000" w:rsidRPr="00000000" w14:paraId="000001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From the Commercial Agreement commencement date, the Supplier shall ensure that there is a secure online management tool available for use by a Contracting Authority. </w:t>
      </w:r>
    </w:p>
    <w:p w:rsidR="00000000" w:rsidDel="00000000" w:rsidP="00000000" w:rsidRDefault="00000000" w:rsidRPr="00000000" w14:paraId="000001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As a minimum, the online management tool shall meet the following requirements:</w:t>
      </w:r>
    </w:p>
    <w:p w:rsidR="00000000" w:rsidDel="00000000" w:rsidP="00000000" w:rsidRDefault="00000000" w:rsidRPr="00000000" w14:paraId="0000010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compatible with Internet Explorer, Windows and Safari;</w:t>
      </w:r>
    </w:p>
    <w:p w:rsidR="00000000" w:rsidDel="00000000" w:rsidP="00000000" w:rsidRDefault="00000000" w:rsidRPr="00000000" w14:paraId="000001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password protected; </w:t>
      </w:r>
    </w:p>
    <w:p w:rsidR="00000000" w:rsidDel="00000000" w:rsidP="00000000" w:rsidRDefault="00000000" w:rsidRPr="00000000" w14:paraId="000001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https and ssl encryption;</w:t>
      </w:r>
    </w:p>
    <w:p w:rsidR="00000000" w:rsidDel="00000000" w:rsidP="00000000" w:rsidRDefault="00000000" w:rsidRPr="00000000" w14:paraId="000001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not need any additional software and/or hardware;</w:t>
      </w:r>
    </w:p>
    <w:p w:rsidR="00000000" w:rsidDel="00000000" w:rsidP="00000000" w:rsidRDefault="00000000" w:rsidRPr="00000000" w14:paraId="000001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download data in excel or csv format;</w:t>
      </w:r>
    </w:p>
    <w:p w:rsidR="00000000" w:rsidDel="00000000" w:rsidP="00000000" w:rsidRDefault="00000000" w:rsidRPr="00000000" w14:paraId="000001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fully auditable and data is available for up to six years;</w:t>
      </w:r>
    </w:p>
    <w:p w:rsidR="00000000" w:rsidDel="00000000" w:rsidP="00000000" w:rsidRDefault="00000000" w:rsidRPr="00000000" w14:paraId="000001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a defined hierarchical account structure that enables reporting across a Contracting Authority’s organisation;</w:t>
      </w:r>
    </w:p>
    <w:p w:rsidR="00000000" w:rsidDel="00000000" w:rsidP="00000000" w:rsidRDefault="00000000" w:rsidRPr="00000000" w14:paraId="000001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allows data to be backed up and held securely;</w:t>
      </w:r>
    </w:p>
    <w:p w:rsidR="00000000" w:rsidDel="00000000" w:rsidP="00000000" w:rsidRDefault="00000000" w:rsidRPr="00000000" w14:paraId="000001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identify spend on End User’s fuel cards; and</w:t>
      </w:r>
    </w:p>
    <w:p w:rsidR="00000000" w:rsidDel="00000000" w:rsidP="00000000" w:rsidRDefault="00000000" w:rsidRPr="00000000" w14:paraId="000001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online invoicing and supporting information.</w:t>
      </w:r>
    </w:p>
    <w:p w:rsidR="00000000" w:rsidDel="00000000" w:rsidP="00000000" w:rsidRDefault="00000000" w:rsidRPr="00000000" w14:paraId="000001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Contracting Authority Management Information</w:t>
      </w: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From the commencement date of the Call-Off Contract, the Supplier shall provide the Contracting Authority with access to the online management tool. The Online Management tool must provide a Contracting Authority with access to data that is captured when a transaction is processed, which as a minimum standard includes the requirements listed below:</w:t>
      </w:r>
    </w:p>
    <w:p w:rsidR="00000000" w:rsidDel="00000000" w:rsidP="00000000" w:rsidRDefault="00000000" w:rsidRPr="00000000" w14:paraId="0000011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Contracting Authority’s account number;</w:t>
      </w:r>
    </w:p>
    <w:p w:rsidR="00000000" w:rsidDel="00000000" w:rsidP="00000000" w:rsidRDefault="00000000" w:rsidRPr="00000000" w14:paraId="000001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fuel card details (i.e. unique card number, name or vehicle registration);</w:t>
      </w:r>
    </w:p>
    <w:p w:rsidR="00000000" w:rsidDel="00000000" w:rsidP="00000000" w:rsidRDefault="00000000" w:rsidRPr="00000000" w14:paraId="000001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cost of each transaction;</w:t>
      </w:r>
    </w:p>
    <w:p w:rsidR="00000000" w:rsidDel="00000000" w:rsidP="00000000" w:rsidRDefault="00000000" w:rsidRPr="00000000" w14:paraId="000001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transaction date; and</w:t>
      </w:r>
    </w:p>
    <w:p w:rsidR="00000000" w:rsidDel="00000000" w:rsidP="00000000" w:rsidRDefault="00000000" w:rsidRPr="00000000" w14:paraId="000001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locations of transactions.</w:t>
      </w:r>
    </w:p>
    <w:p w:rsidR="00000000" w:rsidDel="00000000" w:rsidP="00000000" w:rsidRDefault="00000000" w:rsidRPr="00000000" w14:paraId="0000012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In order to help the Blue Light/Emergency Services (Police, Ambulance and Fire &amp; Rescue Services) to run their fleets effectively and efficiently, the Supplier shall provide Contracting Authority Management Information to Blue Light/Emergency Services on fuel transactions as follows:</w:t>
      </w:r>
    </w:p>
    <w:p w:rsidR="00000000" w:rsidDel="00000000" w:rsidP="00000000" w:rsidRDefault="00000000" w:rsidRPr="00000000" w14:paraId="000001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shall be in an agreed data format for uploading into relevant fleet management systems; and</w:t>
      </w:r>
    </w:p>
    <w:p w:rsidR="00000000" w:rsidDel="00000000" w:rsidP="00000000" w:rsidRDefault="00000000" w:rsidRPr="00000000" w14:paraId="000001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shall be provided securely and electronically within the agreed frequency as detailed in the Call-Off Contract. </w:t>
      </w:r>
    </w:p>
    <w:p w:rsidR="00000000" w:rsidDel="00000000" w:rsidP="00000000" w:rsidRDefault="00000000" w:rsidRPr="00000000" w14:paraId="0000012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Authority Management Information</w:t>
      </w:r>
      <w:r w:rsidDel="00000000" w:rsidR="00000000" w:rsidRPr="00000000">
        <w:rPr>
          <w:rtl w:val="0"/>
        </w:rPr>
      </w:r>
    </w:p>
    <w:p w:rsidR="00000000" w:rsidDel="00000000" w:rsidP="00000000" w:rsidRDefault="00000000" w:rsidRPr="00000000" w14:paraId="000001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The Supplier shall provide reports to the Authority in accordance with the Framework Agreement.</w:t>
      </w:r>
    </w:p>
    <w:p w:rsidR="00000000" w:rsidDel="00000000" w:rsidP="00000000" w:rsidRDefault="00000000" w:rsidRPr="00000000" w14:paraId="0000012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Specific Services</w:t>
      </w:r>
      <w:r w:rsidDel="00000000" w:rsidR="00000000" w:rsidRPr="00000000">
        <w:rPr>
          <w:rtl w:val="0"/>
        </w:rPr>
      </w:r>
    </w:p>
    <w:p w:rsidR="00000000" w:rsidDel="00000000" w:rsidP="00000000" w:rsidRDefault="00000000" w:rsidRPr="00000000" w14:paraId="0000012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Services provided under the Commercial Agreement are for the provision of UK Regional, Nationwide and European coverage for Fuel Cards and Associated Services;</w:t>
      </w:r>
    </w:p>
    <w:p w:rsidR="00000000" w:rsidDel="00000000" w:rsidP="00000000" w:rsidRDefault="00000000" w:rsidRPr="00000000" w14:paraId="0000012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Supplier’s Fuel Card solution shall provide a minimum of 10% Fuel Card coverage for vehicle fleet operations within at least 1 of the 12 UK regions (based on a total of 8,387 available sales outlets as of June 2020);</w:t>
      </w:r>
    </w:p>
    <w:p w:rsidR="00000000" w:rsidDel="00000000" w:rsidP="00000000" w:rsidRDefault="00000000" w:rsidRPr="00000000" w14:paraId="0000012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details of the coverage it has available to a Contracting Authority including the number and location of sales outlets that accepts their Fuel Card;</w:t>
      </w:r>
    </w:p>
    <w:p w:rsidR="00000000" w:rsidDel="00000000" w:rsidP="00000000" w:rsidRDefault="00000000" w:rsidRPr="00000000" w14:paraId="0000013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Management Information to the Contracting Authority in accordance with any Call-Off Contract.</w:t>
      </w:r>
    </w:p>
    <w:p w:rsidR="00000000" w:rsidDel="00000000" w:rsidP="00000000" w:rsidRDefault="00000000" w:rsidRPr="00000000" w14:paraId="00000131">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u w:val="single"/>
          <w:rtl w:val="0"/>
        </w:rPr>
        <w:t xml:space="preserve">The Services – Optional Requirements</w:t>
      </w:r>
      <w:r w:rsidDel="00000000" w:rsidR="00000000" w:rsidRPr="00000000">
        <w:rPr>
          <w:rtl w:val="0"/>
        </w:rPr>
      </w:r>
    </w:p>
    <w:p w:rsidR="00000000" w:rsidDel="00000000" w:rsidP="00000000" w:rsidRDefault="00000000" w:rsidRPr="00000000" w14:paraId="00000133">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This section describes the Optional Services that Suppliers can make available to a Contracting Authority throughout the term of the Commercial Agreement. </w:t>
      </w:r>
    </w:p>
    <w:p w:rsidR="00000000" w:rsidDel="00000000" w:rsidP="00000000" w:rsidRDefault="00000000" w:rsidRPr="00000000" w14:paraId="00000135">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At the request of a Contracting Authority:</w:t>
      </w:r>
    </w:p>
    <w:p w:rsidR="00000000" w:rsidDel="00000000" w:rsidP="00000000" w:rsidRDefault="00000000" w:rsidRPr="00000000" w14:paraId="00000137">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online management tool provides a Contracting Authority with access to all MI that is captured when a transaction takes place. The additional data required includes, but may not be limited to:</w:t>
      </w:r>
    </w:p>
    <w:p w:rsidR="00000000" w:rsidDel="00000000" w:rsidP="00000000" w:rsidRDefault="00000000" w:rsidRPr="00000000" w14:paraId="0000013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VAT breakdown;</w:t>
      </w:r>
    </w:p>
    <w:p w:rsidR="00000000" w:rsidDel="00000000" w:rsidP="00000000" w:rsidRDefault="00000000" w:rsidRPr="00000000" w14:paraId="0000013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 per litre per transaction;</w:t>
      </w:r>
    </w:p>
    <w:p w:rsidR="00000000" w:rsidDel="00000000" w:rsidP="00000000" w:rsidRDefault="00000000" w:rsidRPr="00000000" w14:paraId="0000013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quantity of fuel drawn per transaction;</w:t>
      </w:r>
    </w:p>
    <w:p w:rsidR="00000000" w:rsidDel="00000000" w:rsidP="00000000" w:rsidRDefault="00000000" w:rsidRPr="00000000" w14:paraId="0000013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of fuel; and</w:t>
      </w:r>
    </w:p>
    <w:p w:rsidR="00000000" w:rsidDel="00000000" w:rsidP="00000000" w:rsidRDefault="00000000" w:rsidRPr="00000000" w14:paraId="0000013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mileage reading of vehicle.</w:t>
      </w:r>
    </w:p>
    <w:p w:rsidR="00000000" w:rsidDel="00000000" w:rsidP="00000000" w:rsidRDefault="00000000" w:rsidRPr="00000000" w14:paraId="0000013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 Contracting Authority has the ability to create bespoke reports from the MI within the online management tool.</w:t>
      </w:r>
    </w:p>
    <w:p w:rsidR="00000000" w:rsidDel="00000000" w:rsidP="00000000" w:rsidRDefault="00000000" w:rsidRPr="00000000" w14:paraId="000001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online management tool has the following functionality:</w:t>
      </w:r>
    </w:p>
    <w:p w:rsidR="00000000" w:rsidDel="00000000" w:rsidP="00000000" w:rsidRDefault="00000000" w:rsidRPr="00000000" w14:paraId="0000014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link fuel card numbers with cost codes or  product codes within the Contracting Authority’s organisation;</w:t>
      </w:r>
    </w:p>
    <w:p w:rsidR="00000000" w:rsidDel="00000000" w:rsidP="00000000" w:rsidRDefault="00000000" w:rsidRPr="00000000" w14:paraId="0000014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order new and replacement fuel cards;</w:t>
      </w:r>
    </w:p>
    <w:p w:rsidR="00000000" w:rsidDel="00000000" w:rsidP="00000000" w:rsidRDefault="00000000" w:rsidRPr="00000000" w14:paraId="0000014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cancel fuel cards that are no longer needed;</w:t>
      </w:r>
    </w:p>
    <w:p w:rsidR="00000000" w:rsidDel="00000000" w:rsidP="00000000" w:rsidRDefault="00000000" w:rsidRPr="00000000" w14:paraId="0000014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report CO2 in relation to fuel purchased;</w:t>
      </w:r>
    </w:p>
    <w:p w:rsidR="00000000" w:rsidDel="00000000" w:rsidP="00000000" w:rsidRDefault="00000000" w:rsidRPr="00000000" w14:paraId="0000014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route planning;</w:t>
      </w:r>
    </w:p>
    <w:p w:rsidR="00000000" w:rsidDel="00000000" w:rsidP="00000000" w:rsidRDefault="00000000" w:rsidRPr="00000000" w14:paraId="0000014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mileage capture;</w:t>
      </w:r>
    </w:p>
    <w:p w:rsidR="00000000" w:rsidDel="00000000" w:rsidP="00000000" w:rsidRDefault="00000000" w:rsidRPr="00000000" w14:paraId="0000014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fuel efficiency;</w:t>
      </w:r>
    </w:p>
    <w:p w:rsidR="00000000" w:rsidDel="00000000" w:rsidP="00000000" w:rsidRDefault="00000000" w:rsidRPr="00000000" w14:paraId="0000014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site directory; and</w:t>
      </w:r>
    </w:p>
    <w:p w:rsidR="00000000" w:rsidDel="00000000" w:rsidP="00000000" w:rsidRDefault="00000000" w:rsidRPr="00000000" w14:paraId="0000014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invoices where requested.</w:t>
      </w:r>
    </w:p>
    <w:p w:rsidR="00000000" w:rsidDel="00000000" w:rsidP="00000000" w:rsidRDefault="00000000" w:rsidRPr="00000000" w14:paraId="000001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following can be purchased through the Fuel Card (where available):</w:t>
      </w:r>
    </w:p>
    <w:p w:rsidR="00000000" w:rsidDel="00000000" w:rsidP="00000000" w:rsidRDefault="00000000" w:rsidRPr="00000000" w14:paraId="0000014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ad-blu;</w:t>
      </w:r>
    </w:p>
    <w:p w:rsidR="00000000" w:rsidDel="00000000" w:rsidP="00000000" w:rsidRDefault="00000000" w:rsidRPr="00000000" w14:paraId="0000014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air;</w:t>
      </w:r>
    </w:p>
    <w:p w:rsidR="00000000" w:rsidDel="00000000" w:rsidP="00000000" w:rsidRDefault="00000000" w:rsidRPr="00000000" w14:paraId="0000014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 fuels (i.e. electricity and hydrogen)</w:t>
      </w:r>
    </w:p>
    <w:p w:rsidR="00000000" w:rsidDel="00000000" w:rsidP="00000000" w:rsidRDefault="00000000" w:rsidRPr="00000000" w14:paraId="0000014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breakdown services;</w:t>
      </w:r>
    </w:p>
    <w:p w:rsidR="00000000" w:rsidDel="00000000" w:rsidP="00000000" w:rsidRDefault="00000000" w:rsidRPr="00000000" w14:paraId="0000015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wash;</w:t>
      </w:r>
    </w:p>
    <w:p w:rsidR="00000000" w:rsidDel="00000000" w:rsidP="00000000" w:rsidRDefault="00000000" w:rsidRPr="00000000" w14:paraId="0000015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consumables;</w:t>
      </w:r>
    </w:p>
    <w:p w:rsidR="00000000" w:rsidDel="00000000" w:rsidP="00000000" w:rsidRDefault="00000000" w:rsidRPr="00000000" w14:paraId="0000015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glass;</w:t>
      </w:r>
    </w:p>
    <w:p w:rsidR="00000000" w:rsidDel="00000000" w:rsidP="00000000" w:rsidRDefault="00000000" w:rsidRPr="00000000" w14:paraId="0000015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lubricants;</w:t>
      </w:r>
    </w:p>
    <w:p w:rsidR="00000000" w:rsidDel="00000000" w:rsidP="00000000" w:rsidRDefault="00000000" w:rsidRPr="00000000" w14:paraId="0000015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oil;</w:t>
      </w:r>
    </w:p>
    <w:p w:rsidR="00000000" w:rsidDel="00000000" w:rsidP="00000000" w:rsidRDefault="00000000" w:rsidRPr="00000000" w14:paraId="0000015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fuels that can be purchased at forecourts such as LPG;</w:t>
      </w:r>
    </w:p>
    <w:p w:rsidR="00000000" w:rsidDel="00000000" w:rsidP="00000000" w:rsidRDefault="00000000" w:rsidRPr="00000000" w14:paraId="0000015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screen wash;</w:t>
      </w:r>
    </w:p>
    <w:p w:rsidR="00000000" w:rsidDel="00000000" w:rsidP="00000000" w:rsidRDefault="00000000" w:rsidRPr="00000000" w14:paraId="0000015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 maintenance and repair (SMR); and</w:t>
      </w:r>
    </w:p>
    <w:p w:rsidR="00000000" w:rsidDel="00000000" w:rsidP="00000000" w:rsidRDefault="00000000" w:rsidRPr="00000000" w14:paraId="0000015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tyres.</w:t>
      </w:r>
    </w:p>
    <w:p w:rsidR="00000000" w:rsidDel="00000000" w:rsidP="00000000" w:rsidRDefault="00000000" w:rsidRPr="00000000" w14:paraId="00000159">
      <w:pP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make available Bearer cards.</w:t>
      </w:r>
    </w:p>
    <w:p w:rsidR="00000000" w:rsidDel="00000000" w:rsidP="00000000" w:rsidRDefault="00000000" w:rsidRPr="00000000" w14:paraId="000001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facilitate covert accounts </w:t>
      </w:r>
    </w:p>
    <w:p w:rsidR="00000000" w:rsidDel="00000000" w:rsidP="00000000" w:rsidRDefault="00000000" w:rsidRPr="00000000" w14:paraId="000001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following additional services:</w:t>
      </w:r>
    </w:p>
    <w:p w:rsidR="00000000" w:rsidDel="00000000" w:rsidP="00000000" w:rsidRDefault="00000000" w:rsidRPr="00000000" w14:paraId="0000015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large fuel volume purchases by hedging or bunkering within a network. The fuel purchased should then be accessed via the proposed Fuel Card solution on a draw down basis;</w:t>
      </w:r>
    </w:p>
    <w:p w:rsidR="00000000" w:rsidDel="00000000" w:rsidP="00000000" w:rsidRDefault="00000000" w:rsidRPr="00000000" w14:paraId="0000015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invoices to be delivered by a secure delivery method;</w:t>
      </w:r>
    </w:p>
    <w:p w:rsidR="00000000" w:rsidDel="00000000" w:rsidP="00000000" w:rsidRDefault="00000000" w:rsidRPr="00000000" w14:paraId="0000015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controls on Fuel Cards for purchases other than fuel so they can be configured in accordance with a Contracting Authority’s policy; </w:t>
      </w:r>
    </w:p>
    <w:p w:rsidR="00000000" w:rsidDel="00000000" w:rsidP="00000000" w:rsidRDefault="00000000" w:rsidRPr="00000000" w14:paraId="0000016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Fuel Cards that are free of tax to allow tax free purchases of fuel by diplomats; and </w:t>
      </w:r>
    </w:p>
    <w:p w:rsidR="00000000" w:rsidDel="00000000" w:rsidP="00000000" w:rsidRDefault="00000000" w:rsidRPr="00000000" w14:paraId="0000016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report spend through SME sales outlets.</w:t>
      </w:r>
    </w:p>
    <w:p w:rsidR="00000000" w:rsidDel="00000000" w:rsidP="00000000" w:rsidRDefault="00000000" w:rsidRPr="00000000" w14:paraId="0000016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w:t>
      </w:r>
    </w:p>
    <w:p w:rsidR="00000000" w:rsidDel="00000000" w:rsidP="00000000" w:rsidRDefault="00000000" w:rsidRPr="00000000" w14:paraId="0000016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distribution of the fuel cards to multiple points of contact, at different addresses, within a Contracting Authority’s organisation accompanied by stamped addressed envelopes, user guides and proof of delivery or receipt;</w:t>
      </w:r>
    </w:p>
    <w:p w:rsidR="00000000" w:rsidDel="00000000" w:rsidP="00000000" w:rsidRDefault="00000000" w:rsidRPr="00000000" w14:paraId="0000016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recording of returned proof of delivery or receipt and follow up of non-responses;</w:t>
      </w:r>
    </w:p>
    <w:p w:rsidR="00000000" w:rsidDel="00000000" w:rsidP="00000000" w:rsidRDefault="00000000" w:rsidRPr="00000000" w14:paraId="0000016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facilitation of an annual data cleanse and fuel card management exercise to monitor fuel card usage, update End User’s contact details and confirm that ongoing usage of certain fuel cards is still required; and</w:t>
      </w:r>
    </w:p>
    <w:p w:rsidR="00000000" w:rsidDel="00000000" w:rsidP="00000000" w:rsidRDefault="00000000" w:rsidRPr="00000000" w14:paraId="0000016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responding to End User requests for the creation of new accounts and additional fuel cards.</w:t>
      </w:r>
    </w:p>
    <w:p w:rsidR="00000000" w:rsidDel="00000000" w:rsidP="00000000" w:rsidRDefault="00000000" w:rsidRPr="00000000" w14:paraId="0000016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alternative pricing mechanisms other than the model detailed within the Commercial Agreement. Other mechanisms could include, but not limited to:</w:t>
      </w:r>
    </w:p>
    <w:p w:rsidR="00000000" w:rsidDel="00000000" w:rsidP="00000000" w:rsidRDefault="00000000" w:rsidRPr="00000000" w14:paraId="0000016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Weekly variable price + fixed Supplier </w:t>
      </w:r>
      <w:r w:rsidDel="00000000" w:rsidR="00000000" w:rsidRPr="00000000">
        <w:rPr>
          <w:rFonts w:ascii="Arial" w:cs="Arial" w:eastAsia="Arial" w:hAnsi="Arial"/>
          <w:rtl w:val="0"/>
        </w:rPr>
        <w:t xml:space="preserve">markup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Buyers require Social Value to be delivered in line with the Buyer’s specific policy objectives, the Buyer may specify additional Social Value requirements as part of their Call-Off Contracts</w:t>
      </w:r>
    </w:p>
    <w:p w:rsidR="00000000" w:rsidDel="00000000" w:rsidP="00000000" w:rsidRDefault="00000000" w:rsidRPr="00000000" w14:paraId="000001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request of a Buyer, the Supplier shall make available products and or services to help Buyers achieve their carbon net-zero (cnz) targets (i.e. carbon offsetting) as part of their Call-Off Contracts</w:t>
      </w:r>
    </w:p>
    <w:p w:rsidR="00000000" w:rsidDel="00000000" w:rsidP="00000000" w:rsidRDefault="00000000" w:rsidRPr="00000000" w14:paraId="000001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Buyers require security measures in line with the Buyer’s specific policy objectives, the Buyer may specify additional security requirements as part of their Call-Off Contracts (i.e. ISO27001)</w:t>
      </w:r>
    </w:p>
    <w:p w:rsidR="00000000" w:rsidDel="00000000" w:rsidP="00000000" w:rsidRDefault="00000000" w:rsidRPr="00000000" w14:paraId="000001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request of Buyers, the Supplier shall provide network coverage within European countries as part of their Call-Off Contracts</w:t>
      </w:r>
    </w:p>
    <w:p w:rsidR="00000000" w:rsidDel="00000000" w:rsidP="00000000" w:rsidRDefault="00000000" w:rsidRPr="00000000" w14:paraId="00000170">
      <w:pP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71">
      <w:pPr>
        <w:spacing w:after="0" w:line="240" w:lineRule="auto"/>
        <w:rPr>
          <w:rFonts w:ascii="Arial" w:cs="Arial" w:eastAsia="Arial" w:hAnsi="Arial"/>
          <w:color w:val="ff0000"/>
        </w:rPr>
      </w:pPr>
      <w:r w:rsidDel="00000000" w:rsidR="00000000" w:rsidRPr="00000000">
        <w:rPr>
          <w:rFonts w:ascii="Arial" w:cs="Arial" w:eastAsia="Arial" w:hAnsi="Arial"/>
          <w:color w:val="ff0000"/>
          <w:rtl w:val="0"/>
        </w:rPr>
        <w:t xml:space="preserve"> </w:t>
      </w:r>
    </w:p>
    <w:sectPr>
      <w:headerReference r:id="rId11" w:type="first"/>
      <w:footerReference r:id="rId12" w:type="default"/>
      <w:footerReference r:id="rId13"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jc w:val="right"/>
      <w:rPr/>
    </w:pPr>
    <w:r w:rsidDel="00000000" w:rsidR="00000000" w:rsidRPr="00000000">
      <w:rPr>
        <w:rtl w:val="0"/>
      </w:rPr>
    </w:r>
  </w:p>
  <w:p w:rsidR="00000000" w:rsidDel="00000000" w:rsidP="00000000" w:rsidRDefault="00000000" w:rsidRPr="00000000" w14:paraId="00000174">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Attachment 1a Specification v1</w:t>
    </w:r>
  </w:p>
  <w:p w:rsidR="00000000" w:rsidDel="00000000" w:rsidP="00000000" w:rsidRDefault="00000000" w:rsidRPr="00000000" w14:paraId="00000175">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RM6186 Fuel Cards and Associated Services</w:t>
    </w:r>
  </w:p>
  <w:p w:rsidR="00000000" w:rsidDel="00000000" w:rsidP="00000000" w:rsidRDefault="00000000" w:rsidRPr="00000000" w14:paraId="00000176">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 Crown Copyright</w:t>
      <w:tab/>
      <w:t xml:space="preserve">                                                                                                                   </w:t>
    </w:r>
  </w:p>
  <w:p w:rsidR="00000000" w:rsidDel="00000000" w:rsidP="00000000" w:rsidRDefault="00000000" w:rsidRPr="00000000" w14:paraId="00000177">
    <w:pPr>
      <w:jc w:val="right"/>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87450" cy="927100"/>
          <wp:effectExtent b="0" l="0" r="0" t="0"/>
          <wp:wrapSquare wrapText="bothSides" distB="0" distT="0" distL="114300" distR="114300"/>
          <wp:docPr descr="CCS_2935_SML_AW" id="1"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8">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before="160" w:lineRule="auto"/>
      <w:ind w:left="1440" w:hanging="360"/>
    </w:pPr>
    <w:rPr>
      <w:rFonts w:ascii="Arial" w:cs="Arial" w:eastAsia="Arial" w:hAnsi="Arial"/>
      <w:color w:val="0070c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before="160" w:lineRule="auto"/>
      <w:ind w:left="792" w:hanging="432"/>
    </w:pPr>
    <w:rPr>
      <w:rFonts w:ascii="Arial" w:cs="Arial" w:eastAsia="Arial" w:hAnsi="Arial"/>
      <w:color w:val="0070c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441776"/>
    <w:pPr>
      <w:numPr>
        <w:ilvl w:val="1"/>
        <w:numId w:val="2"/>
      </w:numPr>
      <w:spacing w:before="160"/>
      <w:contextualSpacing w:val="1"/>
      <w:outlineLvl w:val="1"/>
    </w:pPr>
    <w:rPr>
      <w:rFonts w:ascii="Arial" w:cs="Arial" w:hAnsi="Arial"/>
      <w:color w:val="0070c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37B51"/>
    <w:pPr>
      <w:ind w:left="720"/>
      <w:contextualSpacing w:val="1"/>
    </w:pPr>
  </w:style>
  <w:style w:type="character" w:styleId="Heading2Char" w:customStyle="1">
    <w:name w:val="Heading 2 Char"/>
    <w:basedOn w:val="DefaultParagraphFont"/>
    <w:link w:val="Heading2"/>
    <w:uiPriority w:val="9"/>
    <w:rsid w:val="00441776"/>
    <w:rPr>
      <w:rFonts w:ascii="Arial" w:cs="Arial" w:hAnsi="Arial"/>
      <w:color w:val="0070c0"/>
      <w:sz w:val="24"/>
      <w:szCs w:val="24"/>
    </w:rPr>
  </w:style>
  <w:style w:type="table" w:styleId="TableGrid">
    <w:name w:val="Table Grid"/>
    <w:basedOn w:val="TableNormal"/>
    <w:uiPriority w:val="39"/>
    <w:rsid w:val="004417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uiPriority w:val="99"/>
    <w:rsid w:val="00441776"/>
    <w:pPr>
      <w:spacing w:after="120" w:line="240" w:lineRule="auto"/>
    </w:pPr>
    <w:rPr>
      <w:rFonts w:ascii="Arial" w:cs="Courier New" w:eastAsia="SimSun" w:hAnsi="Arial"/>
      <w:sz w:val="20"/>
      <w:szCs w:val="20"/>
      <w:lang w:eastAsia="zh-CN"/>
    </w:rPr>
  </w:style>
  <w:style w:type="character" w:styleId="PlainTextChar" w:customStyle="1">
    <w:name w:val="Plain Text Char"/>
    <w:basedOn w:val="DefaultParagraphFont"/>
    <w:link w:val="PlainText"/>
    <w:uiPriority w:val="99"/>
    <w:rsid w:val="00441776"/>
    <w:rPr>
      <w:rFonts w:ascii="Arial" w:cs="Courier New" w:eastAsia="SimSun" w:hAnsi="Arial"/>
      <w:sz w:val="20"/>
      <w:szCs w:val="20"/>
      <w:lang w:eastAsia="zh-CN"/>
    </w:rPr>
  </w:style>
  <w:style w:type="character" w:styleId="Hyperlink">
    <w:name w:val="Hyperlink"/>
    <w:basedOn w:val="DefaultParagraphFont"/>
    <w:uiPriority w:val="99"/>
    <w:unhideWhenUsed w:val="1"/>
    <w:rsid w:val="003C27AF"/>
    <w:rPr>
      <w:color w:val="0563c1" w:themeColor="hyperlink"/>
      <w:u w:val="single"/>
    </w:rPr>
  </w:style>
  <w:style w:type="character" w:styleId="CommentReference">
    <w:name w:val="annotation reference"/>
    <w:basedOn w:val="DefaultParagraphFont"/>
    <w:uiPriority w:val="99"/>
    <w:semiHidden w:val="1"/>
    <w:unhideWhenUsed w:val="1"/>
    <w:rsid w:val="00841FD7"/>
    <w:rPr>
      <w:sz w:val="16"/>
      <w:szCs w:val="16"/>
    </w:rPr>
  </w:style>
  <w:style w:type="paragraph" w:styleId="CommentText">
    <w:name w:val="annotation text"/>
    <w:basedOn w:val="Normal"/>
    <w:link w:val="CommentTextChar"/>
    <w:uiPriority w:val="99"/>
    <w:semiHidden w:val="1"/>
    <w:unhideWhenUsed w:val="1"/>
    <w:rsid w:val="00841FD7"/>
    <w:pPr>
      <w:spacing w:line="240" w:lineRule="auto"/>
    </w:pPr>
    <w:rPr>
      <w:sz w:val="20"/>
      <w:szCs w:val="20"/>
    </w:rPr>
  </w:style>
  <w:style w:type="character" w:styleId="CommentTextChar" w:customStyle="1">
    <w:name w:val="Comment Text Char"/>
    <w:basedOn w:val="DefaultParagraphFont"/>
    <w:link w:val="CommentText"/>
    <w:uiPriority w:val="99"/>
    <w:semiHidden w:val="1"/>
    <w:rsid w:val="00841FD7"/>
    <w:rPr>
      <w:sz w:val="20"/>
      <w:szCs w:val="20"/>
    </w:rPr>
  </w:style>
  <w:style w:type="paragraph" w:styleId="CommentSubject">
    <w:name w:val="annotation subject"/>
    <w:basedOn w:val="CommentText"/>
    <w:next w:val="CommentText"/>
    <w:link w:val="CommentSubjectChar"/>
    <w:uiPriority w:val="99"/>
    <w:semiHidden w:val="1"/>
    <w:unhideWhenUsed w:val="1"/>
    <w:rsid w:val="00841FD7"/>
    <w:rPr>
      <w:b w:val="1"/>
      <w:bCs w:val="1"/>
    </w:rPr>
  </w:style>
  <w:style w:type="character" w:styleId="CommentSubjectChar" w:customStyle="1">
    <w:name w:val="Comment Subject Char"/>
    <w:basedOn w:val="CommentTextChar"/>
    <w:link w:val="CommentSubject"/>
    <w:uiPriority w:val="99"/>
    <w:semiHidden w:val="1"/>
    <w:rsid w:val="00841FD7"/>
    <w:rPr>
      <w:b w:val="1"/>
      <w:bCs w:val="1"/>
      <w:sz w:val="20"/>
      <w:szCs w:val="20"/>
    </w:rPr>
  </w:style>
  <w:style w:type="paragraph" w:styleId="BalloonText">
    <w:name w:val="Balloon Text"/>
    <w:basedOn w:val="Normal"/>
    <w:link w:val="BalloonTextChar"/>
    <w:uiPriority w:val="99"/>
    <w:semiHidden w:val="1"/>
    <w:unhideWhenUsed w:val="1"/>
    <w:rsid w:val="00841FD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41FD7"/>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sc.gov.uk/cyberessentials/overview" TargetMode="External"/><Relationship Id="rId8" Type="http://schemas.openxmlformats.org/officeDocument/2006/relationships/hyperlink" Target="https://www.gov.uk/government/publications/social-value-act-introductory-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dFlY24dxl4F5lJtTy8A2VI6PCA==">AMUW2mWg+rCSCH0qSLaboLpFcrCytGvwmFRsuBTyJs2gsex/k565ZwR7H/cjQq0N8afW+q1zIn3YYWlhnV0dV9WZmHXKQqKL4U3kNoxnYck1aDdzUOP4V3oIhKV+QKzVjmYmNEgj3MRGVbPHstU4wDOrfWaYyMwlW8x+jXpgMBBiiNZz7qf6tT4dHwuL0mLy7VXI1vVmTgNn4+qV/5CHPs6r1BsVMpG9POYmoAcewQSOrX91IFtYbLQ=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2020-11-19T18:07:00Z</dcterms:created>
  <dc:creator>Jamie Lancaster</dc:creator>
</cp:coreProperties>
</file>