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F6" w:rsidRDefault="00F373F6" w:rsidP="00914D56">
      <w:pPr>
        <w:spacing w:before="360" w:after="0" w:line="360" w:lineRule="auto"/>
        <w:jc w:val="center"/>
        <w:rPr>
          <w:rFonts w:ascii="Arial" w:eastAsia="Calibri" w:hAnsi="Arial" w:cs="Arial"/>
          <w:b/>
          <w:sz w:val="28"/>
          <w:u w:val="single"/>
          <w:lang w:eastAsia="en-US"/>
        </w:rPr>
      </w:pPr>
    </w:p>
    <w:p w:rsidR="00A4293C" w:rsidRPr="00914D56" w:rsidRDefault="00D205A0" w:rsidP="004B3B7E">
      <w:pPr>
        <w:spacing w:after="0" w:line="360" w:lineRule="auto"/>
        <w:jc w:val="center"/>
        <w:rPr>
          <w:rFonts w:ascii="Arial" w:eastAsia="Calibri" w:hAnsi="Arial" w:cs="Arial"/>
          <w:b/>
          <w:sz w:val="28"/>
          <w:u w:val="single"/>
          <w:lang w:eastAsia="en-US"/>
        </w:rPr>
      </w:pPr>
      <w:bookmarkStart w:id="0" w:name="_GoBack"/>
      <w:bookmarkEnd w:id="0"/>
      <w:r w:rsidRPr="00914D56">
        <w:rPr>
          <w:rFonts w:ascii="Arial" w:eastAsia="Calibri" w:hAnsi="Arial" w:cs="Arial"/>
          <w:b/>
          <w:sz w:val="28"/>
          <w:u w:val="single"/>
          <w:lang w:eastAsia="en-US"/>
        </w:rPr>
        <w:t>Call to Competition</w:t>
      </w:r>
    </w:p>
    <w:p w:rsidR="00364290" w:rsidRPr="00F31A8B" w:rsidRDefault="00364290" w:rsidP="00914D56">
      <w:pPr>
        <w:spacing w:after="0" w:line="360" w:lineRule="auto"/>
        <w:rPr>
          <w:rFonts w:ascii="Arial" w:eastAsia="Calibri" w:hAnsi="Arial" w:cs="Arial"/>
          <w:lang w:eastAsia="en-US"/>
        </w:rPr>
      </w:pPr>
    </w:p>
    <w:p w:rsidR="00A76473" w:rsidRDefault="0038707A" w:rsidP="00914D56">
      <w:pPr>
        <w:spacing w:after="0" w:line="360" w:lineRule="auto"/>
        <w:rPr>
          <w:rFonts w:ascii="Arial" w:hAnsi="Arial" w:cs="Arial"/>
        </w:rPr>
      </w:pPr>
      <w:r>
        <w:rPr>
          <w:rFonts w:ascii="Arial" w:hAnsi="Arial" w:cs="Arial"/>
        </w:rPr>
        <w:t>North East Hampshire and Farnham</w:t>
      </w:r>
      <w:r w:rsidR="003D5D78">
        <w:rPr>
          <w:rFonts w:ascii="Arial" w:hAnsi="Arial" w:cs="Arial"/>
        </w:rPr>
        <w:t xml:space="preserve"> (NEHF)</w:t>
      </w:r>
      <w:r w:rsidRPr="00F31A8B">
        <w:rPr>
          <w:rFonts w:ascii="Arial" w:hAnsi="Arial" w:cs="Arial"/>
        </w:rPr>
        <w:t xml:space="preserve"> Clinical Commissioning Group</w:t>
      </w:r>
      <w:r>
        <w:rPr>
          <w:rFonts w:ascii="Arial" w:hAnsi="Arial" w:cs="Arial"/>
        </w:rPr>
        <w:t xml:space="preserve"> and Surrey Heath</w:t>
      </w:r>
      <w:r w:rsidR="003D5D78">
        <w:rPr>
          <w:rFonts w:ascii="Arial" w:hAnsi="Arial" w:cs="Arial"/>
        </w:rPr>
        <w:t xml:space="preserve"> (SH)</w:t>
      </w:r>
      <w:r>
        <w:rPr>
          <w:rFonts w:ascii="Arial" w:hAnsi="Arial" w:cs="Arial"/>
        </w:rPr>
        <w:t xml:space="preserve"> Clinical Commissioning Group, with Associate Commissioners (East Berkshire Clinical Commissioning Group and North Hampshire Clinical Commissioning Group), “The Commissioners”</w:t>
      </w:r>
      <w:r w:rsidRPr="00F31A8B">
        <w:rPr>
          <w:rFonts w:ascii="Arial" w:hAnsi="Arial" w:cs="Arial"/>
        </w:rPr>
        <w:t xml:space="preserve"> </w:t>
      </w:r>
      <w:r>
        <w:rPr>
          <w:rFonts w:ascii="Arial" w:hAnsi="Arial" w:cs="Arial"/>
        </w:rPr>
        <w:t>are seeking</w:t>
      </w:r>
      <w:r w:rsidRPr="00F31A8B">
        <w:rPr>
          <w:rFonts w:ascii="Arial" w:hAnsi="Arial" w:cs="Arial"/>
        </w:rPr>
        <w:t xml:space="preserve"> expressions of interest from providers interested in delivering a range of </w:t>
      </w:r>
      <w:r>
        <w:rPr>
          <w:rFonts w:ascii="Arial" w:hAnsi="Arial" w:cs="Arial"/>
        </w:rPr>
        <w:t xml:space="preserve">primarily adult integrated </w:t>
      </w:r>
      <w:r w:rsidRPr="00F31A8B">
        <w:rPr>
          <w:rFonts w:ascii="Arial" w:hAnsi="Arial" w:cs="Arial"/>
        </w:rPr>
        <w:t>community based healthcare services</w:t>
      </w:r>
      <w:r w:rsidR="00A76473">
        <w:rPr>
          <w:rFonts w:ascii="Arial" w:hAnsi="Arial" w:cs="Arial"/>
        </w:rPr>
        <w:t>.</w:t>
      </w:r>
    </w:p>
    <w:p w:rsidR="00A76473" w:rsidRDefault="00A76473" w:rsidP="00914D56">
      <w:pPr>
        <w:spacing w:after="0" w:line="360" w:lineRule="auto"/>
        <w:rPr>
          <w:rFonts w:ascii="Arial" w:hAnsi="Arial" w:cs="Arial"/>
        </w:rPr>
      </w:pPr>
    </w:p>
    <w:p w:rsidR="00A76473" w:rsidRDefault="00A76473" w:rsidP="00914D56">
      <w:pPr>
        <w:spacing w:after="0" w:line="360" w:lineRule="auto"/>
        <w:rPr>
          <w:rFonts w:ascii="Arial" w:hAnsi="Arial" w:cs="Arial"/>
        </w:rPr>
      </w:pPr>
      <w:r>
        <w:rPr>
          <w:rFonts w:ascii="Arial" w:hAnsi="Arial" w:cs="Arial"/>
        </w:rPr>
        <w:t xml:space="preserve">The commissioned services are </w:t>
      </w:r>
      <w:proofErr w:type="spellStart"/>
      <w:r>
        <w:rPr>
          <w:rFonts w:ascii="Arial" w:hAnsi="Arial" w:cs="Arial"/>
        </w:rPr>
        <w:t>oragnised</w:t>
      </w:r>
      <w:proofErr w:type="spellEnd"/>
      <w:r>
        <w:rPr>
          <w:rFonts w:ascii="Arial" w:hAnsi="Arial" w:cs="Arial"/>
        </w:rPr>
        <w:t xml:space="preserve"> into three lots covering differing</w:t>
      </w:r>
      <w:r w:rsidR="00BB128A">
        <w:rPr>
          <w:rFonts w:ascii="Arial" w:hAnsi="Arial" w:cs="Arial"/>
        </w:rPr>
        <w:t xml:space="preserve"> CCG registered populations</w:t>
      </w:r>
      <w:r>
        <w:rPr>
          <w:rFonts w:ascii="Arial" w:hAnsi="Arial" w:cs="Arial"/>
        </w:rPr>
        <w:t>.</w:t>
      </w:r>
    </w:p>
    <w:p w:rsidR="00281C6C" w:rsidRPr="00914D56" w:rsidRDefault="00A76473" w:rsidP="00914D56">
      <w:pPr>
        <w:pStyle w:val="ListParagraph"/>
        <w:numPr>
          <w:ilvl w:val="0"/>
          <w:numId w:val="31"/>
        </w:numPr>
        <w:spacing w:after="0" w:line="360" w:lineRule="auto"/>
        <w:rPr>
          <w:rFonts w:ascii="Arial" w:hAnsi="Arial" w:cs="Arial"/>
        </w:rPr>
      </w:pPr>
      <w:r w:rsidRPr="00914D56">
        <w:rPr>
          <w:rFonts w:ascii="Arial" w:hAnsi="Arial" w:cs="Arial"/>
          <w:u w:val="single"/>
        </w:rPr>
        <w:t>Lot 1:</w:t>
      </w:r>
      <w:r w:rsidRPr="00914D56">
        <w:rPr>
          <w:rFonts w:ascii="Arial" w:hAnsi="Arial" w:cs="Arial"/>
        </w:rPr>
        <w:t xml:space="preserve"> This </w:t>
      </w:r>
      <w:r w:rsidR="00BB128A" w:rsidRPr="00914D56">
        <w:rPr>
          <w:rFonts w:ascii="Arial" w:hAnsi="Arial" w:cs="Arial"/>
        </w:rPr>
        <w:t xml:space="preserve">primarily </w:t>
      </w:r>
      <w:r w:rsidRPr="00914D56">
        <w:rPr>
          <w:rFonts w:ascii="Arial" w:hAnsi="Arial" w:cs="Arial"/>
        </w:rPr>
        <w:t>covers the localities of</w:t>
      </w:r>
      <w:r w:rsidR="00BB128A" w:rsidRPr="00914D56">
        <w:rPr>
          <w:rFonts w:ascii="Arial" w:hAnsi="Arial" w:cs="Arial"/>
        </w:rPr>
        <w:t xml:space="preserve"> North </w:t>
      </w:r>
      <w:r w:rsidR="00281C6C" w:rsidRPr="00914D56">
        <w:rPr>
          <w:rFonts w:ascii="Arial" w:hAnsi="Arial" w:cs="Arial"/>
        </w:rPr>
        <w:t>E</w:t>
      </w:r>
      <w:r w:rsidR="00BB128A" w:rsidRPr="00914D56">
        <w:rPr>
          <w:rFonts w:ascii="Arial" w:hAnsi="Arial" w:cs="Arial"/>
        </w:rPr>
        <w:t xml:space="preserve">ast Hampshire and </w:t>
      </w:r>
      <w:r w:rsidR="00281C6C" w:rsidRPr="00914D56">
        <w:rPr>
          <w:rFonts w:ascii="Arial" w:hAnsi="Arial" w:cs="Arial"/>
        </w:rPr>
        <w:t>F</w:t>
      </w:r>
      <w:r w:rsidR="00BB128A" w:rsidRPr="00914D56">
        <w:rPr>
          <w:rFonts w:ascii="Arial" w:hAnsi="Arial" w:cs="Arial"/>
        </w:rPr>
        <w:t xml:space="preserve">arnham and Surrey </w:t>
      </w:r>
      <w:r w:rsidR="00281C6C" w:rsidRPr="00914D56">
        <w:rPr>
          <w:rFonts w:ascii="Arial" w:hAnsi="Arial" w:cs="Arial"/>
        </w:rPr>
        <w:t>H</w:t>
      </w:r>
      <w:r w:rsidR="00BB128A" w:rsidRPr="00914D56">
        <w:rPr>
          <w:rFonts w:ascii="Arial" w:hAnsi="Arial" w:cs="Arial"/>
        </w:rPr>
        <w:t>eath CCGs</w:t>
      </w:r>
      <w:r w:rsidR="00281C6C" w:rsidRPr="00914D56">
        <w:rPr>
          <w:rFonts w:ascii="Arial" w:hAnsi="Arial" w:cs="Arial"/>
        </w:rPr>
        <w:t xml:space="preserve"> with the services provided for the </w:t>
      </w:r>
      <w:proofErr w:type="spellStart"/>
      <w:r w:rsidR="00281C6C" w:rsidRPr="00914D56">
        <w:rPr>
          <w:rFonts w:ascii="Arial" w:hAnsi="Arial" w:cs="Arial"/>
        </w:rPr>
        <w:t>Assocaite</w:t>
      </w:r>
      <w:proofErr w:type="spellEnd"/>
      <w:r w:rsidR="00281C6C" w:rsidRPr="00914D56">
        <w:rPr>
          <w:rFonts w:ascii="Arial" w:hAnsi="Arial" w:cs="Arial"/>
        </w:rPr>
        <w:t xml:space="preserve"> Commissioner organisations relate primarily to specific requirements within the community bed service – further details are available within the specifications.</w:t>
      </w:r>
    </w:p>
    <w:p w:rsidR="00281C6C" w:rsidRPr="00914D56" w:rsidRDefault="00281C6C" w:rsidP="00914D56">
      <w:pPr>
        <w:pStyle w:val="ListParagraph"/>
        <w:numPr>
          <w:ilvl w:val="0"/>
          <w:numId w:val="31"/>
        </w:numPr>
        <w:spacing w:after="0" w:line="360" w:lineRule="auto"/>
        <w:rPr>
          <w:rFonts w:ascii="Arial" w:hAnsi="Arial" w:cs="Arial"/>
        </w:rPr>
      </w:pPr>
      <w:r w:rsidRPr="00914D56">
        <w:rPr>
          <w:rFonts w:ascii="Arial" w:hAnsi="Arial" w:cs="Arial"/>
          <w:u w:val="single"/>
        </w:rPr>
        <w:t>Lot 2:</w:t>
      </w:r>
      <w:r w:rsidRPr="00914D56">
        <w:rPr>
          <w:rFonts w:ascii="Arial" w:hAnsi="Arial" w:cs="Arial"/>
        </w:rPr>
        <w:t xml:space="preserve"> Applicable to the North East Hampshire and Farnham CCG population only.</w:t>
      </w:r>
    </w:p>
    <w:p w:rsidR="00281C6C" w:rsidRPr="00914D56" w:rsidRDefault="00281C6C" w:rsidP="00914D56">
      <w:pPr>
        <w:pStyle w:val="ListParagraph"/>
        <w:numPr>
          <w:ilvl w:val="0"/>
          <w:numId w:val="31"/>
        </w:numPr>
        <w:spacing w:after="0" w:line="360" w:lineRule="auto"/>
        <w:rPr>
          <w:rFonts w:ascii="Arial" w:hAnsi="Arial" w:cs="Arial"/>
        </w:rPr>
      </w:pPr>
      <w:r w:rsidRPr="00914D56">
        <w:rPr>
          <w:rFonts w:ascii="Arial" w:hAnsi="Arial" w:cs="Arial"/>
          <w:u w:val="single"/>
        </w:rPr>
        <w:t>Lot 3:</w:t>
      </w:r>
      <w:r w:rsidRPr="00914D56">
        <w:rPr>
          <w:rFonts w:ascii="Arial" w:hAnsi="Arial" w:cs="Arial"/>
        </w:rPr>
        <w:t xml:space="preserve"> Applicable to the </w:t>
      </w:r>
      <w:r w:rsidR="00914D56" w:rsidRPr="00914D56">
        <w:rPr>
          <w:rFonts w:ascii="Arial" w:hAnsi="Arial" w:cs="Arial"/>
        </w:rPr>
        <w:t>Surrey Heath</w:t>
      </w:r>
      <w:r w:rsidRPr="00914D56">
        <w:rPr>
          <w:rFonts w:ascii="Arial" w:hAnsi="Arial" w:cs="Arial"/>
        </w:rPr>
        <w:t xml:space="preserve"> CCG population only.</w:t>
      </w:r>
    </w:p>
    <w:p w:rsidR="00281C6C" w:rsidRDefault="00281C6C" w:rsidP="00914D56">
      <w:pPr>
        <w:spacing w:after="0" w:line="360" w:lineRule="auto"/>
        <w:rPr>
          <w:rFonts w:ascii="Arial" w:hAnsi="Arial" w:cs="Arial"/>
        </w:rPr>
      </w:pPr>
    </w:p>
    <w:p w:rsidR="00AE5D9F" w:rsidRDefault="00E84116" w:rsidP="00914D56">
      <w:pPr>
        <w:spacing w:after="0" w:line="360" w:lineRule="auto"/>
        <w:rPr>
          <w:rFonts w:ascii="Arial" w:hAnsi="Arial" w:cs="Arial"/>
        </w:rPr>
      </w:pPr>
      <w:r w:rsidRPr="00E84116">
        <w:rPr>
          <w:rFonts w:ascii="Arial" w:hAnsi="Arial" w:cs="Arial"/>
        </w:rPr>
        <w:t xml:space="preserve">The </w:t>
      </w:r>
      <w:r>
        <w:rPr>
          <w:rFonts w:ascii="Arial" w:hAnsi="Arial" w:cs="Arial"/>
        </w:rPr>
        <w:t>Commissioners</w:t>
      </w:r>
      <w:r w:rsidRPr="00E84116">
        <w:rPr>
          <w:rFonts w:ascii="Arial" w:hAnsi="Arial" w:cs="Arial"/>
        </w:rPr>
        <w:t xml:space="preserve"> ha</w:t>
      </w:r>
      <w:r>
        <w:rPr>
          <w:rFonts w:ascii="Arial" w:hAnsi="Arial" w:cs="Arial"/>
        </w:rPr>
        <w:t>ve</w:t>
      </w:r>
      <w:r w:rsidRPr="00E84116">
        <w:rPr>
          <w:rFonts w:ascii="Arial" w:hAnsi="Arial" w:cs="Arial"/>
        </w:rPr>
        <w:t xml:space="preserve"> a clear strategy for the development of integrated service models for health and social care within each of its localities</w:t>
      </w:r>
      <w:r w:rsidR="00BF3359">
        <w:rPr>
          <w:rFonts w:ascii="Arial" w:hAnsi="Arial" w:cs="Arial"/>
        </w:rPr>
        <w:t>,</w:t>
      </w:r>
      <w:r w:rsidRPr="00E84116">
        <w:rPr>
          <w:rFonts w:ascii="Arial" w:hAnsi="Arial" w:cs="Arial"/>
        </w:rPr>
        <w:t xml:space="preserve"> and the community provider</w:t>
      </w:r>
      <w:r w:rsidR="00BF3359">
        <w:rPr>
          <w:rFonts w:ascii="Arial" w:hAnsi="Arial" w:cs="Arial"/>
        </w:rPr>
        <w:t>/s</w:t>
      </w:r>
      <w:r w:rsidRPr="00E84116">
        <w:rPr>
          <w:rFonts w:ascii="Arial" w:hAnsi="Arial" w:cs="Arial"/>
        </w:rPr>
        <w:t xml:space="preserve"> must be an integral part of this. These services will work together to support individuals, their families and carers by providing a fully co-ordinated community based service. </w:t>
      </w:r>
      <w:r>
        <w:rPr>
          <w:rFonts w:ascii="Arial" w:hAnsi="Arial" w:cs="Arial"/>
        </w:rPr>
        <w:t xml:space="preserve"> </w:t>
      </w:r>
    </w:p>
    <w:p w:rsidR="00AE5D9F" w:rsidRPr="00285858" w:rsidRDefault="00AE5D9F" w:rsidP="00914D56">
      <w:pPr>
        <w:spacing w:after="0" w:line="360" w:lineRule="auto"/>
        <w:rPr>
          <w:rFonts w:ascii="Arial" w:hAnsi="Arial" w:cs="Arial"/>
        </w:rPr>
      </w:pPr>
    </w:p>
    <w:p w:rsidR="00A52B57" w:rsidRPr="00285858" w:rsidRDefault="00A52B57" w:rsidP="00914D56">
      <w:pPr>
        <w:spacing w:after="0" w:line="360" w:lineRule="auto"/>
        <w:rPr>
          <w:rFonts w:ascii="Arial" w:hAnsi="Arial" w:cs="Arial"/>
        </w:rPr>
      </w:pPr>
      <w:r w:rsidRPr="00285858">
        <w:rPr>
          <w:rFonts w:ascii="Arial" w:hAnsi="Arial" w:cs="Arial"/>
        </w:rPr>
        <w:t>The p</w:t>
      </w:r>
      <w:r w:rsidR="00285858">
        <w:rPr>
          <w:rFonts w:ascii="Arial" w:hAnsi="Arial" w:cs="Arial"/>
        </w:rPr>
        <w:t>rovider</w:t>
      </w:r>
      <w:r w:rsidRPr="00285858">
        <w:rPr>
          <w:rFonts w:ascii="Arial" w:hAnsi="Arial" w:cs="Arial"/>
        </w:rPr>
        <w:t>s must be able to work towards the continual improvement of services in a way that integrates:</w:t>
      </w:r>
    </w:p>
    <w:p w:rsidR="00A52B57" w:rsidRPr="00285858" w:rsidRDefault="00961B22" w:rsidP="00914D56">
      <w:pPr>
        <w:pStyle w:val="ListParagraph"/>
        <w:numPr>
          <w:ilvl w:val="0"/>
          <w:numId w:val="32"/>
        </w:numPr>
        <w:spacing w:after="0" w:line="360" w:lineRule="auto"/>
        <w:rPr>
          <w:rFonts w:ascii="Arial" w:hAnsi="Arial" w:cs="Arial"/>
        </w:rPr>
      </w:pPr>
      <w:r w:rsidRPr="00285858">
        <w:rPr>
          <w:rFonts w:ascii="Arial" w:hAnsi="Arial" w:cs="Arial"/>
        </w:rPr>
        <w:t>Health and social care</w:t>
      </w:r>
    </w:p>
    <w:p w:rsidR="00961B22" w:rsidRPr="00285858" w:rsidRDefault="00961B22" w:rsidP="00914D56">
      <w:pPr>
        <w:pStyle w:val="ListParagraph"/>
        <w:numPr>
          <w:ilvl w:val="0"/>
          <w:numId w:val="32"/>
        </w:numPr>
        <w:spacing w:after="0" w:line="360" w:lineRule="auto"/>
        <w:rPr>
          <w:rFonts w:ascii="Arial" w:hAnsi="Arial" w:cs="Arial"/>
        </w:rPr>
      </w:pPr>
      <w:r w:rsidRPr="00285858">
        <w:rPr>
          <w:rFonts w:ascii="Arial" w:hAnsi="Arial" w:cs="Arial"/>
        </w:rPr>
        <w:t>Physical and mental health</w:t>
      </w:r>
    </w:p>
    <w:p w:rsidR="00961B22" w:rsidRPr="00285858" w:rsidRDefault="00961B22" w:rsidP="00914D56">
      <w:pPr>
        <w:pStyle w:val="ListParagraph"/>
        <w:numPr>
          <w:ilvl w:val="0"/>
          <w:numId w:val="32"/>
        </w:numPr>
        <w:spacing w:after="0" w:line="360" w:lineRule="auto"/>
        <w:rPr>
          <w:rFonts w:ascii="Arial" w:hAnsi="Arial" w:cs="Arial"/>
        </w:rPr>
      </w:pPr>
      <w:r w:rsidRPr="00285858">
        <w:rPr>
          <w:rFonts w:ascii="Arial" w:hAnsi="Arial" w:cs="Arial"/>
        </w:rPr>
        <w:t>Statutory and voluntary services</w:t>
      </w:r>
    </w:p>
    <w:p w:rsidR="00961B22" w:rsidRPr="00285858" w:rsidRDefault="00961B22" w:rsidP="00914D56">
      <w:pPr>
        <w:pStyle w:val="ListParagraph"/>
        <w:numPr>
          <w:ilvl w:val="0"/>
          <w:numId w:val="32"/>
        </w:numPr>
        <w:spacing w:after="0" w:line="360" w:lineRule="auto"/>
        <w:rPr>
          <w:rFonts w:ascii="Arial" w:hAnsi="Arial" w:cs="Arial"/>
        </w:rPr>
      </w:pPr>
      <w:r w:rsidRPr="00285858">
        <w:rPr>
          <w:rFonts w:ascii="Arial" w:hAnsi="Arial" w:cs="Arial"/>
        </w:rPr>
        <w:t>Provision and commissioning activities</w:t>
      </w:r>
    </w:p>
    <w:p w:rsidR="00961B22" w:rsidRPr="00285858" w:rsidRDefault="00961B22" w:rsidP="00914D56">
      <w:pPr>
        <w:pStyle w:val="ListParagraph"/>
        <w:numPr>
          <w:ilvl w:val="0"/>
          <w:numId w:val="32"/>
        </w:numPr>
        <w:spacing w:after="0" w:line="360" w:lineRule="auto"/>
        <w:rPr>
          <w:rFonts w:ascii="Arial" w:hAnsi="Arial" w:cs="Arial"/>
        </w:rPr>
      </w:pPr>
      <w:r w:rsidRPr="00285858">
        <w:rPr>
          <w:rFonts w:ascii="Arial" w:hAnsi="Arial" w:cs="Arial"/>
        </w:rPr>
        <w:t>Personal and professional responsibilities</w:t>
      </w:r>
    </w:p>
    <w:p w:rsidR="00A52B57" w:rsidRPr="00285858" w:rsidRDefault="00A52B57" w:rsidP="00914D56">
      <w:pPr>
        <w:spacing w:after="0" w:line="360" w:lineRule="auto"/>
        <w:rPr>
          <w:rFonts w:ascii="Arial" w:hAnsi="Arial" w:cs="Arial"/>
        </w:rPr>
      </w:pPr>
    </w:p>
    <w:p w:rsidR="00A52B57" w:rsidRDefault="00285858" w:rsidP="00914D56">
      <w:pPr>
        <w:spacing w:after="0" w:line="360" w:lineRule="auto"/>
        <w:rPr>
          <w:rFonts w:ascii="Arial" w:hAnsi="Arial" w:cs="Arial"/>
          <w:b/>
        </w:rPr>
      </w:pPr>
      <w:r w:rsidRPr="00E84116">
        <w:rPr>
          <w:rFonts w:ascii="Arial" w:hAnsi="Arial" w:cs="Arial"/>
        </w:rPr>
        <w:t>The C</w:t>
      </w:r>
      <w:r>
        <w:rPr>
          <w:rFonts w:ascii="Arial" w:hAnsi="Arial" w:cs="Arial"/>
        </w:rPr>
        <w:t>ommissioners wish</w:t>
      </w:r>
      <w:r w:rsidRPr="00E84116">
        <w:rPr>
          <w:rFonts w:ascii="Arial" w:hAnsi="Arial" w:cs="Arial"/>
        </w:rPr>
        <w:t xml:space="preserve"> to commission only from providers that are willing and committed to this </w:t>
      </w:r>
      <w:r w:rsidR="009A4F72">
        <w:rPr>
          <w:rFonts w:ascii="Arial" w:hAnsi="Arial" w:cs="Arial"/>
        </w:rPr>
        <w:t>level</w:t>
      </w:r>
      <w:r w:rsidRPr="00E84116">
        <w:rPr>
          <w:rFonts w:ascii="Arial" w:hAnsi="Arial" w:cs="Arial"/>
        </w:rPr>
        <w:t xml:space="preserve"> of partnership working.</w:t>
      </w:r>
    </w:p>
    <w:p w:rsidR="00783358" w:rsidRDefault="00783358" w:rsidP="00914D56">
      <w:pPr>
        <w:spacing w:after="0" w:line="360" w:lineRule="auto"/>
        <w:rPr>
          <w:rFonts w:ascii="Arial" w:hAnsi="Arial" w:cs="Arial"/>
          <w:b/>
          <w:sz w:val="24"/>
        </w:rPr>
      </w:pPr>
    </w:p>
    <w:p w:rsidR="004B3B7E" w:rsidRDefault="004B3B7E">
      <w:pPr>
        <w:rPr>
          <w:rFonts w:ascii="Arial" w:hAnsi="Arial" w:cs="Arial"/>
          <w:b/>
          <w:sz w:val="24"/>
        </w:rPr>
      </w:pPr>
      <w:r>
        <w:rPr>
          <w:rFonts w:ascii="Arial" w:hAnsi="Arial" w:cs="Arial"/>
          <w:b/>
          <w:sz w:val="24"/>
        </w:rPr>
        <w:br w:type="page"/>
      </w:r>
    </w:p>
    <w:p w:rsidR="004B3B7E" w:rsidRDefault="004B3B7E" w:rsidP="00914D56">
      <w:pPr>
        <w:spacing w:after="0" w:line="360" w:lineRule="auto"/>
        <w:rPr>
          <w:rFonts w:ascii="Arial" w:hAnsi="Arial" w:cs="Arial"/>
          <w:b/>
          <w:sz w:val="24"/>
        </w:rPr>
      </w:pPr>
    </w:p>
    <w:p w:rsidR="00AE5D9F" w:rsidRPr="00914D56" w:rsidRDefault="00AE5D9F" w:rsidP="00914D56">
      <w:pPr>
        <w:spacing w:after="0" w:line="360" w:lineRule="auto"/>
        <w:rPr>
          <w:rFonts w:ascii="Arial" w:hAnsi="Arial" w:cs="Arial"/>
          <w:b/>
          <w:sz w:val="24"/>
        </w:rPr>
      </w:pPr>
      <w:r w:rsidRPr="00914D56">
        <w:rPr>
          <w:rFonts w:ascii="Arial" w:hAnsi="Arial" w:cs="Arial"/>
          <w:b/>
          <w:sz w:val="24"/>
        </w:rPr>
        <w:t>Service Scope</w:t>
      </w:r>
    </w:p>
    <w:p w:rsidR="00AE5D9F" w:rsidRDefault="00914D56" w:rsidP="00914D56">
      <w:pPr>
        <w:spacing w:after="0" w:line="360" w:lineRule="auto"/>
        <w:rPr>
          <w:rFonts w:ascii="Arial" w:hAnsi="Arial" w:cs="Arial"/>
        </w:rPr>
      </w:pPr>
      <w:r>
        <w:rPr>
          <w:rFonts w:ascii="Arial" w:hAnsi="Arial" w:cs="Arial"/>
        </w:rPr>
        <w:t xml:space="preserve">The services </w:t>
      </w:r>
      <w:r w:rsidR="00AE5D9F" w:rsidRPr="00AE5D9F">
        <w:rPr>
          <w:rFonts w:ascii="Arial" w:hAnsi="Arial" w:cs="Arial"/>
        </w:rPr>
        <w:t xml:space="preserve">are to be </w:t>
      </w:r>
      <w:r>
        <w:rPr>
          <w:rFonts w:ascii="Arial" w:hAnsi="Arial" w:cs="Arial"/>
        </w:rPr>
        <w:t>procured in three lots as listed below.</w:t>
      </w:r>
    </w:p>
    <w:p w:rsidR="00285858" w:rsidRDefault="00285858" w:rsidP="00914D56">
      <w:pPr>
        <w:spacing w:after="0" w:line="360" w:lineRule="auto"/>
        <w:rPr>
          <w:rFonts w:ascii="Arial" w:hAnsi="Arial" w:cs="Arial"/>
        </w:rPr>
      </w:pPr>
    </w:p>
    <w:p w:rsidR="00D205A0" w:rsidRPr="00D205A0" w:rsidRDefault="00D205A0" w:rsidP="00914D56">
      <w:pPr>
        <w:spacing w:after="0" w:line="360" w:lineRule="auto"/>
        <w:rPr>
          <w:rFonts w:ascii="Arial" w:hAnsi="Arial" w:cs="Arial"/>
        </w:rPr>
      </w:pPr>
      <w:r w:rsidRPr="00D205A0">
        <w:rPr>
          <w:rFonts w:ascii="Arial" w:hAnsi="Arial" w:cs="Arial"/>
          <w:u w:val="single"/>
        </w:rPr>
        <w:t>Lot 1</w:t>
      </w:r>
      <w:r w:rsidRPr="00D205A0">
        <w:rPr>
          <w:rFonts w:ascii="Arial" w:hAnsi="Arial" w:cs="Arial"/>
        </w:rPr>
        <w:t xml:space="preserve"> </w:t>
      </w:r>
    </w:p>
    <w:p w:rsidR="00D205A0" w:rsidRPr="00D205A0" w:rsidRDefault="00D205A0" w:rsidP="00914D56">
      <w:pPr>
        <w:spacing w:after="0" w:line="360" w:lineRule="auto"/>
        <w:rPr>
          <w:rFonts w:ascii="Arial" w:hAnsi="Arial" w:cs="Arial"/>
        </w:rPr>
      </w:pPr>
      <w:r w:rsidRPr="00D205A0">
        <w:rPr>
          <w:rFonts w:ascii="Arial" w:hAnsi="Arial" w:cs="Arial"/>
        </w:rPr>
        <w:t>This is a joint lot for both NEHF &amp; SH CCGs and comprises;</w:t>
      </w:r>
    </w:p>
    <w:p w:rsidR="00D205A0" w:rsidRPr="00D205A0" w:rsidRDefault="00D205A0" w:rsidP="00914D56">
      <w:pPr>
        <w:pStyle w:val="ListParagraph"/>
        <w:numPr>
          <w:ilvl w:val="0"/>
          <w:numId w:val="29"/>
        </w:numPr>
        <w:spacing w:after="0" w:line="360" w:lineRule="auto"/>
        <w:rPr>
          <w:rFonts w:ascii="Arial" w:hAnsi="Arial" w:cs="Arial"/>
        </w:rPr>
      </w:pPr>
      <w:r w:rsidRPr="00D205A0">
        <w:rPr>
          <w:rFonts w:ascii="Arial" w:hAnsi="Arial" w:cs="Arial"/>
        </w:rPr>
        <w:t>Community beds – Farnham &amp; Fleet</w:t>
      </w:r>
    </w:p>
    <w:p w:rsidR="00D205A0" w:rsidRPr="00D205A0" w:rsidRDefault="00D205A0" w:rsidP="00914D56">
      <w:pPr>
        <w:pStyle w:val="ListParagraph"/>
        <w:numPr>
          <w:ilvl w:val="0"/>
          <w:numId w:val="29"/>
        </w:numPr>
        <w:spacing w:after="0" w:line="360" w:lineRule="auto"/>
        <w:rPr>
          <w:rFonts w:ascii="Arial" w:hAnsi="Arial" w:cs="Arial"/>
        </w:rPr>
      </w:pPr>
      <w:r w:rsidRPr="00D205A0">
        <w:rPr>
          <w:rFonts w:ascii="Arial" w:hAnsi="Arial" w:cs="Arial"/>
        </w:rPr>
        <w:t>Diagnostic and Treatment Centre</w:t>
      </w:r>
    </w:p>
    <w:p w:rsidR="00D205A0" w:rsidRPr="00D205A0" w:rsidRDefault="00D205A0" w:rsidP="00914D56">
      <w:pPr>
        <w:pStyle w:val="ListParagraph"/>
        <w:numPr>
          <w:ilvl w:val="0"/>
          <w:numId w:val="29"/>
        </w:numPr>
        <w:spacing w:after="0" w:line="360" w:lineRule="auto"/>
        <w:rPr>
          <w:rFonts w:ascii="Arial" w:hAnsi="Arial" w:cs="Arial"/>
        </w:rPr>
      </w:pPr>
      <w:r w:rsidRPr="00D205A0">
        <w:rPr>
          <w:rFonts w:ascii="Arial" w:hAnsi="Arial" w:cs="Arial"/>
        </w:rPr>
        <w:t>Out of hours nursing and support services</w:t>
      </w:r>
    </w:p>
    <w:p w:rsidR="00D205A0" w:rsidRPr="00D205A0" w:rsidRDefault="00D205A0" w:rsidP="00914D56">
      <w:pPr>
        <w:pStyle w:val="ListParagraph"/>
        <w:numPr>
          <w:ilvl w:val="0"/>
          <w:numId w:val="29"/>
        </w:numPr>
        <w:spacing w:after="0" w:line="360" w:lineRule="auto"/>
        <w:rPr>
          <w:rFonts w:ascii="Arial" w:hAnsi="Arial" w:cs="Arial"/>
        </w:rPr>
      </w:pPr>
      <w:r w:rsidRPr="00D205A0">
        <w:rPr>
          <w:rFonts w:ascii="Arial" w:hAnsi="Arial" w:cs="Arial"/>
        </w:rPr>
        <w:t>Hospital interface team</w:t>
      </w:r>
    </w:p>
    <w:p w:rsidR="00D205A0" w:rsidRPr="00D205A0" w:rsidRDefault="00D205A0" w:rsidP="00914D56">
      <w:pPr>
        <w:pStyle w:val="ListParagraph"/>
        <w:numPr>
          <w:ilvl w:val="0"/>
          <w:numId w:val="29"/>
        </w:numPr>
        <w:spacing w:after="0" w:line="360" w:lineRule="auto"/>
        <w:rPr>
          <w:rFonts w:ascii="Arial" w:hAnsi="Arial" w:cs="Arial"/>
        </w:rPr>
      </w:pPr>
      <w:r>
        <w:rPr>
          <w:rFonts w:ascii="Arial" w:hAnsi="Arial" w:cs="Arial"/>
        </w:rPr>
        <w:t>Specialist P</w:t>
      </w:r>
      <w:r w:rsidRPr="00D205A0">
        <w:rPr>
          <w:rFonts w:ascii="Arial" w:hAnsi="Arial" w:cs="Arial"/>
        </w:rPr>
        <w:t>ractitioners</w:t>
      </w:r>
    </w:p>
    <w:p w:rsidR="00D205A0" w:rsidRPr="00D205A0" w:rsidRDefault="00D205A0" w:rsidP="00914D56">
      <w:pPr>
        <w:pStyle w:val="ListParagraph"/>
        <w:numPr>
          <w:ilvl w:val="0"/>
          <w:numId w:val="29"/>
        </w:numPr>
        <w:spacing w:after="0" w:line="360" w:lineRule="auto"/>
        <w:rPr>
          <w:rFonts w:ascii="Arial" w:hAnsi="Arial" w:cs="Arial"/>
        </w:rPr>
      </w:pPr>
      <w:r w:rsidRPr="00D205A0">
        <w:rPr>
          <w:rFonts w:ascii="Arial" w:hAnsi="Arial" w:cs="Arial"/>
        </w:rPr>
        <w:t>Respiratory services</w:t>
      </w:r>
    </w:p>
    <w:p w:rsidR="00914D56" w:rsidRDefault="00914D56" w:rsidP="00914D56">
      <w:pPr>
        <w:spacing w:after="0" w:line="360" w:lineRule="auto"/>
        <w:rPr>
          <w:rFonts w:ascii="Arial" w:hAnsi="Arial" w:cs="Arial"/>
          <w:u w:val="single"/>
        </w:rPr>
      </w:pPr>
    </w:p>
    <w:p w:rsidR="00D205A0" w:rsidRPr="00D205A0" w:rsidRDefault="00D205A0" w:rsidP="00914D56">
      <w:pPr>
        <w:spacing w:after="0" w:line="360" w:lineRule="auto"/>
        <w:rPr>
          <w:rFonts w:ascii="Arial" w:hAnsi="Arial" w:cs="Arial"/>
        </w:rPr>
      </w:pPr>
      <w:r w:rsidRPr="00D205A0">
        <w:rPr>
          <w:rFonts w:ascii="Arial" w:hAnsi="Arial" w:cs="Arial"/>
          <w:u w:val="single"/>
        </w:rPr>
        <w:t>Lot 2</w:t>
      </w:r>
      <w:r w:rsidRPr="00D205A0">
        <w:rPr>
          <w:rFonts w:ascii="Arial" w:hAnsi="Arial" w:cs="Arial"/>
        </w:rPr>
        <w:t xml:space="preserve"> </w:t>
      </w:r>
    </w:p>
    <w:p w:rsidR="00D205A0" w:rsidRPr="00D205A0" w:rsidRDefault="00D205A0" w:rsidP="00914D56">
      <w:pPr>
        <w:spacing w:after="0" w:line="360" w:lineRule="auto"/>
        <w:rPr>
          <w:rFonts w:ascii="Arial" w:hAnsi="Arial" w:cs="Arial"/>
        </w:rPr>
      </w:pPr>
      <w:r w:rsidRPr="00D205A0">
        <w:rPr>
          <w:rFonts w:ascii="Arial" w:hAnsi="Arial" w:cs="Arial"/>
        </w:rPr>
        <w:t>This is for the services below, for NEHF residents;</w:t>
      </w:r>
    </w:p>
    <w:p w:rsidR="00D205A0" w:rsidRPr="00D205A0" w:rsidRDefault="00D205A0" w:rsidP="00914D56">
      <w:pPr>
        <w:pStyle w:val="ListParagraph"/>
        <w:numPr>
          <w:ilvl w:val="0"/>
          <w:numId w:val="30"/>
        </w:numPr>
        <w:spacing w:after="0" w:line="360" w:lineRule="auto"/>
        <w:rPr>
          <w:rFonts w:ascii="Arial" w:hAnsi="Arial" w:cs="Arial"/>
        </w:rPr>
      </w:pPr>
      <w:r w:rsidRPr="00D205A0">
        <w:rPr>
          <w:rFonts w:ascii="Arial" w:hAnsi="Arial" w:cs="Arial"/>
        </w:rPr>
        <w:t>Community Nursing service</w:t>
      </w:r>
    </w:p>
    <w:p w:rsidR="00D205A0" w:rsidRPr="00D205A0" w:rsidRDefault="00D205A0" w:rsidP="00914D56">
      <w:pPr>
        <w:pStyle w:val="ListParagraph"/>
        <w:numPr>
          <w:ilvl w:val="0"/>
          <w:numId w:val="30"/>
        </w:numPr>
        <w:spacing w:after="0" w:line="360" w:lineRule="auto"/>
        <w:rPr>
          <w:rFonts w:ascii="Arial" w:hAnsi="Arial" w:cs="Arial"/>
        </w:rPr>
      </w:pPr>
      <w:r w:rsidRPr="00D205A0">
        <w:rPr>
          <w:rFonts w:ascii="Arial" w:hAnsi="Arial" w:cs="Arial"/>
        </w:rPr>
        <w:t>Therapies &amp; Rehabilitation services</w:t>
      </w:r>
    </w:p>
    <w:p w:rsidR="00914D56" w:rsidRDefault="00914D56" w:rsidP="00914D56">
      <w:pPr>
        <w:spacing w:after="0" w:line="360" w:lineRule="auto"/>
        <w:rPr>
          <w:rFonts w:ascii="Arial" w:hAnsi="Arial" w:cs="Arial"/>
          <w:u w:val="single"/>
        </w:rPr>
      </w:pPr>
    </w:p>
    <w:p w:rsidR="00D205A0" w:rsidRPr="00D205A0" w:rsidRDefault="00D205A0" w:rsidP="00914D56">
      <w:pPr>
        <w:spacing w:after="0" w:line="360" w:lineRule="auto"/>
        <w:rPr>
          <w:rFonts w:ascii="Arial" w:hAnsi="Arial" w:cs="Arial"/>
        </w:rPr>
      </w:pPr>
      <w:r w:rsidRPr="00D205A0">
        <w:rPr>
          <w:rFonts w:ascii="Arial" w:hAnsi="Arial" w:cs="Arial"/>
          <w:u w:val="single"/>
        </w:rPr>
        <w:t>Lot 3</w:t>
      </w:r>
      <w:r w:rsidRPr="00D205A0">
        <w:rPr>
          <w:rFonts w:ascii="Arial" w:hAnsi="Arial" w:cs="Arial"/>
        </w:rPr>
        <w:t xml:space="preserve"> </w:t>
      </w:r>
    </w:p>
    <w:p w:rsidR="00D205A0" w:rsidRPr="00D205A0" w:rsidRDefault="00D205A0" w:rsidP="00914D56">
      <w:pPr>
        <w:spacing w:after="0" w:line="360" w:lineRule="auto"/>
        <w:rPr>
          <w:rFonts w:ascii="Arial" w:hAnsi="Arial" w:cs="Arial"/>
        </w:rPr>
      </w:pPr>
      <w:r w:rsidRPr="00D205A0">
        <w:rPr>
          <w:rFonts w:ascii="Arial" w:hAnsi="Arial" w:cs="Arial"/>
        </w:rPr>
        <w:t>This is for the services below, for SH residents;</w:t>
      </w:r>
    </w:p>
    <w:p w:rsidR="00D205A0" w:rsidRPr="00D205A0" w:rsidRDefault="00D205A0" w:rsidP="00914D56">
      <w:pPr>
        <w:pStyle w:val="ListParagraph"/>
        <w:numPr>
          <w:ilvl w:val="0"/>
          <w:numId w:val="30"/>
        </w:numPr>
        <w:spacing w:after="0" w:line="360" w:lineRule="auto"/>
        <w:rPr>
          <w:rFonts w:ascii="Arial" w:hAnsi="Arial" w:cs="Arial"/>
        </w:rPr>
      </w:pPr>
      <w:r w:rsidRPr="00D205A0">
        <w:rPr>
          <w:rFonts w:ascii="Arial" w:hAnsi="Arial" w:cs="Arial"/>
        </w:rPr>
        <w:t>Community Nursing service</w:t>
      </w:r>
    </w:p>
    <w:p w:rsidR="00D205A0" w:rsidRPr="00D205A0" w:rsidRDefault="00D205A0" w:rsidP="00914D56">
      <w:pPr>
        <w:pStyle w:val="ListParagraph"/>
        <w:numPr>
          <w:ilvl w:val="0"/>
          <w:numId w:val="30"/>
        </w:numPr>
        <w:spacing w:after="0" w:line="360" w:lineRule="auto"/>
        <w:rPr>
          <w:rFonts w:ascii="Arial" w:hAnsi="Arial" w:cs="Arial"/>
        </w:rPr>
      </w:pPr>
      <w:r w:rsidRPr="00D205A0">
        <w:rPr>
          <w:rFonts w:ascii="Arial" w:hAnsi="Arial" w:cs="Arial"/>
        </w:rPr>
        <w:t>Therapies &amp; Rehabilitation services</w:t>
      </w:r>
    </w:p>
    <w:p w:rsidR="00D205A0" w:rsidRDefault="00D205A0" w:rsidP="00914D56">
      <w:pPr>
        <w:spacing w:after="0" w:line="360" w:lineRule="auto"/>
        <w:rPr>
          <w:rFonts w:ascii="Arial" w:hAnsi="Arial" w:cs="Arial"/>
        </w:rPr>
      </w:pPr>
    </w:p>
    <w:p w:rsidR="00D205A0" w:rsidRDefault="00D205A0" w:rsidP="00914D56">
      <w:pPr>
        <w:spacing w:after="0" w:line="360" w:lineRule="auto"/>
        <w:rPr>
          <w:rFonts w:ascii="Arial" w:hAnsi="Arial" w:cs="Arial"/>
        </w:rPr>
      </w:pPr>
      <w:r w:rsidRPr="00D205A0">
        <w:rPr>
          <w:rFonts w:ascii="Arial" w:hAnsi="Arial" w:cs="Arial"/>
        </w:rPr>
        <w:t xml:space="preserve">Each of the draft specifications attached outlines the service requirements and NEHF &amp; SH CCGs have described the overall service ethos, aims and objectives in the attached draft overarching specification. </w:t>
      </w:r>
    </w:p>
    <w:p w:rsidR="00D205A0" w:rsidRDefault="00D205A0" w:rsidP="00914D56">
      <w:pPr>
        <w:spacing w:after="0" w:line="360" w:lineRule="auto"/>
        <w:rPr>
          <w:rFonts w:ascii="Arial" w:hAnsi="Arial" w:cs="Arial"/>
          <w:b/>
        </w:rPr>
      </w:pPr>
    </w:p>
    <w:p w:rsidR="00D205A0" w:rsidRPr="00914D56" w:rsidRDefault="00D205A0" w:rsidP="00914D56">
      <w:pPr>
        <w:spacing w:after="0" w:line="360" w:lineRule="auto"/>
        <w:rPr>
          <w:rFonts w:ascii="Arial" w:hAnsi="Arial" w:cs="Arial"/>
          <w:b/>
          <w:sz w:val="24"/>
        </w:rPr>
      </w:pPr>
      <w:r w:rsidRPr="00914D56">
        <w:rPr>
          <w:rFonts w:ascii="Arial" w:hAnsi="Arial" w:cs="Arial"/>
          <w:b/>
          <w:sz w:val="24"/>
        </w:rPr>
        <w:t>Contract Term</w:t>
      </w:r>
    </w:p>
    <w:p w:rsidR="00D205A0" w:rsidRDefault="00D205A0" w:rsidP="00914D56">
      <w:pPr>
        <w:spacing w:after="0" w:line="360" w:lineRule="auto"/>
        <w:rPr>
          <w:rFonts w:ascii="Arial" w:hAnsi="Arial" w:cs="Arial"/>
        </w:rPr>
      </w:pPr>
      <w:r>
        <w:rPr>
          <w:rFonts w:ascii="Arial" w:hAnsi="Arial" w:cs="Arial"/>
        </w:rPr>
        <w:t xml:space="preserve">Three contracts will be awarded with one for each Lot. </w:t>
      </w:r>
    </w:p>
    <w:p w:rsidR="00D205A0" w:rsidRDefault="00D205A0" w:rsidP="00914D56">
      <w:pPr>
        <w:spacing w:after="0" w:line="360" w:lineRule="auto"/>
        <w:rPr>
          <w:rFonts w:ascii="Arial" w:hAnsi="Arial" w:cs="Arial"/>
        </w:rPr>
      </w:pPr>
    </w:p>
    <w:p w:rsidR="00D205A0" w:rsidRDefault="00D205A0" w:rsidP="00914D56">
      <w:pPr>
        <w:spacing w:after="0" w:line="360" w:lineRule="auto"/>
        <w:rPr>
          <w:rFonts w:ascii="Arial" w:hAnsi="Arial" w:cs="Arial"/>
          <w:b/>
        </w:rPr>
      </w:pPr>
      <w:r w:rsidRPr="00AE5D9F">
        <w:rPr>
          <w:rFonts w:ascii="Arial" w:hAnsi="Arial" w:cs="Arial"/>
        </w:rPr>
        <w:t>The start date</w:t>
      </w:r>
      <w:r>
        <w:rPr>
          <w:rFonts w:ascii="Arial" w:hAnsi="Arial" w:cs="Arial"/>
        </w:rPr>
        <w:t>s of the contracts</w:t>
      </w:r>
      <w:r w:rsidRPr="00AE5D9F">
        <w:rPr>
          <w:rFonts w:ascii="Arial" w:hAnsi="Arial" w:cs="Arial"/>
        </w:rPr>
        <w:t xml:space="preserve"> will be </w:t>
      </w:r>
      <w:r>
        <w:rPr>
          <w:rFonts w:ascii="Arial" w:hAnsi="Arial" w:cs="Arial"/>
        </w:rPr>
        <w:t>01 April 2020</w:t>
      </w:r>
      <w:r w:rsidRPr="00AE5D9F">
        <w:rPr>
          <w:rFonts w:ascii="Arial" w:hAnsi="Arial" w:cs="Arial"/>
        </w:rPr>
        <w:t xml:space="preserve">. It is expected that the contract will be awarded </w:t>
      </w:r>
      <w:r>
        <w:rPr>
          <w:rFonts w:ascii="Arial" w:hAnsi="Arial" w:cs="Arial"/>
        </w:rPr>
        <w:t>for a total of five (5) years with the possibility to extend for up to a further two (2) years.</w:t>
      </w:r>
    </w:p>
    <w:p w:rsidR="00914D56" w:rsidRDefault="00914D56" w:rsidP="00914D56">
      <w:pPr>
        <w:spacing w:after="0" w:line="360" w:lineRule="auto"/>
        <w:rPr>
          <w:rFonts w:ascii="Arial" w:hAnsi="Arial" w:cs="Arial"/>
          <w:b/>
        </w:rPr>
      </w:pPr>
    </w:p>
    <w:p w:rsidR="004B3B7E" w:rsidRDefault="004B3B7E">
      <w:pPr>
        <w:rPr>
          <w:rFonts w:ascii="Arial" w:hAnsi="Arial" w:cs="Arial"/>
          <w:b/>
          <w:sz w:val="24"/>
        </w:rPr>
      </w:pPr>
      <w:r>
        <w:rPr>
          <w:rFonts w:ascii="Arial" w:hAnsi="Arial" w:cs="Arial"/>
          <w:b/>
          <w:sz w:val="24"/>
        </w:rPr>
        <w:br w:type="page"/>
      </w:r>
    </w:p>
    <w:p w:rsidR="004B3B7E" w:rsidRDefault="004B3B7E" w:rsidP="00914D56">
      <w:pPr>
        <w:spacing w:after="0" w:line="360" w:lineRule="auto"/>
        <w:rPr>
          <w:rFonts w:ascii="Arial" w:hAnsi="Arial" w:cs="Arial"/>
          <w:b/>
          <w:sz w:val="24"/>
        </w:rPr>
      </w:pPr>
    </w:p>
    <w:p w:rsidR="007B47AA" w:rsidRPr="00914D56" w:rsidRDefault="007B47AA" w:rsidP="00914D56">
      <w:pPr>
        <w:spacing w:after="0" w:line="360" w:lineRule="auto"/>
        <w:rPr>
          <w:rFonts w:ascii="Arial" w:hAnsi="Arial" w:cs="Arial"/>
          <w:b/>
          <w:sz w:val="24"/>
        </w:rPr>
      </w:pPr>
      <w:r w:rsidRPr="00914D56">
        <w:rPr>
          <w:rFonts w:ascii="Arial" w:hAnsi="Arial" w:cs="Arial"/>
          <w:b/>
          <w:sz w:val="24"/>
        </w:rPr>
        <w:t>Contract Price</w:t>
      </w:r>
    </w:p>
    <w:p w:rsidR="007B47AA" w:rsidRPr="007B47AA" w:rsidRDefault="007B47AA" w:rsidP="00914D56">
      <w:pPr>
        <w:spacing w:after="0" w:line="360" w:lineRule="auto"/>
        <w:jc w:val="both"/>
        <w:rPr>
          <w:rFonts w:ascii="Arial" w:hAnsi="Arial" w:cs="Arial"/>
        </w:rPr>
      </w:pPr>
      <w:r w:rsidRPr="007B47AA">
        <w:rPr>
          <w:rFonts w:ascii="Arial" w:hAnsi="Arial" w:cs="Arial"/>
        </w:rPr>
        <w:t xml:space="preserve">National Tariff (Payment By Results) prices do not apply to the services in this procurement.  </w:t>
      </w:r>
    </w:p>
    <w:p w:rsidR="007B47AA" w:rsidRPr="007B47AA" w:rsidRDefault="007B47AA" w:rsidP="00914D56">
      <w:pPr>
        <w:spacing w:after="0" w:line="360" w:lineRule="auto"/>
        <w:jc w:val="both"/>
        <w:rPr>
          <w:rFonts w:ascii="Arial" w:hAnsi="Arial" w:cs="Arial"/>
        </w:rPr>
      </w:pPr>
    </w:p>
    <w:p w:rsidR="007B47AA" w:rsidRPr="007B47AA" w:rsidRDefault="007B47AA" w:rsidP="00914D56">
      <w:pPr>
        <w:spacing w:after="0" w:line="360" w:lineRule="auto"/>
        <w:jc w:val="both"/>
        <w:rPr>
          <w:rFonts w:ascii="Arial" w:hAnsi="Arial" w:cs="Arial"/>
        </w:rPr>
      </w:pPr>
      <w:r w:rsidRPr="007B47AA">
        <w:rPr>
          <w:rFonts w:ascii="Arial" w:hAnsi="Arial" w:cs="Arial"/>
        </w:rPr>
        <w:t xml:space="preserve">The indicative contract value for each lot is based on a fixed sum (block) which will be paid in instalments of 1/12 of the annual value each year. </w:t>
      </w:r>
    </w:p>
    <w:p w:rsidR="007B47AA" w:rsidRPr="007B47AA" w:rsidRDefault="007B47AA" w:rsidP="00914D56">
      <w:pPr>
        <w:spacing w:after="0" w:line="360" w:lineRule="auto"/>
        <w:jc w:val="both"/>
        <w:rPr>
          <w:rFonts w:ascii="Arial" w:hAnsi="Arial" w:cs="Arial"/>
        </w:rPr>
      </w:pPr>
    </w:p>
    <w:p w:rsidR="007B47AA" w:rsidRPr="007B47AA" w:rsidRDefault="007B47AA" w:rsidP="00914D56">
      <w:pPr>
        <w:spacing w:after="0" w:line="360" w:lineRule="auto"/>
        <w:jc w:val="both"/>
        <w:rPr>
          <w:rFonts w:ascii="Arial" w:hAnsi="Arial" w:cs="Arial"/>
        </w:rPr>
      </w:pPr>
      <w:r w:rsidRPr="007B47AA">
        <w:rPr>
          <w:rFonts w:ascii="Arial" w:hAnsi="Arial" w:cs="Arial"/>
        </w:rPr>
        <w:t>The indicative contract values for each lot are based on current activity levels associated with each of the services uplifted for growth and inflation to derive the year 1 (2020/21) contract value.  The five year contract value for each lot includes the following annual uplifts based on current NHS Planning Guidance and current activity growth levels:</w:t>
      </w:r>
    </w:p>
    <w:p w:rsidR="007B47AA" w:rsidRPr="007B47AA" w:rsidRDefault="007B47AA" w:rsidP="00914D56">
      <w:pPr>
        <w:spacing w:after="0" w:line="360" w:lineRule="auto"/>
        <w:jc w:val="both"/>
        <w:rPr>
          <w:rFonts w:ascii="Arial" w:hAnsi="Arial" w:cs="Arial"/>
        </w:rPr>
      </w:pPr>
    </w:p>
    <w:tbl>
      <w:tblPr>
        <w:tblStyle w:val="TableGrid"/>
        <w:tblW w:w="0" w:type="auto"/>
        <w:tblInd w:w="2235" w:type="dxa"/>
        <w:tblLook w:val="04A0" w:firstRow="1" w:lastRow="0" w:firstColumn="1" w:lastColumn="0" w:noHBand="0" w:noVBand="1"/>
      </w:tblPr>
      <w:tblGrid>
        <w:gridCol w:w="2693"/>
        <w:gridCol w:w="1984"/>
      </w:tblGrid>
      <w:tr w:rsidR="007B47AA" w:rsidRPr="007B47AA" w:rsidTr="002C6145">
        <w:trPr>
          <w:trHeight w:val="316"/>
        </w:trPr>
        <w:tc>
          <w:tcPr>
            <w:tcW w:w="2693" w:type="dxa"/>
            <w:vAlign w:val="center"/>
          </w:tcPr>
          <w:p w:rsidR="007B47AA" w:rsidRPr="007B47AA" w:rsidRDefault="007B47AA" w:rsidP="002C6145">
            <w:pPr>
              <w:rPr>
                <w:rFonts w:ascii="Arial" w:hAnsi="Arial" w:cs="Arial"/>
              </w:rPr>
            </w:pPr>
            <w:r w:rsidRPr="007B47AA">
              <w:rPr>
                <w:rFonts w:ascii="Arial" w:hAnsi="Arial" w:cs="Arial"/>
              </w:rPr>
              <w:tab/>
            </w:r>
            <w:r w:rsidRPr="007B47AA">
              <w:rPr>
                <w:rFonts w:ascii="Arial" w:hAnsi="Arial" w:cs="Arial"/>
              </w:rPr>
              <w:tab/>
            </w:r>
          </w:p>
        </w:tc>
        <w:tc>
          <w:tcPr>
            <w:tcW w:w="1984" w:type="dxa"/>
            <w:vAlign w:val="center"/>
          </w:tcPr>
          <w:p w:rsidR="007B47AA" w:rsidRPr="002C6145" w:rsidRDefault="007B47AA" w:rsidP="002C6145">
            <w:pPr>
              <w:jc w:val="center"/>
              <w:rPr>
                <w:rFonts w:ascii="Arial" w:hAnsi="Arial" w:cs="Arial"/>
                <w:i/>
              </w:rPr>
            </w:pPr>
            <w:r w:rsidRPr="002C6145">
              <w:rPr>
                <w:rFonts w:ascii="Arial" w:hAnsi="Arial" w:cs="Arial"/>
                <w:i/>
              </w:rPr>
              <w:t xml:space="preserve">% </w:t>
            </w:r>
            <w:proofErr w:type="spellStart"/>
            <w:r w:rsidRPr="002C6145">
              <w:rPr>
                <w:rFonts w:ascii="Arial" w:hAnsi="Arial" w:cs="Arial"/>
                <w:i/>
              </w:rPr>
              <w:t>inc</w:t>
            </w:r>
            <w:proofErr w:type="spellEnd"/>
            <w:r w:rsidRPr="002C6145">
              <w:rPr>
                <w:rFonts w:ascii="Arial" w:hAnsi="Arial" w:cs="Arial"/>
                <w:i/>
              </w:rPr>
              <w:t>/</w:t>
            </w:r>
            <w:proofErr w:type="spellStart"/>
            <w:r w:rsidRPr="002C6145">
              <w:rPr>
                <w:rFonts w:ascii="Arial" w:hAnsi="Arial" w:cs="Arial"/>
                <w:i/>
              </w:rPr>
              <w:t>dec</w:t>
            </w:r>
            <w:proofErr w:type="spellEnd"/>
          </w:p>
        </w:tc>
      </w:tr>
      <w:tr w:rsidR="007B47AA" w:rsidRPr="007B47AA" w:rsidTr="002C6145">
        <w:trPr>
          <w:trHeight w:val="316"/>
        </w:trPr>
        <w:tc>
          <w:tcPr>
            <w:tcW w:w="2693" w:type="dxa"/>
            <w:vAlign w:val="center"/>
          </w:tcPr>
          <w:p w:rsidR="007B47AA" w:rsidRPr="007B47AA" w:rsidRDefault="007B47AA" w:rsidP="002C6145">
            <w:pPr>
              <w:rPr>
                <w:rFonts w:ascii="Arial" w:hAnsi="Arial" w:cs="Arial"/>
              </w:rPr>
            </w:pPr>
            <w:r w:rsidRPr="007B47AA">
              <w:rPr>
                <w:rFonts w:ascii="Arial" w:hAnsi="Arial" w:cs="Arial"/>
              </w:rPr>
              <w:t>Inflation</w:t>
            </w:r>
          </w:p>
        </w:tc>
        <w:tc>
          <w:tcPr>
            <w:tcW w:w="1984" w:type="dxa"/>
            <w:vAlign w:val="center"/>
          </w:tcPr>
          <w:p w:rsidR="007B47AA" w:rsidRPr="007B47AA" w:rsidRDefault="007B47AA" w:rsidP="002C6145">
            <w:pPr>
              <w:jc w:val="center"/>
              <w:rPr>
                <w:rFonts w:ascii="Arial" w:hAnsi="Arial" w:cs="Arial"/>
              </w:rPr>
            </w:pPr>
            <w:r w:rsidRPr="007B47AA">
              <w:rPr>
                <w:rFonts w:ascii="Arial" w:hAnsi="Arial" w:cs="Arial"/>
              </w:rPr>
              <w:t>2.1</w:t>
            </w:r>
          </w:p>
        </w:tc>
      </w:tr>
      <w:tr w:rsidR="007B47AA" w:rsidRPr="007B47AA" w:rsidTr="002C6145">
        <w:trPr>
          <w:trHeight w:val="316"/>
        </w:trPr>
        <w:tc>
          <w:tcPr>
            <w:tcW w:w="2693" w:type="dxa"/>
            <w:vAlign w:val="center"/>
          </w:tcPr>
          <w:p w:rsidR="007B47AA" w:rsidRPr="007B47AA" w:rsidRDefault="007B47AA" w:rsidP="002C6145">
            <w:pPr>
              <w:rPr>
                <w:rFonts w:ascii="Arial" w:hAnsi="Arial" w:cs="Arial"/>
              </w:rPr>
            </w:pPr>
            <w:r w:rsidRPr="007B47AA">
              <w:rPr>
                <w:rFonts w:ascii="Arial" w:hAnsi="Arial" w:cs="Arial"/>
              </w:rPr>
              <w:t>Efficiency</w:t>
            </w:r>
          </w:p>
        </w:tc>
        <w:tc>
          <w:tcPr>
            <w:tcW w:w="1984" w:type="dxa"/>
            <w:vAlign w:val="center"/>
          </w:tcPr>
          <w:p w:rsidR="007B47AA" w:rsidRPr="007B47AA" w:rsidRDefault="007B47AA" w:rsidP="002C6145">
            <w:pPr>
              <w:jc w:val="center"/>
              <w:rPr>
                <w:rFonts w:ascii="Arial" w:hAnsi="Arial" w:cs="Arial"/>
              </w:rPr>
            </w:pPr>
            <w:r w:rsidRPr="007B47AA">
              <w:rPr>
                <w:rFonts w:ascii="Arial" w:hAnsi="Arial" w:cs="Arial"/>
              </w:rPr>
              <w:t>-2.0</w:t>
            </w:r>
          </w:p>
        </w:tc>
      </w:tr>
      <w:tr w:rsidR="007B47AA" w:rsidRPr="007B47AA" w:rsidTr="002C6145">
        <w:trPr>
          <w:trHeight w:val="316"/>
        </w:trPr>
        <w:tc>
          <w:tcPr>
            <w:tcW w:w="2693" w:type="dxa"/>
            <w:vAlign w:val="center"/>
          </w:tcPr>
          <w:p w:rsidR="007B47AA" w:rsidRPr="007B47AA" w:rsidRDefault="007B47AA" w:rsidP="002C6145">
            <w:pPr>
              <w:rPr>
                <w:rFonts w:ascii="Arial" w:hAnsi="Arial" w:cs="Arial"/>
              </w:rPr>
            </w:pPr>
            <w:r w:rsidRPr="007B47AA">
              <w:rPr>
                <w:rFonts w:ascii="Arial" w:hAnsi="Arial" w:cs="Arial"/>
              </w:rPr>
              <w:t>Growth</w:t>
            </w:r>
          </w:p>
        </w:tc>
        <w:tc>
          <w:tcPr>
            <w:tcW w:w="1984" w:type="dxa"/>
            <w:vAlign w:val="center"/>
          </w:tcPr>
          <w:p w:rsidR="007B47AA" w:rsidRPr="007B47AA" w:rsidRDefault="007B47AA" w:rsidP="002C6145">
            <w:pPr>
              <w:jc w:val="center"/>
              <w:rPr>
                <w:rFonts w:ascii="Arial" w:hAnsi="Arial" w:cs="Arial"/>
              </w:rPr>
            </w:pPr>
            <w:r w:rsidRPr="007B47AA">
              <w:rPr>
                <w:rFonts w:ascii="Arial" w:hAnsi="Arial" w:cs="Arial"/>
              </w:rPr>
              <w:t>2.0</w:t>
            </w:r>
          </w:p>
        </w:tc>
      </w:tr>
      <w:tr w:rsidR="007B47AA" w:rsidRPr="007B47AA" w:rsidTr="002C6145">
        <w:trPr>
          <w:trHeight w:val="316"/>
        </w:trPr>
        <w:tc>
          <w:tcPr>
            <w:tcW w:w="2693" w:type="dxa"/>
            <w:vAlign w:val="center"/>
          </w:tcPr>
          <w:p w:rsidR="007B47AA" w:rsidRPr="002C6145" w:rsidRDefault="007B47AA" w:rsidP="002C6145">
            <w:pPr>
              <w:rPr>
                <w:rFonts w:ascii="Arial" w:hAnsi="Arial" w:cs="Arial"/>
                <w:b/>
              </w:rPr>
            </w:pPr>
            <w:r w:rsidRPr="002C6145">
              <w:rPr>
                <w:rFonts w:ascii="Arial" w:hAnsi="Arial" w:cs="Arial"/>
                <w:b/>
              </w:rPr>
              <w:t xml:space="preserve">Net increase   </w:t>
            </w:r>
          </w:p>
        </w:tc>
        <w:tc>
          <w:tcPr>
            <w:tcW w:w="1984" w:type="dxa"/>
            <w:vAlign w:val="center"/>
          </w:tcPr>
          <w:p w:rsidR="007B47AA" w:rsidRPr="002C6145" w:rsidRDefault="007B47AA" w:rsidP="002C6145">
            <w:pPr>
              <w:jc w:val="center"/>
              <w:rPr>
                <w:rFonts w:ascii="Arial" w:hAnsi="Arial" w:cs="Arial"/>
                <w:b/>
              </w:rPr>
            </w:pPr>
            <w:r w:rsidRPr="002C6145">
              <w:rPr>
                <w:rFonts w:ascii="Arial" w:hAnsi="Arial" w:cs="Arial"/>
                <w:b/>
              </w:rPr>
              <w:t>2.1</w:t>
            </w:r>
          </w:p>
        </w:tc>
      </w:tr>
    </w:tbl>
    <w:p w:rsidR="007B47AA" w:rsidRPr="007B47AA" w:rsidRDefault="007B47AA" w:rsidP="00914D56">
      <w:pPr>
        <w:spacing w:after="0" w:line="360" w:lineRule="auto"/>
        <w:ind w:left="720" w:firstLine="720"/>
        <w:jc w:val="both"/>
        <w:rPr>
          <w:rFonts w:ascii="Arial" w:hAnsi="Arial" w:cs="Arial"/>
        </w:rPr>
      </w:pPr>
      <w:r w:rsidRPr="007B47AA">
        <w:rPr>
          <w:rFonts w:ascii="Arial" w:hAnsi="Arial" w:cs="Arial"/>
        </w:rPr>
        <w:tab/>
      </w:r>
    </w:p>
    <w:p w:rsidR="007B47AA" w:rsidRPr="007B47AA" w:rsidRDefault="007B47AA" w:rsidP="00914D56">
      <w:pPr>
        <w:spacing w:after="0" w:line="360" w:lineRule="auto"/>
        <w:jc w:val="both"/>
        <w:rPr>
          <w:rFonts w:ascii="Arial" w:hAnsi="Arial" w:cs="Arial"/>
        </w:rPr>
      </w:pPr>
    </w:p>
    <w:p w:rsidR="007B47AA" w:rsidRPr="007B47AA" w:rsidRDefault="007B47AA" w:rsidP="00914D56">
      <w:pPr>
        <w:spacing w:after="0" w:line="360" w:lineRule="auto"/>
        <w:jc w:val="both"/>
        <w:rPr>
          <w:rFonts w:ascii="Arial" w:hAnsi="Arial" w:cs="Arial"/>
        </w:rPr>
      </w:pPr>
      <w:r w:rsidRPr="007B47AA">
        <w:rPr>
          <w:rFonts w:ascii="Arial" w:hAnsi="Arial" w:cs="Arial"/>
        </w:rPr>
        <w:t>These increases may be subject to change dependent on future NHS Planning Guidance and activity growth.</w:t>
      </w:r>
      <w:r w:rsidR="00C41B7E">
        <w:rPr>
          <w:rFonts w:ascii="Arial" w:hAnsi="Arial" w:cs="Arial"/>
        </w:rPr>
        <w:t xml:space="preserve">  In addition, the Frimley Health and Care Integrated </w:t>
      </w:r>
      <w:proofErr w:type="spellStart"/>
      <w:r w:rsidR="00C41B7E">
        <w:rPr>
          <w:rFonts w:ascii="Arial" w:hAnsi="Arial" w:cs="Arial"/>
        </w:rPr>
        <w:t>Heatlh</w:t>
      </w:r>
      <w:proofErr w:type="spellEnd"/>
      <w:r w:rsidR="00C41B7E">
        <w:rPr>
          <w:rFonts w:ascii="Arial" w:hAnsi="Arial" w:cs="Arial"/>
        </w:rPr>
        <w:t xml:space="preserve"> and Care System (ICS) have made commitments to support further investments in community services – </w:t>
      </w:r>
      <w:r w:rsidR="00783358">
        <w:rPr>
          <w:rFonts w:ascii="Arial" w:hAnsi="Arial" w:cs="Arial"/>
        </w:rPr>
        <w:t>these</w:t>
      </w:r>
      <w:r w:rsidR="00C41B7E">
        <w:rPr>
          <w:rFonts w:ascii="Arial" w:hAnsi="Arial" w:cs="Arial"/>
        </w:rPr>
        <w:t xml:space="preserve"> developments are </w:t>
      </w:r>
      <w:r w:rsidR="00783358">
        <w:rPr>
          <w:rFonts w:ascii="Arial" w:hAnsi="Arial" w:cs="Arial"/>
        </w:rPr>
        <w:t xml:space="preserve">yet to be </w:t>
      </w:r>
      <w:r w:rsidR="00C41B7E">
        <w:rPr>
          <w:rFonts w:ascii="Arial" w:hAnsi="Arial" w:cs="Arial"/>
        </w:rPr>
        <w:t xml:space="preserve">fully </w:t>
      </w:r>
      <w:proofErr w:type="spellStart"/>
      <w:r w:rsidR="00C41B7E">
        <w:rPr>
          <w:rFonts w:ascii="Arial" w:hAnsi="Arial" w:cs="Arial"/>
        </w:rPr>
        <w:t>specific</w:t>
      </w:r>
      <w:r w:rsidR="00783358">
        <w:rPr>
          <w:rFonts w:ascii="Arial" w:hAnsi="Arial" w:cs="Arial"/>
        </w:rPr>
        <w:t>ed</w:t>
      </w:r>
      <w:proofErr w:type="spellEnd"/>
      <w:r w:rsidR="00783358">
        <w:rPr>
          <w:rFonts w:ascii="Arial" w:hAnsi="Arial" w:cs="Arial"/>
        </w:rPr>
        <w:t xml:space="preserve"> and quantified.</w:t>
      </w:r>
    </w:p>
    <w:p w:rsidR="007B47AA" w:rsidRPr="007B47AA" w:rsidRDefault="007B47AA" w:rsidP="00914D56">
      <w:pPr>
        <w:spacing w:after="0" w:line="360" w:lineRule="auto"/>
        <w:jc w:val="both"/>
        <w:rPr>
          <w:rFonts w:ascii="Arial" w:hAnsi="Arial" w:cs="Arial"/>
        </w:rPr>
      </w:pPr>
    </w:p>
    <w:p w:rsidR="007B47AA" w:rsidRPr="007B47AA" w:rsidRDefault="007B47AA" w:rsidP="00914D56">
      <w:pPr>
        <w:spacing w:after="0" w:line="360" w:lineRule="auto"/>
        <w:jc w:val="both"/>
        <w:rPr>
          <w:rFonts w:ascii="Arial" w:hAnsi="Arial" w:cs="Arial"/>
        </w:rPr>
      </w:pPr>
      <w:r w:rsidRPr="007B47AA">
        <w:rPr>
          <w:rFonts w:ascii="Arial" w:hAnsi="Arial" w:cs="Arial"/>
        </w:rPr>
        <w:t>The indicative five year contract values for each lot are as follows:</w:t>
      </w:r>
    </w:p>
    <w:p w:rsidR="007B47AA" w:rsidRPr="007B47AA" w:rsidRDefault="007B47AA" w:rsidP="00914D56">
      <w:pPr>
        <w:spacing w:after="0" w:line="36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959"/>
        <w:gridCol w:w="4099"/>
        <w:gridCol w:w="3402"/>
      </w:tblGrid>
      <w:tr w:rsidR="007B47AA" w:rsidRPr="007B47AA" w:rsidTr="007B47AA">
        <w:trPr>
          <w:trHeight w:val="506"/>
        </w:trPr>
        <w:tc>
          <w:tcPr>
            <w:tcW w:w="959" w:type="dxa"/>
            <w:vAlign w:val="center"/>
          </w:tcPr>
          <w:p w:rsidR="007B47AA" w:rsidRPr="007B47AA" w:rsidRDefault="007B47AA" w:rsidP="002C6145">
            <w:pPr>
              <w:rPr>
                <w:rFonts w:ascii="Arial" w:hAnsi="Arial" w:cs="Arial"/>
              </w:rPr>
            </w:pPr>
            <w:r w:rsidRPr="007B47AA">
              <w:rPr>
                <w:rFonts w:ascii="Arial" w:hAnsi="Arial" w:cs="Arial"/>
              </w:rPr>
              <w:t>Lot</w:t>
            </w:r>
          </w:p>
        </w:tc>
        <w:tc>
          <w:tcPr>
            <w:tcW w:w="4099" w:type="dxa"/>
            <w:vAlign w:val="center"/>
          </w:tcPr>
          <w:p w:rsidR="007B47AA" w:rsidRPr="007B47AA" w:rsidRDefault="007B47AA" w:rsidP="002C6145">
            <w:pPr>
              <w:rPr>
                <w:rFonts w:ascii="Arial" w:hAnsi="Arial" w:cs="Arial"/>
              </w:rPr>
            </w:pPr>
            <w:r w:rsidRPr="007B47AA">
              <w:rPr>
                <w:rFonts w:ascii="Arial" w:hAnsi="Arial" w:cs="Arial"/>
              </w:rPr>
              <w:t>Description</w:t>
            </w:r>
          </w:p>
        </w:tc>
        <w:tc>
          <w:tcPr>
            <w:tcW w:w="3402" w:type="dxa"/>
            <w:vAlign w:val="center"/>
          </w:tcPr>
          <w:p w:rsidR="007B47AA" w:rsidRPr="007B47AA" w:rsidRDefault="007B47AA" w:rsidP="002C6145">
            <w:pPr>
              <w:jc w:val="center"/>
              <w:rPr>
                <w:rFonts w:ascii="Arial" w:hAnsi="Arial" w:cs="Arial"/>
              </w:rPr>
            </w:pPr>
            <w:r w:rsidRPr="007B47AA">
              <w:rPr>
                <w:rFonts w:ascii="Arial" w:hAnsi="Arial" w:cs="Arial"/>
              </w:rPr>
              <w:t>Indicative 5 year contract value (£m)</w:t>
            </w:r>
          </w:p>
        </w:tc>
      </w:tr>
      <w:tr w:rsidR="007B47AA" w:rsidRPr="007B47AA" w:rsidTr="007B47AA">
        <w:trPr>
          <w:trHeight w:val="506"/>
        </w:trPr>
        <w:tc>
          <w:tcPr>
            <w:tcW w:w="959" w:type="dxa"/>
            <w:vAlign w:val="center"/>
          </w:tcPr>
          <w:p w:rsidR="007B47AA" w:rsidRPr="007B47AA" w:rsidRDefault="007B47AA" w:rsidP="002C6145">
            <w:pPr>
              <w:rPr>
                <w:rFonts w:ascii="Arial" w:hAnsi="Arial" w:cs="Arial"/>
              </w:rPr>
            </w:pPr>
            <w:r w:rsidRPr="007B47AA">
              <w:rPr>
                <w:rFonts w:ascii="Arial" w:hAnsi="Arial" w:cs="Arial"/>
              </w:rPr>
              <w:t>Lot 1</w:t>
            </w:r>
          </w:p>
        </w:tc>
        <w:tc>
          <w:tcPr>
            <w:tcW w:w="4099" w:type="dxa"/>
            <w:vAlign w:val="center"/>
          </w:tcPr>
          <w:p w:rsidR="007B47AA" w:rsidRPr="007B47AA" w:rsidRDefault="007B47AA" w:rsidP="002C6145">
            <w:pPr>
              <w:rPr>
                <w:rFonts w:ascii="Arial" w:hAnsi="Arial" w:cs="Arial"/>
              </w:rPr>
            </w:pPr>
            <w:r w:rsidRPr="007B47AA">
              <w:rPr>
                <w:rFonts w:ascii="Arial" w:hAnsi="Arial" w:cs="Arial"/>
              </w:rPr>
              <w:t xml:space="preserve">Joint Lot </w:t>
            </w:r>
          </w:p>
        </w:tc>
        <w:tc>
          <w:tcPr>
            <w:tcW w:w="3402" w:type="dxa"/>
            <w:vAlign w:val="center"/>
          </w:tcPr>
          <w:p w:rsidR="007B47AA" w:rsidRPr="007B47AA" w:rsidRDefault="007B47AA" w:rsidP="002C6145">
            <w:pPr>
              <w:jc w:val="center"/>
              <w:rPr>
                <w:rFonts w:ascii="Arial" w:hAnsi="Arial" w:cs="Arial"/>
              </w:rPr>
            </w:pPr>
            <w:r w:rsidRPr="007B47AA">
              <w:rPr>
                <w:rFonts w:ascii="Arial" w:hAnsi="Arial" w:cs="Arial"/>
              </w:rPr>
              <w:t>51.1</w:t>
            </w:r>
          </w:p>
        </w:tc>
      </w:tr>
      <w:tr w:rsidR="007B47AA" w:rsidRPr="007B47AA" w:rsidTr="007B47AA">
        <w:trPr>
          <w:trHeight w:val="506"/>
        </w:trPr>
        <w:tc>
          <w:tcPr>
            <w:tcW w:w="959" w:type="dxa"/>
            <w:vAlign w:val="center"/>
          </w:tcPr>
          <w:p w:rsidR="007B47AA" w:rsidRPr="007B47AA" w:rsidRDefault="007B47AA" w:rsidP="002C6145">
            <w:pPr>
              <w:rPr>
                <w:rFonts w:ascii="Arial" w:hAnsi="Arial" w:cs="Arial"/>
              </w:rPr>
            </w:pPr>
            <w:r w:rsidRPr="007B47AA">
              <w:rPr>
                <w:rFonts w:ascii="Arial" w:hAnsi="Arial" w:cs="Arial"/>
              </w:rPr>
              <w:t>Lot 2</w:t>
            </w:r>
          </w:p>
        </w:tc>
        <w:tc>
          <w:tcPr>
            <w:tcW w:w="4099" w:type="dxa"/>
            <w:vAlign w:val="center"/>
          </w:tcPr>
          <w:p w:rsidR="007B47AA" w:rsidRPr="007B47AA" w:rsidRDefault="007B47AA" w:rsidP="002C6145">
            <w:pPr>
              <w:rPr>
                <w:rFonts w:ascii="Arial" w:hAnsi="Arial" w:cs="Arial"/>
              </w:rPr>
            </w:pPr>
            <w:r w:rsidRPr="007B47AA">
              <w:rPr>
                <w:rFonts w:ascii="Arial" w:hAnsi="Arial" w:cs="Arial"/>
              </w:rPr>
              <w:t>North East Hants &amp; Farnham Services</w:t>
            </w:r>
          </w:p>
        </w:tc>
        <w:tc>
          <w:tcPr>
            <w:tcW w:w="3402" w:type="dxa"/>
            <w:vAlign w:val="center"/>
          </w:tcPr>
          <w:p w:rsidR="007B47AA" w:rsidRPr="007B47AA" w:rsidRDefault="007B47AA" w:rsidP="002C6145">
            <w:pPr>
              <w:jc w:val="center"/>
              <w:rPr>
                <w:rFonts w:ascii="Arial" w:hAnsi="Arial" w:cs="Arial"/>
              </w:rPr>
            </w:pPr>
            <w:r w:rsidRPr="007B47AA">
              <w:rPr>
                <w:rFonts w:ascii="Arial" w:hAnsi="Arial" w:cs="Arial"/>
              </w:rPr>
              <w:t>36.4</w:t>
            </w:r>
          </w:p>
        </w:tc>
      </w:tr>
      <w:tr w:rsidR="007B47AA" w:rsidRPr="007B47AA" w:rsidTr="007B47AA">
        <w:trPr>
          <w:trHeight w:val="506"/>
        </w:trPr>
        <w:tc>
          <w:tcPr>
            <w:tcW w:w="959" w:type="dxa"/>
            <w:vAlign w:val="center"/>
          </w:tcPr>
          <w:p w:rsidR="007B47AA" w:rsidRPr="007B47AA" w:rsidRDefault="007B47AA" w:rsidP="002C6145">
            <w:pPr>
              <w:rPr>
                <w:rFonts w:ascii="Arial" w:hAnsi="Arial" w:cs="Arial"/>
              </w:rPr>
            </w:pPr>
            <w:r w:rsidRPr="007B47AA">
              <w:rPr>
                <w:rFonts w:ascii="Arial" w:hAnsi="Arial" w:cs="Arial"/>
              </w:rPr>
              <w:t>Lot 3</w:t>
            </w:r>
          </w:p>
        </w:tc>
        <w:tc>
          <w:tcPr>
            <w:tcW w:w="4099" w:type="dxa"/>
            <w:vAlign w:val="center"/>
          </w:tcPr>
          <w:p w:rsidR="007B47AA" w:rsidRPr="007B47AA" w:rsidRDefault="007B47AA" w:rsidP="002C6145">
            <w:pPr>
              <w:rPr>
                <w:rFonts w:ascii="Arial" w:hAnsi="Arial" w:cs="Arial"/>
              </w:rPr>
            </w:pPr>
            <w:r w:rsidRPr="007B47AA">
              <w:rPr>
                <w:rFonts w:ascii="Arial" w:hAnsi="Arial" w:cs="Arial"/>
              </w:rPr>
              <w:t>Surrey Heath Services</w:t>
            </w:r>
          </w:p>
        </w:tc>
        <w:tc>
          <w:tcPr>
            <w:tcW w:w="3402" w:type="dxa"/>
            <w:vAlign w:val="center"/>
          </w:tcPr>
          <w:p w:rsidR="007B47AA" w:rsidRPr="007B47AA" w:rsidRDefault="007B47AA" w:rsidP="002C6145">
            <w:pPr>
              <w:jc w:val="center"/>
              <w:rPr>
                <w:rFonts w:ascii="Arial" w:hAnsi="Arial" w:cs="Arial"/>
              </w:rPr>
            </w:pPr>
            <w:r w:rsidRPr="007B47AA">
              <w:rPr>
                <w:rFonts w:ascii="Arial" w:hAnsi="Arial" w:cs="Arial"/>
              </w:rPr>
              <w:t>16.7</w:t>
            </w:r>
          </w:p>
        </w:tc>
      </w:tr>
    </w:tbl>
    <w:p w:rsidR="007B47AA" w:rsidRPr="007B47AA" w:rsidRDefault="007B47AA" w:rsidP="00914D56">
      <w:pPr>
        <w:spacing w:after="0" w:line="360" w:lineRule="auto"/>
        <w:jc w:val="both"/>
        <w:rPr>
          <w:rFonts w:ascii="Arial" w:hAnsi="Arial" w:cs="Arial"/>
        </w:rPr>
      </w:pPr>
    </w:p>
    <w:p w:rsidR="00F373F6" w:rsidRDefault="00E42901" w:rsidP="00914D56">
      <w:pPr>
        <w:spacing w:after="0" w:line="360" w:lineRule="auto"/>
        <w:rPr>
          <w:rFonts w:ascii="Arial" w:hAnsi="Arial" w:cs="Arial"/>
        </w:rPr>
      </w:pPr>
      <w:r>
        <w:rPr>
          <w:rFonts w:ascii="Arial" w:hAnsi="Arial" w:cs="Arial"/>
        </w:rPr>
        <w:t>Activity levels by service for 2017-18 and April-September</w:t>
      </w:r>
      <w:r w:rsidR="00825B42">
        <w:rPr>
          <w:rFonts w:ascii="Arial" w:hAnsi="Arial" w:cs="Arial"/>
        </w:rPr>
        <w:t xml:space="preserve"> 2018-19</w:t>
      </w:r>
      <w:r>
        <w:rPr>
          <w:rFonts w:ascii="Arial" w:hAnsi="Arial" w:cs="Arial"/>
        </w:rPr>
        <w:t xml:space="preserve"> have been provided.  These do not take account of future annual growth </w:t>
      </w:r>
      <w:r w:rsidR="00825B42">
        <w:rPr>
          <w:rFonts w:ascii="Arial" w:hAnsi="Arial" w:cs="Arial"/>
        </w:rPr>
        <w:t xml:space="preserve">in activity.  Therefore, this information </w:t>
      </w:r>
      <w:r>
        <w:rPr>
          <w:rFonts w:ascii="Arial" w:hAnsi="Arial" w:cs="Arial"/>
        </w:rPr>
        <w:t>should only be used as an indication of activity levels expected for this contract</w:t>
      </w:r>
      <w:r w:rsidR="00F22A4B">
        <w:rPr>
          <w:rFonts w:ascii="Arial" w:hAnsi="Arial" w:cs="Arial"/>
        </w:rPr>
        <w:t xml:space="preserve"> and</w:t>
      </w:r>
      <w:r w:rsidR="00825B42">
        <w:rPr>
          <w:rFonts w:ascii="Arial" w:hAnsi="Arial" w:cs="Arial"/>
        </w:rPr>
        <w:t xml:space="preserve"> are not </w:t>
      </w:r>
      <w:proofErr w:type="spellStart"/>
      <w:r w:rsidR="00825B42">
        <w:rPr>
          <w:rFonts w:ascii="Arial" w:hAnsi="Arial" w:cs="Arial"/>
        </w:rPr>
        <w:t>guranteed</w:t>
      </w:r>
      <w:proofErr w:type="spellEnd"/>
      <w:r w:rsidR="00825B42">
        <w:rPr>
          <w:rFonts w:ascii="Arial" w:hAnsi="Arial" w:cs="Arial"/>
        </w:rPr>
        <w:t>.</w:t>
      </w:r>
    </w:p>
    <w:p w:rsidR="007B47AA" w:rsidRPr="007B47AA" w:rsidRDefault="007B47AA" w:rsidP="00914D56">
      <w:pPr>
        <w:spacing w:after="0" w:line="360" w:lineRule="auto"/>
        <w:jc w:val="both"/>
        <w:rPr>
          <w:rFonts w:ascii="Arial" w:hAnsi="Arial" w:cs="Arial"/>
        </w:rPr>
      </w:pPr>
    </w:p>
    <w:p w:rsidR="00783358" w:rsidRDefault="00783358" w:rsidP="00914D56">
      <w:pPr>
        <w:spacing w:after="0" w:line="360" w:lineRule="auto"/>
        <w:jc w:val="both"/>
        <w:rPr>
          <w:rFonts w:ascii="Arial" w:hAnsi="Arial" w:cs="Arial"/>
        </w:rPr>
      </w:pPr>
    </w:p>
    <w:p w:rsidR="00783358" w:rsidRDefault="00783358" w:rsidP="00914D56">
      <w:pPr>
        <w:spacing w:after="0" w:line="360" w:lineRule="auto"/>
        <w:jc w:val="both"/>
        <w:rPr>
          <w:rFonts w:ascii="Arial" w:hAnsi="Arial" w:cs="Arial"/>
        </w:rPr>
      </w:pPr>
    </w:p>
    <w:p w:rsidR="00783358" w:rsidRDefault="00783358" w:rsidP="00914D56">
      <w:pPr>
        <w:spacing w:after="0" w:line="360" w:lineRule="auto"/>
        <w:jc w:val="both"/>
        <w:rPr>
          <w:rFonts w:ascii="Arial" w:hAnsi="Arial" w:cs="Arial"/>
        </w:rPr>
      </w:pPr>
    </w:p>
    <w:p w:rsidR="007B47AA" w:rsidRPr="007B47AA" w:rsidRDefault="007B47AA" w:rsidP="00914D56">
      <w:pPr>
        <w:spacing w:after="0" w:line="360" w:lineRule="auto"/>
        <w:jc w:val="both"/>
        <w:rPr>
          <w:rFonts w:ascii="Arial" w:hAnsi="Arial" w:cs="Arial"/>
        </w:rPr>
      </w:pPr>
      <w:r w:rsidRPr="007B47AA">
        <w:rPr>
          <w:rFonts w:ascii="Arial" w:hAnsi="Arial" w:cs="Arial"/>
        </w:rPr>
        <w:t>It should be noted that the indicative contract values include an allowance for estates costs which may be subject to change at Invitation to Tender stage when further detail will be supplied regarding the estate in use for each lot and any future mandated use.  This may result in a small adjustment between the lots to appropriately reflect where the costs liabilities will arise.</w:t>
      </w:r>
    </w:p>
    <w:p w:rsidR="00783358" w:rsidRDefault="00783358" w:rsidP="00914D56">
      <w:pPr>
        <w:spacing w:after="0" w:line="360" w:lineRule="auto"/>
        <w:rPr>
          <w:rFonts w:ascii="Arial" w:hAnsi="Arial" w:cs="Arial"/>
        </w:rPr>
      </w:pPr>
    </w:p>
    <w:p w:rsidR="00D205A0" w:rsidRPr="00783358" w:rsidRDefault="00D205A0" w:rsidP="00914D56">
      <w:pPr>
        <w:spacing w:after="0" w:line="360" w:lineRule="auto"/>
        <w:rPr>
          <w:rFonts w:ascii="Arial" w:hAnsi="Arial" w:cs="Arial"/>
          <w:b/>
          <w:sz w:val="24"/>
        </w:rPr>
      </w:pPr>
      <w:r w:rsidRPr="00783358">
        <w:rPr>
          <w:rFonts w:ascii="Arial" w:hAnsi="Arial" w:cs="Arial"/>
          <w:b/>
          <w:sz w:val="24"/>
        </w:rPr>
        <w:t>Timeline</w:t>
      </w:r>
    </w:p>
    <w:p w:rsidR="00D205A0" w:rsidRPr="00D205A0" w:rsidRDefault="00D205A0" w:rsidP="00914D56">
      <w:pPr>
        <w:spacing w:after="0" w:line="360" w:lineRule="auto"/>
        <w:rPr>
          <w:rFonts w:ascii="Arial" w:hAnsi="Arial" w:cs="Arial"/>
        </w:rPr>
      </w:pPr>
      <w:r w:rsidRPr="00783358">
        <w:rPr>
          <w:rFonts w:ascii="Arial" w:hAnsi="Arial" w:cs="Arial"/>
          <w:u w:val="single"/>
        </w:rPr>
        <w:t xml:space="preserve">Selection questionnaire (SQ) responses must be submitted by </w:t>
      </w:r>
      <w:r w:rsidR="00913626">
        <w:rPr>
          <w:rFonts w:ascii="Arial" w:hAnsi="Arial" w:cs="Arial"/>
          <w:u w:val="single"/>
        </w:rPr>
        <w:t>09:00</w:t>
      </w:r>
      <w:r w:rsidR="004B3B7E">
        <w:rPr>
          <w:rFonts w:ascii="Arial" w:hAnsi="Arial" w:cs="Arial"/>
          <w:u w:val="single"/>
        </w:rPr>
        <w:t xml:space="preserve"> </w:t>
      </w:r>
      <w:r w:rsidRPr="00783358">
        <w:rPr>
          <w:rFonts w:ascii="Arial" w:hAnsi="Arial" w:cs="Arial"/>
          <w:u w:val="single"/>
        </w:rPr>
        <w:t xml:space="preserve">on the closing date </w:t>
      </w:r>
      <w:r w:rsidR="00913626">
        <w:rPr>
          <w:rFonts w:ascii="Arial" w:hAnsi="Arial" w:cs="Arial"/>
          <w:u w:val="single"/>
        </w:rPr>
        <w:t>Tuesday 2</w:t>
      </w:r>
      <w:r w:rsidR="00913626" w:rsidRPr="00913626">
        <w:rPr>
          <w:rFonts w:ascii="Arial" w:hAnsi="Arial" w:cs="Arial"/>
          <w:u w:val="single"/>
          <w:vertAlign w:val="superscript"/>
        </w:rPr>
        <w:t>nd</w:t>
      </w:r>
      <w:r w:rsidR="00913626">
        <w:rPr>
          <w:rFonts w:ascii="Arial" w:hAnsi="Arial" w:cs="Arial"/>
          <w:u w:val="single"/>
        </w:rPr>
        <w:t xml:space="preserve"> January 2019</w:t>
      </w:r>
      <w:r w:rsidRPr="00D205A0">
        <w:rPr>
          <w:rFonts w:ascii="Arial" w:hAnsi="Arial" w:cs="Arial"/>
        </w:rPr>
        <w:t>.</w:t>
      </w:r>
    </w:p>
    <w:p w:rsidR="00D205A0" w:rsidRDefault="00D205A0" w:rsidP="00914D56">
      <w:pPr>
        <w:spacing w:after="0" w:line="360" w:lineRule="auto"/>
        <w:rPr>
          <w:rFonts w:ascii="Arial" w:hAnsi="Arial" w:cs="Arial"/>
        </w:rPr>
      </w:pPr>
    </w:p>
    <w:p w:rsidR="00D205A0" w:rsidRPr="00D205A0" w:rsidRDefault="00D205A0" w:rsidP="00914D56">
      <w:pPr>
        <w:spacing w:after="0" w:line="360" w:lineRule="auto"/>
        <w:rPr>
          <w:rFonts w:ascii="Arial" w:hAnsi="Arial" w:cs="Arial"/>
        </w:rPr>
      </w:pPr>
      <w:r w:rsidRPr="00D205A0">
        <w:rPr>
          <w:rFonts w:ascii="Arial" w:hAnsi="Arial" w:cs="Arial"/>
        </w:rPr>
        <w:t>All procurement documents will be available only via the In-Tend portal and all correspondence must be sent via the messaging facility on this portal.</w:t>
      </w:r>
    </w:p>
    <w:p w:rsidR="00D205A0" w:rsidRDefault="00D205A0" w:rsidP="00914D56">
      <w:pPr>
        <w:spacing w:after="0" w:line="360" w:lineRule="auto"/>
        <w:rPr>
          <w:rFonts w:ascii="Arial" w:hAnsi="Arial" w:cs="Arial"/>
        </w:rPr>
      </w:pPr>
    </w:p>
    <w:p w:rsidR="00783358" w:rsidRDefault="00783358" w:rsidP="00914D56">
      <w:pPr>
        <w:spacing w:after="0" w:line="360" w:lineRule="auto"/>
        <w:rPr>
          <w:rFonts w:ascii="Arial" w:hAnsi="Arial" w:cs="Arial"/>
        </w:rPr>
      </w:pPr>
    </w:p>
    <w:sectPr w:rsidR="00783358" w:rsidSect="00A4293C">
      <w:headerReference w:type="default" r:id="rId9"/>
      <w:footerReference w:type="default" r:id="rId10"/>
      <w:pgSz w:w="11906" w:h="16838"/>
      <w:pgMar w:top="1440" w:right="1440" w:bottom="1440" w:left="1276" w:header="709"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1A" w:rsidRDefault="009B261A" w:rsidP="00FE4133">
      <w:pPr>
        <w:spacing w:after="0" w:line="240" w:lineRule="auto"/>
      </w:pPr>
      <w:r>
        <w:separator/>
      </w:r>
    </w:p>
  </w:endnote>
  <w:endnote w:type="continuationSeparator" w:id="0">
    <w:p w:rsidR="009B261A" w:rsidRDefault="009B261A" w:rsidP="00FE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629664246"/>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p w:rsidR="00714343" w:rsidRPr="00714343" w:rsidRDefault="00714343">
            <w:pPr>
              <w:pStyle w:val="Footer"/>
              <w:jc w:val="center"/>
              <w:rPr>
                <w:rFonts w:ascii="Arial" w:hAnsi="Arial" w:cs="Arial"/>
                <w:sz w:val="18"/>
                <w:szCs w:val="18"/>
              </w:rPr>
            </w:pPr>
            <w:r w:rsidRPr="00714343">
              <w:rPr>
                <w:rFonts w:ascii="Arial" w:hAnsi="Arial" w:cs="Arial"/>
                <w:sz w:val="18"/>
                <w:szCs w:val="18"/>
              </w:rPr>
              <w:t xml:space="preserve">Page </w:t>
            </w:r>
            <w:r w:rsidRPr="00714343">
              <w:rPr>
                <w:rFonts w:ascii="Arial" w:hAnsi="Arial" w:cs="Arial"/>
                <w:b/>
                <w:bCs/>
                <w:sz w:val="18"/>
                <w:szCs w:val="18"/>
              </w:rPr>
              <w:fldChar w:fldCharType="begin"/>
            </w:r>
            <w:r w:rsidRPr="00714343">
              <w:rPr>
                <w:rFonts w:ascii="Arial" w:hAnsi="Arial" w:cs="Arial"/>
                <w:b/>
                <w:bCs/>
                <w:sz w:val="18"/>
                <w:szCs w:val="18"/>
              </w:rPr>
              <w:instrText xml:space="preserve"> PAGE </w:instrText>
            </w:r>
            <w:r w:rsidRPr="00714343">
              <w:rPr>
                <w:rFonts w:ascii="Arial" w:hAnsi="Arial" w:cs="Arial"/>
                <w:b/>
                <w:bCs/>
                <w:sz w:val="18"/>
                <w:szCs w:val="18"/>
              </w:rPr>
              <w:fldChar w:fldCharType="separate"/>
            </w:r>
            <w:r w:rsidR="00DE583E">
              <w:rPr>
                <w:rFonts w:ascii="Arial" w:hAnsi="Arial" w:cs="Arial"/>
                <w:b/>
                <w:bCs/>
                <w:noProof/>
                <w:sz w:val="18"/>
                <w:szCs w:val="18"/>
              </w:rPr>
              <w:t>1</w:t>
            </w:r>
            <w:r w:rsidRPr="00714343">
              <w:rPr>
                <w:rFonts w:ascii="Arial" w:hAnsi="Arial" w:cs="Arial"/>
                <w:b/>
                <w:bCs/>
                <w:sz w:val="18"/>
                <w:szCs w:val="18"/>
              </w:rPr>
              <w:fldChar w:fldCharType="end"/>
            </w:r>
            <w:r w:rsidRPr="00714343">
              <w:rPr>
                <w:rFonts w:ascii="Arial" w:hAnsi="Arial" w:cs="Arial"/>
                <w:sz w:val="18"/>
                <w:szCs w:val="18"/>
              </w:rPr>
              <w:t xml:space="preserve"> of </w:t>
            </w:r>
            <w:r w:rsidRPr="00714343">
              <w:rPr>
                <w:rFonts w:ascii="Arial" w:hAnsi="Arial" w:cs="Arial"/>
                <w:b/>
                <w:bCs/>
                <w:sz w:val="18"/>
                <w:szCs w:val="18"/>
              </w:rPr>
              <w:fldChar w:fldCharType="begin"/>
            </w:r>
            <w:r w:rsidRPr="00714343">
              <w:rPr>
                <w:rFonts w:ascii="Arial" w:hAnsi="Arial" w:cs="Arial"/>
                <w:b/>
                <w:bCs/>
                <w:sz w:val="18"/>
                <w:szCs w:val="18"/>
              </w:rPr>
              <w:instrText xml:space="preserve"> NUMPAGES  </w:instrText>
            </w:r>
            <w:r w:rsidRPr="00714343">
              <w:rPr>
                <w:rFonts w:ascii="Arial" w:hAnsi="Arial" w:cs="Arial"/>
                <w:b/>
                <w:bCs/>
                <w:sz w:val="18"/>
                <w:szCs w:val="18"/>
              </w:rPr>
              <w:fldChar w:fldCharType="separate"/>
            </w:r>
            <w:r w:rsidR="00DE583E">
              <w:rPr>
                <w:rFonts w:ascii="Arial" w:hAnsi="Arial" w:cs="Arial"/>
                <w:b/>
                <w:bCs/>
                <w:noProof/>
                <w:sz w:val="18"/>
                <w:szCs w:val="18"/>
              </w:rPr>
              <w:t>4</w:t>
            </w:r>
            <w:r w:rsidRPr="00714343">
              <w:rPr>
                <w:rFonts w:ascii="Arial" w:hAnsi="Arial" w:cs="Arial"/>
                <w:b/>
                <w:bCs/>
                <w:sz w:val="18"/>
                <w:szCs w:val="18"/>
              </w:rPr>
              <w:fldChar w:fldCharType="end"/>
            </w:r>
          </w:p>
        </w:sdtContent>
      </w:sdt>
    </w:sdtContent>
  </w:sdt>
  <w:p w:rsidR="000C54CD" w:rsidRDefault="000C54CD" w:rsidP="000C54CD">
    <w:pPr>
      <w:jc w:val="center"/>
      <w:rPr>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1A" w:rsidRDefault="009B261A" w:rsidP="00FE4133">
      <w:pPr>
        <w:spacing w:after="0" w:line="240" w:lineRule="auto"/>
      </w:pPr>
      <w:r>
        <w:separator/>
      </w:r>
    </w:p>
  </w:footnote>
  <w:footnote w:type="continuationSeparator" w:id="0">
    <w:p w:rsidR="009B261A" w:rsidRDefault="009B261A" w:rsidP="00FE4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01" w:rsidRDefault="0043448E" w:rsidP="002E3BF5">
    <w:pPr>
      <w:pStyle w:val="Header"/>
      <w:tabs>
        <w:tab w:val="clear" w:pos="9026"/>
        <w:tab w:val="right" w:pos="10490"/>
      </w:tabs>
      <w:ind w:left="-851"/>
      <w:jc w:val="right"/>
    </w:pPr>
    <w:r>
      <w:rPr>
        <w:noProof/>
      </w:rPr>
      <w:drawing>
        <wp:anchor distT="0" distB="0" distL="114300" distR="114300" simplePos="0" relativeHeight="251658240" behindDoc="0" locked="0" layoutInCell="1" allowOverlap="1" wp14:anchorId="48E64CB1" wp14:editId="4618FF5D">
          <wp:simplePos x="0" y="0"/>
          <wp:positionH relativeFrom="column">
            <wp:posOffset>3620770</wp:posOffset>
          </wp:positionH>
          <wp:positionV relativeFrom="paragraph">
            <wp:posOffset>-193040</wp:posOffset>
          </wp:positionV>
          <wp:extent cx="2853055" cy="638175"/>
          <wp:effectExtent l="0" t="0" r="444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hfccg-logo.jpg"/>
                  <pic:cNvPicPr/>
                </pic:nvPicPr>
                <pic:blipFill>
                  <a:blip r:embed="rId1">
                    <a:extLst>
                      <a:ext uri="{28A0092B-C50C-407E-A947-70E740481C1C}">
                        <a14:useLocalDpi xmlns:a14="http://schemas.microsoft.com/office/drawing/2010/main" val="0"/>
                      </a:ext>
                    </a:extLst>
                  </a:blip>
                  <a:stretch>
                    <a:fillRect/>
                  </a:stretch>
                </pic:blipFill>
                <pic:spPr>
                  <a:xfrm>
                    <a:off x="0" y="0"/>
                    <a:ext cx="2853055" cy="638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8095D30" wp14:editId="2A48E271">
          <wp:simplePos x="0" y="0"/>
          <wp:positionH relativeFrom="column">
            <wp:posOffset>-570865</wp:posOffset>
          </wp:positionH>
          <wp:positionV relativeFrom="paragraph">
            <wp:posOffset>-288290</wp:posOffset>
          </wp:positionV>
          <wp:extent cx="1778000" cy="736600"/>
          <wp:effectExtent l="0" t="0" r="0" b="6350"/>
          <wp:wrapNone/>
          <wp:docPr id="1" name="Picture 1" descr="Y:\surreyhealth ccg\COMMS &amp; ENGAGEMENT\Brand and Identity\Surrey Heath CCG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urreyhealth ccg\COMMS &amp; ENGAGEMENT\Brand and Identity\Surrey Heath CCG RGB Blue.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3455" t="15556" r="7126" b="29629"/>
                  <a:stretch/>
                </pic:blipFill>
                <pic:spPr bwMode="auto">
                  <a:xfrm>
                    <a:off x="0" y="0"/>
                    <a:ext cx="177800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0408">
      <w:rPr>
        <w:noProof/>
      </w:rPr>
      <mc:AlternateContent>
        <mc:Choice Requires="wps">
          <w:drawing>
            <wp:anchor distT="0" distB="0" distL="114300" distR="114300" simplePos="0" relativeHeight="251656192" behindDoc="0" locked="0" layoutInCell="1" allowOverlap="1" wp14:anchorId="4923C106" wp14:editId="7BB0D0F4">
              <wp:simplePos x="0" y="0"/>
              <wp:positionH relativeFrom="column">
                <wp:posOffset>-171450</wp:posOffset>
              </wp:positionH>
              <wp:positionV relativeFrom="paragraph">
                <wp:posOffset>93345</wp:posOffset>
              </wp:positionV>
              <wp:extent cx="1687830" cy="45720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57200"/>
                      </a:xfrm>
                      <a:prstGeom prst="rect">
                        <a:avLst/>
                      </a:prstGeom>
                      <a:solidFill>
                        <a:srgbClr val="FFFFFF"/>
                      </a:solidFill>
                      <a:ln w="9525">
                        <a:noFill/>
                        <a:miter lim="800000"/>
                        <a:headEnd/>
                        <a:tailEnd/>
                      </a:ln>
                    </wps:spPr>
                    <wps:txbx>
                      <w:txbxContent>
                        <w:p w:rsidR="00D23B12" w:rsidRDefault="00D23B12"/>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7.35pt;width:132.9pt;height:36pt;z-index:25165619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" stroked="f">
              <v:textbox>
                <w:txbxContent>
                  <w:p w:rsidR="00D23B12" w:rsidRDefault="00D23B1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2B3"/>
    <w:multiLevelType w:val="hybridMultilevel"/>
    <w:tmpl w:val="69B81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51E5B"/>
    <w:multiLevelType w:val="hybridMultilevel"/>
    <w:tmpl w:val="70886E2A"/>
    <w:lvl w:ilvl="0" w:tplc="2500F7B4">
      <w:numFmt w:val="bullet"/>
      <w:lvlText w:val="-"/>
      <w:lvlJc w:val="left"/>
      <w:pPr>
        <w:ind w:left="720" w:hanging="360"/>
      </w:pPr>
      <w:rPr>
        <w:rFonts w:ascii="Calibri" w:eastAsia="Calibri"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835D0B"/>
    <w:multiLevelType w:val="hybridMultilevel"/>
    <w:tmpl w:val="05247A86"/>
    <w:lvl w:ilvl="0" w:tplc="5EA67356">
      <w:start w:val="1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61679E"/>
    <w:multiLevelType w:val="hybridMultilevel"/>
    <w:tmpl w:val="B6BE2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59D2135"/>
    <w:multiLevelType w:val="hybridMultilevel"/>
    <w:tmpl w:val="DA8A8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85D350F"/>
    <w:multiLevelType w:val="hybridMultilevel"/>
    <w:tmpl w:val="6FF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B1EDC"/>
    <w:multiLevelType w:val="hybridMultilevel"/>
    <w:tmpl w:val="412C9B9E"/>
    <w:lvl w:ilvl="0" w:tplc="62B2A97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D8246E"/>
    <w:multiLevelType w:val="hybridMultilevel"/>
    <w:tmpl w:val="7292B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A144A00"/>
    <w:multiLevelType w:val="hybridMultilevel"/>
    <w:tmpl w:val="2D0A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89765D"/>
    <w:multiLevelType w:val="hybridMultilevel"/>
    <w:tmpl w:val="C654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A912D5"/>
    <w:multiLevelType w:val="hybridMultilevel"/>
    <w:tmpl w:val="5E94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CC4DE0"/>
    <w:multiLevelType w:val="hybridMultilevel"/>
    <w:tmpl w:val="AF2E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6D53A4"/>
    <w:multiLevelType w:val="hybridMultilevel"/>
    <w:tmpl w:val="F314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CE4F75"/>
    <w:multiLevelType w:val="hybridMultilevel"/>
    <w:tmpl w:val="270EC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1C15A37"/>
    <w:multiLevelType w:val="hybridMultilevel"/>
    <w:tmpl w:val="6610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882FBB"/>
    <w:multiLevelType w:val="hybridMultilevel"/>
    <w:tmpl w:val="EE7EDA64"/>
    <w:lvl w:ilvl="0" w:tplc="1DC6B5FA">
      <w:start w:val="1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167017"/>
    <w:multiLevelType w:val="hybridMultilevel"/>
    <w:tmpl w:val="CE3A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6A4E27"/>
    <w:multiLevelType w:val="hybridMultilevel"/>
    <w:tmpl w:val="ECDC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BE308C0"/>
    <w:multiLevelType w:val="hybridMultilevel"/>
    <w:tmpl w:val="D20A4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DC54463"/>
    <w:multiLevelType w:val="hybridMultilevel"/>
    <w:tmpl w:val="92240DB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38F6723"/>
    <w:multiLevelType w:val="hybridMultilevel"/>
    <w:tmpl w:val="B2840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0D3BA7"/>
    <w:multiLevelType w:val="hybridMultilevel"/>
    <w:tmpl w:val="75A6C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393B1E"/>
    <w:multiLevelType w:val="hybridMultilevel"/>
    <w:tmpl w:val="B732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1927F2"/>
    <w:multiLevelType w:val="hybridMultilevel"/>
    <w:tmpl w:val="36968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9344B27"/>
    <w:multiLevelType w:val="hybridMultilevel"/>
    <w:tmpl w:val="982EB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880CF2"/>
    <w:multiLevelType w:val="hybridMultilevel"/>
    <w:tmpl w:val="C752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6409C9"/>
    <w:multiLevelType w:val="hybridMultilevel"/>
    <w:tmpl w:val="08CA97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nsid w:val="7940709A"/>
    <w:multiLevelType w:val="hybridMultilevel"/>
    <w:tmpl w:val="1E26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9E3622"/>
    <w:multiLevelType w:val="hybridMultilevel"/>
    <w:tmpl w:val="E3D4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A4890"/>
    <w:multiLevelType w:val="hybridMultilevel"/>
    <w:tmpl w:val="342C010E"/>
    <w:lvl w:ilvl="0" w:tplc="A56A4B40">
      <w:start w:val="1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EC47AF"/>
    <w:multiLevelType w:val="hybridMultilevel"/>
    <w:tmpl w:val="9BE6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D164FC"/>
    <w:multiLevelType w:val="hybridMultilevel"/>
    <w:tmpl w:val="4BD4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1"/>
  </w:num>
  <w:num w:numId="4">
    <w:abstractNumId w:val="29"/>
  </w:num>
  <w:num w:numId="5">
    <w:abstractNumId w:val="2"/>
  </w:num>
  <w:num w:numId="6">
    <w:abstractNumId w:val="15"/>
  </w:num>
  <w:num w:numId="7">
    <w:abstractNumId w:val="6"/>
  </w:num>
  <w:num w:numId="8">
    <w:abstractNumId w:val="5"/>
  </w:num>
  <w:num w:numId="9">
    <w:abstractNumId w:val="26"/>
  </w:num>
  <w:num w:numId="10">
    <w:abstractNumId w:val="16"/>
  </w:num>
  <w:num w:numId="11">
    <w:abstractNumId w:val="10"/>
  </w:num>
  <w:num w:numId="12">
    <w:abstractNumId w:val="30"/>
  </w:num>
  <w:num w:numId="13">
    <w:abstractNumId w:val="28"/>
  </w:num>
  <w:num w:numId="14">
    <w:abstractNumId w:val="8"/>
  </w:num>
  <w:num w:numId="15">
    <w:abstractNumId w:val="25"/>
  </w:num>
  <w:num w:numId="16">
    <w:abstractNumId w:val="11"/>
  </w:num>
  <w:num w:numId="17">
    <w:abstractNumId w:val="20"/>
  </w:num>
  <w:num w:numId="18">
    <w:abstractNumId w:val="9"/>
  </w:num>
  <w:num w:numId="19">
    <w:abstractNumId w:val="24"/>
  </w:num>
  <w:num w:numId="20">
    <w:abstractNumId w:val="23"/>
  </w:num>
  <w:num w:numId="21">
    <w:abstractNumId w:val="4"/>
  </w:num>
  <w:num w:numId="22">
    <w:abstractNumId w:val="21"/>
  </w:num>
  <w:num w:numId="23">
    <w:abstractNumId w:val="12"/>
  </w:num>
  <w:num w:numId="24">
    <w:abstractNumId w:val="18"/>
  </w:num>
  <w:num w:numId="25">
    <w:abstractNumId w:val="3"/>
  </w:num>
  <w:num w:numId="26">
    <w:abstractNumId w:val="13"/>
  </w:num>
  <w:num w:numId="27">
    <w:abstractNumId w:val="0"/>
  </w:num>
  <w:num w:numId="28">
    <w:abstractNumId w:val="17"/>
  </w:num>
  <w:num w:numId="29">
    <w:abstractNumId w:val="22"/>
  </w:num>
  <w:num w:numId="30">
    <w:abstractNumId w:val="27"/>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drawingGridHorizontalSpacing w:val="108"/>
  <w:drawingGridVerticalSpacing w:val="181"/>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F5"/>
    <w:rsid w:val="00060408"/>
    <w:rsid w:val="0007309C"/>
    <w:rsid w:val="00083787"/>
    <w:rsid w:val="00084B79"/>
    <w:rsid w:val="0009136E"/>
    <w:rsid w:val="000B5B0E"/>
    <w:rsid w:val="000C54CD"/>
    <w:rsid w:val="000C7F02"/>
    <w:rsid w:val="000D1CC9"/>
    <w:rsid w:val="00102DCE"/>
    <w:rsid w:val="001151E8"/>
    <w:rsid w:val="00122512"/>
    <w:rsid w:val="00124924"/>
    <w:rsid w:val="00131BC0"/>
    <w:rsid w:val="00151F94"/>
    <w:rsid w:val="001631B4"/>
    <w:rsid w:val="001637A1"/>
    <w:rsid w:val="001772C3"/>
    <w:rsid w:val="00177E0E"/>
    <w:rsid w:val="00183121"/>
    <w:rsid w:val="0018648C"/>
    <w:rsid w:val="00187C34"/>
    <w:rsid w:val="0019373B"/>
    <w:rsid w:val="001A11E8"/>
    <w:rsid w:val="001A4AB9"/>
    <w:rsid w:val="001B4289"/>
    <w:rsid w:val="001C52E7"/>
    <w:rsid w:val="001C689D"/>
    <w:rsid w:val="001D154D"/>
    <w:rsid w:val="001D7848"/>
    <w:rsid w:val="002158A4"/>
    <w:rsid w:val="002200E3"/>
    <w:rsid w:val="00235125"/>
    <w:rsid w:val="00247002"/>
    <w:rsid w:val="00250635"/>
    <w:rsid w:val="00253372"/>
    <w:rsid w:val="00254863"/>
    <w:rsid w:val="00281C6C"/>
    <w:rsid w:val="00285858"/>
    <w:rsid w:val="0028791F"/>
    <w:rsid w:val="00292C94"/>
    <w:rsid w:val="00296FFB"/>
    <w:rsid w:val="002A30FC"/>
    <w:rsid w:val="002C6145"/>
    <w:rsid w:val="002D05C0"/>
    <w:rsid w:val="002E361E"/>
    <w:rsid w:val="002E3BF5"/>
    <w:rsid w:val="002E4705"/>
    <w:rsid w:val="00310571"/>
    <w:rsid w:val="00332FC1"/>
    <w:rsid w:val="0034056C"/>
    <w:rsid w:val="003449D6"/>
    <w:rsid w:val="0035005D"/>
    <w:rsid w:val="0035024B"/>
    <w:rsid w:val="0035370A"/>
    <w:rsid w:val="00361A32"/>
    <w:rsid w:val="00364290"/>
    <w:rsid w:val="0038707A"/>
    <w:rsid w:val="003B5271"/>
    <w:rsid w:val="003D5D78"/>
    <w:rsid w:val="003E272A"/>
    <w:rsid w:val="003E2A90"/>
    <w:rsid w:val="00401C84"/>
    <w:rsid w:val="004104AD"/>
    <w:rsid w:val="0043448E"/>
    <w:rsid w:val="004355EF"/>
    <w:rsid w:val="00435A88"/>
    <w:rsid w:val="0045045A"/>
    <w:rsid w:val="0045777E"/>
    <w:rsid w:val="004814A0"/>
    <w:rsid w:val="004842FD"/>
    <w:rsid w:val="00486641"/>
    <w:rsid w:val="0049124D"/>
    <w:rsid w:val="004920BD"/>
    <w:rsid w:val="004B3B7E"/>
    <w:rsid w:val="004D0CE5"/>
    <w:rsid w:val="004D1C76"/>
    <w:rsid w:val="004E0481"/>
    <w:rsid w:val="004E0F4F"/>
    <w:rsid w:val="004E2DBC"/>
    <w:rsid w:val="00507710"/>
    <w:rsid w:val="005152A5"/>
    <w:rsid w:val="00525E1B"/>
    <w:rsid w:val="0053479A"/>
    <w:rsid w:val="005543D0"/>
    <w:rsid w:val="005579C7"/>
    <w:rsid w:val="0058078C"/>
    <w:rsid w:val="005A02D8"/>
    <w:rsid w:val="005B1A7F"/>
    <w:rsid w:val="005B5A0E"/>
    <w:rsid w:val="005C6542"/>
    <w:rsid w:val="005E3B64"/>
    <w:rsid w:val="005E4237"/>
    <w:rsid w:val="00600519"/>
    <w:rsid w:val="0061150B"/>
    <w:rsid w:val="00615B05"/>
    <w:rsid w:val="006338C3"/>
    <w:rsid w:val="00661BE7"/>
    <w:rsid w:val="00666687"/>
    <w:rsid w:val="00695B3C"/>
    <w:rsid w:val="006A1C2D"/>
    <w:rsid w:val="006B6719"/>
    <w:rsid w:val="006C2DEA"/>
    <w:rsid w:val="006C5C43"/>
    <w:rsid w:val="006C7D4B"/>
    <w:rsid w:val="006D571D"/>
    <w:rsid w:val="006F35C3"/>
    <w:rsid w:val="006F3F24"/>
    <w:rsid w:val="006F73BB"/>
    <w:rsid w:val="0070648F"/>
    <w:rsid w:val="00714343"/>
    <w:rsid w:val="00733D2B"/>
    <w:rsid w:val="00750908"/>
    <w:rsid w:val="00783358"/>
    <w:rsid w:val="0078794B"/>
    <w:rsid w:val="007B47AA"/>
    <w:rsid w:val="007D2645"/>
    <w:rsid w:val="007E136B"/>
    <w:rsid w:val="007F2E2B"/>
    <w:rsid w:val="007F7F78"/>
    <w:rsid w:val="00800732"/>
    <w:rsid w:val="00810DCB"/>
    <w:rsid w:val="00816A76"/>
    <w:rsid w:val="00825B42"/>
    <w:rsid w:val="00833B01"/>
    <w:rsid w:val="0084149A"/>
    <w:rsid w:val="00847B2A"/>
    <w:rsid w:val="008573D7"/>
    <w:rsid w:val="00860060"/>
    <w:rsid w:val="00866307"/>
    <w:rsid w:val="00872A59"/>
    <w:rsid w:val="00872AD6"/>
    <w:rsid w:val="00873E97"/>
    <w:rsid w:val="00884953"/>
    <w:rsid w:val="00894383"/>
    <w:rsid w:val="00896219"/>
    <w:rsid w:val="008F6E33"/>
    <w:rsid w:val="00902C3C"/>
    <w:rsid w:val="00911B4E"/>
    <w:rsid w:val="00912F6E"/>
    <w:rsid w:val="00913626"/>
    <w:rsid w:val="00914D56"/>
    <w:rsid w:val="0092492D"/>
    <w:rsid w:val="00930194"/>
    <w:rsid w:val="009304C7"/>
    <w:rsid w:val="0093305A"/>
    <w:rsid w:val="00937B54"/>
    <w:rsid w:val="00937FD9"/>
    <w:rsid w:val="00952C22"/>
    <w:rsid w:val="00953C73"/>
    <w:rsid w:val="00955ED4"/>
    <w:rsid w:val="00961B22"/>
    <w:rsid w:val="0096787C"/>
    <w:rsid w:val="0097390B"/>
    <w:rsid w:val="009739D7"/>
    <w:rsid w:val="00973C3B"/>
    <w:rsid w:val="0097702B"/>
    <w:rsid w:val="0099661D"/>
    <w:rsid w:val="009A3005"/>
    <w:rsid w:val="009A4F72"/>
    <w:rsid w:val="009B261A"/>
    <w:rsid w:val="009F44FF"/>
    <w:rsid w:val="009F74DD"/>
    <w:rsid w:val="00A00873"/>
    <w:rsid w:val="00A015F3"/>
    <w:rsid w:val="00A03D09"/>
    <w:rsid w:val="00A22963"/>
    <w:rsid w:val="00A233A7"/>
    <w:rsid w:val="00A37199"/>
    <w:rsid w:val="00A40EC6"/>
    <w:rsid w:val="00A4124C"/>
    <w:rsid w:val="00A4293C"/>
    <w:rsid w:val="00A509B3"/>
    <w:rsid w:val="00A52B57"/>
    <w:rsid w:val="00A5538C"/>
    <w:rsid w:val="00A5594E"/>
    <w:rsid w:val="00A67458"/>
    <w:rsid w:val="00A76473"/>
    <w:rsid w:val="00A80EF6"/>
    <w:rsid w:val="00A91094"/>
    <w:rsid w:val="00AA3D01"/>
    <w:rsid w:val="00AA484A"/>
    <w:rsid w:val="00AA511F"/>
    <w:rsid w:val="00AB2E80"/>
    <w:rsid w:val="00AC464E"/>
    <w:rsid w:val="00AD636D"/>
    <w:rsid w:val="00AD6720"/>
    <w:rsid w:val="00AE2C61"/>
    <w:rsid w:val="00AE4168"/>
    <w:rsid w:val="00AE5D9F"/>
    <w:rsid w:val="00AF01EC"/>
    <w:rsid w:val="00AF0B9E"/>
    <w:rsid w:val="00AF329B"/>
    <w:rsid w:val="00B0512C"/>
    <w:rsid w:val="00B16911"/>
    <w:rsid w:val="00B27669"/>
    <w:rsid w:val="00B33F99"/>
    <w:rsid w:val="00B560D0"/>
    <w:rsid w:val="00B62223"/>
    <w:rsid w:val="00B62A04"/>
    <w:rsid w:val="00B73AC7"/>
    <w:rsid w:val="00BA7A44"/>
    <w:rsid w:val="00BB128A"/>
    <w:rsid w:val="00BC0845"/>
    <w:rsid w:val="00BC0C92"/>
    <w:rsid w:val="00BC254D"/>
    <w:rsid w:val="00BD70F1"/>
    <w:rsid w:val="00BF0276"/>
    <w:rsid w:val="00BF3359"/>
    <w:rsid w:val="00C32976"/>
    <w:rsid w:val="00C41B7E"/>
    <w:rsid w:val="00C4313F"/>
    <w:rsid w:val="00C47C3D"/>
    <w:rsid w:val="00C63029"/>
    <w:rsid w:val="00C743B7"/>
    <w:rsid w:val="00C8105C"/>
    <w:rsid w:val="00C919E4"/>
    <w:rsid w:val="00C97800"/>
    <w:rsid w:val="00CA1CED"/>
    <w:rsid w:val="00CA1EC7"/>
    <w:rsid w:val="00CC679E"/>
    <w:rsid w:val="00CD246E"/>
    <w:rsid w:val="00CD4156"/>
    <w:rsid w:val="00CE1339"/>
    <w:rsid w:val="00CE1C1C"/>
    <w:rsid w:val="00CE5DBA"/>
    <w:rsid w:val="00CE5DBE"/>
    <w:rsid w:val="00CF629B"/>
    <w:rsid w:val="00D06062"/>
    <w:rsid w:val="00D15526"/>
    <w:rsid w:val="00D1566C"/>
    <w:rsid w:val="00D205A0"/>
    <w:rsid w:val="00D226E4"/>
    <w:rsid w:val="00D22B28"/>
    <w:rsid w:val="00D23B12"/>
    <w:rsid w:val="00D259E3"/>
    <w:rsid w:val="00D31AD2"/>
    <w:rsid w:val="00D437E6"/>
    <w:rsid w:val="00D47F09"/>
    <w:rsid w:val="00D508D3"/>
    <w:rsid w:val="00D521F6"/>
    <w:rsid w:val="00D531DC"/>
    <w:rsid w:val="00D576CC"/>
    <w:rsid w:val="00D80114"/>
    <w:rsid w:val="00DA7A0F"/>
    <w:rsid w:val="00DB1AE5"/>
    <w:rsid w:val="00DC40B1"/>
    <w:rsid w:val="00DD581C"/>
    <w:rsid w:val="00DE12B3"/>
    <w:rsid w:val="00DE583E"/>
    <w:rsid w:val="00DF64F8"/>
    <w:rsid w:val="00E1346E"/>
    <w:rsid w:val="00E42901"/>
    <w:rsid w:val="00E53EF5"/>
    <w:rsid w:val="00E651B6"/>
    <w:rsid w:val="00E675D0"/>
    <w:rsid w:val="00E75F31"/>
    <w:rsid w:val="00E805A3"/>
    <w:rsid w:val="00E84116"/>
    <w:rsid w:val="00E86BB8"/>
    <w:rsid w:val="00E90A7A"/>
    <w:rsid w:val="00E93D5C"/>
    <w:rsid w:val="00E96806"/>
    <w:rsid w:val="00EC3CC3"/>
    <w:rsid w:val="00EC410E"/>
    <w:rsid w:val="00EC762D"/>
    <w:rsid w:val="00ED28EC"/>
    <w:rsid w:val="00ED7982"/>
    <w:rsid w:val="00EF1135"/>
    <w:rsid w:val="00F038B1"/>
    <w:rsid w:val="00F22A4B"/>
    <w:rsid w:val="00F30511"/>
    <w:rsid w:val="00F3116E"/>
    <w:rsid w:val="00F31A8B"/>
    <w:rsid w:val="00F33C8D"/>
    <w:rsid w:val="00F373F6"/>
    <w:rsid w:val="00F57A57"/>
    <w:rsid w:val="00F6354C"/>
    <w:rsid w:val="00F6556C"/>
    <w:rsid w:val="00F659A2"/>
    <w:rsid w:val="00F70452"/>
    <w:rsid w:val="00F74546"/>
    <w:rsid w:val="00F75E63"/>
    <w:rsid w:val="00F772AF"/>
    <w:rsid w:val="00F95B86"/>
    <w:rsid w:val="00FC4940"/>
    <w:rsid w:val="00FC5F30"/>
    <w:rsid w:val="00FC6B3A"/>
    <w:rsid w:val="00FE130F"/>
    <w:rsid w:val="00FE2721"/>
    <w:rsid w:val="00FE4133"/>
    <w:rsid w:val="00FE7B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133"/>
  </w:style>
  <w:style w:type="paragraph" w:styleId="Footer">
    <w:name w:val="footer"/>
    <w:basedOn w:val="Normal"/>
    <w:link w:val="FooterChar"/>
    <w:uiPriority w:val="99"/>
    <w:unhideWhenUsed/>
    <w:rsid w:val="00FE4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133"/>
  </w:style>
  <w:style w:type="paragraph" w:styleId="BalloonText">
    <w:name w:val="Balloon Text"/>
    <w:basedOn w:val="Normal"/>
    <w:link w:val="BalloonTextChar"/>
    <w:uiPriority w:val="99"/>
    <w:semiHidden/>
    <w:unhideWhenUsed/>
    <w:rsid w:val="00FE4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133"/>
    <w:rPr>
      <w:rFonts w:ascii="Tahoma" w:hAnsi="Tahoma" w:cs="Tahoma"/>
      <w:sz w:val="16"/>
      <w:szCs w:val="16"/>
    </w:rPr>
  </w:style>
  <w:style w:type="table" w:styleId="TableGrid">
    <w:name w:val="Table Grid"/>
    <w:aliases w:val="Header Table Grid"/>
    <w:basedOn w:val="TableNormal"/>
    <w:uiPriority w:val="59"/>
    <w:rsid w:val="00A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C54CD"/>
    <w:pPr>
      <w:spacing w:after="0" w:line="240" w:lineRule="auto"/>
    </w:pPr>
    <w:rPr>
      <w:lang w:val="en-US" w:eastAsia="ja-JP"/>
    </w:rPr>
  </w:style>
  <w:style w:type="character" w:customStyle="1" w:styleId="NoSpacingChar">
    <w:name w:val="No Spacing Char"/>
    <w:basedOn w:val="DefaultParagraphFont"/>
    <w:link w:val="NoSpacing"/>
    <w:uiPriority w:val="1"/>
    <w:rsid w:val="000C54CD"/>
    <w:rPr>
      <w:lang w:val="en-US" w:eastAsia="ja-JP"/>
    </w:rPr>
  </w:style>
  <w:style w:type="paragraph" w:styleId="PlainText">
    <w:name w:val="Plain Text"/>
    <w:basedOn w:val="Normal"/>
    <w:link w:val="PlainTextChar"/>
    <w:uiPriority w:val="99"/>
    <w:semiHidden/>
    <w:unhideWhenUsed/>
    <w:rsid w:val="00E675D0"/>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E675D0"/>
    <w:rPr>
      <w:rFonts w:ascii="Calibri" w:eastAsiaTheme="minorHAnsi" w:hAnsi="Calibri"/>
      <w:szCs w:val="21"/>
      <w:lang w:eastAsia="en-US"/>
    </w:rPr>
  </w:style>
  <w:style w:type="paragraph" w:styleId="ListParagraph">
    <w:name w:val="List Paragraph"/>
    <w:basedOn w:val="Normal"/>
    <w:uiPriority w:val="34"/>
    <w:qFormat/>
    <w:rsid w:val="00E675D0"/>
    <w:pPr>
      <w:ind w:left="720"/>
      <w:contextualSpacing/>
    </w:pPr>
  </w:style>
  <w:style w:type="paragraph" w:customStyle="1" w:styleId="TableText">
    <w:name w:val="Table Text"/>
    <w:basedOn w:val="BodyText"/>
    <w:rsid w:val="00E675D0"/>
    <w:pPr>
      <w:keepLines/>
      <w:spacing w:before="60" w:after="60" w:line="240" w:lineRule="auto"/>
    </w:pPr>
    <w:rPr>
      <w:rFonts w:ascii="Arial" w:eastAsia="Times New Roman" w:hAnsi="Arial" w:cs="Times New Roman"/>
      <w:sz w:val="24"/>
      <w:szCs w:val="24"/>
      <w:lang w:eastAsia="en-US"/>
    </w:rPr>
  </w:style>
  <w:style w:type="paragraph" w:styleId="BodyText">
    <w:name w:val="Body Text"/>
    <w:basedOn w:val="Normal"/>
    <w:link w:val="BodyTextChar"/>
    <w:uiPriority w:val="99"/>
    <w:semiHidden/>
    <w:unhideWhenUsed/>
    <w:rsid w:val="00E675D0"/>
    <w:pPr>
      <w:spacing w:after="120"/>
    </w:pPr>
  </w:style>
  <w:style w:type="character" w:customStyle="1" w:styleId="BodyTextChar">
    <w:name w:val="Body Text Char"/>
    <w:basedOn w:val="DefaultParagraphFont"/>
    <w:link w:val="BodyText"/>
    <w:uiPriority w:val="99"/>
    <w:semiHidden/>
    <w:rsid w:val="00E675D0"/>
  </w:style>
  <w:style w:type="character" w:styleId="CommentReference">
    <w:name w:val="annotation reference"/>
    <w:basedOn w:val="DefaultParagraphFont"/>
    <w:uiPriority w:val="99"/>
    <w:semiHidden/>
    <w:unhideWhenUsed/>
    <w:rsid w:val="00AE5D9F"/>
    <w:rPr>
      <w:sz w:val="16"/>
      <w:szCs w:val="16"/>
    </w:rPr>
  </w:style>
  <w:style w:type="paragraph" w:styleId="CommentText">
    <w:name w:val="annotation text"/>
    <w:basedOn w:val="Normal"/>
    <w:link w:val="CommentTextChar"/>
    <w:uiPriority w:val="99"/>
    <w:semiHidden/>
    <w:unhideWhenUsed/>
    <w:rsid w:val="00AE5D9F"/>
    <w:pPr>
      <w:spacing w:line="240" w:lineRule="auto"/>
    </w:pPr>
    <w:rPr>
      <w:sz w:val="20"/>
      <w:szCs w:val="20"/>
    </w:rPr>
  </w:style>
  <w:style w:type="character" w:customStyle="1" w:styleId="CommentTextChar">
    <w:name w:val="Comment Text Char"/>
    <w:basedOn w:val="DefaultParagraphFont"/>
    <w:link w:val="CommentText"/>
    <w:uiPriority w:val="99"/>
    <w:semiHidden/>
    <w:rsid w:val="00AE5D9F"/>
    <w:rPr>
      <w:sz w:val="20"/>
      <w:szCs w:val="20"/>
    </w:rPr>
  </w:style>
  <w:style w:type="paragraph" w:styleId="CommentSubject">
    <w:name w:val="annotation subject"/>
    <w:basedOn w:val="CommentText"/>
    <w:next w:val="CommentText"/>
    <w:link w:val="CommentSubjectChar"/>
    <w:uiPriority w:val="99"/>
    <w:semiHidden/>
    <w:unhideWhenUsed/>
    <w:rsid w:val="00AE5D9F"/>
    <w:rPr>
      <w:b/>
      <w:bCs/>
    </w:rPr>
  </w:style>
  <w:style w:type="character" w:customStyle="1" w:styleId="CommentSubjectChar">
    <w:name w:val="Comment Subject Char"/>
    <w:basedOn w:val="CommentTextChar"/>
    <w:link w:val="CommentSubject"/>
    <w:uiPriority w:val="99"/>
    <w:semiHidden/>
    <w:rsid w:val="00AE5D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133"/>
  </w:style>
  <w:style w:type="paragraph" w:styleId="Footer">
    <w:name w:val="footer"/>
    <w:basedOn w:val="Normal"/>
    <w:link w:val="FooterChar"/>
    <w:uiPriority w:val="99"/>
    <w:unhideWhenUsed/>
    <w:rsid w:val="00FE4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133"/>
  </w:style>
  <w:style w:type="paragraph" w:styleId="BalloonText">
    <w:name w:val="Balloon Text"/>
    <w:basedOn w:val="Normal"/>
    <w:link w:val="BalloonTextChar"/>
    <w:uiPriority w:val="99"/>
    <w:semiHidden/>
    <w:unhideWhenUsed/>
    <w:rsid w:val="00FE4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133"/>
    <w:rPr>
      <w:rFonts w:ascii="Tahoma" w:hAnsi="Tahoma" w:cs="Tahoma"/>
      <w:sz w:val="16"/>
      <w:szCs w:val="16"/>
    </w:rPr>
  </w:style>
  <w:style w:type="table" w:styleId="TableGrid">
    <w:name w:val="Table Grid"/>
    <w:aliases w:val="Header Table Grid"/>
    <w:basedOn w:val="TableNormal"/>
    <w:uiPriority w:val="59"/>
    <w:rsid w:val="00A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C54CD"/>
    <w:pPr>
      <w:spacing w:after="0" w:line="240" w:lineRule="auto"/>
    </w:pPr>
    <w:rPr>
      <w:lang w:val="en-US" w:eastAsia="ja-JP"/>
    </w:rPr>
  </w:style>
  <w:style w:type="character" w:customStyle="1" w:styleId="NoSpacingChar">
    <w:name w:val="No Spacing Char"/>
    <w:basedOn w:val="DefaultParagraphFont"/>
    <w:link w:val="NoSpacing"/>
    <w:uiPriority w:val="1"/>
    <w:rsid w:val="000C54CD"/>
    <w:rPr>
      <w:lang w:val="en-US" w:eastAsia="ja-JP"/>
    </w:rPr>
  </w:style>
  <w:style w:type="paragraph" w:styleId="PlainText">
    <w:name w:val="Plain Text"/>
    <w:basedOn w:val="Normal"/>
    <w:link w:val="PlainTextChar"/>
    <w:uiPriority w:val="99"/>
    <w:semiHidden/>
    <w:unhideWhenUsed/>
    <w:rsid w:val="00E675D0"/>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E675D0"/>
    <w:rPr>
      <w:rFonts w:ascii="Calibri" w:eastAsiaTheme="minorHAnsi" w:hAnsi="Calibri"/>
      <w:szCs w:val="21"/>
      <w:lang w:eastAsia="en-US"/>
    </w:rPr>
  </w:style>
  <w:style w:type="paragraph" w:styleId="ListParagraph">
    <w:name w:val="List Paragraph"/>
    <w:basedOn w:val="Normal"/>
    <w:uiPriority w:val="34"/>
    <w:qFormat/>
    <w:rsid w:val="00E675D0"/>
    <w:pPr>
      <w:ind w:left="720"/>
      <w:contextualSpacing/>
    </w:pPr>
  </w:style>
  <w:style w:type="paragraph" w:customStyle="1" w:styleId="TableText">
    <w:name w:val="Table Text"/>
    <w:basedOn w:val="BodyText"/>
    <w:rsid w:val="00E675D0"/>
    <w:pPr>
      <w:keepLines/>
      <w:spacing w:before="60" w:after="60" w:line="240" w:lineRule="auto"/>
    </w:pPr>
    <w:rPr>
      <w:rFonts w:ascii="Arial" w:eastAsia="Times New Roman" w:hAnsi="Arial" w:cs="Times New Roman"/>
      <w:sz w:val="24"/>
      <w:szCs w:val="24"/>
      <w:lang w:eastAsia="en-US"/>
    </w:rPr>
  </w:style>
  <w:style w:type="paragraph" w:styleId="BodyText">
    <w:name w:val="Body Text"/>
    <w:basedOn w:val="Normal"/>
    <w:link w:val="BodyTextChar"/>
    <w:uiPriority w:val="99"/>
    <w:semiHidden/>
    <w:unhideWhenUsed/>
    <w:rsid w:val="00E675D0"/>
    <w:pPr>
      <w:spacing w:after="120"/>
    </w:pPr>
  </w:style>
  <w:style w:type="character" w:customStyle="1" w:styleId="BodyTextChar">
    <w:name w:val="Body Text Char"/>
    <w:basedOn w:val="DefaultParagraphFont"/>
    <w:link w:val="BodyText"/>
    <w:uiPriority w:val="99"/>
    <w:semiHidden/>
    <w:rsid w:val="00E675D0"/>
  </w:style>
  <w:style w:type="character" w:styleId="CommentReference">
    <w:name w:val="annotation reference"/>
    <w:basedOn w:val="DefaultParagraphFont"/>
    <w:uiPriority w:val="99"/>
    <w:semiHidden/>
    <w:unhideWhenUsed/>
    <w:rsid w:val="00AE5D9F"/>
    <w:rPr>
      <w:sz w:val="16"/>
      <w:szCs w:val="16"/>
    </w:rPr>
  </w:style>
  <w:style w:type="paragraph" w:styleId="CommentText">
    <w:name w:val="annotation text"/>
    <w:basedOn w:val="Normal"/>
    <w:link w:val="CommentTextChar"/>
    <w:uiPriority w:val="99"/>
    <w:semiHidden/>
    <w:unhideWhenUsed/>
    <w:rsid w:val="00AE5D9F"/>
    <w:pPr>
      <w:spacing w:line="240" w:lineRule="auto"/>
    </w:pPr>
    <w:rPr>
      <w:sz w:val="20"/>
      <w:szCs w:val="20"/>
    </w:rPr>
  </w:style>
  <w:style w:type="character" w:customStyle="1" w:styleId="CommentTextChar">
    <w:name w:val="Comment Text Char"/>
    <w:basedOn w:val="DefaultParagraphFont"/>
    <w:link w:val="CommentText"/>
    <w:uiPriority w:val="99"/>
    <w:semiHidden/>
    <w:rsid w:val="00AE5D9F"/>
    <w:rPr>
      <w:sz w:val="20"/>
      <w:szCs w:val="20"/>
    </w:rPr>
  </w:style>
  <w:style w:type="paragraph" w:styleId="CommentSubject">
    <w:name w:val="annotation subject"/>
    <w:basedOn w:val="CommentText"/>
    <w:next w:val="CommentText"/>
    <w:link w:val="CommentSubjectChar"/>
    <w:uiPriority w:val="99"/>
    <w:semiHidden/>
    <w:unhideWhenUsed/>
    <w:rsid w:val="00AE5D9F"/>
    <w:rPr>
      <w:b/>
      <w:bCs/>
    </w:rPr>
  </w:style>
  <w:style w:type="character" w:customStyle="1" w:styleId="CommentSubjectChar">
    <w:name w:val="Comment Subject Char"/>
    <w:basedOn w:val="CommentTextChar"/>
    <w:link w:val="CommentSubject"/>
    <w:uiPriority w:val="99"/>
    <w:semiHidden/>
    <w:rsid w:val="00AE5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1954">
      <w:bodyDiv w:val="1"/>
      <w:marLeft w:val="0"/>
      <w:marRight w:val="0"/>
      <w:marTop w:val="0"/>
      <w:marBottom w:val="0"/>
      <w:divBdr>
        <w:top w:val="none" w:sz="0" w:space="0" w:color="auto"/>
        <w:left w:val="none" w:sz="0" w:space="0" w:color="auto"/>
        <w:bottom w:val="none" w:sz="0" w:space="0" w:color="auto"/>
        <w:right w:val="none" w:sz="0" w:space="0" w:color="auto"/>
      </w:divBdr>
    </w:div>
    <w:div w:id="524827747">
      <w:bodyDiv w:val="1"/>
      <w:marLeft w:val="0"/>
      <w:marRight w:val="0"/>
      <w:marTop w:val="0"/>
      <w:marBottom w:val="0"/>
      <w:divBdr>
        <w:top w:val="none" w:sz="0" w:space="0" w:color="auto"/>
        <w:left w:val="none" w:sz="0" w:space="0" w:color="auto"/>
        <w:bottom w:val="none" w:sz="0" w:space="0" w:color="auto"/>
        <w:right w:val="none" w:sz="0" w:space="0" w:color="auto"/>
      </w:divBdr>
    </w:div>
    <w:div w:id="8073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A8648-3EDB-48C0-B9FE-C621F454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4261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SurreyPCT</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Turner</dc:creator>
  <cp:lastModifiedBy>Machola Celine - Procurement Manager</cp:lastModifiedBy>
  <cp:revision>2</cp:revision>
  <cp:lastPrinted>2018-10-09T12:05:00Z</cp:lastPrinted>
  <dcterms:created xsi:type="dcterms:W3CDTF">2018-11-15T11:46:00Z</dcterms:created>
  <dcterms:modified xsi:type="dcterms:W3CDTF">2018-11-15T11:46:00Z</dcterms:modified>
</cp:coreProperties>
</file>