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8C7" w:rsidRDefault="002038C7" w:rsidP="002038C7">
      <w:pPr>
        <w:pStyle w:val="Standard"/>
        <w:rPr>
          <w:rFonts w:ascii="Arial" w:eastAsia="Arial" w:hAnsi="Arial" w:cs="Arial"/>
          <w:b/>
          <w:sz w:val="24"/>
          <w:szCs w:val="24"/>
        </w:rPr>
      </w:pPr>
    </w:p>
    <w:p w:rsidR="002038C7" w:rsidRDefault="002038C7" w:rsidP="002038C7">
      <w:pPr>
        <w:pStyle w:val="Heading1"/>
        <w:numPr>
          <w:ilvl w:val="0"/>
          <w:numId w:val="0"/>
        </w:numPr>
        <w:ind w:left="720"/>
        <w:rPr>
          <w:sz w:val="24"/>
          <w:szCs w:val="24"/>
        </w:rPr>
      </w:pPr>
      <w:bookmarkStart w:id="0" w:name="_y4ku12efuklq"/>
      <w:bookmarkEnd w:id="0"/>
      <w:r>
        <w:rPr>
          <w:sz w:val="24"/>
          <w:szCs w:val="24"/>
        </w:rPr>
        <w:t>Call-Off Schedule 20 (Call-Off Specification)</w:t>
      </w: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bookmarkStart w:id="1" w:name="_gjdgxs"/>
      <w:bookmarkEnd w:id="1"/>
      <w:r>
        <w:rPr>
          <w:rFonts w:ascii="Arial" w:eastAsia="Arial" w:hAnsi="Arial" w:cs="Arial"/>
          <w:color w:val="000000"/>
          <w:sz w:val="24"/>
          <w:szCs w:val="24"/>
        </w:rPr>
        <w:t>This Schedule sets out the characteristics of the Deliverables that the Supplier will be required to make to the Buyers under this Call-Off Contract</w:t>
      </w: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rPr>
          <w:rFonts w:ascii="Arial" w:eastAsia="Arial" w:hAnsi="Arial" w:cs="Arial"/>
          <w:color w:val="000000"/>
          <w:sz w:val="24"/>
          <w:szCs w:val="24"/>
        </w:rPr>
      </w:pPr>
    </w:p>
    <w:p w:rsidR="002038C7" w:rsidRDefault="002038C7" w:rsidP="002038C7">
      <w:pPr>
        <w:pStyle w:val="Standard"/>
        <w:widowControl/>
        <w:tabs>
          <w:tab w:val="left" w:pos="709"/>
          <w:tab w:val="left" w:pos="1134"/>
        </w:tabs>
        <w:spacing w:before="120" w:after="120" w:line="240" w:lineRule="auto"/>
      </w:pPr>
    </w:p>
    <w:p w:rsidR="002038C7" w:rsidRDefault="002038C7" w:rsidP="002038C7">
      <w:pPr>
        <w:rPr>
          <w:b/>
        </w:rPr>
      </w:pPr>
    </w:p>
    <w:p w:rsidR="002038C7" w:rsidRPr="009C5C62" w:rsidRDefault="002038C7" w:rsidP="002038C7">
      <w:pPr>
        <w:ind w:left="720"/>
        <w:rPr>
          <w:rFonts w:eastAsia="STZhongsong"/>
          <w:sz w:val="24"/>
        </w:rPr>
      </w:pPr>
    </w:p>
    <w:p w:rsidR="002038C7" w:rsidRDefault="002038C7" w:rsidP="002038C7">
      <w:pPr>
        <w:pBdr>
          <w:top w:val="nil"/>
          <w:left w:val="nil"/>
          <w:bottom w:val="nil"/>
          <w:right w:val="nil"/>
          <w:between w:val="nil"/>
        </w:pBdr>
        <w:ind w:left="720"/>
        <w:rPr>
          <w:color w:val="000000"/>
          <w:sz w:val="24"/>
        </w:rPr>
      </w:pPr>
    </w:p>
    <w:p w:rsidR="002038C7" w:rsidRDefault="002038C7" w:rsidP="00422837">
      <w:pPr>
        <w:pStyle w:val="Heading1"/>
        <w:numPr>
          <w:ilvl w:val="0"/>
          <w:numId w:val="0"/>
        </w:numPr>
        <w:spacing w:after="120"/>
        <w:ind w:left="720" w:hanging="720"/>
        <w:rPr>
          <w:sz w:val="32"/>
          <w:szCs w:val="32"/>
        </w:rPr>
      </w:pPr>
      <w:bookmarkStart w:id="2" w:name="_heading=h.32hioqz" w:colFirst="0" w:colLast="0"/>
      <w:bookmarkEnd w:id="2"/>
      <w:r>
        <w:rPr>
          <w:sz w:val="32"/>
          <w:szCs w:val="32"/>
        </w:rPr>
        <w:t xml:space="preserve">definitions </w:t>
      </w:r>
    </w:p>
    <w:p w:rsidR="002038C7" w:rsidRDefault="002038C7" w:rsidP="00422837">
      <w:pPr>
        <w:pStyle w:val="Heading1"/>
        <w:numPr>
          <w:ilvl w:val="0"/>
          <w:numId w:val="0"/>
        </w:numPr>
        <w:spacing w:after="120"/>
        <w:rPr>
          <w:sz w:val="32"/>
          <w:szCs w:val="32"/>
        </w:rPr>
      </w:pPr>
      <w:bookmarkStart w:id="3" w:name="_heading=h.1hmsyys" w:colFirst="0" w:colLast="0"/>
      <w:bookmarkEnd w:id="3"/>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048"/>
        <w:gridCol w:w="6251"/>
      </w:tblGrid>
      <w:tr w:rsidR="002038C7" w:rsidTr="00DA7C8D">
        <w:trPr>
          <w:trHeight w:val="247"/>
        </w:trPr>
        <w:tc>
          <w:tcPr>
            <w:tcW w:w="2048" w:type="dxa"/>
            <w:shd w:val="clear" w:color="auto" w:fill="B8CCE4"/>
          </w:tcPr>
          <w:p w:rsidR="002038C7" w:rsidRDefault="002038C7" w:rsidP="00DA7C8D">
            <w:pPr>
              <w:pStyle w:val="Heading2"/>
              <w:numPr>
                <w:ilvl w:val="0"/>
                <w:numId w:val="0"/>
              </w:numPr>
              <w:spacing w:after="120"/>
              <w:ind w:left="18"/>
              <w:jc w:val="left"/>
              <w:rPr>
                <w:color w:val="000000"/>
                <w:sz w:val="24"/>
                <w:szCs w:val="24"/>
              </w:rPr>
            </w:pPr>
            <w:bookmarkStart w:id="4" w:name="_heading=h.41mghml" w:colFirst="0" w:colLast="0"/>
            <w:bookmarkEnd w:id="4"/>
            <w:r>
              <w:rPr>
                <w:color w:val="000000"/>
                <w:sz w:val="24"/>
                <w:szCs w:val="24"/>
              </w:rPr>
              <w:t>Expression or Acronym</w:t>
            </w:r>
          </w:p>
        </w:tc>
        <w:tc>
          <w:tcPr>
            <w:tcW w:w="6251" w:type="dxa"/>
            <w:shd w:val="clear" w:color="auto" w:fill="B8CCE4"/>
          </w:tcPr>
          <w:p w:rsidR="002038C7" w:rsidRDefault="002038C7" w:rsidP="00DA7C8D">
            <w:pPr>
              <w:pStyle w:val="Heading2"/>
              <w:numPr>
                <w:ilvl w:val="0"/>
                <w:numId w:val="0"/>
              </w:numPr>
              <w:spacing w:after="120"/>
              <w:ind w:left="18"/>
              <w:jc w:val="left"/>
              <w:rPr>
                <w:color w:val="000000"/>
                <w:sz w:val="24"/>
                <w:szCs w:val="24"/>
              </w:rPr>
            </w:pPr>
            <w:bookmarkStart w:id="5" w:name="_heading=h.2grqrue" w:colFirst="0" w:colLast="0"/>
            <w:bookmarkEnd w:id="5"/>
            <w:r>
              <w:rPr>
                <w:color w:val="000000"/>
                <w:sz w:val="24"/>
                <w:szCs w:val="24"/>
              </w:rPr>
              <w:t>Definition</w:t>
            </w:r>
          </w:p>
        </w:tc>
      </w:tr>
      <w:tr w:rsidR="002038C7" w:rsidTr="00DA7C8D">
        <w:trPr>
          <w:trHeight w:val="247"/>
        </w:trPr>
        <w:tc>
          <w:tcPr>
            <w:tcW w:w="2048" w:type="dxa"/>
          </w:tcPr>
          <w:p w:rsidR="002038C7" w:rsidRPr="009C5C62" w:rsidRDefault="002038C7" w:rsidP="00DA7C8D">
            <w:pPr>
              <w:spacing w:before="120" w:after="120"/>
              <w:rPr>
                <w:rFonts w:eastAsia="STZhongsong"/>
                <w:sz w:val="24"/>
              </w:rPr>
            </w:pPr>
            <w:proofErr w:type="spellStart"/>
            <w:r w:rsidRPr="009C5C62">
              <w:rPr>
                <w:rFonts w:eastAsia="STZhongsong"/>
                <w:sz w:val="24"/>
              </w:rPr>
              <w:t>SSfG</w:t>
            </w:r>
            <w:proofErr w:type="spellEnd"/>
          </w:p>
        </w:tc>
        <w:tc>
          <w:tcPr>
            <w:tcW w:w="6251" w:type="dxa"/>
          </w:tcPr>
          <w:p w:rsidR="002038C7" w:rsidRPr="009C5C62" w:rsidRDefault="009E7AF1" w:rsidP="00DA7C8D">
            <w:pPr>
              <w:rPr>
                <w:rFonts w:eastAsia="STZhongsong"/>
                <w:b/>
                <w:sz w:val="24"/>
              </w:rPr>
            </w:pPr>
            <w:hyperlink r:id="rId8">
              <w:r w:rsidR="002038C7" w:rsidRPr="009C5C62">
                <w:rPr>
                  <w:rFonts w:eastAsia="STZhongsong"/>
                  <w:sz w:val="24"/>
                </w:rPr>
                <w:t>Shared Services for Government Strategy</w:t>
              </w:r>
            </w:hyperlink>
            <w:r w:rsidR="002038C7" w:rsidRPr="009C5C62">
              <w:rPr>
                <w:rFonts w:eastAsia="STZhongsong"/>
                <w:sz w:val="24"/>
              </w:rPr>
              <w:t>, published March 2021.</w:t>
            </w:r>
          </w:p>
        </w:tc>
      </w:tr>
      <w:tr w:rsidR="002038C7" w:rsidTr="00DA7C8D">
        <w:trPr>
          <w:trHeight w:val="905"/>
        </w:trPr>
        <w:tc>
          <w:tcPr>
            <w:tcW w:w="2048" w:type="dxa"/>
          </w:tcPr>
          <w:p w:rsidR="002038C7" w:rsidRPr="009C5C62" w:rsidRDefault="002038C7" w:rsidP="00DA7C8D">
            <w:pPr>
              <w:spacing w:before="120" w:after="120"/>
              <w:rPr>
                <w:rFonts w:eastAsia="STZhongsong"/>
                <w:sz w:val="24"/>
              </w:rPr>
            </w:pPr>
            <w:r w:rsidRPr="009C5C62">
              <w:rPr>
                <w:rFonts w:eastAsia="STZhongsong"/>
                <w:sz w:val="24"/>
              </w:rPr>
              <w:t>Cluster</w:t>
            </w:r>
          </w:p>
        </w:tc>
        <w:tc>
          <w:tcPr>
            <w:tcW w:w="6251" w:type="dxa"/>
          </w:tcPr>
          <w:p w:rsidR="002038C7" w:rsidRPr="009C5C62" w:rsidRDefault="002038C7" w:rsidP="00DA7C8D">
            <w:pPr>
              <w:rPr>
                <w:rFonts w:eastAsia="STZhongsong"/>
                <w:b/>
                <w:sz w:val="24"/>
              </w:rPr>
            </w:pPr>
            <w:r w:rsidRPr="009C5C62">
              <w:rPr>
                <w:rFonts w:eastAsia="STZhongsong"/>
                <w:sz w:val="24"/>
              </w:rPr>
              <w:t>Groupings of government departments that are coming together to form shared service centres.</w:t>
            </w:r>
          </w:p>
        </w:tc>
      </w:tr>
      <w:tr w:rsidR="002038C7" w:rsidTr="00DA7C8D">
        <w:trPr>
          <w:trHeight w:val="905"/>
        </w:trPr>
        <w:tc>
          <w:tcPr>
            <w:tcW w:w="2048" w:type="dxa"/>
          </w:tcPr>
          <w:p w:rsidR="002038C7" w:rsidRPr="009C5C62" w:rsidRDefault="002038C7" w:rsidP="00DA7C8D">
            <w:pPr>
              <w:spacing w:before="120" w:after="120"/>
              <w:rPr>
                <w:rFonts w:eastAsia="STZhongsong"/>
                <w:sz w:val="24"/>
              </w:rPr>
            </w:pPr>
            <w:r w:rsidRPr="009C5C62">
              <w:rPr>
                <w:rFonts w:eastAsia="STZhongsong"/>
                <w:sz w:val="24"/>
              </w:rPr>
              <w:t>Synergy cluster</w:t>
            </w:r>
          </w:p>
        </w:tc>
        <w:tc>
          <w:tcPr>
            <w:tcW w:w="6251" w:type="dxa"/>
          </w:tcPr>
          <w:p w:rsidR="002038C7" w:rsidRPr="009C5C62" w:rsidRDefault="002038C7" w:rsidP="00DA7C8D">
            <w:pPr>
              <w:rPr>
                <w:rFonts w:eastAsia="STZhongsong"/>
                <w:b/>
                <w:sz w:val="24"/>
              </w:rPr>
            </w:pPr>
            <w:r w:rsidRPr="009C5C62">
              <w:rPr>
                <w:rFonts w:eastAsia="STZhongsong"/>
                <w:sz w:val="24"/>
              </w:rPr>
              <w:t xml:space="preserve">The future shared service centre comprising </w:t>
            </w:r>
            <w:proofErr w:type="spellStart"/>
            <w:r w:rsidRPr="009C5C62">
              <w:rPr>
                <w:rFonts w:eastAsia="STZhongsong"/>
                <w:sz w:val="24"/>
              </w:rPr>
              <w:t>Dept</w:t>
            </w:r>
            <w:proofErr w:type="spellEnd"/>
            <w:r w:rsidRPr="009C5C62">
              <w:rPr>
                <w:rFonts w:eastAsia="STZhongsong"/>
                <w:sz w:val="24"/>
              </w:rPr>
              <w:t xml:space="preserve"> for Work &amp; Pensions (DWP), Home Office (HO), Ministry of Justice (</w:t>
            </w:r>
            <w:proofErr w:type="spellStart"/>
            <w:r w:rsidRPr="009C5C62">
              <w:rPr>
                <w:rFonts w:eastAsia="STZhongsong"/>
                <w:sz w:val="24"/>
              </w:rPr>
              <w:t>MoJ</w:t>
            </w:r>
            <w:proofErr w:type="spellEnd"/>
            <w:r w:rsidRPr="009C5C62">
              <w:rPr>
                <w:rFonts w:eastAsia="STZhongsong"/>
                <w:sz w:val="24"/>
              </w:rPr>
              <w:t xml:space="preserve">) and </w:t>
            </w:r>
            <w:proofErr w:type="spellStart"/>
            <w:r w:rsidRPr="009C5C62">
              <w:rPr>
                <w:rFonts w:eastAsia="STZhongsong"/>
                <w:sz w:val="24"/>
              </w:rPr>
              <w:t>Dept</w:t>
            </w:r>
            <w:proofErr w:type="spellEnd"/>
            <w:r w:rsidRPr="009C5C62">
              <w:rPr>
                <w:rFonts w:eastAsia="STZhongsong"/>
                <w:sz w:val="24"/>
              </w:rPr>
              <w:t xml:space="preserve"> for Environment, Food &amp; Rural Affairs (Defra), and associated arm’s length bodies. </w:t>
            </w:r>
          </w:p>
        </w:tc>
      </w:tr>
      <w:tr w:rsidR="002038C7" w:rsidTr="00DA7C8D">
        <w:trPr>
          <w:trHeight w:val="905"/>
        </w:trPr>
        <w:tc>
          <w:tcPr>
            <w:tcW w:w="2048" w:type="dxa"/>
          </w:tcPr>
          <w:p w:rsidR="002038C7" w:rsidRPr="009C5C62" w:rsidRDefault="002038C7" w:rsidP="00DA7C8D">
            <w:pPr>
              <w:spacing w:before="120" w:after="120"/>
              <w:rPr>
                <w:rFonts w:eastAsia="STZhongsong"/>
                <w:sz w:val="24"/>
              </w:rPr>
            </w:pPr>
            <w:r w:rsidRPr="009C5C62">
              <w:rPr>
                <w:rFonts w:eastAsia="STZhongsong"/>
                <w:sz w:val="24"/>
              </w:rPr>
              <w:t>Unity cluster</w:t>
            </w:r>
          </w:p>
        </w:tc>
        <w:tc>
          <w:tcPr>
            <w:tcW w:w="6251" w:type="dxa"/>
          </w:tcPr>
          <w:p w:rsidR="002038C7" w:rsidRPr="009C5C62" w:rsidRDefault="002038C7" w:rsidP="00DA7C8D">
            <w:pPr>
              <w:rPr>
                <w:rFonts w:eastAsia="STZhongsong"/>
                <w:b/>
                <w:sz w:val="24"/>
              </w:rPr>
            </w:pPr>
            <w:r w:rsidRPr="009C5C62">
              <w:rPr>
                <w:rFonts w:eastAsia="STZhongsong"/>
                <w:sz w:val="24"/>
              </w:rPr>
              <w:t xml:space="preserve">HMRC, </w:t>
            </w:r>
            <w:proofErr w:type="spellStart"/>
            <w:r w:rsidRPr="009C5C62">
              <w:rPr>
                <w:rFonts w:eastAsia="STZhongsong"/>
                <w:sz w:val="24"/>
              </w:rPr>
              <w:t>Dept</w:t>
            </w:r>
            <w:proofErr w:type="spellEnd"/>
            <w:r w:rsidRPr="009C5C62">
              <w:rPr>
                <w:rFonts w:eastAsia="STZhongsong"/>
                <w:sz w:val="24"/>
              </w:rPr>
              <w:t xml:space="preserve"> for Transport (</w:t>
            </w:r>
            <w:proofErr w:type="spellStart"/>
            <w:r w:rsidRPr="009C5C62">
              <w:rPr>
                <w:rFonts w:eastAsia="STZhongsong"/>
                <w:sz w:val="24"/>
              </w:rPr>
              <w:t>DfT</w:t>
            </w:r>
            <w:proofErr w:type="spellEnd"/>
            <w:r w:rsidRPr="009C5C62">
              <w:rPr>
                <w:rFonts w:eastAsia="STZhongsong"/>
                <w:sz w:val="24"/>
              </w:rPr>
              <w:t xml:space="preserve">), </w:t>
            </w:r>
            <w:proofErr w:type="spellStart"/>
            <w:r w:rsidRPr="009C5C62">
              <w:rPr>
                <w:rFonts w:eastAsia="STZhongsong"/>
                <w:sz w:val="24"/>
              </w:rPr>
              <w:t>Dept</w:t>
            </w:r>
            <w:proofErr w:type="spellEnd"/>
            <w:r w:rsidRPr="009C5C62">
              <w:rPr>
                <w:rFonts w:eastAsia="STZhongsong"/>
                <w:sz w:val="24"/>
              </w:rPr>
              <w:t xml:space="preserve"> for Levelling Up, Housing &amp; Communities (DLUHC), and associated arm’s length bodies.</w:t>
            </w:r>
          </w:p>
        </w:tc>
      </w:tr>
      <w:tr w:rsidR="002038C7" w:rsidTr="00DA7C8D">
        <w:trPr>
          <w:trHeight w:val="905"/>
        </w:trPr>
        <w:tc>
          <w:tcPr>
            <w:tcW w:w="2048" w:type="dxa"/>
          </w:tcPr>
          <w:p w:rsidR="002038C7" w:rsidRPr="009C5C62" w:rsidRDefault="002038C7" w:rsidP="00DA7C8D">
            <w:pPr>
              <w:spacing w:before="120" w:after="120"/>
              <w:rPr>
                <w:rFonts w:eastAsia="STZhongsong"/>
                <w:sz w:val="24"/>
              </w:rPr>
            </w:pPr>
            <w:r w:rsidRPr="009C5C62">
              <w:rPr>
                <w:rFonts w:eastAsia="STZhongsong"/>
                <w:sz w:val="24"/>
              </w:rPr>
              <w:t>Matrix cluster</w:t>
            </w:r>
          </w:p>
        </w:tc>
        <w:tc>
          <w:tcPr>
            <w:tcW w:w="6251" w:type="dxa"/>
          </w:tcPr>
          <w:p w:rsidR="002038C7" w:rsidRPr="009C5C62" w:rsidRDefault="002038C7" w:rsidP="00DA7C8D">
            <w:pPr>
              <w:rPr>
                <w:rFonts w:eastAsia="STZhongsong"/>
                <w:b/>
                <w:sz w:val="24"/>
              </w:rPr>
            </w:pPr>
            <w:proofErr w:type="spellStart"/>
            <w:r w:rsidRPr="009C5C62">
              <w:rPr>
                <w:rFonts w:eastAsia="STZhongsong"/>
                <w:sz w:val="24"/>
              </w:rPr>
              <w:t>Dept</w:t>
            </w:r>
            <w:proofErr w:type="spellEnd"/>
            <w:r w:rsidRPr="009C5C62">
              <w:rPr>
                <w:rFonts w:eastAsia="STZhongsong"/>
                <w:sz w:val="24"/>
              </w:rPr>
              <w:t xml:space="preserve"> for Business, Energy &amp; Industrial Strategy (BEIS), Attorney General’s Office (AGO), Cabinet Office (CO), </w:t>
            </w:r>
            <w:proofErr w:type="spellStart"/>
            <w:r w:rsidRPr="009C5C62">
              <w:rPr>
                <w:rFonts w:eastAsia="STZhongsong"/>
                <w:sz w:val="24"/>
              </w:rPr>
              <w:t>Dept</w:t>
            </w:r>
            <w:proofErr w:type="spellEnd"/>
            <w:r w:rsidRPr="009C5C62">
              <w:rPr>
                <w:rFonts w:eastAsia="STZhongsong"/>
                <w:sz w:val="24"/>
              </w:rPr>
              <w:t xml:space="preserve"> for Culture, Media &amp; Sport (DCMS), </w:t>
            </w:r>
            <w:proofErr w:type="spellStart"/>
            <w:r w:rsidRPr="009C5C62">
              <w:rPr>
                <w:rFonts w:eastAsia="STZhongsong"/>
                <w:sz w:val="24"/>
              </w:rPr>
              <w:t>Dept</w:t>
            </w:r>
            <w:proofErr w:type="spellEnd"/>
            <w:r w:rsidRPr="009C5C62">
              <w:rPr>
                <w:rFonts w:eastAsia="STZhongsong"/>
                <w:sz w:val="24"/>
              </w:rPr>
              <w:t xml:space="preserve"> for Education (</w:t>
            </w:r>
            <w:proofErr w:type="spellStart"/>
            <w:r w:rsidRPr="009C5C62">
              <w:rPr>
                <w:rFonts w:eastAsia="STZhongsong"/>
                <w:sz w:val="24"/>
              </w:rPr>
              <w:t>DfE</w:t>
            </w:r>
            <w:proofErr w:type="spellEnd"/>
            <w:r w:rsidRPr="009C5C62">
              <w:rPr>
                <w:rFonts w:eastAsia="STZhongsong"/>
                <w:sz w:val="24"/>
              </w:rPr>
              <w:t xml:space="preserve">), </w:t>
            </w:r>
            <w:proofErr w:type="spellStart"/>
            <w:r w:rsidRPr="009C5C62">
              <w:rPr>
                <w:rFonts w:eastAsia="STZhongsong"/>
                <w:sz w:val="24"/>
              </w:rPr>
              <w:t>Dept</w:t>
            </w:r>
            <w:proofErr w:type="spellEnd"/>
            <w:r w:rsidRPr="009C5C62">
              <w:rPr>
                <w:rFonts w:eastAsia="STZhongsong"/>
                <w:sz w:val="24"/>
              </w:rPr>
              <w:t xml:space="preserve"> for Health (DH), </w:t>
            </w:r>
            <w:proofErr w:type="spellStart"/>
            <w:r w:rsidRPr="009C5C62">
              <w:rPr>
                <w:rFonts w:eastAsia="STZhongsong"/>
                <w:sz w:val="24"/>
              </w:rPr>
              <w:t>Dept</w:t>
            </w:r>
            <w:proofErr w:type="spellEnd"/>
            <w:r w:rsidRPr="009C5C62">
              <w:rPr>
                <w:rFonts w:eastAsia="STZhongsong"/>
                <w:sz w:val="24"/>
              </w:rPr>
              <w:t xml:space="preserve"> for International Trade (DIT), HM Treasury (HMT), and associated arm’s length bodies.</w:t>
            </w:r>
          </w:p>
        </w:tc>
      </w:tr>
      <w:tr w:rsidR="002038C7" w:rsidTr="00DA7C8D">
        <w:trPr>
          <w:trHeight w:val="905"/>
        </w:trPr>
        <w:tc>
          <w:tcPr>
            <w:tcW w:w="2048" w:type="dxa"/>
          </w:tcPr>
          <w:p w:rsidR="002038C7" w:rsidRPr="009C5C62" w:rsidRDefault="002038C7" w:rsidP="00DA7C8D">
            <w:pPr>
              <w:spacing w:before="120" w:after="120"/>
              <w:rPr>
                <w:rFonts w:eastAsia="STZhongsong"/>
                <w:sz w:val="24"/>
              </w:rPr>
            </w:pPr>
            <w:r w:rsidRPr="009C5C62">
              <w:rPr>
                <w:rFonts w:eastAsia="STZhongsong"/>
                <w:sz w:val="24"/>
              </w:rPr>
              <w:t>SR21</w:t>
            </w:r>
          </w:p>
        </w:tc>
        <w:tc>
          <w:tcPr>
            <w:tcW w:w="6251" w:type="dxa"/>
          </w:tcPr>
          <w:p w:rsidR="002038C7" w:rsidRPr="009C5C62" w:rsidRDefault="002038C7" w:rsidP="00DA7C8D">
            <w:pPr>
              <w:rPr>
                <w:rFonts w:eastAsia="STZhongsong"/>
                <w:b/>
                <w:sz w:val="24"/>
              </w:rPr>
            </w:pPr>
            <w:r w:rsidRPr="009C5C62">
              <w:rPr>
                <w:rFonts w:eastAsia="STZhongsong"/>
                <w:sz w:val="24"/>
              </w:rPr>
              <w:t>Spending Review 2021, which sets departmental budgets until 2024-25, and included a funding envelope to support shared services transformation</w:t>
            </w:r>
          </w:p>
        </w:tc>
      </w:tr>
    </w:tbl>
    <w:p w:rsidR="00422837" w:rsidRDefault="00422837" w:rsidP="00422837">
      <w:pPr>
        <w:pStyle w:val="Heading1"/>
        <w:numPr>
          <w:ilvl w:val="0"/>
          <w:numId w:val="0"/>
        </w:numPr>
        <w:spacing w:after="120"/>
        <w:ind w:left="720" w:hanging="720"/>
        <w:rPr>
          <w:sz w:val="32"/>
          <w:szCs w:val="32"/>
        </w:rPr>
      </w:pPr>
      <w:bookmarkStart w:id="6" w:name="_heading=h.vx1227" w:colFirst="0" w:colLast="0"/>
      <w:bookmarkStart w:id="7" w:name="_heading=h.1v1yuxt" w:colFirst="0" w:colLast="0"/>
      <w:bookmarkStart w:id="8" w:name="_heading=h.3l18frh" w:colFirst="0" w:colLast="0"/>
      <w:bookmarkEnd w:id="6"/>
      <w:bookmarkEnd w:id="7"/>
      <w:bookmarkEnd w:id="8"/>
    </w:p>
    <w:p w:rsidR="002038C7" w:rsidRDefault="002038C7" w:rsidP="00422837">
      <w:pPr>
        <w:pStyle w:val="Heading1"/>
        <w:numPr>
          <w:ilvl w:val="0"/>
          <w:numId w:val="0"/>
        </w:numPr>
        <w:spacing w:after="120"/>
        <w:ind w:left="720" w:hanging="720"/>
        <w:rPr>
          <w:sz w:val="32"/>
          <w:szCs w:val="32"/>
        </w:rPr>
      </w:pPr>
      <w:r>
        <w:rPr>
          <w:sz w:val="32"/>
          <w:szCs w:val="32"/>
        </w:rPr>
        <w:t>The REQUIREMENT</w:t>
      </w:r>
    </w:p>
    <w:p w:rsidR="002038C7" w:rsidRPr="009C5C62" w:rsidRDefault="002038C7" w:rsidP="002038C7">
      <w:pPr>
        <w:numPr>
          <w:ilvl w:val="1"/>
          <w:numId w:val="1"/>
        </w:numPr>
        <w:pBdr>
          <w:top w:val="nil"/>
          <w:left w:val="nil"/>
          <w:bottom w:val="nil"/>
          <w:right w:val="nil"/>
          <w:between w:val="nil"/>
        </w:pBdr>
        <w:spacing w:after="240"/>
        <w:jc w:val="both"/>
        <w:rPr>
          <w:rFonts w:eastAsia="STZhongsong"/>
          <w:color w:val="000000"/>
          <w:sz w:val="24"/>
        </w:rPr>
      </w:pPr>
      <w:r w:rsidRPr="009C5C62">
        <w:rPr>
          <w:rFonts w:eastAsia="STZhongsong"/>
          <w:color w:val="000000"/>
          <w:sz w:val="24"/>
        </w:rPr>
        <w:t>Small expert team required to support the delivery of this work. To ensure pace, expertise should extend to the knowledge of HMT business case guidelines and what will be required to provide sufficient validation of benefits.</w:t>
      </w:r>
    </w:p>
    <w:p w:rsidR="002038C7" w:rsidRPr="009C5C62" w:rsidRDefault="002038C7" w:rsidP="002038C7">
      <w:pPr>
        <w:numPr>
          <w:ilvl w:val="1"/>
          <w:numId w:val="1"/>
        </w:numPr>
        <w:pBdr>
          <w:top w:val="nil"/>
          <w:left w:val="nil"/>
          <w:bottom w:val="nil"/>
          <w:right w:val="nil"/>
          <w:between w:val="nil"/>
        </w:pBdr>
        <w:spacing w:after="240"/>
        <w:jc w:val="both"/>
        <w:rPr>
          <w:rFonts w:eastAsia="STZhongsong"/>
          <w:color w:val="000000"/>
          <w:sz w:val="24"/>
        </w:rPr>
      </w:pPr>
      <w:r w:rsidRPr="009C5C62">
        <w:rPr>
          <w:rFonts w:eastAsia="STZhongsong"/>
          <w:color w:val="000000"/>
          <w:sz w:val="24"/>
        </w:rPr>
        <w:t>Technical understanding of shared service provision and implementation, extending to aspects such as enterprise resource planning and interoperability, is also key in scoping opportunities for efficiency and driving compliance through common processes.</w:t>
      </w:r>
    </w:p>
    <w:p w:rsidR="002038C7" w:rsidRPr="009C5C62" w:rsidRDefault="002038C7" w:rsidP="002038C7">
      <w:pPr>
        <w:numPr>
          <w:ilvl w:val="1"/>
          <w:numId w:val="1"/>
        </w:numPr>
        <w:pBdr>
          <w:top w:val="nil"/>
          <w:left w:val="nil"/>
          <w:bottom w:val="nil"/>
          <w:right w:val="nil"/>
          <w:between w:val="nil"/>
        </w:pBdr>
        <w:spacing w:after="240"/>
        <w:jc w:val="both"/>
        <w:rPr>
          <w:rFonts w:eastAsia="STZhongsong"/>
          <w:color w:val="000000"/>
          <w:sz w:val="24"/>
        </w:rPr>
      </w:pPr>
      <w:r w:rsidRPr="009C5C62">
        <w:rPr>
          <w:rFonts w:eastAsia="STZhongsong"/>
          <w:color w:val="000000"/>
          <w:sz w:val="24"/>
        </w:rPr>
        <w:lastRenderedPageBreak/>
        <w:t>The Supplier will work as part of a blended team, attend benefits working groups and complete knowledge transfer is expected by the end of the contract period.</w:t>
      </w:r>
    </w:p>
    <w:p w:rsidR="002038C7" w:rsidRPr="009C5C62" w:rsidRDefault="002038C7" w:rsidP="002038C7">
      <w:pPr>
        <w:numPr>
          <w:ilvl w:val="1"/>
          <w:numId w:val="1"/>
        </w:numPr>
        <w:pBdr>
          <w:top w:val="nil"/>
          <w:left w:val="nil"/>
          <w:bottom w:val="nil"/>
          <w:right w:val="nil"/>
          <w:between w:val="nil"/>
        </w:pBdr>
        <w:spacing w:after="240"/>
        <w:jc w:val="both"/>
        <w:rPr>
          <w:rFonts w:eastAsia="STZhongsong"/>
          <w:color w:val="000000"/>
          <w:sz w:val="24"/>
        </w:rPr>
      </w:pPr>
      <w:r w:rsidRPr="009C5C62">
        <w:rPr>
          <w:rFonts w:eastAsia="STZhongsong"/>
          <w:color w:val="000000"/>
          <w:sz w:val="24"/>
        </w:rPr>
        <w:t xml:space="preserve">Support will be provided with cluster engagement where and if required. This includes setting up workshops with relevant stakeholders. The </w:t>
      </w:r>
      <w:proofErr w:type="spellStart"/>
      <w:r w:rsidRPr="009C5C62">
        <w:rPr>
          <w:rFonts w:eastAsia="STZhongsong"/>
          <w:color w:val="000000"/>
          <w:sz w:val="24"/>
        </w:rPr>
        <w:t>SSfG</w:t>
      </w:r>
      <w:proofErr w:type="spellEnd"/>
      <w:r w:rsidRPr="009C5C62">
        <w:rPr>
          <w:rFonts w:eastAsia="STZhongsong"/>
          <w:color w:val="000000"/>
          <w:sz w:val="24"/>
        </w:rPr>
        <w:t xml:space="preserve"> team will also be on hand to provide access to existing data sets. As a priority activity key leads across the function will also be available to help shape ideas.</w:t>
      </w:r>
    </w:p>
    <w:p w:rsidR="002038C7" w:rsidRPr="009C5C62" w:rsidRDefault="002038C7" w:rsidP="002038C7">
      <w:pPr>
        <w:pBdr>
          <w:top w:val="nil"/>
          <w:left w:val="nil"/>
          <w:bottom w:val="nil"/>
          <w:right w:val="nil"/>
          <w:between w:val="nil"/>
        </w:pBdr>
        <w:tabs>
          <w:tab w:val="left" w:pos="1134"/>
        </w:tabs>
        <w:spacing w:before="120" w:after="120"/>
        <w:ind w:left="567" w:hanging="360"/>
        <w:jc w:val="both"/>
        <w:rPr>
          <w:rFonts w:eastAsia="STZhongsong"/>
          <w:color w:val="000000"/>
          <w:sz w:val="24"/>
        </w:rPr>
      </w:pPr>
    </w:p>
    <w:p w:rsidR="002038C7" w:rsidRDefault="002038C7" w:rsidP="002038C7">
      <w:pPr>
        <w:pStyle w:val="Heading1"/>
        <w:spacing w:after="120"/>
        <w:rPr>
          <w:sz w:val="32"/>
          <w:szCs w:val="32"/>
        </w:rPr>
      </w:pPr>
      <w:bookmarkStart w:id="9" w:name="_heading=h.206ipza" w:colFirst="0" w:colLast="0"/>
      <w:bookmarkEnd w:id="9"/>
      <w:r>
        <w:rPr>
          <w:sz w:val="32"/>
          <w:szCs w:val="32"/>
        </w:rPr>
        <w:t>key milestones and Deliverables</w:t>
      </w:r>
    </w:p>
    <w:p w:rsidR="002038C7" w:rsidRDefault="002038C7" w:rsidP="002038C7">
      <w:pPr>
        <w:pStyle w:val="Heading2"/>
        <w:spacing w:after="120"/>
        <w:ind w:left="709" w:hanging="709"/>
        <w:rPr>
          <w:sz w:val="24"/>
          <w:szCs w:val="24"/>
        </w:rPr>
      </w:pPr>
      <w:bookmarkStart w:id="10" w:name="_heading=h.4k668n3" w:colFirst="0" w:colLast="0"/>
      <w:bookmarkEnd w:id="10"/>
      <w:r>
        <w:rPr>
          <w:sz w:val="24"/>
          <w:szCs w:val="24"/>
        </w:rPr>
        <w:t>The following Contract milestones/deliverables shall apply:</w:t>
      </w:r>
    </w:p>
    <w:tbl>
      <w:tblPr>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13"/>
        <w:gridCol w:w="4805"/>
        <w:gridCol w:w="2401"/>
      </w:tblGrid>
      <w:tr w:rsidR="002038C7" w:rsidTr="00DA7C8D">
        <w:tc>
          <w:tcPr>
            <w:tcW w:w="1813" w:type="dxa"/>
            <w:shd w:val="clear" w:color="auto" w:fill="B8CCE4"/>
            <w:vAlign w:val="center"/>
          </w:tcPr>
          <w:p w:rsidR="002038C7" w:rsidRPr="009C5C62" w:rsidRDefault="002038C7" w:rsidP="00DA7C8D">
            <w:pPr>
              <w:pStyle w:val="Heading3"/>
              <w:numPr>
                <w:ilvl w:val="0"/>
                <w:numId w:val="0"/>
              </w:numPr>
              <w:spacing w:after="120"/>
              <w:jc w:val="left"/>
              <w:rPr>
                <w:sz w:val="24"/>
                <w:szCs w:val="24"/>
              </w:rPr>
            </w:pPr>
            <w:bookmarkStart w:id="11" w:name="_heading=h.2zbgiuw" w:colFirst="0" w:colLast="0"/>
            <w:bookmarkEnd w:id="11"/>
            <w:r w:rsidRPr="009C5C62">
              <w:rPr>
                <w:sz w:val="24"/>
                <w:szCs w:val="24"/>
              </w:rPr>
              <w:t>Milestone/Deliverable</w:t>
            </w:r>
          </w:p>
        </w:tc>
        <w:tc>
          <w:tcPr>
            <w:tcW w:w="4805" w:type="dxa"/>
            <w:shd w:val="clear" w:color="auto" w:fill="B8CCE4"/>
            <w:vAlign w:val="center"/>
          </w:tcPr>
          <w:p w:rsidR="002038C7" w:rsidRPr="009C5C62" w:rsidRDefault="002038C7" w:rsidP="00DA7C8D">
            <w:pPr>
              <w:pStyle w:val="Heading3"/>
              <w:numPr>
                <w:ilvl w:val="0"/>
                <w:numId w:val="0"/>
              </w:numPr>
              <w:spacing w:after="120"/>
              <w:jc w:val="center"/>
              <w:rPr>
                <w:sz w:val="24"/>
                <w:szCs w:val="24"/>
              </w:rPr>
            </w:pPr>
            <w:bookmarkStart w:id="12" w:name="_heading=h.1egqt2p" w:colFirst="0" w:colLast="0"/>
            <w:bookmarkEnd w:id="12"/>
            <w:r>
              <w:rPr>
                <w:sz w:val="24"/>
                <w:szCs w:val="24"/>
              </w:rPr>
              <w:t>Description</w:t>
            </w:r>
          </w:p>
        </w:tc>
        <w:tc>
          <w:tcPr>
            <w:tcW w:w="2401" w:type="dxa"/>
            <w:shd w:val="clear" w:color="auto" w:fill="B8CCE4"/>
            <w:vAlign w:val="center"/>
          </w:tcPr>
          <w:p w:rsidR="002038C7" w:rsidRPr="009C5C62" w:rsidRDefault="002038C7" w:rsidP="00DA7C8D">
            <w:pPr>
              <w:pStyle w:val="Heading3"/>
              <w:numPr>
                <w:ilvl w:val="0"/>
                <w:numId w:val="0"/>
              </w:numPr>
              <w:spacing w:after="120"/>
              <w:jc w:val="center"/>
              <w:rPr>
                <w:sz w:val="24"/>
                <w:szCs w:val="24"/>
              </w:rPr>
            </w:pPr>
            <w:bookmarkStart w:id="13" w:name="_heading=h.3ygebqi" w:colFirst="0" w:colLast="0"/>
            <w:bookmarkEnd w:id="13"/>
            <w:r>
              <w:rPr>
                <w:sz w:val="24"/>
                <w:szCs w:val="24"/>
              </w:rPr>
              <w:t>Timeframe or Delivery Date</w:t>
            </w:r>
          </w:p>
        </w:tc>
      </w:tr>
      <w:tr w:rsidR="002038C7" w:rsidTr="00DA7C8D">
        <w:tc>
          <w:tcPr>
            <w:tcW w:w="1813" w:type="dxa"/>
            <w:vAlign w:val="center"/>
          </w:tcPr>
          <w:p w:rsidR="002038C7" w:rsidRPr="009C5C62" w:rsidRDefault="002038C7" w:rsidP="00DA7C8D">
            <w:pPr>
              <w:pStyle w:val="Heading3"/>
              <w:numPr>
                <w:ilvl w:val="0"/>
                <w:numId w:val="0"/>
              </w:numPr>
              <w:spacing w:after="120"/>
              <w:ind w:left="1800" w:hanging="1080"/>
              <w:jc w:val="left"/>
              <w:rPr>
                <w:b/>
                <w:color w:val="000000"/>
                <w:sz w:val="24"/>
                <w:szCs w:val="24"/>
              </w:rPr>
            </w:pPr>
            <w:r>
              <w:rPr>
                <w:color w:val="000000"/>
                <w:sz w:val="24"/>
                <w:szCs w:val="24"/>
              </w:rPr>
              <w:t>A</w:t>
            </w:r>
          </w:p>
        </w:tc>
        <w:tc>
          <w:tcPr>
            <w:tcW w:w="4805" w:type="dxa"/>
            <w:vAlign w:val="center"/>
          </w:tcPr>
          <w:p w:rsidR="002038C7" w:rsidRPr="009C5C62" w:rsidRDefault="002038C7" w:rsidP="002038C7">
            <w:pPr>
              <w:pStyle w:val="Heading3"/>
              <w:numPr>
                <w:ilvl w:val="0"/>
                <w:numId w:val="3"/>
              </w:numPr>
              <w:spacing w:after="120"/>
              <w:jc w:val="left"/>
              <w:rPr>
                <w:b/>
                <w:color w:val="000000"/>
                <w:sz w:val="24"/>
                <w:szCs w:val="24"/>
              </w:rPr>
            </w:pPr>
            <w:r>
              <w:rPr>
                <w:color w:val="000000"/>
                <w:sz w:val="24"/>
                <w:szCs w:val="24"/>
              </w:rPr>
              <w:t>Approved programme plan with agreed dates for contract deliverables and key milestones finalised. </w:t>
            </w:r>
          </w:p>
          <w:p w:rsidR="002038C7" w:rsidRPr="009C5C62" w:rsidRDefault="002038C7" w:rsidP="002038C7">
            <w:pPr>
              <w:pStyle w:val="Heading3"/>
              <w:numPr>
                <w:ilvl w:val="0"/>
                <w:numId w:val="5"/>
              </w:numPr>
              <w:spacing w:after="120"/>
              <w:jc w:val="left"/>
              <w:rPr>
                <w:b/>
                <w:color w:val="000000"/>
                <w:sz w:val="24"/>
                <w:szCs w:val="24"/>
              </w:rPr>
            </w:pPr>
            <w:r>
              <w:rPr>
                <w:color w:val="000000"/>
                <w:sz w:val="24"/>
                <w:szCs w:val="24"/>
              </w:rPr>
              <w:t>Analysis to understand current landscape, available data sets and plan for gathering additional data if required.</w:t>
            </w:r>
          </w:p>
        </w:tc>
        <w:tc>
          <w:tcPr>
            <w:tcW w:w="2401" w:type="dxa"/>
            <w:vAlign w:val="center"/>
          </w:tcPr>
          <w:p w:rsidR="002038C7" w:rsidRPr="009C5C62" w:rsidRDefault="002038C7" w:rsidP="002038C7">
            <w:pPr>
              <w:pStyle w:val="Heading3"/>
              <w:numPr>
                <w:ilvl w:val="2"/>
                <w:numId w:val="5"/>
              </w:numPr>
              <w:spacing w:after="120"/>
              <w:ind w:left="42" w:right="-255" w:hanging="141"/>
              <w:jc w:val="left"/>
              <w:rPr>
                <w:b/>
                <w:color w:val="000000"/>
                <w:sz w:val="24"/>
                <w:szCs w:val="24"/>
              </w:rPr>
            </w:pPr>
            <w:r w:rsidRPr="009C5C62">
              <w:rPr>
                <w:color w:val="000000"/>
                <w:sz w:val="24"/>
                <w:szCs w:val="24"/>
              </w:rPr>
              <w:t>Within week 1 of Contract Award</w:t>
            </w:r>
          </w:p>
        </w:tc>
      </w:tr>
      <w:tr w:rsidR="002038C7" w:rsidTr="00DA7C8D">
        <w:tc>
          <w:tcPr>
            <w:tcW w:w="1813" w:type="dxa"/>
            <w:vAlign w:val="center"/>
          </w:tcPr>
          <w:p w:rsidR="002038C7" w:rsidRPr="009C5C62" w:rsidRDefault="002038C7" w:rsidP="00DA7C8D">
            <w:pPr>
              <w:pStyle w:val="Heading3"/>
              <w:numPr>
                <w:ilvl w:val="0"/>
                <w:numId w:val="0"/>
              </w:numPr>
              <w:spacing w:after="120"/>
              <w:ind w:left="1800" w:hanging="1080"/>
              <w:jc w:val="left"/>
              <w:rPr>
                <w:b/>
                <w:color w:val="000000"/>
                <w:sz w:val="24"/>
                <w:szCs w:val="24"/>
              </w:rPr>
            </w:pPr>
            <w:r>
              <w:rPr>
                <w:color w:val="000000"/>
                <w:sz w:val="24"/>
                <w:szCs w:val="24"/>
              </w:rPr>
              <w:t>B</w:t>
            </w:r>
          </w:p>
        </w:tc>
        <w:tc>
          <w:tcPr>
            <w:tcW w:w="4805" w:type="dxa"/>
            <w:vAlign w:val="center"/>
          </w:tcPr>
          <w:p w:rsidR="002038C7" w:rsidRPr="009C5C62" w:rsidRDefault="002038C7" w:rsidP="002038C7">
            <w:pPr>
              <w:pStyle w:val="Heading3"/>
              <w:numPr>
                <w:ilvl w:val="0"/>
                <w:numId w:val="4"/>
              </w:numPr>
              <w:spacing w:after="0"/>
              <w:jc w:val="left"/>
              <w:rPr>
                <w:b/>
                <w:color w:val="000000"/>
                <w:sz w:val="24"/>
                <w:szCs w:val="24"/>
              </w:rPr>
            </w:pPr>
            <w:r>
              <w:rPr>
                <w:color w:val="000000"/>
                <w:sz w:val="24"/>
                <w:szCs w:val="24"/>
              </w:rPr>
              <w:t>Identification of relevant case studies, and associated approach to benefits calculations, from which meaningful analysis and conclusions can be drawn from. </w:t>
            </w:r>
          </w:p>
          <w:p w:rsidR="002038C7" w:rsidRPr="009C5C62" w:rsidRDefault="002038C7" w:rsidP="002038C7">
            <w:pPr>
              <w:pStyle w:val="Heading3"/>
              <w:numPr>
                <w:ilvl w:val="2"/>
                <w:numId w:val="5"/>
              </w:numPr>
              <w:spacing w:after="0"/>
              <w:ind w:left="360" w:firstLine="1440"/>
              <w:jc w:val="left"/>
              <w:rPr>
                <w:b/>
                <w:color w:val="000000"/>
                <w:sz w:val="24"/>
                <w:szCs w:val="24"/>
              </w:rPr>
            </w:pPr>
          </w:p>
          <w:p w:rsidR="002038C7" w:rsidRPr="009C5C62" w:rsidRDefault="002038C7" w:rsidP="002038C7">
            <w:pPr>
              <w:pStyle w:val="Heading3"/>
              <w:numPr>
                <w:ilvl w:val="0"/>
                <w:numId w:val="4"/>
              </w:numPr>
              <w:spacing w:after="0"/>
              <w:jc w:val="left"/>
              <w:rPr>
                <w:b/>
                <w:color w:val="000000"/>
                <w:sz w:val="24"/>
                <w:szCs w:val="24"/>
              </w:rPr>
            </w:pPr>
            <w:r>
              <w:rPr>
                <w:color w:val="000000"/>
                <w:sz w:val="24"/>
                <w:szCs w:val="24"/>
              </w:rPr>
              <w:t>Workshop to validate ideas, applicability of external comparators and assumptions being made, to confirm the approach in completing the Scope of Requirement.</w:t>
            </w:r>
          </w:p>
        </w:tc>
        <w:tc>
          <w:tcPr>
            <w:tcW w:w="2401" w:type="dxa"/>
            <w:vAlign w:val="center"/>
          </w:tcPr>
          <w:p w:rsidR="002038C7" w:rsidRPr="009C5C62" w:rsidRDefault="002038C7" w:rsidP="002038C7">
            <w:pPr>
              <w:pStyle w:val="Heading3"/>
              <w:numPr>
                <w:ilvl w:val="2"/>
                <w:numId w:val="5"/>
              </w:numPr>
              <w:pBdr>
                <w:top w:val="nil"/>
                <w:left w:val="nil"/>
                <w:bottom w:val="nil"/>
                <w:right w:val="nil"/>
                <w:between w:val="nil"/>
              </w:pBdr>
              <w:spacing w:after="120"/>
              <w:ind w:left="42" w:right="-255" w:hanging="141"/>
              <w:jc w:val="left"/>
              <w:rPr>
                <w:b/>
                <w:color w:val="000000"/>
                <w:sz w:val="24"/>
                <w:szCs w:val="24"/>
              </w:rPr>
            </w:pPr>
            <w:r w:rsidRPr="009C5C62">
              <w:rPr>
                <w:color w:val="000000"/>
                <w:sz w:val="24"/>
                <w:szCs w:val="24"/>
              </w:rPr>
              <w:t>Within week 3 of Contract Award</w:t>
            </w:r>
          </w:p>
        </w:tc>
      </w:tr>
      <w:tr w:rsidR="002038C7" w:rsidTr="00DA7C8D">
        <w:tc>
          <w:tcPr>
            <w:tcW w:w="1813" w:type="dxa"/>
            <w:vAlign w:val="center"/>
          </w:tcPr>
          <w:p w:rsidR="002038C7" w:rsidRPr="009C5C62" w:rsidRDefault="002038C7" w:rsidP="00DA7C8D">
            <w:pPr>
              <w:pStyle w:val="Heading3"/>
              <w:numPr>
                <w:ilvl w:val="0"/>
                <w:numId w:val="0"/>
              </w:numPr>
              <w:spacing w:after="120"/>
              <w:ind w:left="1800" w:hanging="1080"/>
              <w:jc w:val="left"/>
              <w:rPr>
                <w:b/>
                <w:color w:val="000000"/>
                <w:sz w:val="24"/>
                <w:szCs w:val="24"/>
              </w:rPr>
            </w:pPr>
            <w:r>
              <w:rPr>
                <w:color w:val="000000"/>
                <w:sz w:val="24"/>
                <w:szCs w:val="24"/>
              </w:rPr>
              <w:t>C</w:t>
            </w:r>
          </w:p>
        </w:tc>
        <w:tc>
          <w:tcPr>
            <w:tcW w:w="4805" w:type="dxa"/>
            <w:vAlign w:val="center"/>
          </w:tcPr>
          <w:p w:rsidR="002038C7" w:rsidRPr="009C5C62" w:rsidRDefault="002038C7" w:rsidP="002038C7">
            <w:pPr>
              <w:pStyle w:val="Heading3"/>
              <w:numPr>
                <w:ilvl w:val="0"/>
                <w:numId w:val="7"/>
              </w:numPr>
              <w:spacing w:after="120"/>
              <w:jc w:val="left"/>
              <w:rPr>
                <w:b/>
                <w:color w:val="000000"/>
                <w:sz w:val="24"/>
                <w:szCs w:val="24"/>
              </w:rPr>
            </w:pPr>
            <w:r w:rsidRPr="009C5C62">
              <w:rPr>
                <w:color w:val="000000"/>
                <w:sz w:val="24"/>
                <w:szCs w:val="24"/>
              </w:rPr>
              <w:t>Financial model and associated methodology/framework produced which enables like for like comparison of costs and benefits</w:t>
            </w:r>
          </w:p>
          <w:p w:rsidR="002038C7" w:rsidRPr="009C5C62" w:rsidRDefault="002038C7" w:rsidP="002038C7">
            <w:pPr>
              <w:pStyle w:val="Heading3"/>
              <w:numPr>
                <w:ilvl w:val="0"/>
                <w:numId w:val="7"/>
              </w:numPr>
              <w:spacing w:after="120"/>
              <w:jc w:val="left"/>
              <w:rPr>
                <w:b/>
                <w:color w:val="000000"/>
                <w:sz w:val="24"/>
                <w:szCs w:val="24"/>
              </w:rPr>
            </w:pPr>
            <w:bookmarkStart w:id="14" w:name="_heading=h.3znysh7" w:colFirst="0" w:colLast="0"/>
            <w:bookmarkEnd w:id="14"/>
            <w:r>
              <w:rPr>
                <w:color w:val="000000"/>
                <w:sz w:val="24"/>
                <w:szCs w:val="24"/>
              </w:rPr>
              <w:t>Workshop to validate ideas and assumptions made in creating the model and to options for future investigation and/or further refinement.</w:t>
            </w:r>
          </w:p>
        </w:tc>
        <w:tc>
          <w:tcPr>
            <w:tcW w:w="2401" w:type="dxa"/>
            <w:vAlign w:val="center"/>
          </w:tcPr>
          <w:p w:rsidR="002038C7" w:rsidRPr="009C5C62" w:rsidRDefault="002038C7" w:rsidP="002038C7">
            <w:pPr>
              <w:pStyle w:val="Heading3"/>
              <w:numPr>
                <w:ilvl w:val="2"/>
                <w:numId w:val="5"/>
              </w:numPr>
              <w:pBdr>
                <w:top w:val="nil"/>
                <w:left w:val="nil"/>
                <w:bottom w:val="nil"/>
                <w:right w:val="nil"/>
                <w:between w:val="nil"/>
              </w:pBdr>
              <w:spacing w:after="120"/>
              <w:ind w:left="42" w:right="-255" w:hanging="141"/>
              <w:jc w:val="left"/>
              <w:rPr>
                <w:b/>
                <w:color w:val="000000"/>
                <w:sz w:val="24"/>
                <w:szCs w:val="24"/>
              </w:rPr>
            </w:pPr>
            <w:r w:rsidRPr="009C5C62">
              <w:rPr>
                <w:color w:val="000000"/>
                <w:sz w:val="24"/>
                <w:szCs w:val="24"/>
              </w:rPr>
              <w:t>Within week 6 of contract award</w:t>
            </w:r>
          </w:p>
        </w:tc>
      </w:tr>
      <w:tr w:rsidR="002038C7" w:rsidTr="00DA7C8D">
        <w:tc>
          <w:tcPr>
            <w:tcW w:w="1813" w:type="dxa"/>
            <w:vAlign w:val="center"/>
          </w:tcPr>
          <w:p w:rsidR="002038C7" w:rsidRPr="009C5C62" w:rsidRDefault="002038C7" w:rsidP="00DA7C8D">
            <w:pPr>
              <w:pStyle w:val="Heading3"/>
              <w:numPr>
                <w:ilvl w:val="0"/>
                <w:numId w:val="0"/>
              </w:numPr>
              <w:spacing w:after="120"/>
              <w:jc w:val="center"/>
              <w:rPr>
                <w:b/>
                <w:color w:val="000000"/>
                <w:sz w:val="24"/>
                <w:szCs w:val="24"/>
              </w:rPr>
            </w:pPr>
            <w:bookmarkStart w:id="15" w:name="_heading=h.2dlolyb" w:colFirst="0" w:colLast="0"/>
            <w:bookmarkEnd w:id="15"/>
            <w:r>
              <w:rPr>
                <w:color w:val="000000"/>
                <w:sz w:val="24"/>
                <w:szCs w:val="24"/>
              </w:rPr>
              <w:lastRenderedPageBreak/>
              <w:t>D</w:t>
            </w:r>
          </w:p>
        </w:tc>
        <w:tc>
          <w:tcPr>
            <w:tcW w:w="4805" w:type="dxa"/>
            <w:vAlign w:val="center"/>
          </w:tcPr>
          <w:p w:rsidR="002038C7" w:rsidRPr="009C5C62" w:rsidRDefault="002038C7" w:rsidP="002038C7">
            <w:pPr>
              <w:pStyle w:val="Heading3"/>
              <w:numPr>
                <w:ilvl w:val="2"/>
                <w:numId w:val="5"/>
              </w:numPr>
              <w:pBdr>
                <w:top w:val="nil"/>
                <w:left w:val="nil"/>
                <w:bottom w:val="nil"/>
                <w:right w:val="nil"/>
                <w:between w:val="nil"/>
              </w:pBdr>
              <w:spacing w:after="120"/>
              <w:ind w:left="0" w:firstLine="0"/>
              <w:jc w:val="left"/>
              <w:rPr>
                <w:b/>
                <w:color w:val="000000"/>
                <w:sz w:val="24"/>
                <w:szCs w:val="24"/>
              </w:rPr>
            </w:pPr>
            <w:r w:rsidRPr="009C5C62">
              <w:rPr>
                <w:color w:val="000000"/>
                <w:sz w:val="24"/>
                <w:szCs w:val="24"/>
              </w:rPr>
              <w:t>Interim report / presentation, to share initial findings against the 3 core objectives contained within Section 5 Scope of the Requirement, and enable prioritisation for the remainder of the Contract duration.</w:t>
            </w:r>
          </w:p>
        </w:tc>
        <w:tc>
          <w:tcPr>
            <w:tcW w:w="2401" w:type="dxa"/>
            <w:vAlign w:val="center"/>
          </w:tcPr>
          <w:p w:rsidR="002038C7" w:rsidRPr="009C5C62" w:rsidRDefault="002038C7" w:rsidP="002038C7">
            <w:pPr>
              <w:pStyle w:val="Heading3"/>
              <w:numPr>
                <w:ilvl w:val="2"/>
                <w:numId w:val="5"/>
              </w:numPr>
              <w:pBdr>
                <w:top w:val="nil"/>
                <w:left w:val="nil"/>
                <w:bottom w:val="nil"/>
                <w:right w:val="nil"/>
                <w:between w:val="nil"/>
              </w:pBdr>
              <w:spacing w:after="120"/>
              <w:ind w:left="42" w:right="-255" w:hanging="141"/>
              <w:jc w:val="left"/>
              <w:rPr>
                <w:b/>
                <w:color w:val="000000"/>
                <w:sz w:val="24"/>
                <w:szCs w:val="24"/>
              </w:rPr>
            </w:pPr>
            <w:r w:rsidRPr="009C5C62">
              <w:rPr>
                <w:color w:val="000000"/>
                <w:sz w:val="24"/>
                <w:szCs w:val="24"/>
              </w:rPr>
              <w:t>Within week 8 of Contract Award</w:t>
            </w:r>
          </w:p>
        </w:tc>
      </w:tr>
      <w:tr w:rsidR="002038C7" w:rsidTr="00DA7C8D">
        <w:tc>
          <w:tcPr>
            <w:tcW w:w="1813" w:type="dxa"/>
            <w:vAlign w:val="center"/>
          </w:tcPr>
          <w:p w:rsidR="002038C7" w:rsidRPr="009C5C62" w:rsidRDefault="002038C7" w:rsidP="00DA7C8D">
            <w:pPr>
              <w:pStyle w:val="Heading3"/>
              <w:numPr>
                <w:ilvl w:val="0"/>
                <w:numId w:val="0"/>
              </w:numPr>
              <w:spacing w:after="120"/>
              <w:ind w:left="1800" w:hanging="1080"/>
              <w:jc w:val="left"/>
              <w:rPr>
                <w:b/>
                <w:color w:val="000000"/>
                <w:sz w:val="24"/>
                <w:szCs w:val="24"/>
              </w:rPr>
            </w:pPr>
            <w:bookmarkStart w:id="16" w:name="_heading=h.1rvwp1q" w:colFirst="0" w:colLast="0"/>
            <w:bookmarkEnd w:id="16"/>
            <w:r>
              <w:rPr>
                <w:color w:val="000000"/>
                <w:sz w:val="24"/>
                <w:szCs w:val="24"/>
              </w:rPr>
              <w:t>E</w:t>
            </w:r>
          </w:p>
        </w:tc>
        <w:tc>
          <w:tcPr>
            <w:tcW w:w="4805" w:type="dxa"/>
            <w:vAlign w:val="center"/>
          </w:tcPr>
          <w:p w:rsidR="002038C7" w:rsidRPr="009C5C62" w:rsidRDefault="002038C7" w:rsidP="002038C7">
            <w:pPr>
              <w:pStyle w:val="Heading3"/>
              <w:numPr>
                <w:ilvl w:val="2"/>
                <w:numId w:val="5"/>
              </w:numPr>
              <w:pBdr>
                <w:top w:val="nil"/>
                <w:left w:val="nil"/>
                <w:bottom w:val="nil"/>
                <w:right w:val="nil"/>
                <w:between w:val="nil"/>
              </w:pBdr>
              <w:spacing w:after="120"/>
              <w:ind w:left="0" w:firstLine="0"/>
              <w:jc w:val="left"/>
              <w:rPr>
                <w:b/>
                <w:color w:val="000000"/>
                <w:sz w:val="24"/>
                <w:szCs w:val="24"/>
              </w:rPr>
            </w:pPr>
            <w:r w:rsidRPr="009C5C62">
              <w:rPr>
                <w:color w:val="000000"/>
                <w:sz w:val="24"/>
                <w:szCs w:val="24"/>
              </w:rPr>
              <w:t xml:space="preserve">First draft Final Report that details methodology, analysis, observations and recommendations as set out within the 3 core objectives contained within Section 5 Scope of the Requirement. It </w:t>
            </w:r>
            <w:proofErr w:type="gramStart"/>
            <w:r w:rsidRPr="009C5C62">
              <w:rPr>
                <w:color w:val="000000"/>
                <w:sz w:val="24"/>
                <w:szCs w:val="24"/>
              </w:rPr>
              <w:t>should  include</w:t>
            </w:r>
            <w:proofErr w:type="gramEnd"/>
            <w:r w:rsidRPr="009C5C62">
              <w:rPr>
                <w:color w:val="000000"/>
                <w:sz w:val="24"/>
                <w:szCs w:val="24"/>
              </w:rPr>
              <w:t xml:space="preserve"> raw data used to enable further future analysis and exploitation of the work. Where figures are provided e.g. to enable comparison of cluster forecast benefits vs external comparators, an Excel (or equivalent) file will be expected, to enable government to be able to work with the data in the future. </w:t>
            </w:r>
          </w:p>
        </w:tc>
        <w:tc>
          <w:tcPr>
            <w:tcW w:w="2401" w:type="dxa"/>
            <w:vAlign w:val="center"/>
          </w:tcPr>
          <w:p w:rsidR="002038C7" w:rsidRPr="009C5C62" w:rsidRDefault="002038C7" w:rsidP="002038C7">
            <w:pPr>
              <w:pStyle w:val="Heading3"/>
              <w:numPr>
                <w:ilvl w:val="2"/>
                <w:numId w:val="5"/>
              </w:numPr>
              <w:pBdr>
                <w:top w:val="nil"/>
                <w:left w:val="nil"/>
                <w:bottom w:val="nil"/>
                <w:right w:val="nil"/>
                <w:between w:val="nil"/>
              </w:pBdr>
              <w:spacing w:after="120"/>
              <w:ind w:left="42" w:right="-255" w:hanging="141"/>
              <w:jc w:val="left"/>
              <w:rPr>
                <w:b/>
                <w:color w:val="000000"/>
                <w:sz w:val="24"/>
                <w:szCs w:val="24"/>
              </w:rPr>
            </w:pPr>
            <w:r w:rsidRPr="009C5C62">
              <w:rPr>
                <w:color w:val="000000"/>
                <w:sz w:val="24"/>
                <w:szCs w:val="24"/>
              </w:rPr>
              <w:t>Within week 10 of Contract Award</w:t>
            </w:r>
          </w:p>
        </w:tc>
      </w:tr>
      <w:tr w:rsidR="002038C7" w:rsidTr="00DA7C8D">
        <w:tc>
          <w:tcPr>
            <w:tcW w:w="1813" w:type="dxa"/>
            <w:vAlign w:val="center"/>
          </w:tcPr>
          <w:p w:rsidR="002038C7" w:rsidRPr="009C5C62" w:rsidRDefault="002038C7" w:rsidP="00DA7C8D">
            <w:pPr>
              <w:pStyle w:val="Heading3"/>
              <w:numPr>
                <w:ilvl w:val="0"/>
                <w:numId w:val="0"/>
              </w:numPr>
              <w:spacing w:after="120"/>
              <w:ind w:left="1800" w:hanging="1080"/>
              <w:jc w:val="left"/>
              <w:rPr>
                <w:b/>
                <w:color w:val="000000"/>
                <w:sz w:val="24"/>
                <w:szCs w:val="24"/>
              </w:rPr>
            </w:pPr>
            <w:r>
              <w:rPr>
                <w:color w:val="000000"/>
                <w:sz w:val="24"/>
                <w:szCs w:val="24"/>
              </w:rPr>
              <w:t>F</w:t>
            </w:r>
          </w:p>
        </w:tc>
        <w:tc>
          <w:tcPr>
            <w:tcW w:w="4805" w:type="dxa"/>
            <w:vAlign w:val="center"/>
          </w:tcPr>
          <w:p w:rsidR="002038C7" w:rsidRPr="009C5C62" w:rsidRDefault="002038C7" w:rsidP="002038C7">
            <w:pPr>
              <w:pStyle w:val="Heading3"/>
              <w:numPr>
                <w:ilvl w:val="2"/>
                <w:numId w:val="5"/>
              </w:numPr>
              <w:pBdr>
                <w:top w:val="nil"/>
                <w:left w:val="nil"/>
                <w:bottom w:val="nil"/>
                <w:right w:val="nil"/>
                <w:between w:val="nil"/>
              </w:pBdr>
              <w:spacing w:after="120"/>
              <w:ind w:left="0" w:firstLine="0"/>
              <w:jc w:val="left"/>
              <w:rPr>
                <w:b/>
                <w:color w:val="000000"/>
                <w:sz w:val="24"/>
                <w:szCs w:val="24"/>
              </w:rPr>
            </w:pPr>
            <w:r w:rsidRPr="009C5C62">
              <w:rPr>
                <w:color w:val="000000"/>
                <w:sz w:val="24"/>
                <w:szCs w:val="24"/>
              </w:rPr>
              <w:t xml:space="preserve">Final draft Final Report that details methodology, analysis, observations and recommendations as set out within the 3 core objectives contained within Section 5 Scope of the Requirement. It </w:t>
            </w:r>
            <w:proofErr w:type="gramStart"/>
            <w:r w:rsidRPr="009C5C62">
              <w:rPr>
                <w:color w:val="000000"/>
                <w:sz w:val="24"/>
                <w:szCs w:val="24"/>
              </w:rPr>
              <w:t>should  include</w:t>
            </w:r>
            <w:proofErr w:type="gramEnd"/>
            <w:r w:rsidRPr="009C5C62">
              <w:rPr>
                <w:color w:val="000000"/>
                <w:sz w:val="24"/>
                <w:szCs w:val="24"/>
              </w:rPr>
              <w:t xml:space="preserve"> raw data used to enable further future analysis and exploitation of the work. Where figures are provided e.g. to enable comparison of cluster forecast benefits vs external comparators, an Excel (or equivalent) file will be expected, to enable government to be able to work with the data in the future. </w:t>
            </w:r>
          </w:p>
        </w:tc>
        <w:tc>
          <w:tcPr>
            <w:tcW w:w="2401" w:type="dxa"/>
            <w:vAlign w:val="center"/>
          </w:tcPr>
          <w:p w:rsidR="002038C7" w:rsidRPr="009C5C62" w:rsidRDefault="002038C7" w:rsidP="00DA7C8D">
            <w:pPr>
              <w:pStyle w:val="Heading3"/>
              <w:numPr>
                <w:ilvl w:val="0"/>
                <w:numId w:val="0"/>
              </w:numPr>
              <w:pBdr>
                <w:top w:val="nil"/>
                <w:left w:val="nil"/>
                <w:bottom w:val="nil"/>
                <w:right w:val="nil"/>
                <w:between w:val="nil"/>
              </w:pBdr>
              <w:spacing w:after="120"/>
              <w:ind w:left="42" w:right="-255"/>
              <w:jc w:val="left"/>
              <w:rPr>
                <w:b/>
                <w:color w:val="000000"/>
                <w:sz w:val="24"/>
                <w:szCs w:val="24"/>
              </w:rPr>
            </w:pPr>
            <w:r w:rsidRPr="009C5C62">
              <w:rPr>
                <w:color w:val="000000"/>
                <w:sz w:val="24"/>
                <w:szCs w:val="24"/>
              </w:rPr>
              <w:t>Within week 12 of Contract Award</w:t>
            </w:r>
          </w:p>
        </w:tc>
      </w:tr>
      <w:tr w:rsidR="002038C7" w:rsidTr="00DA7C8D">
        <w:tc>
          <w:tcPr>
            <w:tcW w:w="1813" w:type="dxa"/>
            <w:vAlign w:val="center"/>
          </w:tcPr>
          <w:p w:rsidR="002038C7" w:rsidRPr="003B431B" w:rsidRDefault="002038C7" w:rsidP="00DA7C8D">
            <w:pPr>
              <w:pStyle w:val="Heading3"/>
              <w:numPr>
                <w:ilvl w:val="0"/>
                <w:numId w:val="0"/>
              </w:numPr>
              <w:spacing w:after="120"/>
              <w:ind w:left="720"/>
              <w:jc w:val="left"/>
              <w:rPr>
                <w:b/>
                <w:color w:val="000000"/>
                <w:sz w:val="24"/>
                <w:szCs w:val="24"/>
              </w:rPr>
            </w:pPr>
            <w:bookmarkStart w:id="17" w:name="_heading=h.1664s55" w:colFirst="0" w:colLast="0"/>
            <w:bookmarkEnd w:id="17"/>
            <w:r>
              <w:rPr>
                <w:color w:val="000000"/>
                <w:sz w:val="24"/>
                <w:szCs w:val="24"/>
              </w:rPr>
              <w:t>G</w:t>
            </w:r>
          </w:p>
        </w:tc>
        <w:tc>
          <w:tcPr>
            <w:tcW w:w="4805" w:type="dxa"/>
            <w:vAlign w:val="center"/>
          </w:tcPr>
          <w:p w:rsidR="002038C7" w:rsidRPr="003B431B" w:rsidRDefault="002038C7" w:rsidP="002038C7">
            <w:pPr>
              <w:pStyle w:val="Heading3"/>
              <w:numPr>
                <w:ilvl w:val="2"/>
                <w:numId w:val="5"/>
              </w:numPr>
              <w:pBdr>
                <w:top w:val="nil"/>
                <w:left w:val="nil"/>
                <w:bottom w:val="nil"/>
                <w:right w:val="nil"/>
                <w:between w:val="nil"/>
              </w:pBdr>
              <w:spacing w:after="120"/>
              <w:ind w:left="0" w:firstLine="0"/>
              <w:jc w:val="left"/>
              <w:rPr>
                <w:b/>
                <w:color w:val="000000"/>
                <w:sz w:val="24"/>
                <w:szCs w:val="24"/>
              </w:rPr>
            </w:pPr>
            <w:r w:rsidRPr="003B431B">
              <w:rPr>
                <w:color w:val="000000"/>
                <w:sz w:val="24"/>
                <w:szCs w:val="24"/>
              </w:rPr>
              <w:t xml:space="preserve">Any tools or techniques developed or utilised as part of the contract, provided in a usable format that allows government to reuse the tools in the future. </w:t>
            </w:r>
          </w:p>
        </w:tc>
        <w:tc>
          <w:tcPr>
            <w:tcW w:w="2401" w:type="dxa"/>
            <w:vAlign w:val="center"/>
          </w:tcPr>
          <w:p w:rsidR="002038C7" w:rsidRPr="003B431B" w:rsidRDefault="002038C7" w:rsidP="002038C7">
            <w:pPr>
              <w:pStyle w:val="Heading3"/>
              <w:numPr>
                <w:ilvl w:val="2"/>
                <w:numId w:val="5"/>
              </w:numPr>
              <w:pBdr>
                <w:top w:val="nil"/>
                <w:left w:val="nil"/>
                <w:bottom w:val="nil"/>
                <w:right w:val="nil"/>
                <w:between w:val="nil"/>
              </w:pBdr>
              <w:spacing w:after="120"/>
              <w:ind w:left="42" w:right="-255" w:hanging="141"/>
              <w:jc w:val="left"/>
              <w:rPr>
                <w:b/>
                <w:color w:val="000000"/>
                <w:sz w:val="24"/>
                <w:szCs w:val="24"/>
              </w:rPr>
            </w:pPr>
            <w:r w:rsidRPr="003B431B">
              <w:rPr>
                <w:color w:val="000000"/>
                <w:sz w:val="24"/>
                <w:szCs w:val="24"/>
              </w:rPr>
              <w:t>Within week 12 of Contract Award</w:t>
            </w:r>
          </w:p>
        </w:tc>
      </w:tr>
      <w:tr w:rsidR="002038C7" w:rsidTr="00DA7C8D">
        <w:tc>
          <w:tcPr>
            <w:tcW w:w="1813" w:type="dxa"/>
            <w:vAlign w:val="center"/>
          </w:tcPr>
          <w:p w:rsidR="002038C7" w:rsidRPr="003B431B" w:rsidRDefault="002038C7" w:rsidP="00DA7C8D">
            <w:pPr>
              <w:pStyle w:val="Heading3"/>
              <w:numPr>
                <w:ilvl w:val="0"/>
                <w:numId w:val="0"/>
              </w:numPr>
              <w:spacing w:after="120"/>
              <w:jc w:val="center"/>
              <w:rPr>
                <w:b/>
                <w:color w:val="000000"/>
                <w:sz w:val="24"/>
                <w:szCs w:val="24"/>
              </w:rPr>
            </w:pPr>
            <w:bookmarkStart w:id="18" w:name="_heading=h.kgcv8k" w:colFirst="0" w:colLast="0"/>
            <w:bookmarkEnd w:id="18"/>
            <w:r>
              <w:rPr>
                <w:color w:val="000000"/>
                <w:sz w:val="24"/>
                <w:szCs w:val="24"/>
              </w:rPr>
              <w:t>H</w:t>
            </w:r>
          </w:p>
        </w:tc>
        <w:tc>
          <w:tcPr>
            <w:tcW w:w="4805" w:type="dxa"/>
            <w:vAlign w:val="center"/>
          </w:tcPr>
          <w:p w:rsidR="002038C7" w:rsidRPr="003B431B" w:rsidRDefault="002038C7" w:rsidP="002038C7">
            <w:pPr>
              <w:pStyle w:val="Heading3"/>
              <w:numPr>
                <w:ilvl w:val="2"/>
                <w:numId w:val="5"/>
              </w:numPr>
              <w:pBdr>
                <w:top w:val="nil"/>
                <w:left w:val="nil"/>
                <w:bottom w:val="nil"/>
                <w:right w:val="nil"/>
                <w:between w:val="nil"/>
              </w:pBdr>
              <w:spacing w:after="120"/>
              <w:ind w:left="0" w:firstLine="0"/>
              <w:jc w:val="left"/>
              <w:rPr>
                <w:b/>
                <w:color w:val="000000"/>
                <w:sz w:val="24"/>
                <w:szCs w:val="24"/>
              </w:rPr>
            </w:pPr>
            <w:r w:rsidRPr="003B431B">
              <w:rPr>
                <w:color w:val="000000"/>
                <w:sz w:val="24"/>
                <w:szCs w:val="24"/>
              </w:rPr>
              <w:t>Up to six presentations to the GBS team and to Clusters, where required, to explain the findings and to answer questions.</w:t>
            </w:r>
          </w:p>
        </w:tc>
        <w:tc>
          <w:tcPr>
            <w:tcW w:w="2401" w:type="dxa"/>
            <w:vAlign w:val="center"/>
          </w:tcPr>
          <w:p w:rsidR="002038C7" w:rsidRPr="003B431B" w:rsidRDefault="002038C7" w:rsidP="002038C7">
            <w:pPr>
              <w:pStyle w:val="Heading3"/>
              <w:numPr>
                <w:ilvl w:val="2"/>
                <w:numId w:val="5"/>
              </w:numPr>
              <w:pBdr>
                <w:top w:val="nil"/>
                <w:left w:val="nil"/>
                <w:bottom w:val="nil"/>
                <w:right w:val="nil"/>
                <w:between w:val="nil"/>
              </w:pBdr>
              <w:spacing w:after="120"/>
              <w:ind w:left="42" w:right="-255" w:hanging="141"/>
              <w:jc w:val="left"/>
              <w:rPr>
                <w:b/>
                <w:color w:val="000000"/>
                <w:sz w:val="24"/>
                <w:szCs w:val="24"/>
              </w:rPr>
            </w:pPr>
            <w:r w:rsidRPr="003B431B">
              <w:rPr>
                <w:color w:val="000000"/>
                <w:sz w:val="24"/>
                <w:szCs w:val="24"/>
              </w:rPr>
              <w:t>To take place between week 8 and week 12 of Contract Award</w:t>
            </w:r>
          </w:p>
        </w:tc>
      </w:tr>
    </w:tbl>
    <w:p w:rsidR="002038C7" w:rsidRDefault="002038C7" w:rsidP="002038C7">
      <w:pPr>
        <w:pBdr>
          <w:top w:val="nil"/>
          <w:left w:val="nil"/>
          <w:bottom w:val="nil"/>
          <w:right w:val="nil"/>
          <w:between w:val="nil"/>
        </w:pBdr>
        <w:spacing w:after="240"/>
        <w:ind w:left="1800" w:hanging="1080"/>
        <w:jc w:val="both"/>
        <w:rPr>
          <w:color w:val="000000"/>
        </w:rPr>
      </w:pPr>
      <w:bookmarkStart w:id="19" w:name="_heading=h.43ky6rz" w:colFirst="0" w:colLast="0"/>
      <w:bookmarkEnd w:id="19"/>
    </w:p>
    <w:p w:rsidR="002038C7" w:rsidRDefault="002038C7" w:rsidP="002038C7"/>
    <w:p w:rsidR="002038C7" w:rsidRDefault="002038C7" w:rsidP="002038C7">
      <w:pPr>
        <w:pStyle w:val="Heading1"/>
        <w:spacing w:after="120"/>
        <w:ind w:left="709" w:hanging="709"/>
        <w:rPr>
          <w:sz w:val="32"/>
          <w:szCs w:val="32"/>
        </w:rPr>
      </w:pPr>
      <w:bookmarkStart w:id="20" w:name="_heading=h.3hv69ve" w:colFirst="0" w:colLast="0"/>
      <w:bookmarkEnd w:id="20"/>
      <w:r>
        <w:rPr>
          <w:sz w:val="32"/>
          <w:szCs w:val="32"/>
        </w:rPr>
        <w:t>MANAGEMENT INFORMATION/reporting</w:t>
      </w:r>
    </w:p>
    <w:p w:rsidR="002038C7" w:rsidRDefault="002038C7" w:rsidP="00422837">
      <w:pPr>
        <w:pStyle w:val="Heading2"/>
        <w:numPr>
          <w:ilvl w:val="0"/>
          <w:numId w:val="0"/>
        </w:numPr>
        <w:spacing w:after="120"/>
        <w:rPr>
          <w:sz w:val="24"/>
          <w:szCs w:val="24"/>
        </w:rPr>
      </w:pPr>
      <w:bookmarkStart w:id="21" w:name="_heading=h.1x0gk37" w:colFirst="0" w:colLast="0"/>
      <w:bookmarkEnd w:id="21"/>
      <w:r>
        <w:rPr>
          <w:sz w:val="24"/>
          <w:szCs w:val="24"/>
        </w:rPr>
        <w:t>This section describes the Management Information (MI) and data reporting mandatory requirements that the Supplier shall fulfil in its entirety as part of the delivery of the Contract.</w:t>
      </w:r>
    </w:p>
    <w:p w:rsidR="002038C7" w:rsidRPr="009C5C62" w:rsidRDefault="002038C7" w:rsidP="00422837">
      <w:pPr>
        <w:pStyle w:val="Heading2"/>
        <w:numPr>
          <w:ilvl w:val="0"/>
          <w:numId w:val="0"/>
        </w:numPr>
        <w:spacing w:after="120"/>
        <w:ind w:left="720" w:hanging="720"/>
        <w:rPr>
          <w:sz w:val="24"/>
          <w:szCs w:val="24"/>
        </w:rPr>
      </w:pPr>
      <w:bookmarkStart w:id="22" w:name="_heading=h.4h042r0" w:colFirst="0" w:colLast="0"/>
      <w:bookmarkEnd w:id="22"/>
      <w:r w:rsidRPr="009C5C62">
        <w:rPr>
          <w:sz w:val="24"/>
          <w:szCs w:val="24"/>
        </w:rPr>
        <w:t>The Supplier shall attend weekly Contract re</w:t>
      </w:r>
      <w:r w:rsidR="00422837">
        <w:rPr>
          <w:sz w:val="24"/>
          <w:szCs w:val="24"/>
        </w:rPr>
        <w:t xml:space="preserve">view meetings with the </w:t>
      </w:r>
      <w:proofErr w:type="gramStart"/>
      <w:r w:rsidR="00422837">
        <w:rPr>
          <w:sz w:val="24"/>
          <w:szCs w:val="24"/>
        </w:rPr>
        <w:t xml:space="preserve">Customer </w:t>
      </w:r>
      <w:r w:rsidRPr="009C5C62">
        <w:rPr>
          <w:sz w:val="24"/>
          <w:szCs w:val="24"/>
        </w:rPr>
        <w:t xml:space="preserve"> to</w:t>
      </w:r>
      <w:proofErr w:type="gramEnd"/>
      <w:r w:rsidRPr="009C5C62">
        <w:rPr>
          <w:sz w:val="24"/>
          <w:szCs w:val="24"/>
        </w:rPr>
        <w:t xml:space="preserve"> repo</w:t>
      </w:r>
      <w:r w:rsidR="00422837">
        <w:rPr>
          <w:sz w:val="24"/>
          <w:szCs w:val="24"/>
        </w:rPr>
        <w:t xml:space="preserve">rt </w:t>
      </w:r>
      <w:r w:rsidRPr="009C5C62">
        <w:rPr>
          <w:sz w:val="24"/>
          <w:szCs w:val="24"/>
        </w:rPr>
        <w:t>on progress. Deliverables and Timelines are fixed so any obstacles need to be proactively and rapidly addressed.</w:t>
      </w:r>
    </w:p>
    <w:p w:rsidR="002038C7" w:rsidRDefault="002038C7" w:rsidP="00422837">
      <w:pPr>
        <w:pStyle w:val="Heading1"/>
        <w:numPr>
          <w:ilvl w:val="0"/>
          <w:numId w:val="0"/>
        </w:numPr>
        <w:spacing w:after="120"/>
        <w:ind w:left="720" w:hanging="720"/>
        <w:rPr>
          <w:sz w:val="32"/>
          <w:szCs w:val="32"/>
        </w:rPr>
      </w:pPr>
      <w:bookmarkStart w:id="23" w:name="_heading=h.2w5ecyt" w:colFirst="0" w:colLast="0"/>
      <w:bookmarkEnd w:id="23"/>
      <w:r>
        <w:rPr>
          <w:sz w:val="32"/>
          <w:szCs w:val="32"/>
        </w:rPr>
        <w:t xml:space="preserve">continuous improvement </w:t>
      </w:r>
    </w:p>
    <w:p w:rsidR="002038C7" w:rsidRDefault="002038C7" w:rsidP="00422837">
      <w:pPr>
        <w:pBdr>
          <w:top w:val="nil"/>
          <w:left w:val="nil"/>
          <w:bottom w:val="nil"/>
          <w:right w:val="nil"/>
          <w:between w:val="nil"/>
        </w:pBdr>
        <w:spacing w:after="240"/>
        <w:jc w:val="both"/>
        <w:rPr>
          <w:color w:val="000000"/>
          <w:sz w:val="24"/>
        </w:rPr>
      </w:pPr>
      <w:r>
        <w:rPr>
          <w:color w:val="000000"/>
          <w:sz w:val="24"/>
        </w:rPr>
        <w:t>The Supplier will be expected to continually improve the way in which the required Services are to be delivered throughout the Contract duration.</w:t>
      </w:r>
    </w:p>
    <w:p w:rsidR="002038C7" w:rsidRDefault="002038C7" w:rsidP="00422837">
      <w:pPr>
        <w:pBdr>
          <w:top w:val="nil"/>
          <w:left w:val="nil"/>
          <w:bottom w:val="nil"/>
          <w:right w:val="nil"/>
          <w:between w:val="nil"/>
        </w:pBdr>
        <w:spacing w:after="240"/>
        <w:jc w:val="both"/>
        <w:rPr>
          <w:color w:val="000000"/>
          <w:sz w:val="24"/>
        </w:rPr>
      </w:pPr>
      <w:r w:rsidRPr="009C5C62">
        <w:rPr>
          <w:color w:val="000000"/>
          <w:sz w:val="24"/>
        </w:rPr>
        <w:t xml:space="preserve">The Supplier should present new </w:t>
      </w:r>
      <w:r w:rsidR="00422837">
        <w:rPr>
          <w:color w:val="000000"/>
          <w:sz w:val="24"/>
        </w:rPr>
        <w:t>ways of working to the Customer</w:t>
      </w:r>
      <w:r w:rsidRPr="009C5C62">
        <w:rPr>
          <w:color w:val="000000"/>
          <w:sz w:val="24"/>
        </w:rPr>
        <w:t xml:space="preserve"> during weekly Contract review meetings. </w:t>
      </w:r>
    </w:p>
    <w:p w:rsidR="002038C7" w:rsidRDefault="002038C7" w:rsidP="00422837">
      <w:pPr>
        <w:pBdr>
          <w:top w:val="nil"/>
          <w:left w:val="nil"/>
          <w:bottom w:val="nil"/>
          <w:right w:val="nil"/>
          <w:between w:val="nil"/>
        </w:pBdr>
        <w:spacing w:after="240"/>
        <w:jc w:val="both"/>
        <w:rPr>
          <w:color w:val="000000"/>
          <w:sz w:val="24"/>
        </w:rPr>
      </w:pPr>
      <w:r w:rsidRPr="009C5C62">
        <w:rPr>
          <w:color w:val="000000"/>
          <w:sz w:val="24"/>
        </w:rPr>
        <w:t>Changes to the way in which the Services are to be delivered m</w:t>
      </w:r>
      <w:r w:rsidR="00422837">
        <w:rPr>
          <w:color w:val="000000"/>
          <w:sz w:val="24"/>
        </w:rPr>
        <w:t>ust be brought to the Customer’</w:t>
      </w:r>
      <w:r w:rsidRPr="009C5C62">
        <w:rPr>
          <w:color w:val="000000"/>
          <w:sz w:val="24"/>
        </w:rPr>
        <w:t>s attention and agreed prior to any changes being implemented.</w:t>
      </w:r>
    </w:p>
    <w:p w:rsidR="002038C7" w:rsidRDefault="002038C7" w:rsidP="002038C7">
      <w:pPr>
        <w:pStyle w:val="Heading2"/>
        <w:numPr>
          <w:ilvl w:val="0"/>
          <w:numId w:val="0"/>
        </w:numPr>
        <w:spacing w:after="120"/>
        <w:rPr>
          <w:sz w:val="24"/>
          <w:szCs w:val="24"/>
        </w:rPr>
      </w:pPr>
      <w:bookmarkStart w:id="24" w:name="_heading=h.1baon6m" w:colFirst="0" w:colLast="0"/>
      <w:bookmarkEnd w:id="24"/>
    </w:p>
    <w:p w:rsidR="002038C7" w:rsidRDefault="002038C7" w:rsidP="00422837">
      <w:pPr>
        <w:pStyle w:val="Heading1"/>
        <w:numPr>
          <w:ilvl w:val="0"/>
          <w:numId w:val="0"/>
        </w:numPr>
        <w:spacing w:after="120"/>
        <w:ind w:left="720" w:hanging="720"/>
        <w:rPr>
          <w:sz w:val="32"/>
          <w:szCs w:val="32"/>
        </w:rPr>
      </w:pPr>
      <w:bookmarkStart w:id="25" w:name="_heading=h.39kk8xu" w:colFirst="0" w:colLast="0"/>
      <w:bookmarkEnd w:id="25"/>
      <w:r>
        <w:rPr>
          <w:sz w:val="32"/>
          <w:szCs w:val="32"/>
        </w:rPr>
        <w:t>STAFF AND CUSTOMER SERVICE</w:t>
      </w:r>
    </w:p>
    <w:p w:rsidR="002038C7" w:rsidRDefault="002038C7" w:rsidP="00422837">
      <w:pPr>
        <w:pStyle w:val="Heading2"/>
        <w:numPr>
          <w:ilvl w:val="0"/>
          <w:numId w:val="0"/>
        </w:numPr>
        <w:ind w:left="720" w:hanging="720"/>
        <w:rPr>
          <w:b/>
          <w:sz w:val="24"/>
          <w:szCs w:val="24"/>
        </w:rPr>
      </w:pPr>
      <w:bookmarkStart w:id="26" w:name="_heading=h.1opuj5n" w:colFirst="0" w:colLast="0"/>
      <w:bookmarkEnd w:id="26"/>
      <w:r>
        <w:rPr>
          <w:sz w:val="24"/>
          <w:szCs w:val="24"/>
        </w:rPr>
        <w:t>This section describes the implementation, customer support service, complaints handling and marketing mandatory requirements that the Supplier shall fulfil in its entirety as part of the delivery of the Contract.</w:t>
      </w:r>
    </w:p>
    <w:p w:rsidR="002038C7" w:rsidRDefault="002038C7" w:rsidP="00422837">
      <w:pPr>
        <w:pStyle w:val="Heading2"/>
        <w:numPr>
          <w:ilvl w:val="0"/>
          <w:numId w:val="0"/>
        </w:numPr>
        <w:ind w:left="720" w:hanging="720"/>
        <w:rPr>
          <w:b/>
          <w:sz w:val="24"/>
          <w:szCs w:val="24"/>
        </w:rPr>
      </w:pPr>
      <w:bookmarkStart w:id="27" w:name="_heading=h.48pi1tg" w:colFirst="0" w:colLast="0"/>
      <w:bookmarkEnd w:id="27"/>
      <w:r>
        <w:rPr>
          <w:sz w:val="24"/>
          <w:szCs w:val="24"/>
        </w:rPr>
        <w:t xml:space="preserve">Mandatory implementation requirements: </w:t>
      </w:r>
    </w:p>
    <w:p w:rsidR="002038C7" w:rsidRDefault="002038C7" w:rsidP="00422837">
      <w:pPr>
        <w:pStyle w:val="Heading3"/>
        <w:numPr>
          <w:ilvl w:val="0"/>
          <w:numId w:val="0"/>
        </w:numPr>
        <w:ind w:left="720"/>
        <w:rPr>
          <w:sz w:val="24"/>
          <w:szCs w:val="24"/>
        </w:rPr>
      </w:pPr>
      <w:bookmarkStart w:id="28" w:name="_heading=h.2nusc19" w:colFirst="0" w:colLast="0"/>
      <w:bookmarkEnd w:id="28"/>
      <w:r>
        <w:rPr>
          <w:sz w:val="24"/>
          <w:szCs w:val="24"/>
        </w:rPr>
        <w:t>The Supplier shall provide a sufficient level of resource throughout the duration of the Contract in order to consistently deliver a quality service.</w:t>
      </w:r>
    </w:p>
    <w:p w:rsidR="002038C7" w:rsidRDefault="002038C7" w:rsidP="00422837">
      <w:pPr>
        <w:pStyle w:val="Heading3"/>
        <w:numPr>
          <w:ilvl w:val="0"/>
          <w:numId w:val="0"/>
        </w:numPr>
        <w:ind w:left="1800" w:hanging="1080"/>
        <w:rPr>
          <w:sz w:val="24"/>
          <w:szCs w:val="24"/>
        </w:rPr>
      </w:pPr>
      <w:bookmarkStart w:id="29" w:name="_heading=h.1302m92" w:colFirst="0" w:colLast="0"/>
      <w:bookmarkEnd w:id="29"/>
      <w:r>
        <w:rPr>
          <w:sz w:val="24"/>
          <w:szCs w:val="24"/>
        </w:rPr>
        <w:t xml:space="preserve">During implementation, the Supplier shall be required to provide a mechanism to demonstrate a full understanding of the </w:t>
      </w:r>
      <w:r w:rsidRPr="009C5C62">
        <w:rPr>
          <w:sz w:val="24"/>
          <w:szCs w:val="24"/>
        </w:rPr>
        <w:t>services/goods</w:t>
      </w:r>
      <w:r>
        <w:rPr>
          <w:sz w:val="24"/>
          <w:szCs w:val="24"/>
        </w:rPr>
        <w:t xml:space="preserve"> requirement and the ability to deliver the service provision within agreed timescales.</w:t>
      </w:r>
    </w:p>
    <w:p w:rsidR="002038C7" w:rsidRDefault="002038C7" w:rsidP="00422837">
      <w:pPr>
        <w:pStyle w:val="Heading3"/>
        <w:numPr>
          <w:ilvl w:val="0"/>
          <w:numId w:val="0"/>
        </w:numPr>
        <w:ind w:left="1800" w:hanging="1080"/>
        <w:rPr>
          <w:sz w:val="24"/>
          <w:szCs w:val="24"/>
        </w:rPr>
      </w:pPr>
      <w:bookmarkStart w:id="30" w:name="_heading=h.3mzq4wv" w:colFirst="0" w:colLast="0"/>
      <w:bookmarkEnd w:id="30"/>
      <w:r>
        <w:rPr>
          <w:sz w:val="24"/>
          <w:szCs w:val="24"/>
        </w:rPr>
        <w:t>The Supplier shall ensure that adequate and appropriate resources are available at all times to ensure that Milestone Deliverables and Key Performa</w:t>
      </w:r>
      <w:r w:rsidR="00422837">
        <w:rPr>
          <w:sz w:val="24"/>
          <w:szCs w:val="24"/>
        </w:rPr>
        <w:t>nce Indicators for the Customer</w:t>
      </w:r>
      <w:r>
        <w:rPr>
          <w:sz w:val="24"/>
          <w:szCs w:val="24"/>
        </w:rPr>
        <w:t>, as defined in sections 7 and 12 respectively, are not compromised.</w:t>
      </w:r>
    </w:p>
    <w:p w:rsidR="002038C7" w:rsidRDefault="002038C7" w:rsidP="00422837">
      <w:pPr>
        <w:pStyle w:val="Heading3"/>
        <w:numPr>
          <w:ilvl w:val="0"/>
          <w:numId w:val="0"/>
        </w:numPr>
        <w:ind w:left="1800" w:hanging="1080"/>
        <w:rPr>
          <w:color w:val="000000"/>
        </w:rPr>
      </w:pPr>
      <w:bookmarkStart w:id="31" w:name="_heading=h.2250f4o" w:colFirst="0" w:colLast="0"/>
      <w:bookmarkEnd w:id="31"/>
      <w:r>
        <w:rPr>
          <w:sz w:val="24"/>
          <w:szCs w:val="24"/>
        </w:rPr>
        <w:t xml:space="preserve">The Supplier shall ensure that all Supplier Personnel appointed have the relevant skills; experience and technical knowledge of the subject </w:t>
      </w:r>
      <w:r>
        <w:rPr>
          <w:sz w:val="24"/>
          <w:szCs w:val="24"/>
        </w:rPr>
        <w:lastRenderedPageBreak/>
        <w:t>matter covered under the Scope of Requirement as defined in section 6, in order</w:t>
      </w:r>
      <w:r>
        <w:rPr>
          <w:color w:val="000000"/>
          <w:sz w:val="24"/>
          <w:szCs w:val="24"/>
        </w:rPr>
        <w:t> to deliver the Contract to the required standard.</w:t>
      </w:r>
      <w:r>
        <w:rPr>
          <w:color w:val="000000"/>
        </w:rPr>
        <w:t xml:space="preserve"> </w:t>
      </w:r>
    </w:p>
    <w:p w:rsidR="002038C7" w:rsidRDefault="00422837" w:rsidP="00422837">
      <w:pPr>
        <w:pStyle w:val="Heading1"/>
        <w:numPr>
          <w:ilvl w:val="0"/>
          <w:numId w:val="0"/>
        </w:numPr>
        <w:spacing w:after="120"/>
        <w:ind w:left="720" w:hanging="720"/>
        <w:rPr>
          <w:sz w:val="32"/>
          <w:szCs w:val="32"/>
        </w:rPr>
      </w:pPr>
      <w:bookmarkStart w:id="32" w:name="_heading=h.3whwml4" w:colFirst="0" w:colLast="0"/>
      <w:bookmarkEnd w:id="32"/>
      <w:r>
        <w:rPr>
          <w:sz w:val="32"/>
          <w:szCs w:val="32"/>
        </w:rPr>
        <w:t>S</w:t>
      </w:r>
      <w:r w:rsidR="002038C7">
        <w:rPr>
          <w:sz w:val="32"/>
          <w:szCs w:val="32"/>
        </w:rPr>
        <w:t>ervice levels and performance</w:t>
      </w:r>
    </w:p>
    <w:p w:rsidR="002038C7" w:rsidRPr="00892B34" w:rsidRDefault="00422837" w:rsidP="00422837">
      <w:pPr>
        <w:pBdr>
          <w:top w:val="nil"/>
          <w:left w:val="nil"/>
          <w:bottom w:val="nil"/>
          <w:right w:val="nil"/>
          <w:between w:val="nil"/>
        </w:pBdr>
        <w:spacing w:after="240"/>
        <w:jc w:val="both"/>
        <w:rPr>
          <w:sz w:val="24"/>
        </w:rPr>
      </w:pPr>
      <w:bookmarkStart w:id="33" w:name="_heading=h.2bn6wsx" w:colFirst="0" w:colLast="0"/>
      <w:bookmarkEnd w:id="33"/>
      <w:r>
        <w:rPr>
          <w:rFonts w:eastAsia="Arial"/>
          <w:color w:val="000000"/>
          <w:sz w:val="24"/>
          <w:szCs w:val="22"/>
        </w:rPr>
        <w:t>T</w:t>
      </w:r>
      <w:r w:rsidR="002038C7" w:rsidRPr="00892B34">
        <w:rPr>
          <w:rFonts w:eastAsia="Arial"/>
          <w:color w:val="000000"/>
          <w:sz w:val="24"/>
          <w:szCs w:val="22"/>
        </w:rPr>
        <w:t>able 1 below, sets out the Key Performanc</w:t>
      </w:r>
      <w:r>
        <w:rPr>
          <w:rFonts w:eastAsia="Arial"/>
          <w:color w:val="000000"/>
          <w:sz w:val="24"/>
          <w:szCs w:val="22"/>
        </w:rPr>
        <w:t>e Indicators which the Customer</w:t>
      </w:r>
      <w:r w:rsidR="002038C7" w:rsidRPr="00892B34">
        <w:rPr>
          <w:rFonts w:eastAsia="Arial"/>
          <w:color w:val="000000"/>
          <w:sz w:val="24"/>
          <w:szCs w:val="22"/>
        </w:rPr>
        <w:t xml:space="preserve"> will measure the quality the Supplier’s delivery:</w:t>
      </w:r>
    </w:p>
    <w:p w:rsidR="002038C7" w:rsidRDefault="002038C7" w:rsidP="002038C7">
      <w:pPr>
        <w:tabs>
          <w:tab w:val="left" w:pos="0"/>
        </w:tabs>
        <w:ind w:left="-851"/>
        <w:rPr>
          <w:b/>
          <w:sz w:val="24"/>
        </w:rPr>
      </w:pPr>
      <w:r>
        <w:rPr>
          <w:b/>
          <w:sz w:val="24"/>
        </w:rPr>
        <w:tab/>
        <w:t>Table 1</w:t>
      </w:r>
    </w:p>
    <w:p w:rsidR="002038C7" w:rsidRDefault="002038C7" w:rsidP="002038C7">
      <w:pPr>
        <w:rPr>
          <w:sz w:val="18"/>
          <w:szCs w:val="18"/>
        </w:rPr>
      </w:pPr>
    </w:p>
    <w:tbl>
      <w:tblPr>
        <w:tblW w:w="9049" w:type="dxa"/>
        <w:tblBorders>
          <w:top w:val="nil"/>
          <w:left w:val="nil"/>
          <w:bottom w:val="nil"/>
          <w:right w:val="nil"/>
          <w:insideH w:val="nil"/>
          <w:insideV w:val="nil"/>
        </w:tblBorders>
        <w:tblLayout w:type="fixed"/>
        <w:tblLook w:val="0600" w:firstRow="0" w:lastRow="0" w:firstColumn="0" w:lastColumn="0" w:noHBand="1" w:noVBand="1"/>
      </w:tblPr>
      <w:tblGrid>
        <w:gridCol w:w="828"/>
        <w:gridCol w:w="1843"/>
        <w:gridCol w:w="5244"/>
        <w:gridCol w:w="1134"/>
      </w:tblGrid>
      <w:tr w:rsidR="002038C7" w:rsidTr="00DA7C8D">
        <w:trPr>
          <w:trHeight w:val="315"/>
        </w:trPr>
        <w:tc>
          <w:tcPr>
            <w:tcW w:w="828" w:type="dxa"/>
            <w:tcBorders>
              <w:top w:val="single" w:sz="18" w:space="0" w:color="000000"/>
              <w:left w:val="single" w:sz="18" w:space="0" w:color="000000"/>
              <w:bottom w:val="single" w:sz="18" w:space="0" w:color="000000"/>
              <w:right w:val="single" w:sz="18" w:space="0" w:color="000000"/>
            </w:tcBorders>
            <w:shd w:val="clear" w:color="auto" w:fill="DBE5F1"/>
            <w:tcMar>
              <w:top w:w="0" w:type="dxa"/>
              <w:left w:w="40" w:type="dxa"/>
              <w:bottom w:w="0" w:type="dxa"/>
              <w:right w:w="40" w:type="dxa"/>
            </w:tcMar>
          </w:tcPr>
          <w:p w:rsidR="002038C7" w:rsidRDefault="002038C7" w:rsidP="00DA7C8D">
            <w:pPr>
              <w:widowControl w:val="0"/>
              <w:pBdr>
                <w:top w:val="nil"/>
                <w:left w:val="nil"/>
                <w:bottom w:val="nil"/>
                <w:right w:val="nil"/>
                <w:between w:val="nil"/>
              </w:pBdr>
              <w:spacing w:line="276" w:lineRule="auto"/>
              <w:jc w:val="center"/>
              <w:rPr>
                <w:sz w:val="20"/>
                <w:szCs w:val="20"/>
              </w:rPr>
            </w:pPr>
            <w:r>
              <w:rPr>
                <w:b/>
              </w:rPr>
              <w:t>KPI</w:t>
            </w:r>
          </w:p>
        </w:tc>
        <w:tc>
          <w:tcPr>
            <w:tcW w:w="1843" w:type="dxa"/>
            <w:tcBorders>
              <w:top w:val="single" w:sz="18" w:space="0" w:color="000000"/>
              <w:left w:val="single" w:sz="18" w:space="0" w:color="000000"/>
              <w:bottom w:val="single" w:sz="18" w:space="0" w:color="000000"/>
              <w:right w:val="single" w:sz="18" w:space="0" w:color="000000"/>
            </w:tcBorders>
            <w:shd w:val="clear" w:color="auto" w:fill="DBE5F1"/>
            <w:tcMar>
              <w:top w:w="0" w:type="dxa"/>
              <w:left w:w="40" w:type="dxa"/>
              <w:bottom w:w="0" w:type="dxa"/>
              <w:right w:w="40" w:type="dxa"/>
            </w:tcMar>
          </w:tcPr>
          <w:p w:rsidR="002038C7" w:rsidRDefault="002038C7" w:rsidP="00DA7C8D">
            <w:pPr>
              <w:widowControl w:val="0"/>
              <w:spacing w:line="276" w:lineRule="auto"/>
              <w:jc w:val="center"/>
              <w:rPr>
                <w:sz w:val="20"/>
                <w:szCs w:val="20"/>
              </w:rPr>
            </w:pPr>
            <w:r>
              <w:rPr>
                <w:b/>
              </w:rPr>
              <w:t>Service Area</w:t>
            </w:r>
          </w:p>
        </w:tc>
        <w:tc>
          <w:tcPr>
            <w:tcW w:w="5244" w:type="dxa"/>
            <w:tcBorders>
              <w:top w:val="single" w:sz="18" w:space="0" w:color="000000"/>
              <w:left w:val="single" w:sz="18" w:space="0" w:color="000000"/>
              <w:bottom w:val="single" w:sz="18" w:space="0" w:color="000000"/>
              <w:right w:val="single" w:sz="18" w:space="0" w:color="000000"/>
            </w:tcBorders>
            <w:shd w:val="clear" w:color="auto" w:fill="DBE5F1"/>
            <w:tcMar>
              <w:top w:w="0" w:type="dxa"/>
              <w:left w:w="40" w:type="dxa"/>
              <w:bottom w:w="0" w:type="dxa"/>
              <w:right w:w="40" w:type="dxa"/>
            </w:tcMar>
          </w:tcPr>
          <w:p w:rsidR="002038C7" w:rsidRDefault="002038C7" w:rsidP="00DA7C8D">
            <w:pPr>
              <w:widowControl w:val="0"/>
              <w:spacing w:line="276" w:lineRule="auto"/>
              <w:jc w:val="center"/>
              <w:rPr>
                <w:sz w:val="20"/>
                <w:szCs w:val="20"/>
              </w:rPr>
            </w:pPr>
            <w:r>
              <w:rPr>
                <w:b/>
              </w:rPr>
              <w:t>KPI description</w:t>
            </w:r>
          </w:p>
        </w:tc>
        <w:tc>
          <w:tcPr>
            <w:tcW w:w="1134" w:type="dxa"/>
            <w:tcBorders>
              <w:top w:val="single" w:sz="18" w:space="0" w:color="000000"/>
              <w:left w:val="single" w:sz="18" w:space="0" w:color="000000"/>
              <w:bottom w:val="single" w:sz="18" w:space="0" w:color="000000"/>
              <w:right w:val="single" w:sz="18" w:space="0" w:color="000000"/>
            </w:tcBorders>
            <w:shd w:val="clear" w:color="auto" w:fill="DBE5F1"/>
            <w:tcMar>
              <w:top w:w="0" w:type="dxa"/>
              <w:left w:w="40" w:type="dxa"/>
              <w:bottom w:w="0" w:type="dxa"/>
              <w:right w:w="40" w:type="dxa"/>
            </w:tcMar>
          </w:tcPr>
          <w:p w:rsidR="002038C7" w:rsidRDefault="002038C7" w:rsidP="00DA7C8D">
            <w:pPr>
              <w:widowControl w:val="0"/>
              <w:spacing w:line="276" w:lineRule="auto"/>
              <w:jc w:val="center"/>
              <w:rPr>
                <w:sz w:val="20"/>
                <w:szCs w:val="20"/>
              </w:rPr>
            </w:pPr>
            <w:r>
              <w:rPr>
                <w:b/>
              </w:rPr>
              <w:t>Target</w:t>
            </w:r>
          </w:p>
        </w:tc>
      </w:tr>
      <w:tr w:rsidR="002038C7" w:rsidTr="00DA7C8D">
        <w:trPr>
          <w:trHeight w:val="705"/>
        </w:trPr>
        <w:tc>
          <w:tcPr>
            <w:tcW w:w="828" w:type="dxa"/>
            <w:tcBorders>
              <w:top w:val="single" w:sz="18" w:space="0" w:color="000000"/>
              <w:left w:val="single" w:sz="18" w:space="0" w:color="000000"/>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color w:val="222222"/>
                <w:sz w:val="24"/>
                <w:szCs w:val="20"/>
              </w:rPr>
              <w:t>1</w:t>
            </w:r>
          </w:p>
        </w:tc>
        <w:tc>
          <w:tcPr>
            <w:tcW w:w="1843" w:type="dxa"/>
            <w:tcBorders>
              <w:top w:val="single" w:sz="18"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sz w:val="24"/>
                <w:szCs w:val="20"/>
              </w:rPr>
            </w:pPr>
            <w:r w:rsidRPr="00892B34">
              <w:rPr>
                <w:sz w:val="24"/>
                <w:szCs w:val="20"/>
              </w:rPr>
              <w:t>Service Delivery - Programme</w:t>
            </w:r>
          </w:p>
        </w:tc>
        <w:tc>
          <w:tcPr>
            <w:tcW w:w="5244" w:type="dxa"/>
            <w:tcBorders>
              <w:top w:val="single" w:sz="18"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sz w:val="24"/>
                <w:szCs w:val="20"/>
              </w:rPr>
            </w:pPr>
            <w:r w:rsidRPr="00892B34">
              <w:rPr>
                <w:sz w:val="24"/>
                <w:szCs w:val="20"/>
              </w:rPr>
              <w:t>The Supplier is expected to deliver against the indicative timetable outlined at Section 7. Any variations will be agreed before commencement.</w:t>
            </w:r>
          </w:p>
        </w:tc>
        <w:tc>
          <w:tcPr>
            <w:tcW w:w="1134" w:type="dxa"/>
            <w:tcBorders>
              <w:top w:val="single" w:sz="18" w:space="0" w:color="000000"/>
              <w:left w:val="single" w:sz="7" w:space="0" w:color="CCCCCC"/>
              <w:bottom w:val="single" w:sz="7" w:space="0" w:color="000000"/>
              <w:right w:val="single" w:sz="18"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color w:val="222222"/>
                <w:sz w:val="24"/>
                <w:szCs w:val="20"/>
              </w:rPr>
              <w:t>98%</w:t>
            </w:r>
          </w:p>
        </w:tc>
      </w:tr>
      <w:tr w:rsidR="002038C7" w:rsidTr="00DA7C8D">
        <w:trPr>
          <w:trHeight w:val="450"/>
        </w:trPr>
        <w:tc>
          <w:tcPr>
            <w:tcW w:w="828" w:type="dxa"/>
            <w:tcBorders>
              <w:top w:val="single" w:sz="7" w:space="0" w:color="CCCCCC"/>
              <w:left w:val="single" w:sz="18" w:space="0" w:color="000000"/>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sz w:val="24"/>
                <w:szCs w:val="20"/>
              </w:rPr>
              <w:t>2</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sz w:val="24"/>
                <w:szCs w:val="20"/>
              </w:rPr>
            </w:pPr>
            <w:r w:rsidRPr="00892B34">
              <w:rPr>
                <w:sz w:val="24"/>
                <w:szCs w:val="20"/>
              </w:rPr>
              <w:t>Reporting</w:t>
            </w:r>
          </w:p>
        </w:tc>
        <w:tc>
          <w:tcPr>
            <w:tcW w:w="5244"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color w:val="222222"/>
                <w:sz w:val="24"/>
                <w:szCs w:val="20"/>
              </w:rPr>
            </w:pPr>
            <w:r w:rsidRPr="00892B34">
              <w:rPr>
                <w:color w:val="222222"/>
                <w:sz w:val="24"/>
                <w:szCs w:val="20"/>
              </w:rPr>
              <w:t>The Supplier will provide MI as indicated in Sections 5, 7 and 8.</w:t>
            </w:r>
          </w:p>
        </w:tc>
        <w:tc>
          <w:tcPr>
            <w:tcW w:w="1134" w:type="dxa"/>
            <w:tcBorders>
              <w:top w:val="single" w:sz="7" w:space="0" w:color="000000"/>
              <w:left w:val="single" w:sz="7" w:space="0" w:color="CCCCCC"/>
              <w:bottom w:val="single" w:sz="7" w:space="0" w:color="000000"/>
              <w:right w:val="single" w:sz="18"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color w:val="222222"/>
                <w:sz w:val="24"/>
                <w:szCs w:val="20"/>
              </w:rPr>
              <w:t>98%</w:t>
            </w:r>
          </w:p>
        </w:tc>
      </w:tr>
      <w:tr w:rsidR="002038C7" w:rsidTr="00DA7C8D">
        <w:trPr>
          <w:trHeight w:val="855"/>
        </w:trPr>
        <w:tc>
          <w:tcPr>
            <w:tcW w:w="828" w:type="dxa"/>
            <w:tcBorders>
              <w:top w:val="single" w:sz="7" w:space="0" w:color="CCCCCC"/>
              <w:left w:val="single" w:sz="18" w:space="0" w:color="000000"/>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sz w:val="24"/>
                <w:szCs w:val="20"/>
              </w:rPr>
              <w:t>3</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sz w:val="24"/>
                <w:szCs w:val="20"/>
              </w:rPr>
            </w:pPr>
            <w:r w:rsidRPr="00892B34">
              <w:rPr>
                <w:sz w:val="24"/>
                <w:szCs w:val="20"/>
              </w:rPr>
              <w:t>Resources - people</w:t>
            </w:r>
          </w:p>
        </w:tc>
        <w:tc>
          <w:tcPr>
            <w:tcW w:w="5244"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sz w:val="24"/>
                <w:szCs w:val="20"/>
              </w:rPr>
            </w:pPr>
            <w:r w:rsidRPr="00892B34">
              <w:rPr>
                <w:color w:val="222222"/>
                <w:sz w:val="24"/>
                <w:szCs w:val="20"/>
              </w:rPr>
              <w:t xml:space="preserve">The number of suitably </w:t>
            </w:r>
            <w:proofErr w:type="gramStart"/>
            <w:r w:rsidRPr="00892B34">
              <w:rPr>
                <w:color w:val="222222"/>
                <w:sz w:val="24"/>
                <w:szCs w:val="20"/>
              </w:rPr>
              <w:t>experienced  resources</w:t>
            </w:r>
            <w:proofErr w:type="gramEnd"/>
            <w:r w:rsidRPr="00892B34">
              <w:rPr>
                <w:color w:val="222222"/>
                <w:sz w:val="24"/>
                <w:szCs w:val="20"/>
              </w:rPr>
              <w:t xml:space="preserve"> supplied and available throughout the duration of the contract will be measured against the expected number set out as the suppliers proposed team.</w:t>
            </w:r>
          </w:p>
        </w:tc>
        <w:tc>
          <w:tcPr>
            <w:tcW w:w="1134" w:type="dxa"/>
            <w:tcBorders>
              <w:top w:val="single" w:sz="7" w:space="0" w:color="000000"/>
              <w:left w:val="single" w:sz="7" w:space="0" w:color="CCCCCC"/>
              <w:bottom w:val="single" w:sz="7" w:space="0" w:color="000000"/>
              <w:right w:val="single" w:sz="18"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color w:val="222222"/>
                <w:sz w:val="24"/>
                <w:szCs w:val="20"/>
              </w:rPr>
              <w:t>&gt;80%.</w:t>
            </w:r>
          </w:p>
        </w:tc>
      </w:tr>
      <w:tr w:rsidR="002038C7" w:rsidTr="00DA7C8D">
        <w:trPr>
          <w:trHeight w:val="1980"/>
        </w:trPr>
        <w:tc>
          <w:tcPr>
            <w:tcW w:w="828" w:type="dxa"/>
            <w:tcBorders>
              <w:top w:val="single" w:sz="7" w:space="0" w:color="CCCCCC"/>
              <w:left w:val="single" w:sz="18" w:space="0" w:color="000000"/>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sz w:val="24"/>
                <w:szCs w:val="20"/>
              </w:rPr>
              <w:t>4</w:t>
            </w:r>
          </w:p>
        </w:tc>
        <w:tc>
          <w:tcPr>
            <w:tcW w:w="1843"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color w:val="222222"/>
                <w:sz w:val="24"/>
                <w:szCs w:val="20"/>
              </w:rPr>
            </w:pPr>
            <w:r w:rsidRPr="00892B34">
              <w:rPr>
                <w:color w:val="222222"/>
                <w:sz w:val="24"/>
                <w:szCs w:val="20"/>
              </w:rPr>
              <w:t>Quality of service</w:t>
            </w:r>
          </w:p>
        </w:tc>
        <w:tc>
          <w:tcPr>
            <w:tcW w:w="5244"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color w:val="222222"/>
                <w:sz w:val="24"/>
                <w:szCs w:val="20"/>
              </w:rPr>
            </w:pPr>
            <w:r w:rsidRPr="00892B34">
              <w:rPr>
                <w:color w:val="222222"/>
                <w:sz w:val="24"/>
                <w:szCs w:val="20"/>
              </w:rPr>
              <w:t>The Supplier shall be able to provide anonymised, or draw insights from, real-life client-side case studies of proportionate fit (scale, complexity, problem-context and objectives are comparable to this programme) to enable meaningful comparison of the cluster forecast benefits. Owing to the pace of this contract, it is important this is fully met.</w:t>
            </w:r>
          </w:p>
        </w:tc>
        <w:tc>
          <w:tcPr>
            <w:tcW w:w="1134" w:type="dxa"/>
            <w:tcBorders>
              <w:top w:val="single" w:sz="7" w:space="0" w:color="CCCCCC"/>
              <w:left w:val="single" w:sz="7" w:space="0" w:color="CCCCCC"/>
              <w:bottom w:val="single" w:sz="7" w:space="0" w:color="000000"/>
              <w:right w:val="single" w:sz="18"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sz w:val="24"/>
                <w:szCs w:val="20"/>
              </w:rPr>
              <w:t>100%</w:t>
            </w:r>
          </w:p>
        </w:tc>
      </w:tr>
      <w:tr w:rsidR="002038C7" w:rsidTr="00DA7C8D">
        <w:trPr>
          <w:trHeight w:val="870"/>
        </w:trPr>
        <w:tc>
          <w:tcPr>
            <w:tcW w:w="828" w:type="dxa"/>
            <w:tcBorders>
              <w:top w:val="single" w:sz="7" w:space="0" w:color="CCCCCC"/>
              <w:left w:val="single" w:sz="18" w:space="0" w:color="000000"/>
              <w:bottom w:val="single" w:sz="7" w:space="0" w:color="CCCCCC"/>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color w:val="222222"/>
                <w:sz w:val="24"/>
                <w:szCs w:val="20"/>
              </w:rPr>
              <w:t>5</w:t>
            </w:r>
          </w:p>
        </w:tc>
        <w:tc>
          <w:tcPr>
            <w:tcW w:w="1843" w:type="dxa"/>
            <w:tcBorders>
              <w:top w:val="single" w:sz="7" w:space="0" w:color="CCCCCC"/>
              <w:left w:val="single" w:sz="7" w:space="0" w:color="CCCCCC"/>
              <w:bottom w:val="single" w:sz="7" w:space="0" w:color="CCCCCC"/>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sz w:val="24"/>
                <w:szCs w:val="20"/>
              </w:rPr>
            </w:pPr>
            <w:r w:rsidRPr="00892B34">
              <w:rPr>
                <w:sz w:val="24"/>
                <w:szCs w:val="20"/>
              </w:rPr>
              <w:t>Knowledge Transfer</w:t>
            </w:r>
          </w:p>
        </w:tc>
        <w:tc>
          <w:tcPr>
            <w:tcW w:w="5244" w:type="dxa"/>
            <w:tcBorders>
              <w:top w:val="single" w:sz="7" w:space="0" w:color="CCCCCC"/>
              <w:left w:val="single" w:sz="7" w:space="0" w:color="CCCCCC"/>
              <w:bottom w:val="single" w:sz="7" w:space="0" w:color="CCCCCC"/>
              <w:right w:val="single" w:sz="7"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rPr>
                <w:sz w:val="24"/>
                <w:szCs w:val="20"/>
              </w:rPr>
            </w:pPr>
            <w:r w:rsidRPr="00892B34">
              <w:rPr>
                <w:color w:val="222222"/>
                <w:sz w:val="24"/>
                <w:szCs w:val="20"/>
              </w:rPr>
              <w:t>The Supplier will provide regular kno</w:t>
            </w:r>
            <w:r w:rsidR="00422837">
              <w:rPr>
                <w:color w:val="222222"/>
                <w:sz w:val="24"/>
                <w:szCs w:val="20"/>
              </w:rPr>
              <w:t>wledge transfer to the Customer</w:t>
            </w:r>
            <w:r w:rsidRPr="00892B34">
              <w:rPr>
                <w:color w:val="222222"/>
                <w:sz w:val="24"/>
                <w:szCs w:val="20"/>
              </w:rPr>
              <w:t xml:space="preserve"> through reporting, sharing documents produced and holding knowledge sharing sessions if required.</w:t>
            </w:r>
          </w:p>
        </w:tc>
        <w:tc>
          <w:tcPr>
            <w:tcW w:w="1134" w:type="dxa"/>
            <w:tcBorders>
              <w:top w:val="single" w:sz="7" w:space="0" w:color="CCCCCC"/>
              <w:left w:val="single" w:sz="7" w:space="0" w:color="CCCCCC"/>
              <w:bottom w:val="single" w:sz="7" w:space="0" w:color="CCCCCC"/>
              <w:right w:val="single" w:sz="18" w:space="0" w:color="000000"/>
            </w:tcBorders>
            <w:shd w:val="clear" w:color="auto" w:fill="FFFFFF"/>
            <w:tcMar>
              <w:top w:w="0" w:type="dxa"/>
              <w:left w:w="40" w:type="dxa"/>
              <w:bottom w:w="0" w:type="dxa"/>
              <w:right w:w="40" w:type="dxa"/>
            </w:tcMar>
          </w:tcPr>
          <w:p w:rsidR="002038C7" w:rsidRPr="00892B34" w:rsidRDefault="002038C7" w:rsidP="00DA7C8D">
            <w:pPr>
              <w:widowControl w:val="0"/>
              <w:spacing w:line="276" w:lineRule="auto"/>
              <w:jc w:val="center"/>
              <w:rPr>
                <w:sz w:val="24"/>
                <w:szCs w:val="20"/>
              </w:rPr>
            </w:pPr>
            <w:r w:rsidRPr="00892B34">
              <w:rPr>
                <w:color w:val="222222"/>
                <w:sz w:val="24"/>
                <w:szCs w:val="20"/>
              </w:rPr>
              <w:t>As a minimum as indicated in Section 7</w:t>
            </w:r>
          </w:p>
        </w:tc>
      </w:tr>
    </w:tbl>
    <w:p w:rsidR="002038C7" w:rsidRDefault="002038C7" w:rsidP="002038C7">
      <w:pPr>
        <w:rPr>
          <w:sz w:val="18"/>
          <w:szCs w:val="18"/>
        </w:rPr>
      </w:pPr>
    </w:p>
    <w:p w:rsidR="002038C7" w:rsidRPr="002038C7" w:rsidRDefault="002038C7" w:rsidP="002038C7">
      <w:pPr>
        <w:rPr>
          <w:sz w:val="18"/>
          <w:szCs w:val="18"/>
        </w:rPr>
      </w:pPr>
    </w:p>
    <w:p w:rsidR="002038C7" w:rsidRDefault="002038C7" w:rsidP="002038C7">
      <w:pPr>
        <w:rPr>
          <w:sz w:val="18"/>
          <w:szCs w:val="18"/>
        </w:rPr>
      </w:pPr>
    </w:p>
    <w:p w:rsidR="002038C7" w:rsidRDefault="002038C7" w:rsidP="00422837">
      <w:pPr>
        <w:pStyle w:val="Heading1"/>
        <w:numPr>
          <w:ilvl w:val="0"/>
          <w:numId w:val="0"/>
        </w:numPr>
        <w:spacing w:after="120"/>
        <w:ind w:left="720" w:hanging="720"/>
        <w:rPr>
          <w:sz w:val="32"/>
          <w:szCs w:val="32"/>
        </w:rPr>
      </w:pPr>
      <w:bookmarkStart w:id="34" w:name="_heading=h.qsh70q" w:colFirst="0" w:colLast="0"/>
      <w:bookmarkStart w:id="35" w:name="_heading=h.319y80a" w:colFirst="0" w:colLast="0"/>
      <w:bookmarkEnd w:id="34"/>
      <w:bookmarkEnd w:id="35"/>
      <w:r>
        <w:rPr>
          <w:sz w:val="32"/>
          <w:szCs w:val="32"/>
        </w:rPr>
        <w:lastRenderedPageBreak/>
        <w:t>Security and CONFIDENTIALITY requirements</w:t>
      </w:r>
    </w:p>
    <w:p w:rsidR="002038C7" w:rsidRPr="009C5C62" w:rsidRDefault="002038C7" w:rsidP="00422837">
      <w:pPr>
        <w:pStyle w:val="Heading2"/>
        <w:numPr>
          <w:ilvl w:val="0"/>
          <w:numId w:val="0"/>
        </w:numPr>
        <w:ind w:left="720" w:hanging="720"/>
        <w:rPr>
          <w:b/>
          <w:sz w:val="24"/>
          <w:szCs w:val="24"/>
        </w:rPr>
      </w:pPr>
      <w:bookmarkStart w:id="36" w:name="_heading=h.1gf8i83" w:colFirst="0" w:colLast="0"/>
      <w:bookmarkEnd w:id="36"/>
      <w:r>
        <w:rPr>
          <w:sz w:val="24"/>
          <w:szCs w:val="24"/>
        </w:rPr>
        <w:t xml:space="preserve">Data assurance and security requirements are included in Attachment 6 of this contract, </w:t>
      </w:r>
      <w:r w:rsidRPr="009C5C62">
        <w:rPr>
          <w:sz w:val="24"/>
          <w:szCs w:val="24"/>
        </w:rPr>
        <w:t>if required.</w:t>
      </w:r>
    </w:p>
    <w:p w:rsidR="002038C7" w:rsidRDefault="002038C7" w:rsidP="00422837">
      <w:pPr>
        <w:pStyle w:val="Heading2"/>
        <w:numPr>
          <w:ilvl w:val="0"/>
          <w:numId w:val="0"/>
        </w:numPr>
        <w:ind w:left="720" w:hanging="720"/>
        <w:rPr>
          <w:b/>
          <w:sz w:val="24"/>
          <w:szCs w:val="24"/>
        </w:rPr>
      </w:pPr>
      <w:bookmarkStart w:id="37" w:name="_heading=h.40ew0vw" w:colFirst="0" w:colLast="0"/>
      <w:bookmarkEnd w:id="37"/>
      <w:r>
        <w:rPr>
          <w:sz w:val="24"/>
          <w:szCs w:val="24"/>
        </w:rPr>
        <w:t>Mandatory confidentiality requirements:</w:t>
      </w:r>
    </w:p>
    <w:p w:rsidR="002038C7" w:rsidRDefault="002038C7" w:rsidP="00422837">
      <w:pPr>
        <w:pBdr>
          <w:top w:val="nil"/>
          <w:left w:val="nil"/>
          <w:bottom w:val="nil"/>
          <w:right w:val="nil"/>
          <w:between w:val="nil"/>
        </w:pBdr>
        <w:spacing w:after="240"/>
        <w:jc w:val="both"/>
      </w:pPr>
      <w:bookmarkStart w:id="38" w:name="_heading=h.2fk6b3p" w:colFirst="0" w:colLast="0"/>
      <w:bookmarkEnd w:id="38"/>
      <w:r>
        <w:rPr>
          <w:color w:val="000000"/>
        </w:rPr>
        <w:t>Proof of DBS and proof of BPSS will be required.</w:t>
      </w:r>
    </w:p>
    <w:p w:rsidR="002038C7" w:rsidRDefault="002038C7" w:rsidP="00422837">
      <w:pPr>
        <w:pStyle w:val="Heading3"/>
        <w:numPr>
          <w:ilvl w:val="0"/>
          <w:numId w:val="0"/>
        </w:numPr>
        <w:ind w:left="1800" w:hanging="1080"/>
        <w:rPr>
          <w:sz w:val="24"/>
          <w:szCs w:val="24"/>
        </w:rPr>
      </w:pPr>
      <w:bookmarkStart w:id="39" w:name="_heading=h.upglbi" w:colFirst="0" w:colLast="0"/>
      <w:bookmarkEnd w:id="39"/>
      <w:r>
        <w:rPr>
          <w:sz w:val="24"/>
          <w:szCs w:val="24"/>
        </w:rPr>
        <w:t>The Supplier shall con</w:t>
      </w:r>
      <w:r w:rsidR="00422837">
        <w:rPr>
          <w:sz w:val="24"/>
          <w:szCs w:val="24"/>
        </w:rPr>
        <w:t>firm in writing to the Customer</w:t>
      </w:r>
      <w:r>
        <w:rPr>
          <w:sz w:val="24"/>
          <w:szCs w:val="24"/>
        </w:rPr>
        <w:t xml:space="preserve"> that they will ensure that all employees and any subcontractors ass</w:t>
      </w:r>
      <w:r w:rsidR="00422837">
        <w:rPr>
          <w:sz w:val="24"/>
          <w:szCs w:val="24"/>
        </w:rPr>
        <w:t>igned to work with the Customer</w:t>
      </w:r>
      <w:r>
        <w:rPr>
          <w:sz w:val="24"/>
          <w:szCs w:val="24"/>
        </w:rPr>
        <w:t xml:space="preserve"> on the contract will be reminded of their existing contractual confidentiality obligations including those under the Official Secrets Act 1989. This will be supplied following notification of award of the Contract and shall be signed on an individual basis </w:t>
      </w:r>
      <w:proofErr w:type="gramStart"/>
      <w:r>
        <w:rPr>
          <w:sz w:val="24"/>
          <w:szCs w:val="24"/>
        </w:rPr>
        <w:t>prior</w:t>
      </w:r>
      <w:proofErr w:type="gramEnd"/>
      <w:r>
        <w:rPr>
          <w:sz w:val="24"/>
          <w:szCs w:val="24"/>
        </w:rPr>
        <w:t xml:space="preserve"> to any work being undertaken. Suppliers’ employees and subcontractors must not disclose any privileged information they may come across in the course of their work.</w:t>
      </w:r>
    </w:p>
    <w:p w:rsidR="002038C7" w:rsidRDefault="002038C7" w:rsidP="00422837">
      <w:pPr>
        <w:pStyle w:val="Heading3"/>
        <w:numPr>
          <w:ilvl w:val="0"/>
          <w:numId w:val="0"/>
        </w:numPr>
        <w:ind w:left="1800" w:hanging="1080"/>
        <w:rPr>
          <w:sz w:val="24"/>
          <w:szCs w:val="24"/>
        </w:rPr>
      </w:pPr>
      <w:bookmarkStart w:id="40" w:name="_heading=h.3ep43zb" w:colFirst="0" w:colLast="0"/>
      <w:bookmarkEnd w:id="40"/>
      <w:r>
        <w:rPr>
          <w:sz w:val="24"/>
          <w:szCs w:val="24"/>
        </w:rPr>
        <w:t>The Supplier shall ensure that line managers maintain the standards of security expected and brief employees about the protection of assets and processes under their control. In particular, the Supplier shall or identify potential difficulties or conflicts of interests among employees and repo</w:t>
      </w:r>
      <w:r w:rsidR="00422837">
        <w:rPr>
          <w:sz w:val="24"/>
          <w:szCs w:val="24"/>
        </w:rPr>
        <w:t>rt any concerns to The Customer</w:t>
      </w:r>
    </w:p>
    <w:p w:rsidR="002038C7" w:rsidRDefault="002038C7" w:rsidP="00422837">
      <w:pPr>
        <w:pStyle w:val="Heading1"/>
        <w:numPr>
          <w:ilvl w:val="0"/>
          <w:numId w:val="0"/>
        </w:numPr>
        <w:spacing w:after="120"/>
        <w:ind w:left="720" w:hanging="720"/>
        <w:rPr>
          <w:sz w:val="32"/>
          <w:szCs w:val="32"/>
        </w:rPr>
      </w:pPr>
      <w:bookmarkStart w:id="41" w:name="_heading=h.1tuee74" w:colFirst="0" w:colLast="0"/>
      <w:bookmarkEnd w:id="41"/>
      <w:r>
        <w:rPr>
          <w:sz w:val="32"/>
          <w:szCs w:val="32"/>
        </w:rPr>
        <w:t xml:space="preserve">payment AND INVOICING </w:t>
      </w:r>
    </w:p>
    <w:p w:rsidR="002038C7" w:rsidRDefault="002038C7" w:rsidP="00422837">
      <w:pPr>
        <w:pStyle w:val="Heading2"/>
        <w:numPr>
          <w:ilvl w:val="0"/>
          <w:numId w:val="0"/>
        </w:numPr>
        <w:ind w:left="720" w:hanging="720"/>
        <w:rPr>
          <w:b/>
          <w:sz w:val="24"/>
          <w:szCs w:val="24"/>
        </w:rPr>
      </w:pPr>
      <w:bookmarkStart w:id="42" w:name="_heading=h.4du1wux" w:colFirst="0" w:colLast="0"/>
      <w:bookmarkEnd w:id="42"/>
      <w:r>
        <w:rPr>
          <w:sz w:val="24"/>
          <w:szCs w:val="24"/>
        </w:rPr>
        <w:t xml:space="preserve">This section describes the funding, invoicing and payment mandatory requirements that the Supplier shall fulfil in its entirety as part of the delivery of the Contract. </w:t>
      </w:r>
    </w:p>
    <w:p w:rsidR="002038C7" w:rsidRDefault="002038C7" w:rsidP="00422837">
      <w:pPr>
        <w:pStyle w:val="Heading2"/>
        <w:numPr>
          <w:ilvl w:val="0"/>
          <w:numId w:val="0"/>
        </w:numPr>
        <w:ind w:left="720" w:hanging="720"/>
        <w:rPr>
          <w:b/>
          <w:sz w:val="24"/>
          <w:szCs w:val="24"/>
        </w:rPr>
      </w:pPr>
      <w:bookmarkStart w:id="43" w:name="_heading=h.2szc72q" w:colFirst="0" w:colLast="0"/>
      <w:bookmarkEnd w:id="43"/>
      <w:r>
        <w:rPr>
          <w:sz w:val="24"/>
          <w:szCs w:val="24"/>
        </w:rPr>
        <w:t>The Supplier shall unless othe</w:t>
      </w:r>
      <w:r w:rsidR="00422837">
        <w:rPr>
          <w:sz w:val="24"/>
          <w:szCs w:val="24"/>
        </w:rPr>
        <w:t>rwise specified by the Customer</w:t>
      </w:r>
      <w:r>
        <w:rPr>
          <w:sz w:val="24"/>
          <w:szCs w:val="24"/>
        </w:rPr>
        <w:t>, submit all invoices in arrears. Frequency of invoicing will be agreed betwee</w:t>
      </w:r>
      <w:r w:rsidR="00422837">
        <w:rPr>
          <w:sz w:val="24"/>
          <w:szCs w:val="24"/>
        </w:rPr>
        <w:t>n the Supplier and the Customer</w:t>
      </w:r>
      <w:bookmarkStart w:id="44" w:name="_GoBack"/>
      <w:bookmarkEnd w:id="44"/>
      <w:r>
        <w:rPr>
          <w:sz w:val="24"/>
          <w:szCs w:val="24"/>
        </w:rPr>
        <w:t xml:space="preserve"> before commencement of service delivery. </w:t>
      </w:r>
    </w:p>
    <w:p w:rsidR="002038C7" w:rsidRDefault="002038C7" w:rsidP="00422837">
      <w:pPr>
        <w:pStyle w:val="Heading2"/>
        <w:numPr>
          <w:ilvl w:val="0"/>
          <w:numId w:val="0"/>
        </w:numPr>
        <w:ind w:left="720" w:hanging="720"/>
        <w:rPr>
          <w:b/>
          <w:sz w:val="24"/>
          <w:szCs w:val="24"/>
        </w:rPr>
      </w:pPr>
      <w:bookmarkStart w:id="45" w:name="_heading=h.184mhaj" w:colFirst="0" w:colLast="0"/>
      <w:bookmarkEnd w:id="45"/>
      <w:r>
        <w:rPr>
          <w:sz w:val="24"/>
          <w:szCs w:val="24"/>
        </w:rPr>
        <w:t xml:space="preserve">The Supplier shall provide a full itemised breakdown of charges and all invoices should be clearly addressed; and refer to the service provided and charging basis. </w:t>
      </w:r>
    </w:p>
    <w:p w:rsidR="002038C7" w:rsidRDefault="002038C7" w:rsidP="00422837">
      <w:pPr>
        <w:pStyle w:val="Heading2"/>
        <w:numPr>
          <w:ilvl w:val="0"/>
          <w:numId w:val="0"/>
        </w:numPr>
        <w:ind w:left="720" w:hanging="720"/>
        <w:rPr>
          <w:sz w:val="24"/>
          <w:szCs w:val="24"/>
        </w:rPr>
      </w:pPr>
      <w:bookmarkStart w:id="46" w:name="_heading=h.3s49zyc" w:colFirst="0" w:colLast="0"/>
      <w:bookmarkEnd w:id="46"/>
      <w:r>
        <w:rPr>
          <w:sz w:val="24"/>
          <w:szCs w:val="24"/>
        </w:rPr>
        <w:t>Payment can only be made following satisfactory delivery of pre-agreed certified products and deliverables.</w:t>
      </w:r>
    </w:p>
    <w:p w:rsidR="002038C7" w:rsidRDefault="002038C7" w:rsidP="00422837">
      <w:pPr>
        <w:pStyle w:val="Heading2"/>
        <w:numPr>
          <w:ilvl w:val="0"/>
          <w:numId w:val="0"/>
        </w:numPr>
        <w:ind w:left="720" w:hanging="720"/>
        <w:rPr>
          <w:sz w:val="24"/>
          <w:szCs w:val="24"/>
        </w:rPr>
      </w:pPr>
      <w:bookmarkStart w:id="47" w:name="_heading=h.279ka65" w:colFirst="0" w:colLast="0"/>
      <w:bookmarkEnd w:id="47"/>
      <w:r>
        <w:rPr>
          <w:sz w:val="24"/>
          <w:szCs w:val="24"/>
        </w:rPr>
        <w:t>Invoices must quote a valid purchase order number.</w:t>
      </w:r>
    </w:p>
    <w:p w:rsidR="002038C7" w:rsidRDefault="00422837" w:rsidP="00422837">
      <w:pPr>
        <w:pStyle w:val="Heading1"/>
        <w:numPr>
          <w:ilvl w:val="0"/>
          <w:numId w:val="0"/>
        </w:numPr>
        <w:spacing w:after="120"/>
        <w:ind w:left="720" w:hanging="720"/>
        <w:rPr>
          <w:sz w:val="32"/>
          <w:szCs w:val="32"/>
        </w:rPr>
      </w:pPr>
      <w:bookmarkStart w:id="48" w:name="_heading=h.meukdy" w:colFirst="0" w:colLast="0"/>
      <w:bookmarkEnd w:id="48"/>
      <w:r>
        <w:rPr>
          <w:sz w:val="32"/>
          <w:szCs w:val="32"/>
        </w:rPr>
        <w:t>C</w:t>
      </w:r>
      <w:r w:rsidR="002038C7">
        <w:rPr>
          <w:sz w:val="32"/>
          <w:szCs w:val="32"/>
        </w:rPr>
        <w:t xml:space="preserve">ONTRACT MANAGEMENT </w:t>
      </w:r>
    </w:p>
    <w:p w:rsidR="002038C7" w:rsidRDefault="002038C7" w:rsidP="00422837">
      <w:pPr>
        <w:pStyle w:val="Heading2"/>
        <w:numPr>
          <w:ilvl w:val="0"/>
          <w:numId w:val="0"/>
        </w:numPr>
        <w:spacing w:after="120"/>
        <w:ind w:left="720" w:hanging="720"/>
        <w:rPr>
          <w:sz w:val="24"/>
          <w:szCs w:val="24"/>
        </w:rPr>
      </w:pPr>
      <w:bookmarkStart w:id="49" w:name="_heading=h.36ei31r" w:colFirst="0" w:colLast="0"/>
      <w:bookmarkEnd w:id="49"/>
      <w:r>
        <w:rPr>
          <w:sz w:val="24"/>
          <w:szCs w:val="24"/>
        </w:rPr>
        <w:t>Attendance at Contract Review meetings shall be at the Supplier’s own expense.</w:t>
      </w:r>
    </w:p>
    <w:p w:rsidR="002038C7" w:rsidRDefault="002038C7" w:rsidP="00422837">
      <w:pPr>
        <w:pStyle w:val="Heading1"/>
        <w:numPr>
          <w:ilvl w:val="0"/>
          <w:numId w:val="0"/>
        </w:numPr>
        <w:spacing w:after="120"/>
        <w:ind w:left="720" w:hanging="720"/>
        <w:rPr>
          <w:sz w:val="32"/>
          <w:szCs w:val="32"/>
        </w:rPr>
      </w:pPr>
      <w:bookmarkStart w:id="50" w:name="_heading=h.1ljsd9k" w:colFirst="0" w:colLast="0"/>
      <w:bookmarkEnd w:id="50"/>
      <w:r>
        <w:rPr>
          <w:sz w:val="32"/>
          <w:szCs w:val="32"/>
        </w:rPr>
        <w:lastRenderedPageBreak/>
        <w:t xml:space="preserve">Location </w:t>
      </w:r>
    </w:p>
    <w:p w:rsidR="002038C7" w:rsidRDefault="002038C7" w:rsidP="00422837">
      <w:pPr>
        <w:pStyle w:val="Heading2"/>
        <w:numPr>
          <w:ilvl w:val="0"/>
          <w:numId w:val="0"/>
        </w:numPr>
        <w:spacing w:after="120"/>
        <w:ind w:left="720" w:hanging="720"/>
        <w:rPr>
          <w:sz w:val="24"/>
          <w:szCs w:val="24"/>
        </w:rPr>
      </w:pPr>
      <w:bookmarkStart w:id="51" w:name="_heading=h.45jfvxd" w:colFirst="0" w:colLast="0"/>
      <w:bookmarkEnd w:id="51"/>
      <w:r>
        <w:rPr>
          <w:color w:val="000000"/>
          <w:sz w:val="24"/>
          <w:szCs w:val="24"/>
        </w:rPr>
        <w:t xml:space="preserve">The location of the Services will be carried out in a Hybrid manner. Physical attendance, where required, will be at </w:t>
      </w:r>
      <w:r w:rsidR="00C93347" w:rsidRPr="00C93347">
        <w:rPr>
          <w:color w:val="FF0000"/>
          <w:sz w:val="24"/>
          <w:szCs w:val="24"/>
        </w:rPr>
        <w:t xml:space="preserve">REDACTED TEXT under FOIA Section 40, Personal </w:t>
      </w:r>
      <w:proofErr w:type="spellStart"/>
      <w:r w:rsidR="00C93347" w:rsidRPr="00C93347">
        <w:rPr>
          <w:color w:val="FF0000"/>
          <w:sz w:val="24"/>
          <w:szCs w:val="24"/>
        </w:rPr>
        <w:t>Information</w:t>
      </w:r>
      <w:r w:rsidR="00C93347">
        <w:rPr>
          <w:sz w:val="24"/>
          <w:szCs w:val="24"/>
        </w:rPr>
        <w:t>.</w:t>
      </w:r>
      <w:r>
        <w:rPr>
          <w:color w:val="000000"/>
          <w:sz w:val="24"/>
          <w:szCs w:val="24"/>
        </w:rPr>
        <w:t>and</w:t>
      </w:r>
      <w:proofErr w:type="spellEnd"/>
      <w:r>
        <w:rPr>
          <w:color w:val="000000"/>
          <w:sz w:val="24"/>
          <w:szCs w:val="24"/>
        </w:rPr>
        <w:t xml:space="preserve"> will be agreed in advance of any in-person meeting taking place. All workshops and meetings will be held in this venue.</w:t>
      </w:r>
    </w:p>
    <w:p w:rsidR="00E66792" w:rsidRDefault="00E66792"/>
    <w:sectPr w:rsidR="00E66792">
      <w:footerReference w:type="default" r:id="rId9"/>
      <w:pgSz w:w="11909" w:h="16834"/>
      <w:pgMar w:top="1440" w:right="1440" w:bottom="1559" w:left="1440" w:header="425"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AF1" w:rsidRDefault="009E7AF1" w:rsidP="002038C7">
      <w:r>
        <w:separator/>
      </w:r>
    </w:p>
  </w:endnote>
  <w:endnote w:type="continuationSeparator" w:id="0">
    <w:p w:rsidR="009E7AF1" w:rsidRDefault="009E7AF1" w:rsidP="0020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E1D" w:rsidRDefault="00BF3A79">
    <w:pPr>
      <w:pBdr>
        <w:top w:val="nil"/>
        <w:left w:val="nil"/>
        <w:bottom w:val="nil"/>
        <w:right w:val="nil"/>
        <w:between w:val="nil"/>
      </w:pBdr>
      <w:tabs>
        <w:tab w:val="center" w:pos="4153"/>
        <w:tab w:val="right" w:pos="8306"/>
      </w:tabs>
      <w:jc w:val="center"/>
      <w:rPr>
        <w:color w:val="000000"/>
      </w:rPr>
    </w:pPr>
    <w:r>
      <w:rPr>
        <w:noProof/>
        <w:lang w:eastAsia="en-GB"/>
      </w:rPr>
      <mc:AlternateContent>
        <mc:Choice Requires="wps">
          <w:drawing>
            <wp:anchor distT="0" distB="0" distL="114300" distR="114300" simplePos="0" relativeHeight="251659264" behindDoc="0" locked="0" layoutInCell="1" hidden="0" allowOverlap="1" wp14:anchorId="37A4F77D" wp14:editId="4EB74E60">
              <wp:simplePos x="0" y="0"/>
              <wp:positionH relativeFrom="column">
                <wp:posOffset>-25399</wp:posOffset>
              </wp:positionH>
              <wp:positionV relativeFrom="paragraph">
                <wp:posOffset>38100</wp:posOffset>
              </wp:positionV>
              <wp:extent cx="9525"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2474213" y="3775238"/>
                        <a:ext cx="5743575"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22008394" id="_x0000_t32" coordsize="21600,21600" o:spt="32" o:oned="t" path="m,l21600,21600e" filled="f">
              <v:path arrowok="t" fillok="f" o:connecttype="none"/>
              <o:lock v:ext="edit" shapetype="t"/>
            </v:shapetype>
            <v:shape id="Straight Arrow Connector 20" o:spid="_x0000_s1026" type="#_x0000_t32" style="position:absolute;margin-left:-2pt;margin-top:3pt;width:.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" strokecolor="black [3200]">
              <v:stroke startarrowwidth="narrow" startarrowlength="short" endarrowwidth="narrow" endarrowlength="short"/>
            </v:shape>
          </w:pict>
        </mc:Fallback>
      </mc:AlternateContent>
    </w:r>
  </w:p>
  <w:p w:rsidR="006E3E1D" w:rsidRDefault="00BF3A7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t>OFFICIAL</w:t>
    </w:r>
  </w:p>
  <w:p w:rsidR="002038C7" w:rsidRDefault="002038C7" w:rsidP="002038C7">
    <w:pPr>
      <w:rPr>
        <w:sz w:val="20"/>
        <w:szCs w:val="20"/>
      </w:rPr>
    </w:pPr>
    <w:r>
      <w:rPr>
        <w:sz w:val="20"/>
        <w:szCs w:val="20"/>
      </w:rPr>
      <w:t xml:space="preserve">Bid pack for </w:t>
    </w:r>
  </w:p>
  <w:p w:rsidR="002038C7" w:rsidRDefault="002038C7" w:rsidP="002038C7">
    <w:pPr>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rPr>
        <w:sz w:val="20"/>
        <w:szCs w:val="20"/>
      </w:rPr>
    </w:pPr>
    <w:r>
      <w:rPr>
        <w:sz w:val="20"/>
        <w:szCs w:val="20"/>
      </w:rPr>
      <w:t>Contract Reference: CCCC22A20</w:t>
    </w:r>
  </w:p>
  <w:p w:rsidR="006E3E1D" w:rsidRDefault="002038C7" w:rsidP="002038C7">
    <w:pPr>
      <w:pBdr>
        <w:top w:val="nil"/>
        <w:left w:val="nil"/>
        <w:bottom w:val="nil"/>
        <w:right w:val="nil"/>
        <w:between w:val="nil"/>
      </w:pBdr>
      <w:tabs>
        <w:tab w:val="center" w:pos="4153"/>
        <w:tab w:val="right" w:pos="8306"/>
      </w:tabs>
      <w:jc w:val="center"/>
      <w:rPr>
        <w:color w:val="000000"/>
      </w:rPr>
    </w:pPr>
    <w:r>
      <w:rPr>
        <w:color w:val="000000"/>
        <w:sz w:val="20"/>
        <w:szCs w:val="20"/>
      </w:rPr>
      <w:t>© Crown Copyright 2020</w:t>
    </w:r>
  </w:p>
  <w:p w:rsidR="006E3E1D" w:rsidRDefault="009E7AF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AF1" w:rsidRDefault="009E7AF1" w:rsidP="002038C7">
      <w:r>
        <w:separator/>
      </w:r>
    </w:p>
  </w:footnote>
  <w:footnote w:type="continuationSeparator" w:id="0">
    <w:p w:rsidR="009E7AF1" w:rsidRDefault="009E7AF1" w:rsidP="00203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0EE"/>
    <w:multiLevelType w:val="multilevel"/>
    <w:tmpl w:val="242C26D2"/>
    <w:styleLink w:val="WWOutlineListStyle3"/>
    <w:lvl w:ilvl="0">
      <w:start w:val="1"/>
      <w:numFmt w:val="decimal"/>
      <w:lvlText w:val="%1."/>
      <w:lvlJc w:val="left"/>
      <w:pPr>
        <w:ind w:left="360" w:hanging="360"/>
      </w:pPr>
      <w:rPr>
        <w:rFonts w:cs="Noto Sans"/>
        <w:sz w:val="20"/>
        <w:szCs w:val="20"/>
      </w:rPr>
    </w:lvl>
    <w:lvl w:ilvl="1">
      <w:start w:val="1"/>
      <w:numFmt w:val="decimal"/>
      <w:lvlText w:val="%2."/>
      <w:lvlJc w:val="left"/>
      <w:pPr>
        <w:ind w:left="2880" w:hanging="720"/>
      </w:pPr>
    </w:lvl>
    <w:lvl w:ilvl="2">
      <w:start w:val="1"/>
      <w:numFmt w:val="decimal"/>
      <w:lvlText w:val="%3."/>
      <w:lvlJc w:val="left"/>
      <w:pPr>
        <w:ind w:left="3600" w:hanging="720"/>
      </w:pPr>
    </w:lvl>
    <w:lvl w:ilvl="3">
      <w:start w:val="1"/>
      <w:numFmt w:val="decimal"/>
      <w:lvlText w:val="%4."/>
      <w:lvlJc w:val="left"/>
      <w:pPr>
        <w:ind w:left="4320" w:hanging="720"/>
      </w:pPr>
    </w:lvl>
    <w:lvl w:ilvl="4">
      <w:start w:val="1"/>
      <w:numFmt w:val="decimal"/>
      <w:lvlText w:val="%5."/>
      <w:lvlJc w:val="left"/>
      <w:pPr>
        <w:ind w:left="5040" w:hanging="720"/>
      </w:pPr>
    </w:lvl>
    <w:lvl w:ilvl="5">
      <w:start w:val="1"/>
      <w:numFmt w:val="decimal"/>
      <w:lvlText w:val="%6."/>
      <w:lvlJc w:val="left"/>
      <w:pPr>
        <w:ind w:left="5760" w:hanging="720"/>
      </w:pPr>
    </w:lvl>
    <w:lvl w:ilvl="6">
      <w:start w:val="1"/>
      <w:numFmt w:val="decimal"/>
      <w:lvlText w:val="%7."/>
      <w:lvlJc w:val="left"/>
      <w:pPr>
        <w:ind w:left="6480" w:hanging="720"/>
      </w:pPr>
    </w:lvl>
    <w:lvl w:ilvl="7">
      <w:start w:val="1"/>
      <w:numFmt w:val="decimal"/>
      <w:lvlText w:val="%8."/>
      <w:lvlJc w:val="left"/>
      <w:pPr>
        <w:ind w:left="5400" w:hanging="360"/>
      </w:pPr>
      <w:rPr>
        <w:rFonts w:cs="Courier New"/>
      </w:rPr>
    </w:lvl>
    <w:lvl w:ilvl="8">
      <w:start w:val="1"/>
      <w:numFmt w:val="decimal"/>
      <w:lvlText w:val="%9."/>
      <w:lvlJc w:val="left"/>
      <w:pPr>
        <w:ind w:left="6120" w:hanging="360"/>
      </w:pPr>
      <w:rPr>
        <w:rFonts w:cs="Noto Sans"/>
      </w:rPr>
    </w:lvl>
  </w:abstractNum>
  <w:abstractNum w:abstractNumId="1" w15:restartNumberingAfterBreak="0">
    <w:nsid w:val="03E108EE"/>
    <w:multiLevelType w:val="multilevel"/>
    <w:tmpl w:val="6660D4D4"/>
    <w:lvl w:ilvl="0">
      <w:start w:val="1"/>
      <w:numFmt w:val="bullet"/>
      <w:pStyle w:val="AppHead"/>
      <w:lvlText w:val="●"/>
      <w:lvlJc w:val="left"/>
      <w:pPr>
        <w:ind w:left="360" w:hanging="360"/>
      </w:pPr>
      <w:rPr>
        <w:rFonts w:ascii="Noto Sans" w:eastAsia="Noto Sans" w:hAnsi="Noto Sans" w:cs="Noto Sans"/>
        <w:sz w:val="20"/>
        <w:szCs w:val="20"/>
      </w:rPr>
    </w:lvl>
    <w:lvl w:ilvl="1">
      <w:start w:val="1"/>
      <w:numFmt w:val="bullet"/>
      <w:pStyle w:val="AppPar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w:eastAsia="Noto Sans" w:hAnsi="Noto Sans" w:cs="Noto Sans"/>
        <w:sz w:val="20"/>
        <w:szCs w:val="20"/>
      </w:rPr>
    </w:lvl>
    <w:lvl w:ilvl="3">
      <w:start w:val="1"/>
      <w:numFmt w:val="bullet"/>
      <w:lvlText w:val="▪"/>
      <w:lvlJc w:val="left"/>
      <w:pPr>
        <w:ind w:left="2520" w:hanging="360"/>
      </w:pPr>
      <w:rPr>
        <w:rFonts w:ascii="Noto Sans" w:eastAsia="Noto Sans" w:hAnsi="Noto Sans" w:cs="Noto Sans"/>
        <w:sz w:val="20"/>
        <w:szCs w:val="20"/>
      </w:rPr>
    </w:lvl>
    <w:lvl w:ilvl="4">
      <w:start w:val="1"/>
      <w:numFmt w:val="bullet"/>
      <w:lvlText w:val="▪"/>
      <w:lvlJc w:val="left"/>
      <w:pPr>
        <w:ind w:left="3240" w:hanging="360"/>
      </w:pPr>
      <w:rPr>
        <w:rFonts w:ascii="Noto Sans" w:eastAsia="Noto Sans" w:hAnsi="Noto Sans" w:cs="Noto Sans"/>
        <w:sz w:val="20"/>
        <w:szCs w:val="20"/>
      </w:rPr>
    </w:lvl>
    <w:lvl w:ilvl="5">
      <w:start w:val="1"/>
      <w:numFmt w:val="bullet"/>
      <w:lvlText w:val="▪"/>
      <w:lvlJc w:val="left"/>
      <w:pPr>
        <w:ind w:left="3960" w:hanging="360"/>
      </w:pPr>
      <w:rPr>
        <w:rFonts w:ascii="Noto Sans" w:eastAsia="Noto Sans" w:hAnsi="Noto Sans" w:cs="Noto Sans"/>
        <w:sz w:val="20"/>
        <w:szCs w:val="20"/>
      </w:rPr>
    </w:lvl>
    <w:lvl w:ilvl="6">
      <w:start w:val="1"/>
      <w:numFmt w:val="bullet"/>
      <w:lvlText w:val="▪"/>
      <w:lvlJc w:val="left"/>
      <w:pPr>
        <w:ind w:left="4680" w:hanging="360"/>
      </w:pPr>
      <w:rPr>
        <w:rFonts w:ascii="Noto Sans" w:eastAsia="Noto Sans" w:hAnsi="Noto Sans" w:cs="Noto Sans"/>
        <w:sz w:val="20"/>
        <w:szCs w:val="20"/>
      </w:rPr>
    </w:lvl>
    <w:lvl w:ilvl="7">
      <w:start w:val="1"/>
      <w:numFmt w:val="bullet"/>
      <w:lvlText w:val="▪"/>
      <w:lvlJc w:val="left"/>
      <w:pPr>
        <w:ind w:left="5400" w:hanging="360"/>
      </w:pPr>
      <w:rPr>
        <w:rFonts w:ascii="Noto Sans" w:eastAsia="Noto Sans" w:hAnsi="Noto Sans" w:cs="Noto Sans"/>
        <w:sz w:val="20"/>
        <w:szCs w:val="20"/>
      </w:rPr>
    </w:lvl>
    <w:lvl w:ilvl="8">
      <w:start w:val="1"/>
      <w:numFmt w:val="bullet"/>
      <w:lvlText w:val="▪"/>
      <w:lvlJc w:val="left"/>
      <w:pPr>
        <w:ind w:left="6120" w:hanging="360"/>
      </w:pPr>
      <w:rPr>
        <w:rFonts w:ascii="Noto Sans" w:eastAsia="Noto Sans" w:hAnsi="Noto Sans" w:cs="Noto Sans"/>
        <w:sz w:val="20"/>
        <w:szCs w:val="20"/>
      </w:rPr>
    </w:lvl>
  </w:abstractNum>
  <w:abstractNum w:abstractNumId="2" w15:restartNumberingAfterBreak="0">
    <w:nsid w:val="1E4B6CBF"/>
    <w:multiLevelType w:val="multilevel"/>
    <w:tmpl w:val="2FD684B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2D3918AD"/>
    <w:multiLevelType w:val="multilevel"/>
    <w:tmpl w:val="CA26BA02"/>
    <w:styleLink w:val="LFO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 w15:restartNumberingAfterBreak="0">
    <w:nsid w:val="2F384684"/>
    <w:multiLevelType w:val="multilevel"/>
    <w:tmpl w:val="E6D044C8"/>
    <w:lvl w:ilvl="0">
      <w:start w:val="1"/>
      <w:numFmt w:val="bullet"/>
      <w:pStyle w:val="ScheduleL1"/>
      <w:lvlText w:val="●"/>
      <w:lvlJc w:val="left"/>
      <w:pPr>
        <w:ind w:left="360" w:hanging="360"/>
      </w:pPr>
      <w:rPr>
        <w:rFonts w:ascii="Noto Sans" w:eastAsia="Noto Sans" w:hAnsi="Noto Sans" w:cs="Noto Sans"/>
      </w:rPr>
    </w:lvl>
    <w:lvl w:ilvl="1">
      <w:start w:val="1"/>
      <w:numFmt w:val="bullet"/>
      <w:pStyle w:val="ScheduleL2"/>
      <w:lvlText w:val="o"/>
      <w:lvlJc w:val="left"/>
      <w:pPr>
        <w:ind w:left="1080" w:hanging="360"/>
      </w:pPr>
      <w:rPr>
        <w:rFonts w:ascii="Courier New" w:eastAsia="Courier New" w:hAnsi="Courier New" w:cs="Courier New"/>
      </w:rPr>
    </w:lvl>
    <w:lvl w:ilvl="2">
      <w:start w:val="1"/>
      <w:numFmt w:val="bullet"/>
      <w:pStyle w:val="ScheduleL3"/>
      <w:lvlText w:val="▪"/>
      <w:lvlJc w:val="left"/>
      <w:pPr>
        <w:ind w:left="1800" w:hanging="360"/>
      </w:pPr>
      <w:rPr>
        <w:rFonts w:ascii="Noto Sans" w:eastAsia="Noto Sans" w:hAnsi="Noto Sans" w:cs="Noto Sans"/>
      </w:rPr>
    </w:lvl>
    <w:lvl w:ilvl="3">
      <w:start w:val="1"/>
      <w:numFmt w:val="bullet"/>
      <w:pStyle w:val="ScheduleL4"/>
      <w:lvlText w:val="●"/>
      <w:lvlJc w:val="left"/>
      <w:pPr>
        <w:ind w:left="2520" w:hanging="360"/>
      </w:pPr>
      <w:rPr>
        <w:rFonts w:ascii="Noto Sans" w:eastAsia="Noto Sans" w:hAnsi="Noto Sans" w:cs="Noto Sans"/>
      </w:rPr>
    </w:lvl>
    <w:lvl w:ilvl="4">
      <w:start w:val="1"/>
      <w:numFmt w:val="bullet"/>
      <w:pStyle w:val="ScheduleL5"/>
      <w:lvlText w:val="o"/>
      <w:lvlJc w:val="left"/>
      <w:pPr>
        <w:ind w:left="3240" w:hanging="360"/>
      </w:pPr>
      <w:rPr>
        <w:rFonts w:ascii="Courier New" w:eastAsia="Courier New" w:hAnsi="Courier New" w:cs="Courier New"/>
      </w:rPr>
    </w:lvl>
    <w:lvl w:ilvl="5">
      <w:start w:val="1"/>
      <w:numFmt w:val="bullet"/>
      <w:pStyle w:val="ScheduleL6"/>
      <w:lvlText w:val="▪"/>
      <w:lvlJc w:val="left"/>
      <w:pPr>
        <w:ind w:left="3960" w:hanging="360"/>
      </w:pPr>
      <w:rPr>
        <w:rFonts w:ascii="Noto Sans" w:eastAsia="Noto Sans" w:hAnsi="Noto Sans" w:cs="Noto Sans"/>
      </w:rPr>
    </w:lvl>
    <w:lvl w:ilvl="6">
      <w:start w:val="1"/>
      <w:numFmt w:val="bullet"/>
      <w:pStyle w:val="ScheduleL7"/>
      <w:lvlText w:val="●"/>
      <w:lvlJc w:val="left"/>
      <w:pPr>
        <w:ind w:left="4680" w:hanging="360"/>
      </w:pPr>
      <w:rPr>
        <w:rFonts w:ascii="Noto Sans" w:eastAsia="Noto Sans" w:hAnsi="Noto Sans" w:cs="Noto Sans"/>
      </w:rPr>
    </w:lvl>
    <w:lvl w:ilvl="7">
      <w:start w:val="1"/>
      <w:numFmt w:val="bullet"/>
      <w:pStyle w:val="ScheduleL8"/>
      <w:lvlText w:val="o"/>
      <w:lvlJc w:val="left"/>
      <w:pPr>
        <w:ind w:left="5400" w:hanging="360"/>
      </w:pPr>
      <w:rPr>
        <w:rFonts w:ascii="Courier New" w:eastAsia="Courier New" w:hAnsi="Courier New" w:cs="Courier New"/>
      </w:rPr>
    </w:lvl>
    <w:lvl w:ilvl="8">
      <w:start w:val="1"/>
      <w:numFmt w:val="bullet"/>
      <w:pStyle w:val="ScheduleL9"/>
      <w:lvlText w:val="▪"/>
      <w:lvlJc w:val="left"/>
      <w:pPr>
        <w:ind w:left="6120" w:hanging="360"/>
      </w:pPr>
      <w:rPr>
        <w:rFonts w:ascii="Noto Sans" w:eastAsia="Noto Sans" w:hAnsi="Noto Sans" w:cs="Noto Sans"/>
      </w:rPr>
    </w:lvl>
  </w:abstractNum>
  <w:abstractNum w:abstractNumId="5" w15:restartNumberingAfterBreak="0">
    <w:nsid w:val="3C682246"/>
    <w:multiLevelType w:val="multilevel"/>
    <w:tmpl w:val="1FAA3626"/>
    <w:lvl w:ilvl="0">
      <w:start w:val="1"/>
      <w:numFmt w:val="decimal"/>
      <w:pStyle w:val="Heading1"/>
      <w:lvlText w:val="%1."/>
      <w:lvlJc w:val="left"/>
      <w:pPr>
        <w:ind w:left="720" w:hanging="720"/>
      </w:pPr>
      <w:rPr>
        <w:smallCaps w:val="0"/>
      </w:rPr>
    </w:lvl>
    <w:lvl w:ilvl="1">
      <w:start w:val="1"/>
      <w:numFmt w:val="decimal"/>
      <w:pStyle w:val="Heading2"/>
      <w:lvlText w:val="%1.%2"/>
      <w:lvlJc w:val="left"/>
      <w:pPr>
        <w:ind w:left="720" w:hanging="720"/>
      </w:pPr>
      <w:rPr>
        <w:b w:val="0"/>
        <w:smallCaps w:val="0"/>
        <w:sz w:val="24"/>
        <w:szCs w:val="24"/>
      </w:rPr>
    </w:lvl>
    <w:lvl w:ilvl="2">
      <w:start w:val="1"/>
      <w:numFmt w:val="decimal"/>
      <w:pStyle w:val="Heading3"/>
      <w:lvlText w:val="%1.%2.%3"/>
      <w:lvlJc w:val="left"/>
      <w:pPr>
        <w:ind w:left="1800" w:hanging="1080"/>
      </w:pPr>
      <w:rPr>
        <w:b w:val="0"/>
        <w:smallCaps w:val="0"/>
      </w:rPr>
    </w:lvl>
    <w:lvl w:ilvl="3">
      <w:start w:val="1"/>
      <w:numFmt w:val="decimal"/>
      <w:pStyle w:val="Heading4"/>
      <w:lvlText w:val="%1.%2.%3.%4"/>
      <w:lvlJc w:val="left"/>
      <w:pPr>
        <w:ind w:left="2880" w:hanging="1080"/>
      </w:pPr>
      <w:rPr>
        <w:b w:val="0"/>
        <w:smallCaps w:val="0"/>
      </w:rPr>
    </w:lvl>
    <w:lvl w:ilvl="4">
      <w:start w:val="1"/>
      <w:numFmt w:val="lowerLetter"/>
      <w:pStyle w:val="Heading5"/>
      <w:lvlText w:val="(%5)"/>
      <w:lvlJc w:val="left"/>
      <w:pPr>
        <w:ind w:left="3600" w:hanging="720"/>
      </w:pPr>
      <w:rPr>
        <w:smallCaps w:val="0"/>
      </w:rPr>
    </w:lvl>
    <w:lvl w:ilvl="5">
      <w:start w:val="1"/>
      <w:numFmt w:val="lowerRoman"/>
      <w:pStyle w:val="Heading6"/>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6" w15:restartNumberingAfterBreak="0">
    <w:nsid w:val="412746B1"/>
    <w:multiLevelType w:val="multilevel"/>
    <w:tmpl w:val="6B5072CE"/>
    <w:lvl w:ilvl="0">
      <w:start w:val="1"/>
      <w:numFmt w:val="decimal"/>
      <w:pStyle w:val="BodyTextIndent"/>
      <w:lvlText w:val="%1."/>
      <w:lvlJc w:val="left"/>
      <w:pPr>
        <w:ind w:left="720" w:hanging="720"/>
      </w:pPr>
    </w:lvl>
    <w:lvl w:ilvl="1">
      <w:start w:val="1"/>
      <w:numFmt w:val="decimal"/>
      <w:pStyle w:val="BodyTextIndent2"/>
      <w:lvlText w:val="%2."/>
      <w:lvlJc w:val="left"/>
      <w:pPr>
        <w:ind w:left="1440" w:hanging="720"/>
      </w:pPr>
    </w:lvl>
    <w:lvl w:ilvl="2">
      <w:start w:val="1"/>
      <w:numFmt w:val="decimal"/>
      <w:pStyle w:val="DefinitionNumbering1"/>
      <w:lvlText w:val="%3."/>
      <w:lvlJc w:val="left"/>
      <w:pPr>
        <w:ind w:left="2160" w:hanging="720"/>
      </w:pPr>
    </w:lvl>
    <w:lvl w:ilvl="3">
      <w:start w:val="1"/>
      <w:numFmt w:val="decimal"/>
      <w:pStyle w:val="DefinitionNumbering2"/>
      <w:lvlText w:val="%4."/>
      <w:lvlJc w:val="left"/>
      <w:pPr>
        <w:ind w:left="2880" w:hanging="720"/>
      </w:pPr>
    </w:lvl>
    <w:lvl w:ilvl="4">
      <w:start w:val="1"/>
      <w:numFmt w:val="decimal"/>
      <w:pStyle w:val="DefinitionNumbering3"/>
      <w:lvlText w:val="%5."/>
      <w:lvlJc w:val="left"/>
      <w:pPr>
        <w:ind w:left="3600" w:hanging="720"/>
      </w:pPr>
    </w:lvl>
    <w:lvl w:ilvl="5">
      <w:start w:val="1"/>
      <w:numFmt w:val="decimal"/>
      <w:pStyle w:val="DefinitionNumbering4"/>
      <w:lvlText w:val="%6."/>
      <w:lvlJc w:val="left"/>
      <w:pPr>
        <w:ind w:left="4320" w:hanging="720"/>
      </w:pPr>
    </w:lvl>
    <w:lvl w:ilvl="6">
      <w:start w:val="1"/>
      <w:numFmt w:val="decimal"/>
      <w:pStyle w:val="DefinitionNumbering5"/>
      <w:lvlText w:val="%7."/>
      <w:lvlJc w:val="left"/>
      <w:pPr>
        <w:ind w:left="5040" w:hanging="720"/>
      </w:pPr>
    </w:lvl>
    <w:lvl w:ilvl="7">
      <w:start w:val="1"/>
      <w:numFmt w:val="decimal"/>
      <w:pStyle w:val="DefinitionNumbering6"/>
      <w:lvlText w:val="%8."/>
      <w:lvlJc w:val="left"/>
      <w:pPr>
        <w:ind w:left="5760" w:hanging="720"/>
      </w:pPr>
    </w:lvl>
    <w:lvl w:ilvl="8">
      <w:start w:val="1"/>
      <w:numFmt w:val="decimal"/>
      <w:pStyle w:val="DefinitionNumbering7"/>
      <w:lvlText w:val="%9."/>
      <w:lvlJc w:val="left"/>
      <w:pPr>
        <w:ind w:left="6480" w:hanging="720"/>
      </w:pPr>
    </w:lvl>
  </w:abstractNum>
  <w:abstractNum w:abstractNumId="7" w15:restartNumberingAfterBreak="0">
    <w:nsid w:val="415471E1"/>
    <w:multiLevelType w:val="multilevel"/>
    <w:tmpl w:val="0BA057D8"/>
    <w:lvl w:ilvl="0">
      <w:start w:val="1"/>
      <w:numFmt w:val="bullet"/>
      <w:lvlText w:val="●"/>
      <w:lvlJc w:val="left"/>
      <w:pPr>
        <w:ind w:left="360" w:hanging="360"/>
      </w:pPr>
      <w:rPr>
        <w:rFonts w:ascii="Noto Sans" w:eastAsia="Noto Sans" w:hAnsi="Noto Sans" w:cs="Noto San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w:eastAsia="Noto Sans" w:hAnsi="Noto Sans" w:cs="Noto Sans"/>
        <w:sz w:val="20"/>
        <w:szCs w:val="20"/>
      </w:rPr>
    </w:lvl>
    <w:lvl w:ilvl="3">
      <w:start w:val="1"/>
      <w:numFmt w:val="bullet"/>
      <w:lvlText w:val="▪"/>
      <w:lvlJc w:val="left"/>
      <w:pPr>
        <w:ind w:left="2520" w:hanging="360"/>
      </w:pPr>
      <w:rPr>
        <w:rFonts w:ascii="Noto Sans" w:eastAsia="Noto Sans" w:hAnsi="Noto Sans" w:cs="Noto Sans"/>
        <w:sz w:val="20"/>
        <w:szCs w:val="20"/>
      </w:rPr>
    </w:lvl>
    <w:lvl w:ilvl="4">
      <w:start w:val="1"/>
      <w:numFmt w:val="bullet"/>
      <w:lvlText w:val="▪"/>
      <w:lvlJc w:val="left"/>
      <w:pPr>
        <w:ind w:left="3240" w:hanging="360"/>
      </w:pPr>
      <w:rPr>
        <w:rFonts w:ascii="Noto Sans" w:eastAsia="Noto Sans" w:hAnsi="Noto Sans" w:cs="Noto Sans"/>
        <w:sz w:val="20"/>
        <w:szCs w:val="20"/>
      </w:rPr>
    </w:lvl>
    <w:lvl w:ilvl="5">
      <w:start w:val="1"/>
      <w:numFmt w:val="bullet"/>
      <w:lvlText w:val="▪"/>
      <w:lvlJc w:val="left"/>
      <w:pPr>
        <w:ind w:left="3960" w:hanging="360"/>
      </w:pPr>
      <w:rPr>
        <w:rFonts w:ascii="Noto Sans" w:eastAsia="Noto Sans" w:hAnsi="Noto Sans" w:cs="Noto Sans"/>
        <w:sz w:val="20"/>
        <w:szCs w:val="20"/>
      </w:rPr>
    </w:lvl>
    <w:lvl w:ilvl="6">
      <w:start w:val="1"/>
      <w:numFmt w:val="bullet"/>
      <w:lvlText w:val="▪"/>
      <w:lvlJc w:val="left"/>
      <w:pPr>
        <w:ind w:left="4680" w:hanging="360"/>
      </w:pPr>
      <w:rPr>
        <w:rFonts w:ascii="Noto Sans" w:eastAsia="Noto Sans" w:hAnsi="Noto Sans" w:cs="Noto Sans"/>
        <w:sz w:val="20"/>
        <w:szCs w:val="20"/>
      </w:rPr>
    </w:lvl>
    <w:lvl w:ilvl="7">
      <w:start w:val="1"/>
      <w:numFmt w:val="bullet"/>
      <w:lvlText w:val="▪"/>
      <w:lvlJc w:val="left"/>
      <w:pPr>
        <w:ind w:left="5400" w:hanging="360"/>
      </w:pPr>
      <w:rPr>
        <w:rFonts w:ascii="Noto Sans" w:eastAsia="Noto Sans" w:hAnsi="Noto Sans" w:cs="Noto Sans"/>
        <w:sz w:val="20"/>
        <w:szCs w:val="20"/>
      </w:rPr>
    </w:lvl>
    <w:lvl w:ilvl="8">
      <w:start w:val="1"/>
      <w:numFmt w:val="bullet"/>
      <w:lvlText w:val="▪"/>
      <w:lvlJc w:val="left"/>
      <w:pPr>
        <w:ind w:left="6120" w:hanging="360"/>
      </w:pPr>
      <w:rPr>
        <w:rFonts w:ascii="Noto Sans" w:eastAsia="Noto Sans" w:hAnsi="Noto Sans" w:cs="Noto Sans"/>
        <w:sz w:val="20"/>
        <w:szCs w:val="20"/>
      </w:rPr>
    </w:lvl>
  </w:abstractNum>
  <w:abstractNum w:abstractNumId="8" w15:restartNumberingAfterBreak="0">
    <w:nsid w:val="5F421EA0"/>
    <w:multiLevelType w:val="multilevel"/>
    <w:tmpl w:val="170EE2FC"/>
    <w:lvl w:ilvl="0">
      <w:start w:val="1"/>
      <w:numFmt w:val="bullet"/>
      <w:pStyle w:val="SchHead"/>
      <w:lvlText w:val="●"/>
      <w:lvlJc w:val="left"/>
      <w:pPr>
        <w:ind w:left="360" w:hanging="360"/>
      </w:pPr>
      <w:rPr>
        <w:rFonts w:ascii="Noto Sans" w:eastAsia="Noto Sans" w:hAnsi="Noto Sans" w:cs="Noto Sans"/>
        <w:sz w:val="20"/>
        <w:szCs w:val="20"/>
      </w:rPr>
    </w:lvl>
    <w:lvl w:ilvl="1">
      <w:start w:val="1"/>
      <w:numFmt w:val="bullet"/>
      <w:pStyle w:val="SchPart"/>
      <w:lvlText w:val="o"/>
      <w:lvlJc w:val="left"/>
      <w:pPr>
        <w:ind w:left="1080" w:hanging="360"/>
      </w:pPr>
      <w:rPr>
        <w:rFonts w:ascii="Courier New" w:eastAsia="Courier New" w:hAnsi="Courier New" w:cs="Courier New"/>
        <w:sz w:val="20"/>
        <w:szCs w:val="20"/>
      </w:rPr>
    </w:lvl>
    <w:lvl w:ilvl="2">
      <w:start w:val="1"/>
      <w:numFmt w:val="bullet"/>
      <w:pStyle w:val="SchSection"/>
      <w:lvlText w:val="▪"/>
      <w:lvlJc w:val="left"/>
      <w:pPr>
        <w:ind w:left="1800" w:hanging="360"/>
      </w:pPr>
      <w:rPr>
        <w:rFonts w:ascii="Noto Sans" w:eastAsia="Noto Sans" w:hAnsi="Noto Sans" w:cs="Noto Sans"/>
        <w:sz w:val="20"/>
        <w:szCs w:val="20"/>
      </w:rPr>
    </w:lvl>
    <w:lvl w:ilvl="3">
      <w:start w:val="1"/>
      <w:numFmt w:val="bullet"/>
      <w:lvlText w:val="▪"/>
      <w:lvlJc w:val="left"/>
      <w:pPr>
        <w:ind w:left="2520" w:hanging="360"/>
      </w:pPr>
      <w:rPr>
        <w:rFonts w:ascii="Noto Sans" w:eastAsia="Noto Sans" w:hAnsi="Noto Sans" w:cs="Noto Sans"/>
        <w:sz w:val="20"/>
        <w:szCs w:val="20"/>
      </w:rPr>
    </w:lvl>
    <w:lvl w:ilvl="4">
      <w:start w:val="1"/>
      <w:numFmt w:val="bullet"/>
      <w:lvlText w:val="▪"/>
      <w:lvlJc w:val="left"/>
      <w:pPr>
        <w:ind w:left="3240" w:hanging="360"/>
      </w:pPr>
      <w:rPr>
        <w:rFonts w:ascii="Noto Sans" w:eastAsia="Noto Sans" w:hAnsi="Noto Sans" w:cs="Noto Sans"/>
        <w:sz w:val="20"/>
        <w:szCs w:val="20"/>
      </w:rPr>
    </w:lvl>
    <w:lvl w:ilvl="5">
      <w:start w:val="1"/>
      <w:numFmt w:val="bullet"/>
      <w:lvlText w:val="▪"/>
      <w:lvlJc w:val="left"/>
      <w:pPr>
        <w:ind w:left="3960" w:hanging="360"/>
      </w:pPr>
      <w:rPr>
        <w:rFonts w:ascii="Noto Sans" w:eastAsia="Noto Sans" w:hAnsi="Noto Sans" w:cs="Noto Sans"/>
        <w:sz w:val="20"/>
        <w:szCs w:val="20"/>
      </w:rPr>
    </w:lvl>
    <w:lvl w:ilvl="6">
      <w:start w:val="1"/>
      <w:numFmt w:val="bullet"/>
      <w:lvlText w:val="▪"/>
      <w:lvlJc w:val="left"/>
      <w:pPr>
        <w:ind w:left="4680" w:hanging="360"/>
      </w:pPr>
      <w:rPr>
        <w:rFonts w:ascii="Noto Sans" w:eastAsia="Noto Sans" w:hAnsi="Noto Sans" w:cs="Noto Sans"/>
        <w:sz w:val="20"/>
        <w:szCs w:val="20"/>
      </w:rPr>
    </w:lvl>
    <w:lvl w:ilvl="7">
      <w:start w:val="1"/>
      <w:numFmt w:val="bullet"/>
      <w:lvlText w:val="▪"/>
      <w:lvlJc w:val="left"/>
      <w:pPr>
        <w:ind w:left="5400" w:hanging="360"/>
      </w:pPr>
      <w:rPr>
        <w:rFonts w:ascii="Noto Sans" w:eastAsia="Noto Sans" w:hAnsi="Noto Sans" w:cs="Noto Sans"/>
        <w:sz w:val="20"/>
        <w:szCs w:val="20"/>
      </w:rPr>
    </w:lvl>
    <w:lvl w:ilvl="8">
      <w:start w:val="1"/>
      <w:numFmt w:val="bullet"/>
      <w:lvlText w:val="▪"/>
      <w:lvlJc w:val="left"/>
      <w:pPr>
        <w:ind w:left="6120" w:hanging="360"/>
      </w:pPr>
      <w:rPr>
        <w:rFonts w:ascii="Noto Sans" w:eastAsia="Noto Sans" w:hAnsi="Noto Sans" w:cs="Noto Sans"/>
        <w:sz w:val="20"/>
        <w:szCs w:val="20"/>
      </w:rPr>
    </w:lvl>
  </w:abstractNum>
  <w:abstractNum w:abstractNumId="9" w15:restartNumberingAfterBreak="0">
    <w:nsid w:val="63602149"/>
    <w:multiLevelType w:val="multilevel"/>
    <w:tmpl w:val="36085DB4"/>
    <w:lvl w:ilvl="0">
      <w:start w:val="1"/>
      <w:numFmt w:val="decimal"/>
      <w:lvlText w:val="%1."/>
      <w:lvlJc w:val="left"/>
      <w:pPr>
        <w:ind w:left="360" w:hanging="360"/>
      </w:pPr>
      <w:rPr>
        <w:i w:val="0"/>
      </w:rPr>
    </w:lvl>
    <w:lvl w:ilvl="1">
      <w:start w:val="1"/>
      <w:numFmt w:val="decimal"/>
      <w:lvlText w:val="%1.%2"/>
      <w:lvlJc w:val="left"/>
      <w:pPr>
        <w:ind w:left="360" w:hanging="360"/>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9"/>
  </w:num>
  <w:num w:numId="3">
    <w:abstractNumId w:val="7"/>
  </w:num>
  <w:num w:numId="4">
    <w:abstractNumId w:val="4"/>
  </w:num>
  <w:num w:numId="5">
    <w:abstractNumId w:val="1"/>
  </w:num>
  <w:num w:numId="6">
    <w:abstractNumId w:val="6"/>
  </w:num>
  <w:num w:numId="7">
    <w:abstractNumId w:val="8"/>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C7"/>
    <w:rsid w:val="002038C7"/>
    <w:rsid w:val="00422837"/>
    <w:rsid w:val="004F1CED"/>
    <w:rsid w:val="009E7AF1"/>
    <w:rsid w:val="00BF3A79"/>
    <w:rsid w:val="00C93347"/>
    <w:rsid w:val="00E66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5591"/>
  <w15:chartTrackingRefBased/>
  <w15:docId w15:val="{1FB2D073-0773-492A-95D2-BFB92D2D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C7"/>
    <w:pPr>
      <w:spacing w:after="0" w:line="240" w:lineRule="auto"/>
    </w:pPr>
    <w:rPr>
      <w:rFonts w:ascii="Arial" w:eastAsia="SimSun" w:hAnsi="Arial" w:cs="Arial"/>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2038C7"/>
    <w:pPr>
      <w:keepNext/>
      <w:numPr>
        <w:numId w:val="1"/>
      </w:numPr>
      <w:adjustRightInd w:val="0"/>
      <w:spacing w:after="240"/>
      <w:jc w:val="both"/>
      <w:outlineLvl w:val="0"/>
    </w:pPr>
    <w:rPr>
      <w:rFonts w:eastAsia="STZhongsong"/>
      <w:b/>
      <w:caps/>
      <w:szCs w:val="2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2038C7"/>
    <w:pPr>
      <w:numPr>
        <w:ilvl w:val="1"/>
        <w:numId w:val="1"/>
      </w:numPr>
      <w:adjustRightInd w:val="0"/>
      <w:spacing w:after="240"/>
      <w:jc w:val="both"/>
      <w:outlineLvl w:val="1"/>
    </w:pPr>
    <w:rPr>
      <w:rFonts w:eastAsia="STZhongsong"/>
      <w:szCs w:val="22"/>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2038C7"/>
    <w:pPr>
      <w:numPr>
        <w:ilvl w:val="2"/>
        <w:numId w:val="1"/>
      </w:numPr>
      <w:adjustRightInd w:val="0"/>
      <w:spacing w:after="240"/>
      <w:jc w:val="both"/>
      <w:outlineLvl w:val="2"/>
    </w:pPr>
    <w:rPr>
      <w:rFonts w:eastAsia="STZhongsong"/>
      <w:szCs w:val="22"/>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2038C7"/>
    <w:pPr>
      <w:numPr>
        <w:ilvl w:val="3"/>
        <w:numId w:val="1"/>
      </w:numPr>
      <w:adjustRightInd w:val="0"/>
      <w:spacing w:after="240"/>
      <w:jc w:val="both"/>
      <w:outlineLvl w:val="3"/>
    </w:pPr>
    <w:rPr>
      <w:rFonts w:eastAsia="STZhongsong"/>
      <w:szCs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2038C7"/>
    <w:pPr>
      <w:numPr>
        <w:ilvl w:val="4"/>
        <w:numId w:val="1"/>
      </w:numPr>
      <w:adjustRightInd w:val="0"/>
      <w:spacing w:after="240"/>
      <w:jc w:val="both"/>
      <w:outlineLvl w:val="4"/>
    </w:pPr>
    <w:rPr>
      <w:rFonts w:eastAsia="STZhongsong"/>
      <w:szCs w:val="22"/>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uiPriority w:val="9"/>
    <w:semiHidden/>
    <w:unhideWhenUsed/>
    <w:qFormat/>
    <w:rsid w:val="002038C7"/>
    <w:pPr>
      <w:numPr>
        <w:ilvl w:val="5"/>
        <w:numId w:val="1"/>
      </w:numPr>
      <w:adjustRightInd w:val="0"/>
      <w:spacing w:after="240"/>
      <w:jc w:val="both"/>
      <w:outlineLvl w:val="5"/>
    </w:pPr>
    <w:rPr>
      <w:rFonts w:eastAsia="STZhongsong"/>
      <w:szCs w:val="22"/>
    </w:rPr>
  </w:style>
  <w:style w:type="paragraph" w:styleId="Heading7">
    <w:name w:val="heading 7"/>
    <w:aliases w:val="Heading 7 (Do Not Use),Heading 7(unused),Legal Level 1.1.,L2 PIP,Lev 7,H7DO NOT USE,PA Appendix Major,TSOL 6th Level X.1.1.1.1,Blank 3,Appendix Major"/>
    <w:basedOn w:val="Normal"/>
    <w:link w:val="Heading7Char"/>
    <w:uiPriority w:val="9"/>
    <w:qFormat/>
    <w:rsid w:val="002038C7"/>
    <w:pPr>
      <w:numPr>
        <w:ilvl w:val="6"/>
        <w:numId w:val="1"/>
      </w:numPr>
      <w:adjustRightInd w:val="0"/>
      <w:spacing w:after="240"/>
      <w:jc w:val="both"/>
      <w:outlineLvl w:val="6"/>
    </w:pPr>
    <w:rPr>
      <w:rFonts w:eastAsia="STZhongsong"/>
      <w:szCs w:val="22"/>
    </w:rPr>
  </w:style>
  <w:style w:type="paragraph" w:styleId="Heading8">
    <w:name w:val="heading 8"/>
    <w:aliases w:val="Heading 8 (Do Not Use),Legal Level 1.1.1.,Lev 8,h8 DO NOT USE,PA Appendix Minor,TSOL 7th Level X.1.1.1.1.1,Blank 4,h8,Appendix Minor"/>
    <w:basedOn w:val="Normal"/>
    <w:link w:val="Heading8Char"/>
    <w:uiPriority w:val="9"/>
    <w:qFormat/>
    <w:rsid w:val="002038C7"/>
    <w:pPr>
      <w:numPr>
        <w:ilvl w:val="7"/>
        <w:numId w:val="1"/>
      </w:numPr>
      <w:adjustRightInd w:val="0"/>
      <w:spacing w:after="240"/>
      <w:jc w:val="both"/>
      <w:outlineLvl w:val="7"/>
    </w:pPr>
    <w:rPr>
      <w:rFonts w:eastAsia="STZhongsong"/>
      <w:szCs w:val="22"/>
    </w:rPr>
  </w:style>
  <w:style w:type="paragraph" w:styleId="Heading9">
    <w:name w:val="heading 9"/>
    <w:aliases w:val="Heading 9 (Do Not Use),Heading 9 (defunct),Legal Level 1.1.1.1.,Lev 9,h9 DO NOT USE,App Heading,Titre 10,App1"/>
    <w:basedOn w:val="Normal"/>
    <w:link w:val="Heading9Char"/>
    <w:uiPriority w:val="9"/>
    <w:qFormat/>
    <w:rsid w:val="002038C7"/>
    <w:pPr>
      <w:numPr>
        <w:ilvl w:val="8"/>
        <w:numId w:val="1"/>
      </w:numPr>
      <w:adjustRightInd w:val="0"/>
      <w:spacing w:after="240"/>
      <w:jc w:val="both"/>
      <w:outlineLvl w:val="8"/>
    </w:pPr>
    <w:rPr>
      <w:rFonts w:eastAsia="STZhongsong"/>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038C7"/>
    <w:rPr>
      <w:rFonts w:ascii="Arial" w:eastAsia="STZhongsong" w:hAnsi="Arial" w:cs="Arial"/>
      <w:b/>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038C7"/>
    <w:rPr>
      <w:rFonts w:ascii="Arial" w:eastAsia="STZhongsong" w:hAnsi="Arial" w:cs="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038C7"/>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2038C7"/>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038C7"/>
    <w:rPr>
      <w:rFonts w:ascii="Arial" w:eastAsia="STZhongsong" w:hAnsi="Arial" w:cs="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
    <w:semiHidden/>
    <w:rsid w:val="002038C7"/>
    <w:rPr>
      <w:rFonts w:ascii="Arial" w:eastAsia="STZhongsong" w:hAnsi="Arial" w:cs="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2038C7"/>
    <w:rPr>
      <w:rFonts w:ascii="Arial" w:eastAsia="STZhongsong" w:hAnsi="Arial" w:cs="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2038C7"/>
    <w:rPr>
      <w:rFonts w:ascii="Arial" w:eastAsia="STZhongsong" w:hAnsi="Arial" w:cs="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2038C7"/>
    <w:rPr>
      <w:rFonts w:ascii="Arial" w:eastAsia="STZhongsong" w:hAnsi="Arial" w:cs="Arial"/>
      <w:lang w:eastAsia="zh-CN"/>
    </w:rPr>
  </w:style>
  <w:style w:type="paragraph" w:styleId="BodyTextIndent">
    <w:name w:val="Body Text Indent"/>
    <w:basedOn w:val="Normal"/>
    <w:link w:val="BodyTextIndentChar"/>
    <w:rsid w:val="002038C7"/>
    <w:pPr>
      <w:numPr>
        <w:numId w:val="6"/>
      </w:numPr>
      <w:adjustRightInd w:val="0"/>
      <w:spacing w:after="240"/>
      <w:jc w:val="both"/>
    </w:pPr>
    <w:rPr>
      <w:rFonts w:eastAsia="STZhongsong"/>
      <w:szCs w:val="22"/>
    </w:rPr>
  </w:style>
  <w:style w:type="character" w:customStyle="1" w:styleId="BodyTextIndentChar">
    <w:name w:val="Body Text Indent Char"/>
    <w:basedOn w:val="DefaultParagraphFont"/>
    <w:link w:val="BodyTextIndent"/>
    <w:rsid w:val="002038C7"/>
    <w:rPr>
      <w:rFonts w:ascii="Arial" w:eastAsia="STZhongsong" w:hAnsi="Arial" w:cs="Arial"/>
      <w:lang w:eastAsia="zh-CN"/>
    </w:rPr>
  </w:style>
  <w:style w:type="paragraph" w:styleId="BodyTextIndent2">
    <w:name w:val="Body Text Indent 2"/>
    <w:basedOn w:val="Normal"/>
    <w:link w:val="BodyTextIndent2Char"/>
    <w:rsid w:val="002038C7"/>
    <w:pPr>
      <w:numPr>
        <w:ilvl w:val="1"/>
        <w:numId w:val="6"/>
      </w:numPr>
      <w:adjustRightInd w:val="0"/>
      <w:spacing w:after="240"/>
      <w:jc w:val="both"/>
    </w:pPr>
    <w:rPr>
      <w:rFonts w:eastAsia="STZhongsong"/>
      <w:szCs w:val="22"/>
    </w:rPr>
  </w:style>
  <w:style w:type="character" w:customStyle="1" w:styleId="BodyTextIndent2Char">
    <w:name w:val="Body Text Indent 2 Char"/>
    <w:basedOn w:val="DefaultParagraphFont"/>
    <w:link w:val="BodyTextIndent2"/>
    <w:rsid w:val="002038C7"/>
    <w:rPr>
      <w:rFonts w:ascii="Arial" w:eastAsia="STZhongsong" w:hAnsi="Arial" w:cs="Arial"/>
      <w:lang w:eastAsia="zh-CN"/>
    </w:rPr>
  </w:style>
  <w:style w:type="paragraph" w:customStyle="1" w:styleId="SchHead">
    <w:name w:val="SchHead"/>
    <w:basedOn w:val="Normal"/>
    <w:next w:val="SchPart"/>
    <w:rsid w:val="002038C7"/>
    <w:pPr>
      <w:keepNext/>
      <w:numPr>
        <w:numId w:val="7"/>
      </w:numPr>
      <w:adjustRightInd w:val="0"/>
      <w:spacing w:after="240"/>
      <w:jc w:val="center"/>
      <w:outlineLvl w:val="0"/>
    </w:pPr>
    <w:rPr>
      <w:rFonts w:eastAsia="STZhongsong"/>
      <w:b/>
      <w:caps/>
      <w:szCs w:val="22"/>
    </w:rPr>
  </w:style>
  <w:style w:type="paragraph" w:customStyle="1" w:styleId="AppHead">
    <w:name w:val="AppHead"/>
    <w:basedOn w:val="Normal"/>
    <w:rsid w:val="002038C7"/>
    <w:pPr>
      <w:numPr>
        <w:numId w:val="5"/>
      </w:numPr>
      <w:adjustRightInd w:val="0"/>
      <w:spacing w:after="240"/>
      <w:jc w:val="center"/>
      <w:outlineLvl w:val="0"/>
    </w:pPr>
    <w:rPr>
      <w:rFonts w:eastAsia="STZhongsong"/>
      <w:b/>
      <w:caps/>
      <w:szCs w:val="22"/>
    </w:rPr>
  </w:style>
  <w:style w:type="paragraph" w:customStyle="1" w:styleId="DefinitionNumbering1">
    <w:name w:val="Definition Numbering 1"/>
    <w:basedOn w:val="Normal"/>
    <w:rsid w:val="002038C7"/>
    <w:pPr>
      <w:numPr>
        <w:ilvl w:val="2"/>
        <w:numId w:val="6"/>
      </w:numPr>
      <w:adjustRightInd w:val="0"/>
      <w:spacing w:after="240"/>
      <w:jc w:val="both"/>
      <w:outlineLvl w:val="0"/>
    </w:pPr>
    <w:rPr>
      <w:rFonts w:eastAsia="STZhongsong"/>
      <w:szCs w:val="22"/>
    </w:rPr>
  </w:style>
  <w:style w:type="paragraph" w:customStyle="1" w:styleId="DefinitionNumbering2">
    <w:name w:val="Definition Numbering 2"/>
    <w:basedOn w:val="Normal"/>
    <w:rsid w:val="002038C7"/>
    <w:pPr>
      <w:numPr>
        <w:ilvl w:val="3"/>
        <w:numId w:val="6"/>
      </w:numPr>
      <w:adjustRightInd w:val="0"/>
      <w:spacing w:after="240"/>
      <w:jc w:val="both"/>
      <w:outlineLvl w:val="1"/>
    </w:pPr>
    <w:rPr>
      <w:rFonts w:eastAsia="STZhongsong"/>
      <w:szCs w:val="22"/>
    </w:rPr>
  </w:style>
  <w:style w:type="paragraph" w:customStyle="1" w:styleId="DefinitionNumbering3">
    <w:name w:val="Definition Numbering 3"/>
    <w:basedOn w:val="Normal"/>
    <w:rsid w:val="002038C7"/>
    <w:pPr>
      <w:numPr>
        <w:ilvl w:val="4"/>
        <w:numId w:val="6"/>
      </w:numPr>
      <w:adjustRightInd w:val="0"/>
      <w:spacing w:after="240"/>
      <w:jc w:val="both"/>
      <w:outlineLvl w:val="2"/>
    </w:pPr>
    <w:rPr>
      <w:rFonts w:eastAsia="STZhongsong"/>
      <w:szCs w:val="22"/>
    </w:rPr>
  </w:style>
  <w:style w:type="paragraph" w:customStyle="1" w:styleId="DefinitionNumbering4">
    <w:name w:val="Definition Numbering 4"/>
    <w:basedOn w:val="Normal"/>
    <w:rsid w:val="002038C7"/>
    <w:pPr>
      <w:numPr>
        <w:ilvl w:val="5"/>
        <w:numId w:val="6"/>
      </w:numPr>
      <w:adjustRightInd w:val="0"/>
      <w:spacing w:after="240"/>
      <w:jc w:val="both"/>
      <w:outlineLvl w:val="3"/>
    </w:pPr>
    <w:rPr>
      <w:rFonts w:eastAsia="STZhongsong"/>
      <w:szCs w:val="22"/>
    </w:rPr>
  </w:style>
  <w:style w:type="paragraph" w:customStyle="1" w:styleId="DefinitionNumbering5">
    <w:name w:val="Definition Numbering 5"/>
    <w:basedOn w:val="Normal"/>
    <w:rsid w:val="002038C7"/>
    <w:pPr>
      <w:numPr>
        <w:ilvl w:val="6"/>
        <w:numId w:val="6"/>
      </w:numPr>
      <w:adjustRightInd w:val="0"/>
      <w:spacing w:after="240"/>
      <w:jc w:val="both"/>
      <w:outlineLvl w:val="4"/>
    </w:pPr>
    <w:rPr>
      <w:rFonts w:eastAsia="STZhongsong"/>
      <w:szCs w:val="22"/>
    </w:rPr>
  </w:style>
  <w:style w:type="paragraph" w:customStyle="1" w:styleId="DefinitionNumbering6">
    <w:name w:val="Definition Numbering 6"/>
    <w:basedOn w:val="Normal"/>
    <w:rsid w:val="002038C7"/>
    <w:pPr>
      <w:numPr>
        <w:ilvl w:val="7"/>
        <w:numId w:val="6"/>
      </w:numPr>
      <w:adjustRightInd w:val="0"/>
      <w:spacing w:after="240"/>
      <w:jc w:val="both"/>
      <w:outlineLvl w:val="5"/>
    </w:pPr>
    <w:rPr>
      <w:rFonts w:eastAsia="STZhongsong"/>
      <w:szCs w:val="22"/>
    </w:rPr>
  </w:style>
  <w:style w:type="paragraph" w:customStyle="1" w:styleId="DefinitionNumbering7">
    <w:name w:val="Definition Numbering 7"/>
    <w:basedOn w:val="Normal"/>
    <w:rsid w:val="002038C7"/>
    <w:pPr>
      <w:numPr>
        <w:ilvl w:val="8"/>
        <w:numId w:val="6"/>
      </w:numPr>
      <w:adjustRightInd w:val="0"/>
      <w:spacing w:after="240"/>
      <w:jc w:val="both"/>
      <w:outlineLvl w:val="6"/>
    </w:pPr>
    <w:rPr>
      <w:rFonts w:eastAsia="STZhongsong"/>
      <w:szCs w:val="22"/>
    </w:rPr>
  </w:style>
  <w:style w:type="paragraph" w:customStyle="1" w:styleId="SchPart">
    <w:name w:val="SchPart"/>
    <w:basedOn w:val="Normal"/>
    <w:next w:val="Normal"/>
    <w:rsid w:val="002038C7"/>
    <w:pPr>
      <w:keepNext/>
      <w:numPr>
        <w:ilvl w:val="1"/>
        <w:numId w:val="7"/>
      </w:numPr>
      <w:adjustRightInd w:val="0"/>
      <w:spacing w:after="240"/>
      <w:jc w:val="center"/>
      <w:outlineLvl w:val="1"/>
    </w:pPr>
    <w:rPr>
      <w:rFonts w:eastAsia="STZhongsong"/>
      <w:b/>
      <w:szCs w:val="22"/>
    </w:rPr>
  </w:style>
  <w:style w:type="paragraph" w:customStyle="1" w:styleId="ScheduleL1">
    <w:name w:val="Schedule L1"/>
    <w:basedOn w:val="Normal"/>
    <w:rsid w:val="002038C7"/>
    <w:pPr>
      <w:numPr>
        <w:numId w:val="4"/>
      </w:numPr>
      <w:adjustRightInd w:val="0"/>
      <w:spacing w:after="240"/>
      <w:jc w:val="both"/>
      <w:outlineLvl w:val="0"/>
    </w:pPr>
    <w:rPr>
      <w:rFonts w:eastAsia="STZhongsong"/>
      <w:szCs w:val="22"/>
    </w:rPr>
  </w:style>
  <w:style w:type="paragraph" w:customStyle="1" w:styleId="ScheduleL2">
    <w:name w:val="Schedule L2"/>
    <w:basedOn w:val="Normal"/>
    <w:rsid w:val="002038C7"/>
    <w:pPr>
      <w:numPr>
        <w:ilvl w:val="1"/>
        <w:numId w:val="4"/>
      </w:numPr>
      <w:adjustRightInd w:val="0"/>
      <w:spacing w:after="240"/>
      <w:jc w:val="both"/>
      <w:outlineLvl w:val="1"/>
    </w:pPr>
    <w:rPr>
      <w:rFonts w:eastAsia="STZhongsong"/>
      <w:szCs w:val="22"/>
    </w:rPr>
  </w:style>
  <w:style w:type="paragraph" w:customStyle="1" w:styleId="ScheduleL3">
    <w:name w:val="Schedule L3"/>
    <w:basedOn w:val="Normal"/>
    <w:rsid w:val="002038C7"/>
    <w:pPr>
      <w:numPr>
        <w:ilvl w:val="2"/>
        <w:numId w:val="4"/>
      </w:numPr>
      <w:adjustRightInd w:val="0"/>
      <w:spacing w:after="240"/>
      <w:jc w:val="both"/>
      <w:outlineLvl w:val="2"/>
    </w:pPr>
    <w:rPr>
      <w:rFonts w:eastAsia="STZhongsong"/>
      <w:szCs w:val="22"/>
    </w:rPr>
  </w:style>
  <w:style w:type="paragraph" w:customStyle="1" w:styleId="ScheduleL4">
    <w:name w:val="Schedule L4"/>
    <w:basedOn w:val="Normal"/>
    <w:rsid w:val="002038C7"/>
    <w:pPr>
      <w:numPr>
        <w:ilvl w:val="3"/>
        <w:numId w:val="4"/>
      </w:numPr>
      <w:adjustRightInd w:val="0"/>
      <w:spacing w:after="240"/>
      <w:jc w:val="both"/>
      <w:outlineLvl w:val="3"/>
    </w:pPr>
    <w:rPr>
      <w:rFonts w:eastAsia="STZhongsong"/>
      <w:szCs w:val="22"/>
    </w:rPr>
  </w:style>
  <w:style w:type="paragraph" w:customStyle="1" w:styleId="ScheduleL5">
    <w:name w:val="Schedule L5"/>
    <w:basedOn w:val="Normal"/>
    <w:rsid w:val="002038C7"/>
    <w:pPr>
      <w:numPr>
        <w:ilvl w:val="4"/>
        <w:numId w:val="4"/>
      </w:numPr>
      <w:adjustRightInd w:val="0"/>
      <w:spacing w:after="240"/>
      <w:jc w:val="both"/>
      <w:outlineLvl w:val="4"/>
    </w:pPr>
    <w:rPr>
      <w:rFonts w:eastAsia="STZhongsong"/>
      <w:szCs w:val="22"/>
    </w:rPr>
  </w:style>
  <w:style w:type="paragraph" w:customStyle="1" w:styleId="ScheduleL6">
    <w:name w:val="Schedule L6"/>
    <w:basedOn w:val="Normal"/>
    <w:rsid w:val="002038C7"/>
    <w:pPr>
      <w:numPr>
        <w:ilvl w:val="5"/>
        <w:numId w:val="4"/>
      </w:numPr>
      <w:adjustRightInd w:val="0"/>
      <w:spacing w:after="240"/>
      <w:jc w:val="both"/>
      <w:outlineLvl w:val="5"/>
    </w:pPr>
    <w:rPr>
      <w:rFonts w:eastAsia="STZhongsong"/>
      <w:szCs w:val="22"/>
    </w:rPr>
  </w:style>
  <w:style w:type="paragraph" w:customStyle="1" w:styleId="ScheduleL7">
    <w:name w:val="Schedule L7"/>
    <w:basedOn w:val="Normal"/>
    <w:rsid w:val="002038C7"/>
    <w:pPr>
      <w:numPr>
        <w:ilvl w:val="6"/>
        <w:numId w:val="4"/>
      </w:numPr>
      <w:adjustRightInd w:val="0"/>
      <w:spacing w:after="240"/>
      <w:jc w:val="both"/>
      <w:outlineLvl w:val="6"/>
    </w:pPr>
    <w:rPr>
      <w:rFonts w:eastAsia="STZhongsong"/>
      <w:szCs w:val="22"/>
    </w:rPr>
  </w:style>
  <w:style w:type="paragraph" w:customStyle="1" w:styleId="ScheduleL8">
    <w:name w:val="Schedule L8"/>
    <w:basedOn w:val="Normal"/>
    <w:rsid w:val="002038C7"/>
    <w:pPr>
      <w:numPr>
        <w:ilvl w:val="7"/>
        <w:numId w:val="4"/>
      </w:numPr>
      <w:adjustRightInd w:val="0"/>
      <w:spacing w:after="240"/>
      <w:jc w:val="both"/>
      <w:outlineLvl w:val="7"/>
    </w:pPr>
    <w:rPr>
      <w:rFonts w:eastAsia="STZhongsong"/>
      <w:szCs w:val="22"/>
    </w:rPr>
  </w:style>
  <w:style w:type="paragraph" w:customStyle="1" w:styleId="ScheduleL9">
    <w:name w:val="Schedule L9"/>
    <w:basedOn w:val="Normal"/>
    <w:rsid w:val="002038C7"/>
    <w:pPr>
      <w:numPr>
        <w:ilvl w:val="8"/>
        <w:numId w:val="4"/>
      </w:numPr>
      <w:adjustRightInd w:val="0"/>
      <w:spacing w:after="240"/>
      <w:jc w:val="both"/>
      <w:outlineLvl w:val="8"/>
    </w:pPr>
    <w:rPr>
      <w:rFonts w:eastAsia="STZhongsong"/>
      <w:szCs w:val="22"/>
    </w:rPr>
  </w:style>
  <w:style w:type="paragraph" w:customStyle="1" w:styleId="SchSection">
    <w:name w:val="SchSection"/>
    <w:basedOn w:val="Normal"/>
    <w:next w:val="Normal"/>
    <w:rsid w:val="002038C7"/>
    <w:pPr>
      <w:keepNext/>
      <w:numPr>
        <w:ilvl w:val="2"/>
        <w:numId w:val="7"/>
      </w:numPr>
      <w:adjustRightInd w:val="0"/>
      <w:spacing w:after="240"/>
      <w:jc w:val="center"/>
      <w:outlineLvl w:val="2"/>
    </w:pPr>
    <w:rPr>
      <w:rFonts w:eastAsia="STZhongsong"/>
      <w:b/>
      <w:szCs w:val="22"/>
    </w:rPr>
  </w:style>
  <w:style w:type="paragraph" w:customStyle="1" w:styleId="AppPart">
    <w:name w:val="AppPart"/>
    <w:basedOn w:val="Normal"/>
    <w:rsid w:val="002038C7"/>
    <w:pPr>
      <w:numPr>
        <w:ilvl w:val="1"/>
        <w:numId w:val="5"/>
      </w:numPr>
      <w:adjustRightInd w:val="0"/>
      <w:spacing w:after="240"/>
      <w:jc w:val="center"/>
      <w:outlineLvl w:val="1"/>
    </w:pPr>
    <w:rPr>
      <w:rFonts w:eastAsia="STZhongsong"/>
      <w:b/>
      <w:szCs w:val="22"/>
    </w:rPr>
  </w:style>
  <w:style w:type="numbering" w:customStyle="1" w:styleId="WWOutlineListStyle3">
    <w:name w:val="WW_OutlineListStyle_3"/>
    <w:basedOn w:val="NoList"/>
    <w:rsid w:val="002038C7"/>
    <w:pPr>
      <w:numPr>
        <w:numId w:val="9"/>
      </w:numPr>
    </w:pPr>
  </w:style>
  <w:style w:type="paragraph" w:customStyle="1" w:styleId="Standard">
    <w:name w:val="Standard"/>
    <w:rsid w:val="002038C7"/>
    <w:pPr>
      <w:widowControl w:val="0"/>
      <w:suppressAutoHyphens/>
      <w:autoSpaceDN w:val="0"/>
      <w:spacing w:after="200" w:line="276" w:lineRule="auto"/>
      <w:textAlignment w:val="baseline"/>
    </w:pPr>
    <w:rPr>
      <w:rFonts w:ascii="Calibri" w:eastAsia="Calibri" w:hAnsi="Calibri" w:cs="Calibri"/>
      <w:lang w:eastAsia="zh-CN" w:bidi="hi-IN"/>
    </w:rPr>
  </w:style>
  <w:style w:type="numbering" w:customStyle="1" w:styleId="LFO4">
    <w:name w:val="LFO4"/>
    <w:basedOn w:val="NoList"/>
    <w:rsid w:val="002038C7"/>
    <w:pPr>
      <w:numPr>
        <w:numId w:val="10"/>
      </w:numPr>
    </w:pPr>
  </w:style>
  <w:style w:type="paragraph" w:styleId="Header">
    <w:name w:val="header"/>
    <w:basedOn w:val="Normal"/>
    <w:link w:val="HeaderChar"/>
    <w:uiPriority w:val="99"/>
    <w:unhideWhenUsed/>
    <w:rsid w:val="002038C7"/>
    <w:pPr>
      <w:tabs>
        <w:tab w:val="center" w:pos="4513"/>
        <w:tab w:val="right" w:pos="9026"/>
      </w:tabs>
    </w:pPr>
  </w:style>
  <w:style w:type="character" w:customStyle="1" w:styleId="HeaderChar">
    <w:name w:val="Header Char"/>
    <w:basedOn w:val="DefaultParagraphFont"/>
    <w:link w:val="Header"/>
    <w:uiPriority w:val="99"/>
    <w:rsid w:val="002038C7"/>
    <w:rPr>
      <w:rFonts w:ascii="Arial" w:eastAsia="SimSun" w:hAnsi="Arial" w:cs="Arial"/>
      <w:szCs w:val="24"/>
      <w:lang w:eastAsia="zh-CN"/>
    </w:rPr>
  </w:style>
  <w:style w:type="paragraph" w:styleId="Footer">
    <w:name w:val="footer"/>
    <w:basedOn w:val="Normal"/>
    <w:link w:val="FooterChar"/>
    <w:uiPriority w:val="99"/>
    <w:unhideWhenUsed/>
    <w:rsid w:val="002038C7"/>
    <w:pPr>
      <w:tabs>
        <w:tab w:val="center" w:pos="4513"/>
        <w:tab w:val="right" w:pos="9026"/>
      </w:tabs>
    </w:pPr>
  </w:style>
  <w:style w:type="character" w:customStyle="1" w:styleId="FooterChar">
    <w:name w:val="Footer Char"/>
    <w:basedOn w:val="DefaultParagraphFont"/>
    <w:link w:val="Footer"/>
    <w:uiPriority w:val="99"/>
    <w:rsid w:val="002038C7"/>
    <w:rPr>
      <w:rFonts w:ascii="Arial" w:eastAsia="SimSun"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67649/Shared-Services-Strategy-for-Government-March-20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7E00-DAFE-4E7D-93DB-293F3DED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Thomas</dc:creator>
  <cp:keywords/>
  <dc:description/>
  <cp:lastModifiedBy>Gail Thomas</cp:lastModifiedBy>
  <cp:revision>3</cp:revision>
  <dcterms:created xsi:type="dcterms:W3CDTF">2023-01-17T12:52:00Z</dcterms:created>
  <dcterms:modified xsi:type="dcterms:W3CDTF">2023-02-13T15:13:00Z</dcterms:modified>
</cp:coreProperties>
</file>