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8131" w14:textId="77779519" w:rsidR="00E0473E" w:rsidRDefault="00E0473E" w:rsidP="00E0473E">
      <w:pPr>
        <w:tabs>
          <w:tab w:val="num" w:pos="360"/>
          <w:tab w:val="num" w:pos="720"/>
        </w:tabs>
        <w:spacing w:before="60"/>
        <w:ind w:left="720" w:hanging="720"/>
        <w:jc w:val="center"/>
        <w:rPr>
          <w:noProof/>
        </w:rPr>
      </w:pPr>
      <w:bookmarkStart w:id="0" w:name="_Toc109139001"/>
      <w:r>
        <w:rPr>
          <w:noProof/>
        </w:rPr>
        <w:drawing>
          <wp:inline distT="0" distB="0" distL="0" distR="0" wp14:anchorId="58EEC6BC" wp14:editId="5B4AF39C">
            <wp:extent cx="2053760" cy="735442"/>
            <wp:effectExtent l="0" t="0" r="3640" b="7508"/>
            <wp:docPr id="2" name="Picture 1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53760" cy="735442"/>
                    </a:xfrm>
                    <a:prstGeom prst="rect">
                      <a:avLst/>
                    </a:prstGeom>
                    <a:noFill/>
                    <a:ln>
                      <a:noFill/>
                      <a:prstDash/>
                    </a:ln>
                  </pic:spPr>
                </pic:pic>
              </a:graphicData>
            </a:graphic>
          </wp:inline>
        </w:drawing>
      </w:r>
    </w:p>
    <w:p w14:paraId="419FE66E" w14:textId="2E57D7AA" w:rsidR="00E0473E" w:rsidRPr="00E0473E" w:rsidRDefault="00E0473E" w:rsidP="00E0473E"/>
    <w:p w14:paraId="7AF95618" w14:textId="4A68BF8B" w:rsidR="00E0473E" w:rsidRPr="00E0473E" w:rsidRDefault="00E0473E" w:rsidP="00E0473E"/>
    <w:p w14:paraId="2F8915D5" w14:textId="39175A28" w:rsidR="00E0473E" w:rsidRPr="00E0473E" w:rsidRDefault="00E0473E" w:rsidP="00E0473E"/>
    <w:p w14:paraId="4FEA78D6" w14:textId="712A8E71" w:rsidR="00E0473E" w:rsidRPr="00E0473E" w:rsidRDefault="00E0473E" w:rsidP="00E0473E"/>
    <w:p w14:paraId="08A78A0D" w14:textId="1E67D816" w:rsidR="00E0473E" w:rsidRDefault="00E0473E" w:rsidP="00E0473E">
      <w:pPr>
        <w:rPr>
          <w:noProof/>
        </w:rPr>
      </w:pPr>
    </w:p>
    <w:p w14:paraId="4933F7AE" w14:textId="77777777" w:rsidR="00DF5871" w:rsidRPr="009637C4" w:rsidRDefault="00DF5871" w:rsidP="00DF5871">
      <w:pPr>
        <w:suppressAutoHyphens/>
        <w:autoSpaceDN w:val="0"/>
        <w:jc w:val="center"/>
        <w:rPr>
          <w:rFonts w:eastAsia="Calibri" w:cs="Arial"/>
          <w:b/>
          <w:sz w:val="24"/>
          <w:szCs w:val="24"/>
        </w:rPr>
      </w:pPr>
      <w:r w:rsidRPr="009637C4">
        <w:rPr>
          <w:rFonts w:eastAsia="Calibri" w:cs="Arial"/>
          <w:b/>
          <w:sz w:val="24"/>
          <w:szCs w:val="24"/>
        </w:rPr>
        <w:t>Invitation to Tender</w:t>
      </w:r>
    </w:p>
    <w:p w14:paraId="69B1A4AD" w14:textId="77777777" w:rsidR="00DF5871" w:rsidRPr="009637C4" w:rsidRDefault="00DF5871" w:rsidP="00DF5871">
      <w:pPr>
        <w:suppressAutoHyphens/>
        <w:autoSpaceDN w:val="0"/>
        <w:jc w:val="center"/>
        <w:rPr>
          <w:rFonts w:eastAsia="Calibri" w:cs="Arial"/>
          <w:b/>
          <w:sz w:val="24"/>
          <w:szCs w:val="24"/>
        </w:rPr>
      </w:pPr>
    </w:p>
    <w:p w14:paraId="5F077236" w14:textId="286E4D63" w:rsidR="00DF5871" w:rsidRPr="00033D70" w:rsidRDefault="00033D70" w:rsidP="00DF5871">
      <w:pPr>
        <w:suppressAutoHyphens/>
        <w:autoSpaceDN w:val="0"/>
        <w:jc w:val="center"/>
        <w:rPr>
          <w:rFonts w:eastAsia="Calibri" w:cs="Arial"/>
          <w:b/>
          <w:sz w:val="24"/>
          <w:szCs w:val="24"/>
        </w:rPr>
      </w:pPr>
      <w:r w:rsidRPr="00033D70">
        <w:rPr>
          <w:rFonts w:eastAsia="Calibri" w:cs="Arial"/>
          <w:b/>
          <w:sz w:val="24"/>
          <w:szCs w:val="24"/>
        </w:rPr>
        <w:t xml:space="preserve">Media Monitoring </w:t>
      </w:r>
      <w:r w:rsidR="00CB4D0C">
        <w:rPr>
          <w:rFonts w:eastAsia="Calibri" w:cs="Arial"/>
          <w:b/>
          <w:sz w:val="24"/>
          <w:szCs w:val="24"/>
        </w:rPr>
        <w:t xml:space="preserve">and Media Database </w:t>
      </w:r>
      <w:r w:rsidRPr="00033D70">
        <w:rPr>
          <w:rFonts w:eastAsia="Calibri" w:cs="Arial"/>
          <w:b/>
          <w:sz w:val="24"/>
          <w:szCs w:val="24"/>
        </w:rPr>
        <w:t>Services</w:t>
      </w:r>
    </w:p>
    <w:p w14:paraId="3BB57B00" w14:textId="77777777" w:rsidR="00DF5871" w:rsidRPr="00033D70" w:rsidRDefault="00DF5871" w:rsidP="00DF5871">
      <w:pPr>
        <w:suppressAutoHyphens/>
        <w:autoSpaceDN w:val="0"/>
        <w:jc w:val="center"/>
        <w:rPr>
          <w:rFonts w:eastAsia="Calibri" w:cs="Arial"/>
          <w:b/>
          <w:sz w:val="24"/>
          <w:szCs w:val="24"/>
        </w:rPr>
      </w:pPr>
    </w:p>
    <w:p w14:paraId="3C3C92BB" w14:textId="6CEE0772" w:rsidR="00DF5871" w:rsidRPr="00DF5871" w:rsidRDefault="00DF5871" w:rsidP="00DF5871">
      <w:pPr>
        <w:suppressAutoHyphens/>
        <w:autoSpaceDN w:val="0"/>
        <w:jc w:val="center"/>
        <w:rPr>
          <w:rFonts w:eastAsia="Calibri" w:cs="Arial"/>
          <w:b/>
          <w:sz w:val="24"/>
          <w:szCs w:val="24"/>
        </w:rPr>
      </w:pPr>
      <w:r w:rsidRPr="00DF5871">
        <w:rPr>
          <w:rFonts w:eastAsia="Calibri" w:cs="Arial"/>
          <w:b/>
          <w:sz w:val="24"/>
          <w:szCs w:val="24"/>
        </w:rPr>
        <w:t>Ref: NHMF 032</w:t>
      </w:r>
      <w:r w:rsidR="00033D70">
        <w:rPr>
          <w:rFonts w:eastAsia="Calibri" w:cs="Arial"/>
          <w:b/>
          <w:sz w:val="24"/>
          <w:szCs w:val="24"/>
        </w:rPr>
        <w:t>3</w:t>
      </w:r>
    </w:p>
    <w:p w14:paraId="7AD5E0B4" w14:textId="77777777" w:rsidR="00DF5871" w:rsidRPr="00DF5871" w:rsidRDefault="00DF5871" w:rsidP="00DF5871">
      <w:pPr>
        <w:suppressAutoHyphens/>
        <w:autoSpaceDN w:val="0"/>
        <w:jc w:val="center"/>
        <w:rPr>
          <w:rFonts w:eastAsia="Calibri" w:cs="Arial"/>
          <w:b/>
          <w:sz w:val="24"/>
          <w:szCs w:val="24"/>
        </w:rPr>
      </w:pPr>
    </w:p>
    <w:p w14:paraId="7A1A523F" w14:textId="77777777" w:rsidR="00DF5871" w:rsidRPr="00DF5871" w:rsidRDefault="00DF5871" w:rsidP="00DF5871">
      <w:pPr>
        <w:suppressAutoHyphens/>
        <w:autoSpaceDN w:val="0"/>
        <w:jc w:val="center"/>
        <w:rPr>
          <w:rFonts w:eastAsia="Calibri" w:cs="Arial"/>
          <w:b/>
          <w:sz w:val="24"/>
          <w:szCs w:val="24"/>
        </w:rPr>
      </w:pPr>
    </w:p>
    <w:p w14:paraId="5ED23AA3" w14:textId="58692A75" w:rsidR="00DF5871" w:rsidRPr="00DF5871" w:rsidRDefault="00DF5871" w:rsidP="00DF5871">
      <w:pPr>
        <w:suppressAutoHyphens/>
        <w:autoSpaceDN w:val="0"/>
        <w:jc w:val="center"/>
        <w:rPr>
          <w:rFonts w:ascii="Calibri" w:eastAsia="Calibri" w:hAnsi="Calibri" w:cs="Arial"/>
          <w:sz w:val="24"/>
          <w:szCs w:val="24"/>
        </w:rPr>
      </w:pPr>
      <w:r w:rsidRPr="00DF5871">
        <w:rPr>
          <w:rFonts w:eastAsia="Calibri" w:cs="Arial"/>
          <w:b/>
          <w:sz w:val="24"/>
          <w:szCs w:val="24"/>
        </w:rPr>
        <w:t xml:space="preserve">Schedule </w:t>
      </w:r>
      <w:r>
        <w:rPr>
          <w:rFonts w:eastAsia="Calibri" w:cs="Arial"/>
          <w:b/>
          <w:sz w:val="24"/>
          <w:szCs w:val="24"/>
        </w:rPr>
        <w:t>2</w:t>
      </w:r>
      <w:r w:rsidRPr="00DF5871">
        <w:rPr>
          <w:rFonts w:eastAsia="Calibri" w:cs="Arial"/>
          <w:b/>
          <w:sz w:val="24"/>
          <w:szCs w:val="24"/>
        </w:rPr>
        <w:t xml:space="preserve">: </w:t>
      </w:r>
      <w:r>
        <w:rPr>
          <w:rFonts w:eastAsia="Calibri" w:cs="Arial"/>
          <w:b/>
          <w:sz w:val="24"/>
          <w:szCs w:val="24"/>
        </w:rPr>
        <w:t>Specification</w:t>
      </w:r>
    </w:p>
    <w:p w14:paraId="1D413BC7" w14:textId="0A4B6A2C" w:rsidR="00E0473E" w:rsidRPr="00E0473E" w:rsidRDefault="00E0473E" w:rsidP="00013A95">
      <w:pPr>
        <w:jc w:val="center"/>
      </w:pPr>
    </w:p>
    <w:p w14:paraId="54AEAEB2"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FF324E3"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E3349B2"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1D97668"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37BC4B7"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9C33BB0"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B9938E6"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1706AF4"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503D700"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20B9683C"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58B86026"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9DF6257" w14:textId="77777777" w:rsidR="00DF5871" w:rsidRDefault="00DF5871" w:rsidP="00DF5871">
      <w:pPr>
        <w:pStyle w:val="Heading1"/>
        <w:tabs>
          <w:tab w:val="num" w:pos="720"/>
        </w:tabs>
        <w:spacing w:before="60"/>
        <w:ind w:left="720"/>
        <w:jc w:val="both"/>
        <w:rPr>
          <w:rFonts w:asciiTheme="minorBidi" w:hAnsiTheme="minorBidi" w:cstheme="minorBidi"/>
          <w:szCs w:val="24"/>
        </w:rPr>
      </w:pPr>
    </w:p>
    <w:p w14:paraId="1FDC4ACD" w14:textId="5CC1A53E" w:rsidR="00DF5871" w:rsidRDefault="00DF5871" w:rsidP="00DF5871">
      <w:pPr>
        <w:pStyle w:val="Heading1"/>
        <w:tabs>
          <w:tab w:val="num" w:pos="720"/>
        </w:tabs>
        <w:spacing w:before="60"/>
        <w:ind w:left="720"/>
        <w:jc w:val="both"/>
        <w:rPr>
          <w:rFonts w:asciiTheme="minorBidi" w:hAnsiTheme="minorBidi" w:cstheme="minorBidi"/>
          <w:szCs w:val="24"/>
        </w:rPr>
      </w:pPr>
    </w:p>
    <w:p w14:paraId="0BED2806" w14:textId="24252242" w:rsidR="00DF5871" w:rsidRDefault="00DF5871" w:rsidP="00DF5871"/>
    <w:p w14:paraId="3F9FFAAB" w14:textId="776050E7" w:rsidR="00DF5871" w:rsidRDefault="00DF5871" w:rsidP="00DF5871"/>
    <w:p w14:paraId="450CA581" w14:textId="11361BCF" w:rsidR="00DF5871" w:rsidRDefault="00DF5871" w:rsidP="00DF5871"/>
    <w:p w14:paraId="63D594C9" w14:textId="13B9D2E4" w:rsidR="00DF5871" w:rsidRDefault="00DF5871" w:rsidP="00DF5871"/>
    <w:p w14:paraId="5ADC2F92" w14:textId="4C19DD76" w:rsidR="00DF5871" w:rsidRDefault="00DF5871" w:rsidP="00DF5871"/>
    <w:p w14:paraId="1751E783" w14:textId="3C2B58CB" w:rsidR="00DF5871" w:rsidRDefault="00DF5871" w:rsidP="00DF5871"/>
    <w:p w14:paraId="65FA332B" w14:textId="4A89E724" w:rsidR="00DF5871" w:rsidRDefault="00DF5871" w:rsidP="00DF5871"/>
    <w:p w14:paraId="277526D9" w14:textId="54601358" w:rsidR="00DF5871" w:rsidRDefault="00DF5871" w:rsidP="00DF5871"/>
    <w:p w14:paraId="04D2FFDF" w14:textId="2DAECCE1" w:rsidR="00DF5871" w:rsidRDefault="00DF5871" w:rsidP="00DF5871"/>
    <w:p w14:paraId="25F6966D" w14:textId="77777777" w:rsidR="00DF5871" w:rsidRPr="00DF5871" w:rsidRDefault="00DF5871" w:rsidP="00DF5871"/>
    <w:p w14:paraId="4CCC82C5" w14:textId="77777777" w:rsidR="00DF5871" w:rsidRDefault="00DF5871" w:rsidP="00DF5871">
      <w:pPr>
        <w:pStyle w:val="Heading1"/>
        <w:tabs>
          <w:tab w:val="num" w:pos="720"/>
        </w:tabs>
        <w:spacing w:before="60"/>
        <w:ind w:left="720"/>
        <w:jc w:val="both"/>
        <w:rPr>
          <w:rFonts w:asciiTheme="minorBidi" w:hAnsiTheme="minorBidi" w:cstheme="minorBidi"/>
          <w:szCs w:val="24"/>
        </w:rPr>
      </w:pPr>
    </w:p>
    <w:bookmarkEnd w:id="0"/>
    <w:p w14:paraId="3AF98B79" w14:textId="77777777" w:rsidR="00CE17C8" w:rsidRDefault="00CE17C8" w:rsidP="00DC47E3">
      <w:pPr>
        <w:pStyle w:val="paragraph"/>
        <w:spacing w:before="0" w:beforeAutospacing="0" w:after="0" w:afterAutospacing="0"/>
        <w:ind w:left="720"/>
        <w:textAlignment w:val="baseline"/>
        <w:rPr>
          <w:rStyle w:val="normaltextrun"/>
          <w:rFonts w:ascii="Arial" w:hAnsi="Arial" w:cs="Arial"/>
          <w:b/>
          <w:bCs/>
        </w:rPr>
      </w:pPr>
    </w:p>
    <w:p w14:paraId="3693E0B2" w14:textId="1495B41D" w:rsidR="009637C4" w:rsidRDefault="009637C4" w:rsidP="009637C4">
      <w:pPr>
        <w:rPr>
          <w:b/>
          <w:bCs/>
          <w:szCs w:val="22"/>
        </w:rPr>
      </w:pPr>
      <w:r w:rsidRPr="1A6A12C1">
        <w:rPr>
          <w:b/>
          <w:bCs/>
          <w:szCs w:val="22"/>
        </w:rPr>
        <w:lastRenderedPageBreak/>
        <w:t xml:space="preserve">The </w:t>
      </w:r>
      <w:r w:rsidRPr="3DBC28C8">
        <w:rPr>
          <w:b/>
          <w:bCs/>
          <w:szCs w:val="22"/>
        </w:rPr>
        <w:t xml:space="preserve">National </w:t>
      </w:r>
      <w:r w:rsidRPr="6F6ED263">
        <w:rPr>
          <w:b/>
          <w:bCs/>
          <w:szCs w:val="22"/>
        </w:rPr>
        <w:t xml:space="preserve">Lottery Heritage </w:t>
      </w:r>
      <w:r w:rsidRPr="72A5DBAD">
        <w:rPr>
          <w:b/>
          <w:bCs/>
          <w:szCs w:val="22"/>
        </w:rPr>
        <w:t xml:space="preserve">Fund </w:t>
      </w:r>
      <w:r w:rsidRPr="7E4C0A75">
        <w:rPr>
          <w:b/>
          <w:bCs/>
          <w:szCs w:val="22"/>
        </w:rPr>
        <w:t>(</w:t>
      </w:r>
      <w:r w:rsidRPr="1D0F68E0">
        <w:rPr>
          <w:b/>
          <w:bCs/>
          <w:szCs w:val="22"/>
        </w:rPr>
        <w:t>the</w:t>
      </w:r>
      <w:r w:rsidRPr="7E4C0A75">
        <w:rPr>
          <w:b/>
          <w:bCs/>
          <w:szCs w:val="22"/>
        </w:rPr>
        <w:t xml:space="preserve"> Heritage Fund) </w:t>
      </w:r>
      <w:r w:rsidRPr="1A6A12C1">
        <w:rPr>
          <w:b/>
          <w:bCs/>
          <w:szCs w:val="22"/>
        </w:rPr>
        <w:t xml:space="preserve">National Heritage Memorial Fund (NHMF) </w:t>
      </w:r>
      <w:r w:rsidR="00B8462A">
        <w:rPr>
          <w:b/>
          <w:bCs/>
          <w:szCs w:val="22"/>
        </w:rPr>
        <w:t>– Media Monitoring and Media Database Provider</w:t>
      </w:r>
    </w:p>
    <w:p w14:paraId="621FDFD5" w14:textId="4F201F85" w:rsidR="009637C4" w:rsidRDefault="009637C4" w:rsidP="009637C4">
      <w:pPr>
        <w:spacing w:line="259" w:lineRule="auto"/>
        <w:rPr>
          <w:b/>
          <w:bCs/>
          <w:szCs w:val="22"/>
        </w:rPr>
      </w:pPr>
    </w:p>
    <w:p w14:paraId="7BDAE00B" w14:textId="77777777" w:rsidR="009637C4" w:rsidRDefault="009637C4" w:rsidP="009637C4">
      <w:pPr>
        <w:rPr>
          <w:b/>
          <w:szCs w:val="22"/>
        </w:rPr>
      </w:pPr>
    </w:p>
    <w:p w14:paraId="16D1F4E5" w14:textId="77777777" w:rsidR="009637C4" w:rsidRDefault="009637C4" w:rsidP="009637C4">
      <w:pPr>
        <w:rPr>
          <w:b/>
          <w:szCs w:val="22"/>
        </w:rPr>
      </w:pPr>
      <w:r>
        <w:rPr>
          <w:b/>
          <w:szCs w:val="22"/>
        </w:rPr>
        <w:t>1: Background</w:t>
      </w:r>
    </w:p>
    <w:p w14:paraId="0FACA214" w14:textId="77777777" w:rsidR="009637C4" w:rsidRDefault="009637C4" w:rsidP="009637C4">
      <w:pPr>
        <w:rPr>
          <w:b/>
          <w:szCs w:val="22"/>
        </w:rPr>
      </w:pPr>
    </w:p>
    <w:p w14:paraId="6CD2852C" w14:textId="77777777" w:rsidR="009637C4" w:rsidRDefault="009637C4" w:rsidP="009637C4">
      <w:pPr>
        <w:rPr>
          <w:b/>
          <w:szCs w:val="22"/>
        </w:rPr>
      </w:pPr>
      <w:r>
        <w:rPr>
          <w:b/>
          <w:szCs w:val="22"/>
        </w:rPr>
        <w:t>NHMF</w:t>
      </w:r>
    </w:p>
    <w:p w14:paraId="634BD3C1" w14:textId="77777777" w:rsidR="009637C4" w:rsidRDefault="009637C4" w:rsidP="009637C4">
      <w:pPr>
        <w:rPr>
          <w:szCs w:val="22"/>
        </w:rPr>
      </w:pPr>
    </w:p>
    <w:p w14:paraId="6F078D2B" w14:textId="77777777" w:rsidR="009637C4" w:rsidRDefault="009637C4" w:rsidP="009637C4">
      <w:pPr>
        <w:tabs>
          <w:tab w:val="left" w:pos="7740"/>
        </w:tabs>
        <w:rPr>
          <w:rFonts w:cs="Arial"/>
          <w:szCs w:val="22"/>
        </w:rPr>
      </w:pPr>
      <w:r>
        <w:rPr>
          <w:rFonts w:cs="Arial"/>
          <w:szCs w:val="22"/>
        </w:rPr>
        <w:t xml:space="preserve">Set-up in 1980, the National Heritage Memorial Fund is a government ‘fund of last resort’ that </w:t>
      </w:r>
      <w:r w:rsidRPr="00F01B1B">
        <w:rPr>
          <w:rFonts w:cs="Arial"/>
          <w:szCs w:val="22"/>
        </w:rPr>
        <w:t>provide grants and loans to help acquire the UK’s most precious heritage at risk of loss</w:t>
      </w:r>
      <w:r>
        <w:rPr>
          <w:rFonts w:cs="Arial"/>
          <w:szCs w:val="22"/>
        </w:rPr>
        <w:t>,</w:t>
      </w:r>
      <w:r w:rsidRPr="00F01B1B">
        <w:rPr>
          <w:rFonts w:cs="Arial"/>
          <w:szCs w:val="22"/>
        </w:rPr>
        <w:t xml:space="preserve"> as a </w:t>
      </w:r>
      <w:r>
        <w:rPr>
          <w:rFonts w:cs="Arial"/>
          <w:szCs w:val="22"/>
        </w:rPr>
        <w:t>permanent</w:t>
      </w:r>
      <w:r w:rsidRPr="00F01B1B">
        <w:rPr>
          <w:rFonts w:cs="Arial"/>
          <w:szCs w:val="22"/>
        </w:rPr>
        <w:t xml:space="preserve"> memorial to those who have given their lives in service to the country.  </w:t>
      </w:r>
    </w:p>
    <w:p w14:paraId="0FBFA6B5" w14:textId="77777777" w:rsidR="009637C4" w:rsidRDefault="009637C4" w:rsidP="009637C4">
      <w:pPr>
        <w:tabs>
          <w:tab w:val="left" w:pos="7740"/>
        </w:tabs>
        <w:rPr>
          <w:rFonts w:cs="Arial"/>
          <w:szCs w:val="22"/>
        </w:rPr>
      </w:pPr>
    </w:p>
    <w:p w14:paraId="466B1970" w14:textId="77777777" w:rsidR="009637C4" w:rsidRDefault="009637C4" w:rsidP="009637C4">
      <w:pPr>
        <w:tabs>
          <w:tab w:val="left" w:pos="7740"/>
        </w:tabs>
        <w:rPr>
          <w:rFonts w:cs="Arial"/>
          <w:szCs w:val="22"/>
        </w:rPr>
      </w:pPr>
      <w:r>
        <w:rPr>
          <w:rFonts w:cs="Arial"/>
          <w:szCs w:val="22"/>
        </w:rPr>
        <w:t>Over the</w:t>
      </w:r>
      <w:r w:rsidRPr="2BC768BD">
        <w:rPr>
          <w:rFonts w:cs="Arial"/>
          <w:szCs w:val="22"/>
        </w:rPr>
        <w:t xml:space="preserve"> last</w:t>
      </w:r>
      <w:r>
        <w:rPr>
          <w:rFonts w:cs="Arial"/>
          <w:szCs w:val="22"/>
        </w:rPr>
        <w:t xml:space="preserve"> </w:t>
      </w:r>
      <w:r w:rsidRPr="644CCFFD">
        <w:rPr>
          <w:rFonts w:cs="Arial"/>
          <w:szCs w:val="22"/>
        </w:rPr>
        <w:t>forty</w:t>
      </w:r>
      <w:r>
        <w:rPr>
          <w:rFonts w:cs="Arial"/>
          <w:szCs w:val="22"/>
        </w:rPr>
        <w:t xml:space="preserve"> years the Fund has made over 1,</w:t>
      </w:r>
      <w:r w:rsidRPr="2482B6A7">
        <w:rPr>
          <w:rFonts w:cs="Arial"/>
          <w:szCs w:val="22"/>
        </w:rPr>
        <w:t>300</w:t>
      </w:r>
      <w:r>
        <w:rPr>
          <w:rFonts w:cs="Arial"/>
          <w:szCs w:val="22"/>
        </w:rPr>
        <w:t xml:space="preserve"> grants and awarded over £</w:t>
      </w:r>
      <w:r w:rsidRPr="5DDE8A98">
        <w:rPr>
          <w:rFonts w:cs="Arial"/>
          <w:szCs w:val="22"/>
        </w:rPr>
        <w:t>365million</w:t>
      </w:r>
      <w:r>
        <w:rPr>
          <w:rFonts w:cs="Arial"/>
          <w:szCs w:val="22"/>
        </w:rPr>
        <w:t xml:space="preserve"> to help save a heritage cornucopia characterising our nations, including the record-breaking Flying Scotsman; Henry the VIII’s flagship </w:t>
      </w:r>
      <w:r w:rsidRPr="00A215ED">
        <w:rPr>
          <w:rFonts w:cs="Arial"/>
          <w:szCs w:val="22"/>
        </w:rPr>
        <w:t>Mary Rose</w:t>
      </w:r>
      <w:r>
        <w:rPr>
          <w:rFonts w:cs="Arial"/>
          <w:szCs w:val="22"/>
        </w:rPr>
        <w:t xml:space="preserve">; the rare Anglo-Saxon </w:t>
      </w:r>
      <w:r w:rsidRPr="00C95374">
        <w:rPr>
          <w:rFonts w:cs="Arial"/>
          <w:szCs w:val="22"/>
        </w:rPr>
        <w:t>Coenwulf Coin</w:t>
      </w:r>
      <w:r>
        <w:rPr>
          <w:rFonts w:cs="Arial"/>
          <w:szCs w:val="22"/>
        </w:rPr>
        <w:t xml:space="preserve">, depicting Coenwulf, King of Mercia; Sir Walter Scott’s annotated manuscripts which were retrieved from the USA; the gothic-revival mansion and estate, </w:t>
      </w:r>
      <w:r w:rsidRPr="00C95374">
        <w:rPr>
          <w:rFonts w:cs="Arial"/>
          <w:szCs w:val="22"/>
        </w:rPr>
        <w:t>Tyntesfield</w:t>
      </w:r>
      <w:r>
        <w:rPr>
          <w:rFonts w:cs="Arial"/>
          <w:szCs w:val="22"/>
        </w:rPr>
        <w:t>,</w:t>
      </w:r>
      <w:r w:rsidRPr="00C95374">
        <w:rPr>
          <w:rFonts w:cs="Arial"/>
          <w:szCs w:val="22"/>
        </w:rPr>
        <w:t xml:space="preserve"> </w:t>
      </w:r>
      <w:r>
        <w:rPr>
          <w:rFonts w:cs="Arial"/>
          <w:szCs w:val="22"/>
        </w:rPr>
        <w:t xml:space="preserve">complete with its contents; along with a number of historic landscapes and areas of outstanding natural beauty such as the Brecon Beacons National Park. </w:t>
      </w:r>
    </w:p>
    <w:p w14:paraId="15BBB38F" w14:textId="77777777" w:rsidR="009637C4" w:rsidRDefault="009637C4" w:rsidP="009637C4">
      <w:pPr>
        <w:tabs>
          <w:tab w:val="left" w:pos="7740"/>
        </w:tabs>
        <w:rPr>
          <w:rFonts w:cs="Arial"/>
          <w:szCs w:val="22"/>
        </w:rPr>
      </w:pPr>
    </w:p>
    <w:p w14:paraId="5CE42E91" w14:textId="77777777" w:rsidR="009637C4" w:rsidRDefault="009637C4" w:rsidP="009637C4">
      <w:pPr>
        <w:tabs>
          <w:tab w:val="left" w:pos="7740"/>
        </w:tabs>
        <w:rPr>
          <w:rFonts w:cs="Arial"/>
          <w:szCs w:val="22"/>
        </w:rPr>
      </w:pPr>
      <w:r>
        <w:rPr>
          <w:rFonts w:cs="Arial"/>
          <w:szCs w:val="22"/>
        </w:rPr>
        <w:t xml:space="preserve">In 1994, the NHMF and its Trustees were given the major task of distributing the heritage share of National Lottery money for good causes, which now operates through </w:t>
      </w:r>
      <w:r w:rsidRPr="644CCFFD">
        <w:rPr>
          <w:rFonts w:cs="Arial"/>
          <w:szCs w:val="22"/>
        </w:rPr>
        <w:t xml:space="preserve">The National Lottery </w:t>
      </w:r>
      <w:r>
        <w:rPr>
          <w:rFonts w:cs="Arial"/>
          <w:szCs w:val="22"/>
        </w:rPr>
        <w:t xml:space="preserve">Heritage Fund.  NHMF continues to act as the fund of last resort, being able to react quickly in emergencies.  In contrast </w:t>
      </w:r>
      <w:r w:rsidRPr="644CCFFD">
        <w:rPr>
          <w:rFonts w:cs="Arial"/>
          <w:szCs w:val="22"/>
        </w:rPr>
        <w:t xml:space="preserve">the Heritage </w:t>
      </w:r>
      <w:r w:rsidRPr="079EE605">
        <w:rPr>
          <w:rFonts w:cs="Arial"/>
          <w:szCs w:val="22"/>
        </w:rPr>
        <w:t>Fund offers</w:t>
      </w:r>
      <w:r>
        <w:rPr>
          <w:rFonts w:cs="Arial"/>
          <w:szCs w:val="22"/>
        </w:rPr>
        <w:t xml:space="preserve"> opportunities for conserving our heritage with greater emphasis on improved access, learning and engagement.  </w:t>
      </w:r>
    </w:p>
    <w:p w14:paraId="38DB64AA" w14:textId="77777777" w:rsidR="009637C4" w:rsidRDefault="009637C4" w:rsidP="009637C4">
      <w:pPr>
        <w:tabs>
          <w:tab w:val="left" w:pos="7740"/>
        </w:tabs>
        <w:jc w:val="both"/>
        <w:rPr>
          <w:rFonts w:cs="Arial"/>
          <w:szCs w:val="22"/>
        </w:rPr>
      </w:pPr>
    </w:p>
    <w:p w14:paraId="53B1AE7D" w14:textId="77777777" w:rsidR="009637C4" w:rsidRPr="000D63AE" w:rsidRDefault="009637C4" w:rsidP="009637C4">
      <w:pPr>
        <w:tabs>
          <w:tab w:val="left" w:pos="7740"/>
        </w:tabs>
        <w:jc w:val="both"/>
        <w:rPr>
          <w:rFonts w:cs="Arial"/>
          <w:b/>
          <w:bCs/>
          <w:szCs w:val="22"/>
        </w:rPr>
      </w:pPr>
      <w:r w:rsidRPr="072CF194">
        <w:rPr>
          <w:rFonts w:cs="Arial"/>
          <w:b/>
          <w:bCs/>
          <w:szCs w:val="22"/>
        </w:rPr>
        <w:t xml:space="preserve">The National Lottery </w:t>
      </w:r>
      <w:r w:rsidRPr="74154604">
        <w:rPr>
          <w:rFonts w:cs="Arial"/>
          <w:b/>
          <w:bCs/>
          <w:szCs w:val="22"/>
        </w:rPr>
        <w:t>Heritage Fund</w:t>
      </w:r>
    </w:p>
    <w:p w14:paraId="627FDE5B" w14:textId="77777777" w:rsidR="009637C4" w:rsidRDefault="009637C4" w:rsidP="009637C4">
      <w:pPr>
        <w:rPr>
          <w:szCs w:val="22"/>
        </w:rPr>
      </w:pPr>
    </w:p>
    <w:p w14:paraId="5E8226F1" w14:textId="77777777" w:rsidR="009637C4" w:rsidRDefault="009637C4" w:rsidP="009637C4">
      <w:pPr>
        <w:rPr>
          <w:rFonts w:cs="Arial"/>
          <w:szCs w:val="22"/>
        </w:rPr>
      </w:pPr>
      <w:r>
        <w:rPr>
          <w:rFonts w:cs="Arial"/>
          <w:szCs w:val="22"/>
        </w:rPr>
        <w:t>Since 1994</w:t>
      </w:r>
      <w:r w:rsidRPr="74154604">
        <w:rPr>
          <w:rFonts w:cs="Arial"/>
          <w:szCs w:val="22"/>
        </w:rPr>
        <w:t>, The National Lottery Heritage</w:t>
      </w:r>
      <w:r>
        <w:rPr>
          <w:rFonts w:cs="Arial"/>
          <w:szCs w:val="22"/>
        </w:rPr>
        <w:t xml:space="preserve"> Fund has sustained and transformed the UK’s heritage through innovative investment in projects that have had a lasting impact on people and places. </w:t>
      </w:r>
      <w:r w:rsidRPr="5738CA75">
        <w:rPr>
          <w:rFonts w:cs="Arial"/>
          <w:szCs w:val="22"/>
        </w:rPr>
        <w:t xml:space="preserve">National </w:t>
      </w:r>
      <w:r>
        <w:rPr>
          <w:rFonts w:cs="Arial"/>
          <w:szCs w:val="22"/>
        </w:rPr>
        <w:t>Lottery funding has breathed new life into the UK’s towns and cities, creating a renaissance for our museums and galleries, rescuing public parks from decades of neglect and kick-starting the regeneration of historic sites and buildings. Nature reserves, mountains, moors and forests have all benefited, as have the iconic symbols of British industrial and maritime past - now magnets for tourism.  Hundreds of smaller community groups have also benefited from generating projects that have let them explore the places they call home.</w:t>
      </w:r>
    </w:p>
    <w:p w14:paraId="421CDC3E" w14:textId="77777777" w:rsidR="009637C4" w:rsidRDefault="009637C4" w:rsidP="009637C4">
      <w:pPr>
        <w:rPr>
          <w:rFonts w:cs="Arial"/>
          <w:szCs w:val="22"/>
        </w:rPr>
      </w:pPr>
    </w:p>
    <w:p w14:paraId="683A178E" w14:textId="77777777" w:rsidR="009637C4" w:rsidRDefault="009637C4" w:rsidP="009637C4">
      <w:pPr>
        <w:tabs>
          <w:tab w:val="left" w:pos="3600"/>
        </w:tabs>
        <w:rPr>
          <w:rFonts w:cs="Arial"/>
          <w:szCs w:val="22"/>
        </w:rPr>
      </w:pPr>
      <w:r>
        <w:rPr>
          <w:rFonts w:cs="Arial"/>
          <w:szCs w:val="22"/>
        </w:rPr>
        <w:t xml:space="preserve">Our view of heritage is broad, progressive, and inclusive. We believe that understanding, valuing and sharing our diverse histories changes lives, brings people together and provides the foundation of a confident, modern society. </w:t>
      </w:r>
    </w:p>
    <w:p w14:paraId="17A6850B" w14:textId="77777777" w:rsidR="009637C4" w:rsidRDefault="009637C4" w:rsidP="009637C4">
      <w:pPr>
        <w:tabs>
          <w:tab w:val="left" w:pos="3600"/>
        </w:tabs>
        <w:rPr>
          <w:rFonts w:cs="Arial"/>
          <w:szCs w:val="22"/>
        </w:rPr>
      </w:pPr>
    </w:p>
    <w:p w14:paraId="515D48E2" w14:textId="77777777" w:rsidR="009637C4" w:rsidRDefault="009637C4" w:rsidP="009637C4">
      <w:pPr>
        <w:rPr>
          <w:b/>
          <w:szCs w:val="22"/>
        </w:rPr>
      </w:pPr>
      <w:r>
        <w:rPr>
          <w:b/>
          <w:szCs w:val="22"/>
        </w:rPr>
        <w:br w:type="page"/>
      </w:r>
      <w:r>
        <w:rPr>
          <w:b/>
          <w:szCs w:val="22"/>
        </w:rPr>
        <w:lastRenderedPageBreak/>
        <w:t>3.0 Objectives and key requirements</w:t>
      </w:r>
    </w:p>
    <w:p w14:paraId="02C1D90D" w14:textId="77777777" w:rsidR="009637C4" w:rsidRDefault="009637C4" w:rsidP="009637C4">
      <w:pPr>
        <w:rPr>
          <w:szCs w:val="22"/>
        </w:rPr>
      </w:pPr>
    </w:p>
    <w:p w14:paraId="61B07E1E" w14:textId="6109A268" w:rsidR="009637C4" w:rsidRDefault="009637C4" w:rsidP="009637C4">
      <w:pPr>
        <w:rPr>
          <w:szCs w:val="22"/>
        </w:rPr>
      </w:pPr>
      <w:r>
        <w:rPr>
          <w:szCs w:val="22"/>
        </w:rPr>
        <w:t xml:space="preserve">To enable us to accurately monitor </w:t>
      </w:r>
      <w:r w:rsidRPr="73E84882">
        <w:rPr>
          <w:szCs w:val="22"/>
        </w:rPr>
        <w:t xml:space="preserve">The National Lottery </w:t>
      </w:r>
      <w:r w:rsidRPr="173A5E8A">
        <w:rPr>
          <w:szCs w:val="22"/>
        </w:rPr>
        <w:t xml:space="preserve">Heritage </w:t>
      </w:r>
      <w:r w:rsidRPr="3A8C7491">
        <w:rPr>
          <w:szCs w:val="22"/>
        </w:rPr>
        <w:t>Fund and</w:t>
      </w:r>
      <w:r>
        <w:rPr>
          <w:szCs w:val="22"/>
        </w:rPr>
        <w:t xml:space="preserve"> NHMF </w:t>
      </w:r>
      <w:r w:rsidR="00500F35">
        <w:rPr>
          <w:szCs w:val="22"/>
        </w:rPr>
        <w:t>(the Fund)</w:t>
      </w:r>
      <w:r w:rsidR="005B1305">
        <w:rPr>
          <w:szCs w:val="22"/>
        </w:rPr>
        <w:t xml:space="preserve"> </w:t>
      </w:r>
      <w:r>
        <w:rPr>
          <w:szCs w:val="22"/>
        </w:rPr>
        <w:t xml:space="preserve">profiles throughout the UK media, </w:t>
      </w:r>
      <w:r w:rsidR="00B513FE">
        <w:rPr>
          <w:szCs w:val="22"/>
        </w:rPr>
        <w:t xml:space="preserve">we are </w:t>
      </w:r>
      <w:r>
        <w:rPr>
          <w:szCs w:val="22"/>
        </w:rPr>
        <w:t>looking to appoint an efficient and cost-effective media monitoring agency to meet the following requirements:</w:t>
      </w:r>
    </w:p>
    <w:p w14:paraId="4AE34028" w14:textId="77777777" w:rsidR="009637C4" w:rsidRDefault="009637C4" w:rsidP="009637C4">
      <w:pPr>
        <w:rPr>
          <w:szCs w:val="22"/>
        </w:rPr>
      </w:pPr>
    </w:p>
    <w:p w14:paraId="0B2127A9" w14:textId="77777777" w:rsidR="009637C4" w:rsidRPr="00B66C12" w:rsidRDefault="009637C4" w:rsidP="009637C4">
      <w:pPr>
        <w:rPr>
          <w:b/>
          <w:szCs w:val="22"/>
        </w:rPr>
      </w:pPr>
      <w:r w:rsidRPr="00B66C12">
        <w:rPr>
          <w:b/>
          <w:szCs w:val="22"/>
        </w:rPr>
        <w:t>3.1  Scope of monitoring</w:t>
      </w:r>
    </w:p>
    <w:p w14:paraId="11FB2BCE" w14:textId="77777777" w:rsidR="009637C4" w:rsidRDefault="009637C4" w:rsidP="009637C4">
      <w:pPr>
        <w:rPr>
          <w:szCs w:val="22"/>
        </w:rPr>
      </w:pPr>
    </w:p>
    <w:p w14:paraId="6BCC3428" w14:textId="77777777" w:rsidR="009637C4" w:rsidRDefault="009637C4" w:rsidP="009637C4">
      <w:pPr>
        <w:rPr>
          <w:szCs w:val="22"/>
        </w:rPr>
      </w:pPr>
      <w:r>
        <w:rPr>
          <w:szCs w:val="22"/>
        </w:rPr>
        <w:t xml:space="preserve">To track all reference to </w:t>
      </w:r>
      <w:r w:rsidRPr="6B26E2B5">
        <w:rPr>
          <w:szCs w:val="22"/>
        </w:rPr>
        <w:t xml:space="preserve">The </w:t>
      </w:r>
      <w:r w:rsidRPr="551D24CB">
        <w:rPr>
          <w:szCs w:val="22"/>
        </w:rPr>
        <w:t xml:space="preserve">National </w:t>
      </w:r>
      <w:r>
        <w:rPr>
          <w:szCs w:val="22"/>
        </w:rPr>
        <w:t xml:space="preserve">Lottery </w:t>
      </w:r>
      <w:r w:rsidRPr="551D24CB">
        <w:rPr>
          <w:szCs w:val="22"/>
        </w:rPr>
        <w:t xml:space="preserve">Heritage </w:t>
      </w:r>
      <w:r>
        <w:rPr>
          <w:szCs w:val="22"/>
        </w:rPr>
        <w:t>Fund and the National Heritage Memorial Fund throughout the following UK media:</w:t>
      </w:r>
    </w:p>
    <w:p w14:paraId="13F9D6D3" w14:textId="77777777" w:rsidR="009637C4" w:rsidRDefault="009637C4" w:rsidP="009637C4">
      <w:pPr>
        <w:rPr>
          <w:szCs w:val="22"/>
        </w:rPr>
      </w:pPr>
    </w:p>
    <w:p w14:paraId="72B30C87" w14:textId="77777777" w:rsidR="009637C4" w:rsidRDefault="009637C4" w:rsidP="009637C4">
      <w:pPr>
        <w:numPr>
          <w:ilvl w:val="0"/>
          <w:numId w:val="23"/>
        </w:numPr>
        <w:rPr>
          <w:szCs w:val="22"/>
        </w:rPr>
      </w:pPr>
      <w:r>
        <w:rPr>
          <w:szCs w:val="22"/>
        </w:rPr>
        <w:t>National newspapers (print and digital)</w:t>
      </w:r>
    </w:p>
    <w:p w14:paraId="59F499DE" w14:textId="77777777" w:rsidR="009637C4" w:rsidRDefault="009637C4" w:rsidP="009637C4">
      <w:pPr>
        <w:numPr>
          <w:ilvl w:val="0"/>
          <w:numId w:val="23"/>
        </w:numPr>
        <w:rPr>
          <w:szCs w:val="22"/>
        </w:rPr>
      </w:pPr>
      <w:r>
        <w:rPr>
          <w:szCs w:val="22"/>
        </w:rPr>
        <w:t xml:space="preserve">Broadcast media </w:t>
      </w:r>
      <w:r w:rsidRPr="3082ADA2">
        <w:rPr>
          <w:szCs w:val="22"/>
        </w:rPr>
        <w:t xml:space="preserve">(TV and </w:t>
      </w:r>
      <w:r w:rsidRPr="0F0A6E7F">
        <w:rPr>
          <w:szCs w:val="22"/>
        </w:rPr>
        <w:t>radio)</w:t>
      </w:r>
    </w:p>
    <w:p w14:paraId="17BFB92F" w14:textId="77777777" w:rsidR="009637C4" w:rsidRDefault="009637C4" w:rsidP="009637C4">
      <w:pPr>
        <w:numPr>
          <w:ilvl w:val="0"/>
          <w:numId w:val="23"/>
        </w:numPr>
        <w:rPr>
          <w:szCs w:val="22"/>
        </w:rPr>
      </w:pPr>
      <w:r>
        <w:rPr>
          <w:szCs w:val="22"/>
        </w:rPr>
        <w:t>Digital media (including blogs)</w:t>
      </w:r>
    </w:p>
    <w:p w14:paraId="31300A41" w14:textId="77777777" w:rsidR="009637C4" w:rsidRDefault="009637C4" w:rsidP="009637C4">
      <w:pPr>
        <w:numPr>
          <w:ilvl w:val="0"/>
          <w:numId w:val="23"/>
        </w:numPr>
        <w:rPr>
          <w:szCs w:val="22"/>
        </w:rPr>
      </w:pPr>
      <w:r>
        <w:rPr>
          <w:szCs w:val="22"/>
        </w:rPr>
        <w:t>National consumer magazines</w:t>
      </w:r>
    </w:p>
    <w:p w14:paraId="1B0632B6" w14:textId="77777777" w:rsidR="009637C4" w:rsidRDefault="009637C4" w:rsidP="009637C4">
      <w:pPr>
        <w:numPr>
          <w:ilvl w:val="0"/>
          <w:numId w:val="23"/>
        </w:numPr>
        <w:rPr>
          <w:szCs w:val="22"/>
        </w:rPr>
      </w:pPr>
      <w:r>
        <w:rPr>
          <w:szCs w:val="22"/>
        </w:rPr>
        <w:t>Major regional newspapers (not syndicated)</w:t>
      </w:r>
    </w:p>
    <w:p w14:paraId="57D43473" w14:textId="77777777" w:rsidR="009637C4" w:rsidRDefault="009637C4" w:rsidP="009637C4">
      <w:pPr>
        <w:numPr>
          <w:ilvl w:val="0"/>
          <w:numId w:val="23"/>
        </w:numPr>
        <w:rPr>
          <w:szCs w:val="22"/>
        </w:rPr>
      </w:pPr>
      <w:r>
        <w:rPr>
          <w:szCs w:val="22"/>
        </w:rPr>
        <w:t>Local newspaper (c. 20,000+)</w:t>
      </w:r>
    </w:p>
    <w:p w14:paraId="02ED12CC" w14:textId="77777777" w:rsidR="009637C4" w:rsidRDefault="009637C4" w:rsidP="009637C4">
      <w:pPr>
        <w:numPr>
          <w:ilvl w:val="0"/>
          <w:numId w:val="23"/>
        </w:numPr>
        <w:rPr>
          <w:szCs w:val="22"/>
        </w:rPr>
      </w:pPr>
      <w:r>
        <w:rPr>
          <w:szCs w:val="22"/>
        </w:rPr>
        <w:t>Regional consumer magazines</w:t>
      </w:r>
    </w:p>
    <w:p w14:paraId="5BF6C89E" w14:textId="77777777" w:rsidR="009637C4" w:rsidRDefault="009637C4" w:rsidP="009637C4">
      <w:pPr>
        <w:numPr>
          <w:ilvl w:val="0"/>
          <w:numId w:val="23"/>
        </w:numPr>
        <w:rPr>
          <w:szCs w:val="22"/>
        </w:rPr>
      </w:pPr>
      <w:r>
        <w:rPr>
          <w:szCs w:val="22"/>
        </w:rPr>
        <w:t>Specialist/trade media</w:t>
      </w:r>
    </w:p>
    <w:p w14:paraId="257B2B32" w14:textId="77777777" w:rsidR="009637C4" w:rsidRDefault="009637C4" w:rsidP="009637C4">
      <w:pPr>
        <w:rPr>
          <w:szCs w:val="22"/>
        </w:rPr>
      </w:pPr>
    </w:p>
    <w:p w14:paraId="0134E6D3" w14:textId="504291BD" w:rsidR="009637C4" w:rsidRPr="00D375BA" w:rsidRDefault="005B1305" w:rsidP="009637C4">
      <w:pPr>
        <w:rPr>
          <w:iCs/>
          <w:szCs w:val="22"/>
        </w:rPr>
      </w:pPr>
      <w:r w:rsidRPr="00D375BA">
        <w:rPr>
          <w:iCs/>
          <w:szCs w:val="22"/>
        </w:rPr>
        <w:t xml:space="preserve">The Fund also wants the following services to be provided </w:t>
      </w:r>
      <w:r w:rsidR="00D375BA" w:rsidRPr="00D375BA">
        <w:rPr>
          <w:iCs/>
          <w:szCs w:val="22"/>
        </w:rPr>
        <w:t xml:space="preserve">and ask bidders to include details in their submission regarding </w:t>
      </w:r>
      <w:r w:rsidR="008955C2">
        <w:rPr>
          <w:iCs/>
          <w:szCs w:val="22"/>
        </w:rPr>
        <w:t>evidence</w:t>
      </w:r>
      <w:r w:rsidR="00D375BA" w:rsidRPr="00D375BA">
        <w:rPr>
          <w:iCs/>
          <w:szCs w:val="22"/>
        </w:rPr>
        <w:t xml:space="preserve"> of how you propose to </w:t>
      </w:r>
      <w:r w:rsidR="009F7C50" w:rsidRPr="00D375BA">
        <w:rPr>
          <w:iCs/>
          <w:szCs w:val="22"/>
        </w:rPr>
        <w:t xml:space="preserve">provide </w:t>
      </w:r>
      <w:r w:rsidR="00D375BA" w:rsidRPr="00D375BA">
        <w:rPr>
          <w:iCs/>
          <w:szCs w:val="22"/>
        </w:rPr>
        <w:t>these</w:t>
      </w:r>
      <w:r w:rsidR="009F7C50" w:rsidRPr="00D375BA">
        <w:rPr>
          <w:iCs/>
          <w:szCs w:val="22"/>
        </w:rPr>
        <w:t xml:space="preserve"> </w:t>
      </w:r>
    </w:p>
    <w:p w14:paraId="6587CEF8" w14:textId="77777777" w:rsidR="009637C4" w:rsidRDefault="009637C4" w:rsidP="009637C4">
      <w:pPr>
        <w:rPr>
          <w:szCs w:val="22"/>
        </w:rPr>
      </w:pPr>
    </w:p>
    <w:p w14:paraId="261BE147" w14:textId="77777777" w:rsidR="009637C4" w:rsidRDefault="009637C4" w:rsidP="009637C4">
      <w:pPr>
        <w:numPr>
          <w:ilvl w:val="0"/>
          <w:numId w:val="27"/>
        </w:numPr>
        <w:spacing w:line="259" w:lineRule="auto"/>
        <w:rPr>
          <w:szCs w:val="22"/>
        </w:rPr>
      </w:pPr>
      <w:r w:rsidRPr="7350DE73">
        <w:rPr>
          <w:szCs w:val="22"/>
        </w:rPr>
        <w:t xml:space="preserve">Format </w:t>
      </w:r>
      <w:r w:rsidRPr="0DE18EAE">
        <w:rPr>
          <w:szCs w:val="22"/>
        </w:rPr>
        <w:t xml:space="preserve">and accessibility </w:t>
      </w:r>
      <w:r w:rsidRPr="7350DE73">
        <w:rPr>
          <w:szCs w:val="22"/>
        </w:rPr>
        <w:t xml:space="preserve">of </w:t>
      </w:r>
      <w:r w:rsidRPr="30ECDCC6">
        <w:rPr>
          <w:szCs w:val="22"/>
        </w:rPr>
        <w:t>print and online cuttings</w:t>
      </w:r>
    </w:p>
    <w:p w14:paraId="169E364A" w14:textId="77777777" w:rsidR="009637C4" w:rsidRDefault="009637C4" w:rsidP="009637C4">
      <w:pPr>
        <w:numPr>
          <w:ilvl w:val="0"/>
          <w:numId w:val="27"/>
        </w:numPr>
        <w:spacing w:line="259" w:lineRule="auto"/>
        <w:rPr>
          <w:szCs w:val="22"/>
        </w:rPr>
      </w:pPr>
      <w:r w:rsidRPr="022C4586">
        <w:rPr>
          <w:szCs w:val="22"/>
        </w:rPr>
        <w:t>Format</w:t>
      </w:r>
      <w:r w:rsidRPr="257E5B8D">
        <w:rPr>
          <w:szCs w:val="22"/>
        </w:rPr>
        <w:t xml:space="preserve"> and </w:t>
      </w:r>
      <w:r w:rsidRPr="1AE31EDC">
        <w:rPr>
          <w:szCs w:val="22"/>
        </w:rPr>
        <w:t xml:space="preserve">accessibility of </w:t>
      </w:r>
      <w:r w:rsidRPr="051E57E1">
        <w:rPr>
          <w:szCs w:val="22"/>
        </w:rPr>
        <w:t xml:space="preserve">broadcast </w:t>
      </w:r>
      <w:r w:rsidRPr="04D960F2">
        <w:rPr>
          <w:szCs w:val="22"/>
        </w:rPr>
        <w:t>coverage (TV and radio)</w:t>
      </w:r>
    </w:p>
    <w:p w14:paraId="4E957206" w14:textId="77777777" w:rsidR="009637C4" w:rsidRDefault="009637C4" w:rsidP="009637C4">
      <w:pPr>
        <w:numPr>
          <w:ilvl w:val="0"/>
          <w:numId w:val="27"/>
        </w:numPr>
        <w:rPr>
          <w:szCs w:val="22"/>
        </w:rPr>
      </w:pPr>
      <w:r>
        <w:rPr>
          <w:szCs w:val="22"/>
        </w:rPr>
        <w:t>Evaluation tools</w:t>
      </w:r>
    </w:p>
    <w:p w14:paraId="114EC502" w14:textId="77777777" w:rsidR="009637C4" w:rsidRDefault="009637C4" w:rsidP="009637C4">
      <w:pPr>
        <w:numPr>
          <w:ilvl w:val="0"/>
          <w:numId w:val="27"/>
        </w:numPr>
        <w:rPr>
          <w:szCs w:val="22"/>
        </w:rPr>
      </w:pPr>
      <w:r w:rsidRPr="4639F86C">
        <w:rPr>
          <w:szCs w:val="22"/>
        </w:rPr>
        <w:t>Media contacts databases</w:t>
      </w:r>
    </w:p>
    <w:p w14:paraId="15E88F8F" w14:textId="77777777" w:rsidR="009637C4" w:rsidRDefault="009637C4" w:rsidP="009637C4">
      <w:pPr>
        <w:numPr>
          <w:ilvl w:val="0"/>
          <w:numId w:val="27"/>
        </w:numPr>
        <w:rPr>
          <w:szCs w:val="22"/>
        </w:rPr>
      </w:pPr>
      <w:r w:rsidRPr="40C7C827">
        <w:rPr>
          <w:szCs w:val="22"/>
        </w:rPr>
        <w:t>Press office management</w:t>
      </w:r>
    </w:p>
    <w:p w14:paraId="15D80C69" w14:textId="77777777" w:rsidR="009637C4" w:rsidRDefault="009637C4" w:rsidP="009637C4">
      <w:pPr>
        <w:rPr>
          <w:szCs w:val="22"/>
        </w:rPr>
      </w:pPr>
    </w:p>
    <w:p w14:paraId="1C60D91C" w14:textId="452A5D2B" w:rsidR="009637C4" w:rsidRPr="00D375BA" w:rsidRDefault="006713CD" w:rsidP="009637C4">
      <w:pPr>
        <w:rPr>
          <w:szCs w:val="22"/>
        </w:rPr>
      </w:pPr>
      <w:r w:rsidRPr="00D375BA">
        <w:rPr>
          <w:szCs w:val="22"/>
        </w:rPr>
        <w:t>As</w:t>
      </w:r>
      <w:r w:rsidRPr="00B513FE">
        <w:rPr>
          <w:i/>
          <w:iCs/>
          <w:szCs w:val="22"/>
        </w:rPr>
        <w:t xml:space="preserve"> </w:t>
      </w:r>
      <w:r w:rsidR="00750671" w:rsidRPr="008734DE">
        <w:rPr>
          <w:rFonts w:cs="Arial"/>
          <w:szCs w:val="22"/>
        </w:rPr>
        <w:t>The National Lottery Heritage Fund and NMHF are UK wide organisation</w:t>
      </w:r>
      <w:r w:rsidR="00675B57">
        <w:rPr>
          <w:rFonts w:cs="Arial"/>
          <w:szCs w:val="22"/>
        </w:rPr>
        <w:t>s</w:t>
      </w:r>
      <w:r w:rsidR="00750671" w:rsidRPr="008734DE">
        <w:rPr>
          <w:rFonts w:cs="Arial"/>
          <w:szCs w:val="22"/>
        </w:rPr>
        <w:t xml:space="preserve"> </w:t>
      </w:r>
      <w:r w:rsidR="00517FD3" w:rsidRPr="008734DE">
        <w:rPr>
          <w:rFonts w:cs="Arial"/>
          <w:szCs w:val="22"/>
        </w:rPr>
        <w:t xml:space="preserve">we are looking for a </w:t>
      </w:r>
      <w:r w:rsidR="00D375BA">
        <w:rPr>
          <w:rFonts w:cs="Arial"/>
          <w:szCs w:val="22"/>
        </w:rPr>
        <w:t>provider</w:t>
      </w:r>
      <w:r w:rsidR="00517FD3" w:rsidRPr="008734DE">
        <w:rPr>
          <w:rFonts w:cs="Arial"/>
          <w:szCs w:val="22"/>
        </w:rPr>
        <w:t xml:space="preserve"> who has good coverage not only in England but also </w:t>
      </w:r>
      <w:r w:rsidR="008734DE" w:rsidRPr="008734DE">
        <w:rPr>
          <w:rFonts w:cs="Arial"/>
          <w:szCs w:val="22"/>
        </w:rPr>
        <w:t xml:space="preserve">across </w:t>
      </w:r>
      <w:r w:rsidR="009637C4" w:rsidRPr="00D375BA">
        <w:rPr>
          <w:szCs w:val="22"/>
        </w:rPr>
        <w:t>Northern Ireland, Scotland and Wales</w:t>
      </w:r>
      <w:r w:rsidR="00D375BA">
        <w:rPr>
          <w:szCs w:val="22"/>
        </w:rPr>
        <w:t xml:space="preserve"> and</w:t>
      </w:r>
      <w:r w:rsidR="009637C4" w:rsidRPr="00B513FE">
        <w:rPr>
          <w:i/>
          <w:iCs/>
          <w:szCs w:val="22"/>
        </w:rPr>
        <w:t xml:space="preserve"> </w:t>
      </w:r>
      <w:r w:rsidR="004B6E07" w:rsidRPr="00D375BA">
        <w:rPr>
          <w:szCs w:val="22"/>
        </w:rPr>
        <w:t>As part of your submission and to enable us to evaluate this could you please pro</w:t>
      </w:r>
      <w:r w:rsidR="007017AC" w:rsidRPr="00D375BA">
        <w:rPr>
          <w:szCs w:val="22"/>
        </w:rPr>
        <w:t>vide reading lists for all of the UK particularly in relation to Northern Ireland, Scotland and Wales</w:t>
      </w:r>
    </w:p>
    <w:p w14:paraId="4A75CD28" w14:textId="77777777" w:rsidR="009637C4" w:rsidRPr="00B513FE" w:rsidRDefault="009637C4" w:rsidP="009637C4">
      <w:pPr>
        <w:rPr>
          <w:i/>
          <w:iCs/>
          <w:szCs w:val="22"/>
        </w:rPr>
      </w:pPr>
    </w:p>
    <w:p w14:paraId="244C4409" w14:textId="4431FB6E" w:rsidR="009637C4" w:rsidRDefault="00D375BA" w:rsidP="009637C4">
      <w:pPr>
        <w:rPr>
          <w:szCs w:val="22"/>
        </w:rPr>
      </w:pPr>
      <w:r w:rsidRPr="00D375BA">
        <w:rPr>
          <w:szCs w:val="22"/>
        </w:rPr>
        <w:t xml:space="preserve">Also </w:t>
      </w:r>
      <w:r w:rsidR="00675B57">
        <w:rPr>
          <w:szCs w:val="22"/>
        </w:rPr>
        <w:t>d</w:t>
      </w:r>
      <w:r w:rsidR="00A07FBD" w:rsidRPr="00D375BA">
        <w:rPr>
          <w:szCs w:val="22"/>
        </w:rPr>
        <w:t>ue to the nature of our work we are looking for a</w:t>
      </w:r>
      <w:r w:rsidR="00D2743B">
        <w:rPr>
          <w:szCs w:val="22"/>
        </w:rPr>
        <w:t xml:space="preserve"> provider</w:t>
      </w:r>
      <w:r w:rsidR="00A07FBD" w:rsidRPr="00D375BA">
        <w:rPr>
          <w:szCs w:val="22"/>
        </w:rPr>
        <w:t xml:space="preserve"> that can monitor </w:t>
      </w:r>
      <w:r w:rsidR="00E51D73" w:rsidRPr="00D375BA">
        <w:rPr>
          <w:szCs w:val="22"/>
        </w:rPr>
        <w:t>and provide coverage from outlets of various type</w:t>
      </w:r>
      <w:r w:rsidR="009F7C50" w:rsidRPr="00D375BA">
        <w:rPr>
          <w:szCs w:val="22"/>
        </w:rPr>
        <w:t>s</w:t>
      </w:r>
      <w:r w:rsidR="00E51D73" w:rsidRPr="00D375BA">
        <w:rPr>
          <w:szCs w:val="22"/>
        </w:rPr>
        <w:t xml:space="preserve"> promptly</w:t>
      </w:r>
      <w:r w:rsidR="00D2743B">
        <w:rPr>
          <w:szCs w:val="22"/>
        </w:rPr>
        <w:t>,</w:t>
      </w:r>
      <w:r w:rsidR="003F069F" w:rsidRPr="00D375BA">
        <w:rPr>
          <w:szCs w:val="22"/>
        </w:rPr>
        <w:t xml:space="preserve"> therefore</w:t>
      </w:r>
      <w:r w:rsidR="00D2743B">
        <w:rPr>
          <w:szCs w:val="22"/>
        </w:rPr>
        <w:t>,</w:t>
      </w:r>
      <w:r w:rsidR="003F069F" w:rsidRPr="00D375BA">
        <w:rPr>
          <w:szCs w:val="22"/>
        </w:rPr>
        <w:t xml:space="preserve"> could you please also provide </w:t>
      </w:r>
      <w:r w:rsidR="00644761" w:rsidRPr="00D375BA">
        <w:rPr>
          <w:szCs w:val="22"/>
        </w:rPr>
        <w:t>information on turnaround times in relation to this</w:t>
      </w:r>
      <w:r w:rsidR="009637C4" w:rsidRPr="00D375BA">
        <w:rPr>
          <w:szCs w:val="22"/>
        </w:rPr>
        <w:t xml:space="preserve">. </w:t>
      </w:r>
    </w:p>
    <w:p w14:paraId="378754F5" w14:textId="4131D80B" w:rsidR="0069505C" w:rsidRDefault="0069505C" w:rsidP="009637C4">
      <w:pPr>
        <w:rPr>
          <w:szCs w:val="22"/>
        </w:rPr>
      </w:pPr>
    </w:p>
    <w:p w14:paraId="22A6DCFF" w14:textId="628300CA" w:rsidR="0069505C" w:rsidRDefault="0069505C" w:rsidP="0069505C">
      <w:pPr>
        <w:tabs>
          <w:tab w:val="left" w:pos="3600"/>
        </w:tabs>
        <w:rPr>
          <w:rFonts w:cs="Arial"/>
          <w:szCs w:val="22"/>
        </w:rPr>
      </w:pPr>
      <w:r w:rsidRPr="0069505C">
        <w:rPr>
          <w:rFonts w:cs="Arial"/>
          <w:szCs w:val="22"/>
        </w:rPr>
        <w:t>Currently, around 30 members of staff have access to our media monitoring and database with varying degrees of access. We would require around 15 staff to have full access in order to record enquiries and analyse clips. It would be ideal if at least 10 staff could be logged in at the same time.</w:t>
      </w:r>
      <w:r>
        <w:rPr>
          <w:rFonts w:cs="Arial"/>
          <w:szCs w:val="22"/>
        </w:rPr>
        <w:t xml:space="preserve"> </w:t>
      </w:r>
      <w:r w:rsidR="00B73D5D">
        <w:rPr>
          <w:rFonts w:cs="Arial"/>
          <w:szCs w:val="22"/>
        </w:rPr>
        <w:t>We also want the option of potentially being able to add to this during the life of the contract.</w:t>
      </w:r>
    </w:p>
    <w:p w14:paraId="56C225F7" w14:textId="713753BD" w:rsidR="00ED5B21" w:rsidRDefault="00ED5B21" w:rsidP="0069505C">
      <w:pPr>
        <w:tabs>
          <w:tab w:val="left" w:pos="3600"/>
        </w:tabs>
        <w:rPr>
          <w:rFonts w:cs="Arial"/>
          <w:szCs w:val="22"/>
        </w:rPr>
      </w:pPr>
    </w:p>
    <w:p w14:paraId="72945FC9" w14:textId="3F90357C" w:rsidR="00ED5B21" w:rsidRDefault="00ED5B21" w:rsidP="0069505C">
      <w:pPr>
        <w:tabs>
          <w:tab w:val="left" w:pos="3600"/>
        </w:tabs>
        <w:rPr>
          <w:rFonts w:cs="Arial"/>
          <w:szCs w:val="22"/>
        </w:rPr>
      </w:pPr>
      <w:r>
        <w:rPr>
          <w:rFonts w:cs="Arial"/>
          <w:szCs w:val="22"/>
        </w:rPr>
        <w:t xml:space="preserve">We are also interested in the following services </w:t>
      </w:r>
      <w:r w:rsidR="00AC2731">
        <w:rPr>
          <w:rFonts w:cs="Arial"/>
          <w:szCs w:val="22"/>
        </w:rPr>
        <w:t xml:space="preserve">could you please confirm if these would be available in the budget or would these be an option that we </w:t>
      </w:r>
      <w:r w:rsidR="00DD4762">
        <w:rPr>
          <w:rFonts w:cs="Arial"/>
          <w:szCs w:val="22"/>
        </w:rPr>
        <w:t>could use as and when:</w:t>
      </w:r>
    </w:p>
    <w:p w14:paraId="3039FD9B" w14:textId="77777777" w:rsidR="0069505C" w:rsidRPr="00D375BA" w:rsidRDefault="0069505C" w:rsidP="009637C4">
      <w:pPr>
        <w:rPr>
          <w:szCs w:val="22"/>
        </w:rPr>
      </w:pPr>
    </w:p>
    <w:p w14:paraId="309F2B8F" w14:textId="77777777" w:rsidR="00F665CE" w:rsidRPr="00DD4762" w:rsidRDefault="00F665CE" w:rsidP="00DD4762">
      <w:pPr>
        <w:pStyle w:val="ListParagraph"/>
        <w:numPr>
          <w:ilvl w:val="0"/>
          <w:numId w:val="28"/>
        </w:numPr>
        <w:tabs>
          <w:tab w:val="left" w:pos="3060"/>
        </w:tabs>
        <w:rPr>
          <w:rFonts w:eastAsia="Batang" w:cs="Arial"/>
          <w:szCs w:val="22"/>
        </w:rPr>
      </w:pPr>
      <w:r w:rsidRPr="00DD4762">
        <w:rPr>
          <w:rFonts w:eastAsia="Batang" w:cs="Arial"/>
          <w:szCs w:val="22"/>
        </w:rPr>
        <w:t>Integration with social media monitoring platforms</w:t>
      </w:r>
    </w:p>
    <w:p w14:paraId="1CDAD235" w14:textId="29784CB9" w:rsidR="009637C4" w:rsidRDefault="00DD4762" w:rsidP="00DD4762">
      <w:pPr>
        <w:pStyle w:val="ListParagraph"/>
        <w:numPr>
          <w:ilvl w:val="0"/>
          <w:numId w:val="28"/>
        </w:numPr>
        <w:rPr>
          <w:b/>
          <w:szCs w:val="22"/>
        </w:rPr>
      </w:pPr>
      <w:r w:rsidRPr="008955C2">
        <w:rPr>
          <w:rFonts w:eastAsia="Batang" w:cs="Arial"/>
          <w:szCs w:val="22"/>
        </w:rPr>
        <w:t>Policy and Public affai</w:t>
      </w:r>
      <w:r w:rsidR="008955C2" w:rsidRPr="008955C2">
        <w:rPr>
          <w:rFonts w:eastAsia="Batang" w:cs="Arial"/>
          <w:szCs w:val="22"/>
        </w:rPr>
        <w:t>rs monitoring</w:t>
      </w:r>
    </w:p>
    <w:p w14:paraId="072425AF" w14:textId="24DDE291" w:rsidR="008955C2" w:rsidRDefault="008955C2" w:rsidP="008955C2">
      <w:pPr>
        <w:pStyle w:val="ListParagraph"/>
        <w:ind w:left="643"/>
        <w:rPr>
          <w:b/>
          <w:szCs w:val="22"/>
        </w:rPr>
      </w:pPr>
    </w:p>
    <w:p w14:paraId="6F49A585" w14:textId="775FDF24" w:rsidR="008955C2" w:rsidRDefault="008955C2" w:rsidP="008955C2">
      <w:pPr>
        <w:pStyle w:val="ListParagraph"/>
        <w:ind w:left="643"/>
        <w:rPr>
          <w:b/>
          <w:szCs w:val="22"/>
        </w:rPr>
      </w:pPr>
    </w:p>
    <w:p w14:paraId="340063C9" w14:textId="0E00EBAA" w:rsidR="008955C2" w:rsidRDefault="008955C2" w:rsidP="008955C2">
      <w:pPr>
        <w:pStyle w:val="ListParagraph"/>
        <w:ind w:left="643"/>
        <w:rPr>
          <w:b/>
          <w:szCs w:val="22"/>
        </w:rPr>
      </w:pPr>
    </w:p>
    <w:p w14:paraId="545DA3D6" w14:textId="77777777" w:rsidR="008955C2" w:rsidRPr="00DD4762" w:rsidRDefault="008955C2" w:rsidP="008955C2">
      <w:pPr>
        <w:pStyle w:val="ListParagraph"/>
        <w:ind w:left="643"/>
        <w:rPr>
          <w:b/>
          <w:szCs w:val="22"/>
        </w:rPr>
      </w:pPr>
    </w:p>
    <w:p w14:paraId="1F919287" w14:textId="34BFAD5B" w:rsidR="009637C4" w:rsidRPr="00B66C12" w:rsidRDefault="009637C4" w:rsidP="009637C4">
      <w:pPr>
        <w:rPr>
          <w:b/>
          <w:szCs w:val="22"/>
        </w:rPr>
      </w:pPr>
      <w:r w:rsidRPr="00B66C12">
        <w:rPr>
          <w:b/>
          <w:szCs w:val="22"/>
        </w:rPr>
        <w:lastRenderedPageBreak/>
        <w:t>3.</w:t>
      </w:r>
      <w:r w:rsidR="00B73D5D">
        <w:rPr>
          <w:b/>
          <w:szCs w:val="22"/>
        </w:rPr>
        <w:t>2</w:t>
      </w:r>
      <w:r w:rsidRPr="00B66C12">
        <w:rPr>
          <w:b/>
          <w:szCs w:val="22"/>
        </w:rPr>
        <w:t xml:space="preserve">  Evaluation</w:t>
      </w:r>
    </w:p>
    <w:p w14:paraId="2EAF075B" w14:textId="77777777" w:rsidR="009637C4" w:rsidRDefault="009637C4" w:rsidP="009637C4">
      <w:pPr>
        <w:rPr>
          <w:szCs w:val="22"/>
        </w:rPr>
      </w:pPr>
    </w:p>
    <w:p w14:paraId="7EBA14D2" w14:textId="5F5131B4" w:rsidR="008A7122" w:rsidRPr="0041710F" w:rsidRDefault="009637C4" w:rsidP="004D29D6">
      <w:pPr>
        <w:rPr>
          <w:color w:val="FF0000"/>
          <w:szCs w:val="22"/>
        </w:rPr>
      </w:pPr>
      <w:r w:rsidRPr="1D03BDAF">
        <w:rPr>
          <w:szCs w:val="22"/>
        </w:rPr>
        <w:t xml:space="preserve">The </w:t>
      </w:r>
      <w:r w:rsidRPr="4639F86C">
        <w:rPr>
          <w:szCs w:val="22"/>
        </w:rPr>
        <w:t>Heritage Fund</w:t>
      </w:r>
      <w:r>
        <w:rPr>
          <w:szCs w:val="22"/>
        </w:rPr>
        <w:t xml:space="preserve">/NHMF </w:t>
      </w:r>
      <w:r w:rsidRPr="6F735B52">
        <w:rPr>
          <w:szCs w:val="22"/>
        </w:rPr>
        <w:t>only requires top-line</w:t>
      </w:r>
      <w:r>
        <w:rPr>
          <w:szCs w:val="22"/>
        </w:rPr>
        <w:t xml:space="preserve"> media evaluation reports at this time</w:t>
      </w:r>
      <w:r w:rsidRPr="6F735B52">
        <w:rPr>
          <w:szCs w:val="22"/>
        </w:rPr>
        <w:t xml:space="preserve"> but may from time</w:t>
      </w:r>
      <w:r>
        <w:rPr>
          <w:szCs w:val="22"/>
        </w:rPr>
        <w:t xml:space="preserve"> </w:t>
      </w:r>
      <w:r w:rsidRPr="12C5715A">
        <w:rPr>
          <w:szCs w:val="22"/>
        </w:rPr>
        <w:t xml:space="preserve">to time want </w:t>
      </w:r>
      <w:r w:rsidRPr="47E6D1CE">
        <w:rPr>
          <w:szCs w:val="22"/>
        </w:rPr>
        <w:t xml:space="preserve">evaluation on specific campaigns. </w:t>
      </w:r>
      <w:r w:rsidR="008A7122" w:rsidRPr="004D29D6">
        <w:rPr>
          <w:szCs w:val="22"/>
        </w:rPr>
        <w:t xml:space="preserve">Please provide details of what evaluation we can pull off system or that they can provide </w:t>
      </w:r>
      <w:r w:rsidR="00155B8D" w:rsidRPr="004D29D6">
        <w:rPr>
          <w:szCs w:val="22"/>
        </w:rPr>
        <w:t>at no extra costs</w:t>
      </w:r>
    </w:p>
    <w:p w14:paraId="7960C4A6" w14:textId="77777777" w:rsidR="009637C4" w:rsidRDefault="009637C4" w:rsidP="009637C4">
      <w:pPr>
        <w:rPr>
          <w:szCs w:val="22"/>
        </w:rPr>
      </w:pPr>
    </w:p>
    <w:p w14:paraId="10650659" w14:textId="745123C2" w:rsidR="009637C4" w:rsidRDefault="009637C4" w:rsidP="009637C4">
      <w:pPr>
        <w:rPr>
          <w:i/>
          <w:szCs w:val="22"/>
        </w:rPr>
      </w:pPr>
    </w:p>
    <w:p w14:paraId="67D5AFE7" w14:textId="77777777" w:rsidR="002673EC" w:rsidRDefault="002673EC" w:rsidP="009637C4">
      <w:pPr>
        <w:rPr>
          <w:i/>
          <w:szCs w:val="22"/>
        </w:rPr>
      </w:pPr>
    </w:p>
    <w:p w14:paraId="0EB1497F" w14:textId="77777777" w:rsidR="009637C4" w:rsidRDefault="009637C4" w:rsidP="009637C4">
      <w:pPr>
        <w:numPr>
          <w:ilvl w:val="0"/>
          <w:numId w:val="26"/>
        </w:numPr>
        <w:rPr>
          <w:b/>
          <w:bCs/>
          <w:szCs w:val="22"/>
        </w:rPr>
      </w:pPr>
      <w:r w:rsidRPr="4639F86C">
        <w:rPr>
          <w:b/>
          <w:bCs/>
          <w:szCs w:val="22"/>
        </w:rPr>
        <w:t xml:space="preserve">Regular Heritage Fund/NHMF activity </w:t>
      </w:r>
    </w:p>
    <w:p w14:paraId="425D335A" w14:textId="77777777" w:rsidR="009637C4" w:rsidRDefault="009637C4" w:rsidP="009637C4">
      <w:pPr>
        <w:rPr>
          <w:b/>
          <w:szCs w:val="22"/>
        </w:rPr>
      </w:pPr>
    </w:p>
    <w:p w14:paraId="0C87CF9A" w14:textId="77777777" w:rsidR="009637C4" w:rsidRPr="00206E58" w:rsidRDefault="009637C4" w:rsidP="009637C4">
      <w:pPr>
        <w:rPr>
          <w:szCs w:val="22"/>
        </w:rPr>
      </w:pPr>
      <w:r w:rsidRPr="4639F86C">
        <w:rPr>
          <w:szCs w:val="22"/>
        </w:rPr>
        <w:t>The Heritage Fund</w:t>
      </w:r>
      <w:r>
        <w:rPr>
          <w:szCs w:val="22"/>
        </w:rPr>
        <w:t>/NHMF undertakes the following activity which could result in media coverage.</w:t>
      </w:r>
    </w:p>
    <w:p w14:paraId="5133FA7F" w14:textId="77777777" w:rsidR="009637C4" w:rsidRDefault="009637C4" w:rsidP="009637C4">
      <w:pPr>
        <w:rPr>
          <w:szCs w:val="22"/>
        </w:rPr>
      </w:pPr>
    </w:p>
    <w:p w14:paraId="521DB2C7" w14:textId="77777777" w:rsidR="009637C4" w:rsidRDefault="009637C4" w:rsidP="009637C4">
      <w:pPr>
        <w:numPr>
          <w:ilvl w:val="0"/>
          <w:numId w:val="21"/>
        </w:numPr>
        <w:rPr>
          <w:szCs w:val="22"/>
        </w:rPr>
      </w:pPr>
      <w:r w:rsidRPr="3F256C01">
        <w:rPr>
          <w:b/>
          <w:bCs/>
          <w:szCs w:val="22"/>
        </w:rPr>
        <w:t xml:space="preserve">Grant announcements – </w:t>
      </w:r>
      <w:r w:rsidRPr="3F256C01">
        <w:rPr>
          <w:szCs w:val="22"/>
        </w:rPr>
        <w:t xml:space="preserve">The </w:t>
      </w:r>
      <w:r w:rsidRPr="05C99810">
        <w:rPr>
          <w:szCs w:val="22"/>
        </w:rPr>
        <w:t xml:space="preserve">Heritage </w:t>
      </w:r>
      <w:r w:rsidRPr="2EBADBDE">
        <w:rPr>
          <w:szCs w:val="22"/>
        </w:rPr>
        <w:t>Fund makes</w:t>
      </w:r>
      <w:r>
        <w:rPr>
          <w:szCs w:val="22"/>
        </w:rPr>
        <w:t xml:space="preserve"> grant awards on a monthly basis communicating from UK Board and/or regional Committees.  NHMF grants can be less structured.  </w:t>
      </w:r>
    </w:p>
    <w:p w14:paraId="5860518F" w14:textId="77777777" w:rsidR="009637C4" w:rsidRDefault="009637C4" w:rsidP="009637C4">
      <w:pPr>
        <w:rPr>
          <w:szCs w:val="22"/>
        </w:rPr>
      </w:pPr>
    </w:p>
    <w:p w14:paraId="0225CFEB" w14:textId="77777777" w:rsidR="009637C4" w:rsidRDefault="009637C4" w:rsidP="009637C4">
      <w:pPr>
        <w:numPr>
          <w:ilvl w:val="0"/>
          <w:numId w:val="21"/>
        </w:numPr>
        <w:rPr>
          <w:szCs w:val="22"/>
        </w:rPr>
      </w:pPr>
      <w:r w:rsidRPr="2EBADBDE">
        <w:rPr>
          <w:b/>
          <w:bCs/>
          <w:szCs w:val="22"/>
        </w:rPr>
        <w:t xml:space="preserve">Rejections - </w:t>
      </w:r>
      <w:r>
        <w:rPr>
          <w:szCs w:val="22"/>
        </w:rPr>
        <w:t xml:space="preserve">Not all grant applications are successful.  While </w:t>
      </w:r>
      <w:r w:rsidRPr="2EBADBDE">
        <w:rPr>
          <w:szCs w:val="22"/>
        </w:rPr>
        <w:t>the Heritage Fund</w:t>
      </w:r>
      <w:r>
        <w:rPr>
          <w:szCs w:val="22"/>
        </w:rPr>
        <w:t>/NHMF rarely announces rejections, the media may report on unsuccessful projects.</w:t>
      </w:r>
    </w:p>
    <w:p w14:paraId="7FA60C3C" w14:textId="77777777" w:rsidR="009637C4" w:rsidRDefault="009637C4" w:rsidP="009637C4">
      <w:pPr>
        <w:rPr>
          <w:szCs w:val="22"/>
        </w:rPr>
      </w:pPr>
    </w:p>
    <w:p w14:paraId="20305DE6" w14:textId="77777777" w:rsidR="009637C4" w:rsidRDefault="009637C4" w:rsidP="009637C4">
      <w:pPr>
        <w:numPr>
          <w:ilvl w:val="0"/>
          <w:numId w:val="21"/>
        </w:numPr>
        <w:rPr>
          <w:szCs w:val="22"/>
        </w:rPr>
      </w:pPr>
      <w:r w:rsidRPr="2EBADBDE">
        <w:rPr>
          <w:b/>
          <w:bCs/>
          <w:szCs w:val="22"/>
        </w:rPr>
        <w:t>Project milestones</w:t>
      </w:r>
      <w:r>
        <w:rPr>
          <w:szCs w:val="22"/>
        </w:rPr>
        <w:t xml:space="preserve"> – </w:t>
      </w:r>
      <w:r w:rsidRPr="2EBADBDE">
        <w:rPr>
          <w:szCs w:val="22"/>
        </w:rPr>
        <w:t>The Heritage Fund</w:t>
      </w:r>
      <w:r>
        <w:rPr>
          <w:szCs w:val="22"/>
        </w:rPr>
        <w:t xml:space="preserve"> and NHMF follow the progress of the grants.  Project milestones are often announced and may result in further media coverage. </w:t>
      </w:r>
    </w:p>
    <w:p w14:paraId="7A8F13F2" w14:textId="77777777" w:rsidR="009637C4" w:rsidRDefault="009637C4" w:rsidP="009637C4">
      <w:pPr>
        <w:pStyle w:val="ListParagraph"/>
        <w:rPr>
          <w:szCs w:val="22"/>
        </w:rPr>
      </w:pPr>
    </w:p>
    <w:p w14:paraId="5DFD317C" w14:textId="77777777" w:rsidR="009637C4" w:rsidRDefault="009637C4" w:rsidP="009637C4">
      <w:pPr>
        <w:numPr>
          <w:ilvl w:val="0"/>
          <w:numId w:val="21"/>
        </w:numPr>
        <w:rPr>
          <w:szCs w:val="22"/>
        </w:rPr>
      </w:pPr>
      <w:r w:rsidRPr="2EBADBDE">
        <w:rPr>
          <w:b/>
          <w:bCs/>
          <w:szCs w:val="22"/>
        </w:rPr>
        <w:t>Campaigns</w:t>
      </w:r>
      <w:r>
        <w:rPr>
          <w:szCs w:val="22"/>
        </w:rPr>
        <w:t xml:space="preserve"> – throughout the year </w:t>
      </w:r>
      <w:r w:rsidRPr="2EBADBDE">
        <w:rPr>
          <w:szCs w:val="22"/>
        </w:rPr>
        <w:t xml:space="preserve">The Heritage </w:t>
      </w:r>
      <w:r w:rsidRPr="048136EE">
        <w:rPr>
          <w:szCs w:val="22"/>
        </w:rPr>
        <w:t>Fund will</w:t>
      </w:r>
      <w:r>
        <w:rPr>
          <w:szCs w:val="22"/>
        </w:rPr>
        <w:t xml:space="preserve"> undertake approximately five special project media campaigns.</w:t>
      </w:r>
    </w:p>
    <w:p w14:paraId="55604494" w14:textId="77777777" w:rsidR="009637C4" w:rsidRDefault="009637C4" w:rsidP="009637C4">
      <w:pPr>
        <w:rPr>
          <w:b/>
          <w:szCs w:val="22"/>
        </w:rPr>
      </w:pPr>
    </w:p>
    <w:p w14:paraId="6933B622" w14:textId="77777777" w:rsidR="009637C4" w:rsidRPr="00104639" w:rsidRDefault="009637C4" w:rsidP="009637C4">
      <w:pPr>
        <w:rPr>
          <w:i/>
          <w:iCs/>
          <w:szCs w:val="22"/>
        </w:rPr>
      </w:pPr>
      <w:r w:rsidRPr="5F284C80">
        <w:rPr>
          <w:i/>
          <w:iCs/>
          <w:szCs w:val="22"/>
        </w:rPr>
        <w:t>Current Heritage</w:t>
      </w:r>
      <w:r w:rsidRPr="745B9DB9">
        <w:rPr>
          <w:i/>
          <w:iCs/>
          <w:szCs w:val="22"/>
        </w:rPr>
        <w:t xml:space="preserve"> Fund grant programmes</w:t>
      </w:r>
    </w:p>
    <w:p w14:paraId="7FDF246B" w14:textId="77777777" w:rsidR="009637C4" w:rsidRDefault="009637C4" w:rsidP="009637C4">
      <w:pPr>
        <w:rPr>
          <w:b/>
          <w:szCs w:val="22"/>
        </w:rPr>
      </w:pPr>
    </w:p>
    <w:p w14:paraId="2E85168E" w14:textId="77777777" w:rsidR="009637C4" w:rsidRPr="00E316F3" w:rsidRDefault="009637C4" w:rsidP="009637C4">
      <w:pPr>
        <w:rPr>
          <w:rFonts w:cs="Arial"/>
          <w:szCs w:val="22"/>
        </w:rPr>
      </w:pPr>
      <w:r w:rsidRPr="00A37079">
        <w:rPr>
          <w:rFonts w:cs="Arial"/>
          <w:szCs w:val="22"/>
          <w:u w:val="single"/>
        </w:rPr>
        <w:t>Heritage Grants</w:t>
      </w:r>
      <w:r>
        <w:rPr>
          <w:rFonts w:cs="Arial"/>
          <w:szCs w:val="22"/>
        </w:rPr>
        <w:t> (</w:t>
      </w:r>
      <w:r w:rsidRPr="0D429CBB">
        <w:rPr>
          <w:rFonts w:cs="Arial"/>
          <w:szCs w:val="22"/>
        </w:rPr>
        <w:t>from £3</w:t>
      </w:r>
      <w:r w:rsidRPr="02A7600A">
        <w:rPr>
          <w:rFonts w:cs="Arial"/>
          <w:szCs w:val="22"/>
        </w:rPr>
        <w:t xml:space="preserve">,000 </w:t>
      </w:r>
      <w:r w:rsidRPr="494B8C18">
        <w:rPr>
          <w:rFonts w:cs="Arial"/>
          <w:szCs w:val="22"/>
        </w:rPr>
        <w:t>to £</w:t>
      </w:r>
      <w:r w:rsidRPr="6C9DA21F">
        <w:rPr>
          <w:rFonts w:cs="Arial"/>
          <w:szCs w:val="22"/>
        </w:rPr>
        <w:t>5million</w:t>
      </w:r>
      <w:r w:rsidRPr="00A37079">
        <w:rPr>
          <w:rFonts w:cs="Arial"/>
          <w:szCs w:val="22"/>
        </w:rPr>
        <w:t>)</w:t>
      </w:r>
      <w:r>
        <w:rPr>
          <w:rFonts w:cs="Arial"/>
          <w:szCs w:val="22"/>
        </w:rPr>
        <w:t xml:space="preserve"> </w:t>
      </w:r>
      <w:r w:rsidRPr="00E316F3">
        <w:rPr>
          <w:rFonts w:cs="Arial"/>
          <w:szCs w:val="22"/>
        </w:rPr>
        <w:t xml:space="preserve">This is our </w:t>
      </w:r>
      <w:r w:rsidRPr="3AFFC9C8">
        <w:rPr>
          <w:rFonts w:cs="Arial"/>
          <w:szCs w:val="22"/>
        </w:rPr>
        <w:t>open programme</w:t>
      </w:r>
      <w:r w:rsidRPr="00E316F3">
        <w:rPr>
          <w:rFonts w:cs="Arial"/>
          <w:szCs w:val="22"/>
        </w:rPr>
        <w:t xml:space="preserve"> for </w:t>
      </w:r>
      <w:r w:rsidRPr="5E51DFCF">
        <w:rPr>
          <w:rFonts w:cs="Arial"/>
          <w:szCs w:val="22"/>
        </w:rPr>
        <w:t>grants</w:t>
      </w:r>
      <w:r w:rsidRPr="00E316F3">
        <w:rPr>
          <w:rFonts w:cs="Arial"/>
          <w:szCs w:val="22"/>
        </w:rPr>
        <w:t xml:space="preserve"> for all kinds of heritage that relate to the national, regional and local heritage of the UK. It is open to all not-for-profit organisations. </w:t>
      </w:r>
    </w:p>
    <w:p w14:paraId="2B1B16BC" w14:textId="77777777" w:rsidR="009637C4" w:rsidRPr="00675B57" w:rsidRDefault="009637C4" w:rsidP="009637C4">
      <w:pPr>
        <w:tabs>
          <w:tab w:val="left" w:pos="0"/>
        </w:tabs>
        <w:autoSpaceDE w:val="0"/>
        <w:autoSpaceDN w:val="0"/>
        <w:rPr>
          <w:rFonts w:cs="Arial"/>
          <w:szCs w:val="22"/>
        </w:rPr>
      </w:pPr>
    </w:p>
    <w:p w14:paraId="494401AA" w14:textId="77777777" w:rsidR="009637C4" w:rsidRDefault="009637C4" w:rsidP="009637C4">
      <w:pPr>
        <w:autoSpaceDE w:val="0"/>
        <w:autoSpaceDN w:val="0"/>
        <w:rPr>
          <w:rFonts w:cs="Arial"/>
          <w:szCs w:val="22"/>
          <w:lang w:val="en"/>
        </w:rPr>
      </w:pPr>
      <w:r w:rsidRPr="1AEF6D18">
        <w:rPr>
          <w:rFonts w:cs="Arial"/>
          <w:szCs w:val="22"/>
          <w:u w:val="single"/>
          <w:lang w:val="en"/>
        </w:rPr>
        <w:t>Heritage Horizons</w:t>
      </w:r>
      <w:r w:rsidRPr="1AEF6D18">
        <w:rPr>
          <w:rFonts w:cs="Arial"/>
          <w:szCs w:val="22"/>
          <w:lang w:val="en"/>
        </w:rPr>
        <w:t xml:space="preserve"> (over £5 million) </w:t>
      </w:r>
      <w:r w:rsidRPr="1AEF6D18">
        <w:rPr>
          <w:rFonts w:eastAsia="Arial" w:cs="Arial"/>
          <w:szCs w:val="22"/>
          <w:lang w:val="en"/>
        </w:rPr>
        <w:t>The Heritage Horizon Awards were launched in 2019 to support ambitious, innovative and transformational projects that will revolutionise UK heritage.</w:t>
      </w:r>
      <w:r w:rsidRPr="1AEF6D18">
        <w:rPr>
          <w:rFonts w:cs="Arial"/>
          <w:szCs w:val="22"/>
          <w:lang w:val="en"/>
        </w:rPr>
        <w:t xml:space="preserve">. </w:t>
      </w:r>
    </w:p>
    <w:p w14:paraId="2152FCF7" w14:textId="77777777" w:rsidR="009637C4" w:rsidRPr="00E316F3" w:rsidRDefault="009637C4" w:rsidP="009637C4">
      <w:pPr>
        <w:rPr>
          <w:rFonts w:cs="Arial"/>
          <w:szCs w:val="22"/>
        </w:rPr>
      </w:pPr>
    </w:p>
    <w:p w14:paraId="01F8DD80" w14:textId="77777777" w:rsidR="009637C4" w:rsidRDefault="009637C4" w:rsidP="009637C4">
      <w:pPr>
        <w:rPr>
          <w:rFonts w:cs="Arial"/>
          <w:szCs w:val="22"/>
        </w:rPr>
      </w:pPr>
    </w:p>
    <w:p w14:paraId="43561A91" w14:textId="77777777" w:rsidR="009637C4" w:rsidRDefault="009637C4" w:rsidP="009637C4">
      <w:pPr>
        <w:rPr>
          <w:b/>
          <w:bCs/>
          <w:szCs w:val="22"/>
        </w:rPr>
      </w:pPr>
      <w:r w:rsidRPr="381FBC8D">
        <w:rPr>
          <w:b/>
          <w:bCs/>
          <w:szCs w:val="22"/>
        </w:rPr>
        <w:t>5.0 Typical Heritage Fund/NHMF media exposure</w:t>
      </w:r>
    </w:p>
    <w:p w14:paraId="594606D1" w14:textId="77777777" w:rsidR="009637C4" w:rsidRDefault="009637C4" w:rsidP="009637C4">
      <w:pPr>
        <w:rPr>
          <w:b/>
          <w:szCs w:val="22"/>
        </w:rPr>
      </w:pPr>
    </w:p>
    <w:p w14:paraId="6E805E1C" w14:textId="0068E4F1" w:rsidR="009637C4" w:rsidRPr="00A14007" w:rsidRDefault="009637C4" w:rsidP="009637C4">
      <w:pPr>
        <w:rPr>
          <w:szCs w:val="22"/>
        </w:rPr>
      </w:pPr>
      <w:r>
        <w:rPr>
          <w:szCs w:val="22"/>
        </w:rPr>
        <w:t>During</w:t>
      </w:r>
      <w:r w:rsidRPr="00A14007">
        <w:rPr>
          <w:szCs w:val="22"/>
        </w:rPr>
        <w:t xml:space="preserve"> </w:t>
      </w:r>
      <w:r w:rsidRPr="381FBC8D">
        <w:rPr>
          <w:szCs w:val="22"/>
        </w:rPr>
        <w:t>Q3</w:t>
      </w:r>
      <w:r w:rsidR="00CB3668">
        <w:rPr>
          <w:szCs w:val="22"/>
        </w:rPr>
        <w:t xml:space="preserve"> </w:t>
      </w:r>
      <w:r w:rsidRPr="381FBC8D">
        <w:rPr>
          <w:szCs w:val="22"/>
        </w:rPr>
        <w:t>(1 October – 31 Dec 2023), The Heritage Fund</w:t>
      </w:r>
      <w:r w:rsidRPr="00A14007">
        <w:rPr>
          <w:szCs w:val="22"/>
        </w:rPr>
        <w:t xml:space="preserve"> and NHMF were widely covered throughout the UK media</w:t>
      </w:r>
      <w:r>
        <w:rPr>
          <w:szCs w:val="22"/>
        </w:rPr>
        <w:t xml:space="preserve"> and featured in a total of </w:t>
      </w:r>
      <w:r w:rsidRPr="00409C53">
        <w:rPr>
          <w:szCs w:val="22"/>
        </w:rPr>
        <w:t>2,</w:t>
      </w:r>
      <w:r w:rsidRPr="61BA6F8A">
        <w:rPr>
          <w:szCs w:val="22"/>
        </w:rPr>
        <w:t>179 media</w:t>
      </w:r>
      <w:r>
        <w:rPr>
          <w:szCs w:val="22"/>
        </w:rPr>
        <w:t xml:space="preserve"> clips.  The breakdown is as follows:</w:t>
      </w:r>
    </w:p>
    <w:p w14:paraId="4DA73E60" w14:textId="77777777" w:rsidR="009637C4" w:rsidRDefault="009637C4" w:rsidP="009637C4">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488"/>
      </w:tblGrid>
      <w:tr w:rsidR="009637C4" w:rsidRPr="00EB2099" w14:paraId="762C3F1D" w14:textId="77777777" w:rsidTr="00E02EDB">
        <w:tc>
          <w:tcPr>
            <w:tcW w:w="4927" w:type="dxa"/>
            <w:shd w:val="clear" w:color="auto" w:fill="D9D9D9"/>
          </w:tcPr>
          <w:p w14:paraId="2410B96D" w14:textId="77777777" w:rsidR="009637C4" w:rsidRPr="00EB2099" w:rsidRDefault="009637C4" w:rsidP="00E02EDB">
            <w:pPr>
              <w:rPr>
                <w:b/>
                <w:szCs w:val="22"/>
              </w:rPr>
            </w:pPr>
            <w:r w:rsidRPr="00EB2099">
              <w:rPr>
                <w:b/>
                <w:szCs w:val="22"/>
              </w:rPr>
              <w:t>Media</w:t>
            </w:r>
          </w:p>
        </w:tc>
        <w:tc>
          <w:tcPr>
            <w:tcW w:w="4927" w:type="dxa"/>
            <w:shd w:val="clear" w:color="auto" w:fill="D9D9D9"/>
          </w:tcPr>
          <w:p w14:paraId="30A64831" w14:textId="77777777" w:rsidR="009637C4" w:rsidRPr="00EB2099" w:rsidRDefault="009637C4" w:rsidP="00E02EDB">
            <w:pPr>
              <w:rPr>
                <w:b/>
                <w:szCs w:val="22"/>
              </w:rPr>
            </w:pPr>
            <w:r w:rsidRPr="00EB2099">
              <w:rPr>
                <w:b/>
                <w:szCs w:val="22"/>
              </w:rPr>
              <w:t>Number of articles</w:t>
            </w:r>
          </w:p>
        </w:tc>
      </w:tr>
      <w:tr w:rsidR="009637C4" w:rsidRPr="00EB2099" w14:paraId="4DB83406" w14:textId="77777777" w:rsidTr="00E02EDB">
        <w:tc>
          <w:tcPr>
            <w:tcW w:w="4927" w:type="dxa"/>
            <w:shd w:val="clear" w:color="auto" w:fill="auto"/>
          </w:tcPr>
          <w:p w14:paraId="1A7E2809" w14:textId="77777777" w:rsidR="009637C4" w:rsidRPr="00EB2099" w:rsidRDefault="009637C4" w:rsidP="00E02EDB">
            <w:pPr>
              <w:rPr>
                <w:szCs w:val="22"/>
              </w:rPr>
            </w:pPr>
            <w:r w:rsidRPr="00EB2099">
              <w:rPr>
                <w:szCs w:val="22"/>
              </w:rPr>
              <w:t xml:space="preserve">Regional newspapers </w:t>
            </w:r>
          </w:p>
        </w:tc>
        <w:tc>
          <w:tcPr>
            <w:tcW w:w="4927" w:type="dxa"/>
            <w:shd w:val="clear" w:color="auto" w:fill="auto"/>
          </w:tcPr>
          <w:p w14:paraId="74D29558" w14:textId="77777777" w:rsidR="009637C4" w:rsidRPr="00EB2099" w:rsidRDefault="009637C4" w:rsidP="00E02EDB">
            <w:pPr>
              <w:spacing w:line="259" w:lineRule="auto"/>
            </w:pPr>
            <w:r w:rsidRPr="4B98B833">
              <w:rPr>
                <w:szCs w:val="22"/>
              </w:rPr>
              <w:t>604</w:t>
            </w:r>
          </w:p>
        </w:tc>
      </w:tr>
      <w:tr w:rsidR="009637C4" w:rsidRPr="00EB2099" w14:paraId="2B0C265E" w14:textId="77777777" w:rsidTr="00E02EDB">
        <w:tc>
          <w:tcPr>
            <w:tcW w:w="4927" w:type="dxa"/>
            <w:shd w:val="clear" w:color="auto" w:fill="auto"/>
          </w:tcPr>
          <w:p w14:paraId="2EB0A91D" w14:textId="77777777" w:rsidR="009637C4" w:rsidRPr="00EB2099" w:rsidRDefault="009637C4" w:rsidP="00E02EDB">
            <w:pPr>
              <w:rPr>
                <w:szCs w:val="22"/>
              </w:rPr>
            </w:pPr>
            <w:r w:rsidRPr="00EB2099">
              <w:rPr>
                <w:szCs w:val="22"/>
              </w:rPr>
              <w:t xml:space="preserve">UK national newspapers </w:t>
            </w:r>
          </w:p>
        </w:tc>
        <w:tc>
          <w:tcPr>
            <w:tcW w:w="4927" w:type="dxa"/>
            <w:shd w:val="clear" w:color="auto" w:fill="auto"/>
          </w:tcPr>
          <w:p w14:paraId="4A549CB2" w14:textId="77777777" w:rsidR="009637C4" w:rsidRPr="00EB2099" w:rsidRDefault="009637C4" w:rsidP="00E02EDB">
            <w:pPr>
              <w:rPr>
                <w:szCs w:val="22"/>
              </w:rPr>
            </w:pPr>
            <w:r w:rsidRPr="7693F890">
              <w:rPr>
                <w:szCs w:val="22"/>
              </w:rPr>
              <w:t>32</w:t>
            </w:r>
          </w:p>
        </w:tc>
      </w:tr>
      <w:tr w:rsidR="009637C4" w:rsidRPr="00EB2099" w14:paraId="4AE73F45" w14:textId="77777777" w:rsidTr="00E02EDB">
        <w:tc>
          <w:tcPr>
            <w:tcW w:w="4927" w:type="dxa"/>
            <w:shd w:val="clear" w:color="auto" w:fill="auto"/>
          </w:tcPr>
          <w:p w14:paraId="0C28A57D" w14:textId="77777777" w:rsidR="009637C4" w:rsidRPr="00EB2099" w:rsidRDefault="009637C4" w:rsidP="00E02EDB">
            <w:pPr>
              <w:rPr>
                <w:szCs w:val="22"/>
              </w:rPr>
            </w:pPr>
            <w:r w:rsidRPr="50EE8F50">
              <w:rPr>
                <w:szCs w:val="22"/>
              </w:rPr>
              <w:t>Broadcast</w:t>
            </w:r>
          </w:p>
        </w:tc>
        <w:tc>
          <w:tcPr>
            <w:tcW w:w="4927" w:type="dxa"/>
            <w:shd w:val="clear" w:color="auto" w:fill="auto"/>
          </w:tcPr>
          <w:p w14:paraId="0E616EE0" w14:textId="77777777" w:rsidR="009637C4" w:rsidRPr="00EB2099" w:rsidRDefault="009637C4" w:rsidP="00E02EDB">
            <w:pPr>
              <w:rPr>
                <w:szCs w:val="22"/>
              </w:rPr>
            </w:pPr>
            <w:r w:rsidRPr="043618E1">
              <w:rPr>
                <w:szCs w:val="22"/>
              </w:rPr>
              <w:t>387</w:t>
            </w:r>
          </w:p>
        </w:tc>
      </w:tr>
      <w:tr w:rsidR="009637C4" w:rsidRPr="00EB2099" w14:paraId="6EF02DD2" w14:textId="77777777" w:rsidTr="00E02EDB">
        <w:tc>
          <w:tcPr>
            <w:tcW w:w="4927" w:type="dxa"/>
            <w:shd w:val="clear" w:color="auto" w:fill="auto"/>
          </w:tcPr>
          <w:p w14:paraId="2473273D" w14:textId="77777777" w:rsidR="009637C4" w:rsidRPr="00EB2099" w:rsidRDefault="009637C4" w:rsidP="00E02EDB">
            <w:pPr>
              <w:rPr>
                <w:szCs w:val="22"/>
              </w:rPr>
            </w:pPr>
            <w:r w:rsidRPr="00EB2099">
              <w:rPr>
                <w:szCs w:val="22"/>
              </w:rPr>
              <w:t xml:space="preserve">Consumer </w:t>
            </w:r>
          </w:p>
        </w:tc>
        <w:tc>
          <w:tcPr>
            <w:tcW w:w="4927" w:type="dxa"/>
            <w:shd w:val="clear" w:color="auto" w:fill="auto"/>
          </w:tcPr>
          <w:p w14:paraId="70B51B96" w14:textId="77777777" w:rsidR="009637C4" w:rsidRPr="00EB2099" w:rsidRDefault="009637C4" w:rsidP="00E02EDB">
            <w:pPr>
              <w:rPr>
                <w:szCs w:val="22"/>
              </w:rPr>
            </w:pPr>
            <w:r w:rsidRPr="043618E1">
              <w:rPr>
                <w:szCs w:val="22"/>
              </w:rPr>
              <w:t>117</w:t>
            </w:r>
          </w:p>
        </w:tc>
      </w:tr>
      <w:tr w:rsidR="009637C4" w:rsidRPr="00EB2099" w14:paraId="738C7A68" w14:textId="77777777" w:rsidTr="00E02EDB">
        <w:tc>
          <w:tcPr>
            <w:tcW w:w="4927" w:type="dxa"/>
            <w:shd w:val="clear" w:color="auto" w:fill="auto"/>
          </w:tcPr>
          <w:p w14:paraId="0F1AB386" w14:textId="77777777" w:rsidR="009637C4" w:rsidRPr="00EB2099" w:rsidRDefault="009637C4" w:rsidP="00E02EDB">
            <w:pPr>
              <w:rPr>
                <w:szCs w:val="22"/>
              </w:rPr>
            </w:pPr>
            <w:r w:rsidRPr="00EB2099">
              <w:rPr>
                <w:szCs w:val="22"/>
              </w:rPr>
              <w:t>Online / digital</w:t>
            </w:r>
          </w:p>
        </w:tc>
        <w:tc>
          <w:tcPr>
            <w:tcW w:w="4927" w:type="dxa"/>
            <w:shd w:val="clear" w:color="auto" w:fill="auto"/>
          </w:tcPr>
          <w:p w14:paraId="0E65D441" w14:textId="77777777" w:rsidR="009637C4" w:rsidRPr="00EB2099" w:rsidRDefault="009637C4" w:rsidP="00E02EDB">
            <w:pPr>
              <w:rPr>
                <w:szCs w:val="22"/>
              </w:rPr>
            </w:pPr>
            <w:r w:rsidRPr="700631DA">
              <w:rPr>
                <w:szCs w:val="22"/>
              </w:rPr>
              <w:t>1039</w:t>
            </w:r>
          </w:p>
        </w:tc>
      </w:tr>
    </w:tbl>
    <w:p w14:paraId="6F40DBD8" w14:textId="77777777" w:rsidR="009637C4" w:rsidRDefault="009637C4" w:rsidP="009637C4">
      <w:pPr>
        <w:rPr>
          <w:b/>
          <w:szCs w:val="22"/>
        </w:rPr>
      </w:pPr>
    </w:p>
    <w:p w14:paraId="263ED53F" w14:textId="77777777" w:rsidR="009637C4" w:rsidRDefault="009637C4" w:rsidP="009637C4">
      <w:pPr>
        <w:rPr>
          <w:szCs w:val="22"/>
        </w:rPr>
      </w:pPr>
    </w:p>
    <w:p w14:paraId="53879B64" w14:textId="77777777" w:rsidR="009637C4" w:rsidRPr="0061212B" w:rsidRDefault="009637C4" w:rsidP="009637C4">
      <w:pPr>
        <w:rPr>
          <w:b/>
          <w:szCs w:val="22"/>
        </w:rPr>
      </w:pPr>
      <w:r w:rsidRPr="0061212B">
        <w:rPr>
          <w:b/>
          <w:szCs w:val="22"/>
        </w:rPr>
        <w:t>Keywords</w:t>
      </w:r>
    </w:p>
    <w:p w14:paraId="14612C70" w14:textId="44998295" w:rsidR="009637C4" w:rsidRDefault="009637C4" w:rsidP="009637C4">
      <w:pPr>
        <w:rPr>
          <w:szCs w:val="22"/>
        </w:rPr>
      </w:pPr>
      <w:r>
        <w:rPr>
          <w:szCs w:val="22"/>
        </w:rPr>
        <w:t xml:space="preserve">We currently engage the following search terms.  </w:t>
      </w:r>
      <w:r w:rsidR="00546A97">
        <w:rPr>
          <w:szCs w:val="22"/>
        </w:rPr>
        <w:t>Could you please provide details of whether or not we could add to these without any additional costs</w:t>
      </w:r>
    </w:p>
    <w:p w14:paraId="6EF287BF" w14:textId="77777777" w:rsidR="009637C4" w:rsidRDefault="009637C4" w:rsidP="009637C4">
      <w:pPr>
        <w:rPr>
          <w:szCs w:val="22"/>
        </w:rPr>
      </w:pPr>
    </w:p>
    <w:p w14:paraId="694E9A07" w14:textId="77777777" w:rsidR="009637C4" w:rsidRPr="00801315" w:rsidRDefault="009637C4" w:rsidP="009637C4">
      <w:pPr>
        <w:rPr>
          <w:i/>
          <w:szCs w:val="22"/>
        </w:rPr>
      </w:pPr>
      <w:r w:rsidRPr="381FBC8D">
        <w:rPr>
          <w:i/>
          <w:iCs/>
          <w:szCs w:val="22"/>
        </w:rPr>
        <w:t xml:space="preserve">Primary </w:t>
      </w:r>
    </w:p>
    <w:p w14:paraId="0777F143" w14:textId="77777777" w:rsidR="009637C4" w:rsidRDefault="009637C4" w:rsidP="009637C4">
      <w:pPr>
        <w:numPr>
          <w:ilvl w:val="0"/>
          <w:numId w:val="22"/>
        </w:numPr>
        <w:spacing w:line="259" w:lineRule="auto"/>
        <w:rPr>
          <w:szCs w:val="22"/>
        </w:rPr>
      </w:pPr>
      <w:r w:rsidRPr="381FBC8D">
        <w:rPr>
          <w:szCs w:val="22"/>
        </w:rPr>
        <w:t>National Lottery Heritage Fund</w:t>
      </w:r>
    </w:p>
    <w:p w14:paraId="1F6F4E57" w14:textId="77777777" w:rsidR="009637C4" w:rsidRDefault="009637C4" w:rsidP="009637C4">
      <w:pPr>
        <w:numPr>
          <w:ilvl w:val="0"/>
          <w:numId w:val="22"/>
        </w:numPr>
        <w:spacing w:line="259" w:lineRule="auto"/>
        <w:rPr>
          <w:szCs w:val="22"/>
        </w:rPr>
      </w:pPr>
      <w:r w:rsidRPr="381FBC8D">
        <w:rPr>
          <w:szCs w:val="22"/>
        </w:rPr>
        <w:t>Heritage Lottery Fund</w:t>
      </w:r>
    </w:p>
    <w:p w14:paraId="0C1D1F86" w14:textId="77777777" w:rsidR="009637C4" w:rsidRDefault="009637C4" w:rsidP="009637C4">
      <w:pPr>
        <w:numPr>
          <w:ilvl w:val="0"/>
          <w:numId w:val="22"/>
        </w:numPr>
        <w:rPr>
          <w:szCs w:val="22"/>
        </w:rPr>
      </w:pPr>
      <w:r>
        <w:rPr>
          <w:szCs w:val="22"/>
        </w:rPr>
        <w:t>HLF</w:t>
      </w:r>
    </w:p>
    <w:p w14:paraId="544F08D5" w14:textId="77777777" w:rsidR="009637C4" w:rsidRDefault="009637C4" w:rsidP="009637C4">
      <w:pPr>
        <w:numPr>
          <w:ilvl w:val="0"/>
          <w:numId w:val="22"/>
        </w:numPr>
        <w:rPr>
          <w:szCs w:val="22"/>
        </w:rPr>
      </w:pPr>
      <w:r>
        <w:rPr>
          <w:szCs w:val="22"/>
        </w:rPr>
        <w:t>National Heritage Memorial Fund</w:t>
      </w:r>
    </w:p>
    <w:p w14:paraId="7712B336" w14:textId="77777777" w:rsidR="009637C4" w:rsidRPr="00801315" w:rsidRDefault="009637C4" w:rsidP="009637C4">
      <w:pPr>
        <w:numPr>
          <w:ilvl w:val="0"/>
          <w:numId w:val="22"/>
        </w:numPr>
        <w:rPr>
          <w:szCs w:val="22"/>
        </w:rPr>
      </w:pPr>
      <w:r>
        <w:rPr>
          <w:szCs w:val="22"/>
        </w:rPr>
        <w:t>NHMF</w:t>
      </w:r>
    </w:p>
    <w:p w14:paraId="237204AC" w14:textId="77777777" w:rsidR="009637C4" w:rsidRDefault="009637C4" w:rsidP="009637C4">
      <w:pPr>
        <w:rPr>
          <w:szCs w:val="22"/>
        </w:rPr>
      </w:pPr>
    </w:p>
    <w:p w14:paraId="6829FD3E" w14:textId="77777777" w:rsidR="009637C4" w:rsidRPr="00801315" w:rsidRDefault="009637C4" w:rsidP="009637C4">
      <w:pPr>
        <w:rPr>
          <w:i/>
          <w:iCs/>
          <w:szCs w:val="22"/>
        </w:rPr>
      </w:pPr>
      <w:r w:rsidRPr="381FBC8D">
        <w:rPr>
          <w:i/>
          <w:iCs/>
          <w:szCs w:val="22"/>
        </w:rPr>
        <w:t xml:space="preserve">Added words only in specific connection with the above </w:t>
      </w:r>
    </w:p>
    <w:p w14:paraId="2DE52DA8" w14:textId="77777777" w:rsidR="009637C4" w:rsidRDefault="009637C4" w:rsidP="009637C4">
      <w:pPr>
        <w:numPr>
          <w:ilvl w:val="0"/>
          <w:numId w:val="22"/>
        </w:numPr>
        <w:spacing w:line="259" w:lineRule="auto"/>
        <w:rPr>
          <w:szCs w:val="22"/>
        </w:rPr>
      </w:pPr>
      <w:r w:rsidRPr="381FBC8D">
        <w:rPr>
          <w:szCs w:val="22"/>
        </w:rPr>
        <w:t>Heritage Horizons</w:t>
      </w:r>
    </w:p>
    <w:p w14:paraId="4C1562B8" w14:textId="77777777" w:rsidR="009637C4" w:rsidRDefault="009637C4" w:rsidP="009637C4">
      <w:pPr>
        <w:numPr>
          <w:ilvl w:val="0"/>
          <w:numId w:val="22"/>
        </w:numPr>
        <w:rPr>
          <w:szCs w:val="22"/>
        </w:rPr>
      </w:pPr>
      <w:r>
        <w:rPr>
          <w:szCs w:val="22"/>
        </w:rPr>
        <w:t>National Lottery</w:t>
      </w:r>
    </w:p>
    <w:p w14:paraId="6B78FAC4" w14:textId="77777777" w:rsidR="009637C4" w:rsidRDefault="009637C4" w:rsidP="009637C4">
      <w:pPr>
        <w:numPr>
          <w:ilvl w:val="0"/>
          <w:numId w:val="22"/>
        </w:numPr>
        <w:rPr>
          <w:szCs w:val="22"/>
        </w:rPr>
      </w:pPr>
      <w:r w:rsidRPr="381FBC8D">
        <w:rPr>
          <w:szCs w:val="22"/>
        </w:rPr>
        <w:t>New to Nature</w:t>
      </w:r>
    </w:p>
    <w:p w14:paraId="1B392DD0" w14:textId="77777777" w:rsidR="009637C4" w:rsidRDefault="009637C4" w:rsidP="009637C4">
      <w:pPr>
        <w:numPr>
          <w:ilvl w:val="0"/>
          <w:numId w:val="22"/>
        </w:numPr>
        <w:rPr>
          <w:szCs w:val="22"/>
        </w:rPr>
      </w:pPr>
      <w:r w:rsidRPr="381FBC8D">
        <w:rPr>
          <w:szCs w:val="22"/>
        </w:rPr>
        <w:t>Nextdoor Nature</w:t>
      </w:r>
    </w:p>
    <w:p w14:paraId="7B9F3ABB" w14:textId="77777777" w:rsidR="009637C4" w:rsidRDefault="009637C4" w:rsidP="009637C4">
      <w:pPr>
        <w:numPr>
          <w:ilvl w:val="0"/>
          <w:numId w:val="22"/>
        </w:numPr>
        <w:rPr>
          <w:szCs w:val="22"/>
        </w:rPr>
      </w:pPr>
      <w:r w:rsidRPr="381FBC8D">
        <w:rPr>
          <w:szCs w:val="22"/>
        </w:rPr>
        <w:t>Digital Skills for Heritage</w:t>
      </w:r>
    </w:p>
    <w:p w14:paraId="269D24A7" w14:textId="77777777" w:rsidR="009637C4" w:rsidRDefault="009637C4" w:rsidP="009637C4">
      <w:pPr>
        <w:numPr>
          <w:ilvl w:val="0"/>
          <w:numId w:val="22"/>
        </w:numPr>
        <w:rPr>
          <w:szCs w:val="22"/>
        </w:rPr>
      </w:pPr>
      <w:r w:rsidRPr="381FBC8D">
        <w:rPr>
          <w:szCs w:val="22"/>
        </w:rPr>
        <w:t>Innovation Fund</w:t>
      </w:r>
    </w:p>
    <w:p w14:paraId="7593D2F0" w14:textId="77777777" w:rsidR="009637C4" w:rsidRDefault="009637C4" w:rsidP="009637C4">
      <w:pPr>
        <w:rPr>
          <w:rFonts w:eastAsia="Batang"/>
          <w:szCs w:val="22"/>
        </w:rPr>
      </w:pPr>
    </w:p>
    <w:p w14:paraId="69D3294D" w14:textId="386A3D52" w:rsidR="009637C4" w:rsidRDefault="009637C4" w:rsidP="009637C4">
      <w:pPr>
        <w:jc w:val="both"/>
        <w:rPr>
          <w:rFonts w:cs="Arial"/>
          <w:szCs w:val="22"/>
          <w:highlight w:val="green"/>
        </w:rPr>
      </w:pPr>
    </w:p>
    <w:p w14:paraId="363F4E69" w14:textId="2ABACD70" w:rsidR="00B73D5D" w:rsidRPr="00B66C12" w:rsidRDefault="002673EC" w:rsidP="00B73D5D">
      <w:pPr>
        <w:rPr>
          <w:b/>
          <w:szCs w:val="22"/>
        </w:rPr>
      </w:pPr>
      <w:r>
        <w:rPr>
          <w:b/>
          <w:szCs w:val="22"/>
        </w:rPr>
        <w:t xml:space="preserve">6. </w:t>
      </w:r>
      <w:r w:rsidR="00B73D5D" w:rsidRPr="00B66C12">
        <w:rPr>
          <w:b/>
          <w:szCs w:val="22"/>
        </w:rPr>
        <w:t>Delivery</w:t>
      </w:r>
      <w:r w:rsidR="00B73D5D">
        <w:rPr>
          <w:b/>
          <w:szCs w:val="22"/>
        </w:rPr>
        <w:t xml:space="preserve">, Cost and added value </w:t>
      </w:r>
    </w:p>
    <w:p w14:paraId="35AFDA3A" w14:textId="77777777" w:rsidR="00B73D5D" w:rsidRDefault="00B73D5D" w:rsidP="00B73D5D">
      <w:pPr>
        <w:rPr>
          <w:szCs w:val="22"/>
        </w:rPr>
      </w:pPr>
    </w:p>
    <w:p w14:paraId="3653B2DF" w14:textId="77777777" w:rsidR="00B73D5D" w:rsidRDefault="00B73D5D" w:rsidP="00B73D5D">
      <w:pPr>
        <w:rPr>
          <w:szCs w:val="22"/>
        </w:rPr>
      </w:pPr>
      <w:r>
        <w:rPr>
          <w:szCs w:val="22"/>
        </w:rPr>
        <w:t xml:space="preserve">We are looking for a service provider to provide an accurate, efficient and streamlined daily digital delivery service.  Who can deliver the service at a competitive rate and provide ‘added value’ that can help us achieve streamlined, cost-effective media monitoring in relation to our budget of £25,000 to £30,000 (excluding VAT) per annum. </w:t>
      </w:r>
    </w:p>
    <w:p w14:paraId="5EBF54A5" w14:textId="6D1F2052" w:rsidR="00B73D5D" w:rsidRDefault="00B73D5D" w:rsidP="009637C4">
      <w:pPr>
        <w:jc w:val="both"/>
        <w:rPr>
          <w:rFonts w:cs="Arial"/>
          <w:szCs w:val="22"/>
          <w:highlight w:val="green"/>
        </w:rPr>
      </w:pPr>
    </w:p>
    <w:p w14:paraId="5E27D695" w14:textId="39600871" w:rsidR="00B73D5D" w:rsidRDefault="00B73D5D" w:rsidP="009637C4">
      <w:pPr>
        <w:jc w:val="both"/>
        <w:rPr>
          <w:rFonts w:cs="Arial"/>
          <w:szCs w:val="22"/>
          <w:highlight w:val="green"/>
        </w:rPr>
      </w:pPr>
    </w:p>
    <w:p w14:paraId="3430A99F" w14:textId="77777777" w:rsidR="00B73D5D" w:rsidRDefault="00B73D5D" w:rsidP="009637C4">
      <w:pPr>
        <w:jc w:val="both"/>
        <w:rPr>
          <w:rFonts w:cs="Arial"/>
          <w:szCs w:val="22"/>
          <w:highlight w:val="green"/>
        </w:rPr>
      </w:pPr>
    </w:p>
    <w:p w14:paraId="21A67615" w14:textId="41CA14AD" w:rsidR="009637C4" w:rsidRPr="00B73D5D" w:rsidRDefault="002673EC" w:rsidP="009637C4">
      <w:pPr>
        <w:jc w:val="both"/>
        <w:rPr>
          <w:rFonts w:cs="Arial"/>
          <w:b/>
          <w:bCs/>
          <w:szCs w:val="22"/>
        </w:rPr>
      </w:pPr>
      <w:r>
        <w:rPr>
          <w:rFonts w:cs="Arial"/>
          <w:b/>
          <w:bCs/>
          <w:szCs w:val="22"/>
        </w:rPr>
        <w:t>7</w:t>
      </w:r>
      <w:r w:rsidR="00F45156" w:rsidRPr="00B73D5D">
        <w:rPr>
          <w:rFonts w:cs="Arial"/>
          <w:b/>
          <w:bCs/>
          <w:szCs w:val="22"/>
        </w:rPr>
        <w:t>. Duration of Contract</w:t>
      </w:r>
    </w:p>
    <w:p w14:paraId="3A83EA5F" w14:textId="77777777" w:rsidR="00F45156" w:rsidRDefault="00F45156" w:rsidP="009637C4">
      <w:pPr>
        <w:jc w:val="both"/>
        <w:rPr>
          <w:rFonts w:cs="Arial"/>
          <w:szCs w:val="22"/>
        </w:rPr>
      </w:pPr>
    </w:p>
    <w:p w14:paraId="0A0CC233" w14:textId="0C37EC4F" w:rsidR="009637C4" w:rsidRDefault="009637C4" w:rsidP="009637C4">
      <w:pPr>
        <w:tabs>
          <w:tab w:val="left" w:pos="3060"/>
        </w:tabs>
        <w:rPr>
          <w:rFonts w:eastAsia="Batang" w:cs="Arial"/>
          <w:szCs w:val="22"/>
        </w:rPr>
      </w:pPr>
      <w:r>
        <w:rPr>
          <w:rFonts w:eastAsia="Batang" w:cs="Arial"/>
          <w:szCs w:val="22"/>
        </w:rPr>
        <w:t xml:space="preserve">The contract length is </w:t>
      </w:r>
      <w:r w:rsidRPr="1EF3C69D">
        <w:rPr>
          <w:rFonts w:eastAsia="Batang" w:cs="Arial"/>
          <w:szCs w:val="22"/>
        </w:rPr>
        <w:t>three</w:t>
      </w:r>
      <w:r w:rsidR="005F0C26">
        <w:rPr>
          <w:rFonts w:eastAsia="Batang" w:cs="Arial"/>
          <w:szCs w:val="22"/>
        </w:rPr>
        <w:t xml:space="preserve"> (3)</w:t>
      </w:r>
      <w:r>
        <w:rPr>
          <w:rFonts w:eastAsia="Batang" w:cs="Arial"/>
          <w:szCs w:val="22"/>
        </w:rPr>
        <w:t xml:space="preserve"> years from </w:t>
      </w:r>
      <w:r w:rsidR="00B10339">
        <w:rPr>
          <w:rFonts w:eastAsia="Batang" w:cs="Arial"/>
          <w:szCs w:val="22"/>
        </w:rPr>
        <w:t>the date of signature of the Contract</w:t>
      </w:r>
      <w:r w:rsidR="00F45156">
        <w:rPr>
          <w:rFonts w:eastAsia="Batang" w:cs="Arial"/>
          <w:szCs w:val="22"/>
        </w:rPr>
        <w:t xml:space="preserve"> </w:t>
      </w:r>
      <w:r w:rsidR="00856822">
        <w:rPr>
          <w:rFonts w:eastAsia="Batang" w:cs="Arial"/>
          <w:szCs w:val="22"/>
        </w:rPr>
        <w:t xml:space="preserve">with the option to extend for a further </w:t>
      </w:r>
      <w:r w:rsidR="005F0C26">
        <w:rPr>
          <w:rFonts w:eastAsia="Batang" w:cs="Arial"/>
          <w:szCs w:val="22"/>
        </w:rPr>
        <w:t>one (</w:t>
      </w:r>
      <w:r w:rsidR="00856822">
        <w:rPr>
          <w:rFonts w:eastAsia="Batang" w:cs="Arial"/>
          <w:szCs w:val="22"/>
        </w:rPr>
        <w:t>1</w:t>
      </w:r>
      <w:r w:rsidR="005F0C26">
        <w:rPr>
          <w:rFonts w:eastAsia="Batang" w:cs="Arial"/>
          <w:szCs w:val="22"/>
        </w:rPr>
        <w:t>)</w:t>
      </w:r>
      <w:r w:rsidR="00856822">
        <w:rPr>
          <w:rFonts w:eastAsia="Batang" w:cs="Arial"/>
          <w:szCs w:val="22"/>
        </w:rPr>
        <w:t xml:space="preserve"> year at the Heritage Fund’s discretion </w:t>
      </w:r>
    </w:p>
    <w:p w14:paraId="2682C558" w14:textId="77777777" w:rsidR="009637C4" w:rsidRDefault="009637C4" w:rsidP="009637C4">
      <w:pPr>
        <w:jc w:val="both"/>
        <w:rPr>
          <w:rFonts w:cs="Arial"/>
          <w:szCs w:val="22"/>
        </w:rPr>
      </w:pPr>
    </w:p>
    <w:p w14:paraId="0ED94524" w14:textId="77777777" w:rsidR="009637C4" w:rsidRDefault="009637C4" w:rsidP="009637C4">
      <w:pPr>
        <w:jc w:val="both"/>
        <w:rPr>
          <w:rFonts w:cs="Arial"/>
          <w:bCs/>
          <w:iCs/>
          <w:szCs w:val="22"/>
        </w:rPr>
      </w:pPr>
    </w:p>
    <w:p w14:paraId="06694181" w14:textId="77777777" w:rsidR="009637C4" w:rsidRDefault="009637C4" w:rsidP="009637C4">
      <w:pPr>
        <w:rPr>
          <w:rFonts w:cs="Arial"/>
          <w:szCs w:val="22"/>
        </w:rPr>
      </w:pPr>
    </w:p>
    <w:p w14:paraId="2F095061" w14:textId="77777777" w:rsidR="009637C4" w:rsidRDefault="009637C4" w:rsidP="00B46240">
      <w:pPr>
        <w:ind w:left="720"/>
        <w:rPr>
          <w:rFonts w:eastAsia="Calibri" w:cs="Arial"/>
          <w:b/>
          <w:bCs/>
          <w:sz w:val="24"/>
          <w:szCs w:val="24"/>
          <w:u w:val="single"/>
        </w:rPr>
      </w:pPr>
    </w:p>
    <w:p w14:paraId="01E6C585" w14:textId="77777777" w:rsidR="009637C4" w:rsidRDefault="009637C4" w:rsidP="00B46240">
      <w:pPr>
        <w:ind w:left="720"/>
        <w:rPr>
          <w:rFonts w:eastAsia="Calibri" w:cs="Arial"/>
          <w:b/>
          <w:bCs/>
          <w:sz w:val="24"/>
          <w:szCs w:val="24"/>
          <w:u w:val="single"/>
        </w:rPr>
      </w:pPr>
    </w:p>
    <w:p w14:paraId="281735B4" w14:textId="77777777" w:rsidR="009637C4" w:rsidRDefault="009637C4" w:rsidP="00B46240">
      <w:pPr>
        <w:ind w:left="720"/>
        <w:rPr>
          <w:rFonts w:eastAsia="Calibri" w:cs="Arial"/>
          <w:b/>
          <w:bCs/>
          <w:sz w:val="24"/>
          <w:szCs w:val="24"/>
          <w:u w:val="single"/>
        </w:rPr>
      </w:pPr>
    </w:p>
    <w:p w14:paraId="5AD934B3" w14:textId="59C79177" w:rsidR="005014FD" w:rsidRDefault="005014FD" w:rsidP="00DC47E3">
      <w:pPr>
        <w:rPr>
          <w:b/>
          <w:bCs/>
          <w:sz w:val="24"/>
          <w:szCs w:val="24"/>
          <w:u w:val="single"/>
        </w:rPr>
      </w:pPr>
    </w:p>
    <w:p w14:paraId="58246549" w14:textId="074E804F" w:rsidR="005014FD" w:rsidRDefault="005014FD" w:rsidP="00DC47E3">
      <w:pPr>
        <w:rPr>
          <w:b/>
          <w:bCs/>
          <w:sz w:val="24"/>
          <w:szCs w:val="24"/>
          <w:u w:val="single"/>
        </w:rPr>
      </w:pPr>
    </w:p>
    <w:p w14:paraId="699D018E" w14:textId="77777777" w:rsidR="005014FD" w:rsidRPr="005014FD" w:rsidRDefault="005014FD" w:rsidP="00DC47E3">
      <w:pPr>
        <w:rPr>
          <w:b/>
          <w:bCs/>
          <w:sz w:val="24"/>
          <w:szCs w:val="24"/>
          <w:u w:val="single"/>
        </w:rPr>
      </w:pPr>
    </w:p>
    <w:p w14:paraId="266F6966" w14:textId="77777777" w:rsidR="00DC47E3" w:rsidRPr="00333C04" w:rsidRDefault="00DC47E3" w:rsidP="00DC47E3">
      <w:pPr>
        <w:rPr>
          <w:sz w:val="24"/>
          <w:szCs w:val="24"/>
        </w:rPr>
      </w:pPr>
    </w:p>
    <w:p w14:paraId="2C207B94" w14:textId="22AEFF6D" w:rsidR="00DC47E3" w:rsidRDefault="00DC47E3"/>
    <w:p w14:paraId="4666F43E" w14:textId="77777777" w:rsidR="00DC47E3" w:rsidRPr="004D2895" w:rsidRDefault="00DC47E3" w:rsidP="00DC47E3">
      <w:pPr>
        <w:rPr>
          <w:rFonts w:asciiTheme="minorBidi" w:hAnsiTheme="minorBidi" w:cstheme="minorBidi"/>
          <w:sz w:val="24"/>
          <w:szCs w:val="24"/>
          <w:lang w:val="en-US"/>
        </w:rPr>
      </w:pPr>
    </w:p>
    <w:p w14:paraId="76B4BD92" w14:textId="77777777" w:rsidR="00DC47E3" w:rsidRPr="004D2895" w:rsidRDefault="00DC47E3" w:rsidP="00DC47E3">
      <w:pPr>
        <w:pStyle w:val="BodyTextIndent2"/>
        <w:spacing w:after="0"/>
        <w:ind w:left="709"/>
        <w:rPr>
          <w:rFonts w:asciiTheme="minorBidi" w:hAnsiTheme="minorBidi" w:cstheme="minorBidi"/>
          <w:b w:val="0"/>
          <w:color w:val="FF0000"/>
          <w:sz w:val="24"/>
        </w:rPr>
      </w:pPr>
    </w:p>
    <w:p w14:paraId="0ED97C15" w14:textId="77777777" w:rsidR="00DC47E3" w:rsidRPr="004D2895" w:rsidRDefault="00DC47E3" w:rsidP="00DC47E3">
      <w:pPr>
        <w:pStyle w:val="BodyTextIndent2"/>
        <w:spacing w:after="0"/>
        <w:ind w:left="709"/>
        <w:rPr>
          <w:rFonts w:asciiTheme="minorBidi" w:hAnsiTheme="minorBidi" w:cstheme="minorBidi"/>
          <w:b w:val="0"/>
          <w:sz w:val="24"/>
        </w:rPr>
      </w:pPr>
    </w:p>
    <w:p w14:paraId="2E89B969" w14:textId="77777777" w:rsidR="00DC47E3" w:rsidRDefault="00DC47E3"/>
    <w:sectPr w:rsidR="00DC47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47DA" w14:textId="77777777" w:rsidR="00E6683F" w:rsidRDefault="00E6683F" w:rsidP="008E6E91">
      <w:r>
        <w:separator/>
      </w:r>
    </w:p>
  </w:endnote>
  <w:endnote w:type="continuationSeparator" w:id="0">
    <w:p w14:paraId="6BF5293D" w14:textId="77777777" w:rsidR="00E6683F" w:rsidRDefault="00E6683F" w:rsidP="008E6E91">
      <w:r>
        <w:continuationSeparator/>
      </w:r>
    </w:p>
  </w:endnote>
  <w:endnote w:type="continuationNotice" w:id="1">
    <w:p w14:paraId="120FAB43" w14:textId="77777777" w:rsidR="00E6683F" w:rsidRDefault="00E66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89CC" w14:textId="77777777" w:rsidR="00E6683F" w:rsidRDefault="00E6683F" w:rsidP="008E6E91">
      <w:r>
        <w:separator/>
      </w:r>
    </w:p>
  </w:footnote>
  <w:footnote w:type="continuationSeparator" w:id="0">
    <w:p w14:paraId="07AF6889" w14:textId="77777777" w:rsidR="00E6683F" w:rsidRDefault="00E6683F" w:rsidP="008E6E91">
      <w:r>
        <w:continuationSeparator/>
      </w:r>
    </w:p>
  </w:footnote>
  <w:footnote w:type="continuationNotice" w:id="1">
    <w:p w14:paraId="03DEAB69" w14:textId="77777777" w:rsidR="00E6683F" w:rsidRDefault="00E66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AEDD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5AE9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189F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E41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3A03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E4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D019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7CE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6E1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A6FD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3D05"/>
    <w:multiLevelType w:val="hybridMultilevel"/>
    <w:tmpl w:val="757234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8BF3922"/>
    <w:multiLevelType w:val="hybridMultilevel"/>
    <w:tmpl w:val="FD4CDF14"/>
    <w:lvl w:ilvl="0" w:tplc="DA128BE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64FF1"/>
    <w:multiLevelType w:val="hybridMultilevel"/>
    <w:tmpl w:val="1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D37C2"/>
    <w:multiLevelType w:val="hybridMultilevel"/>
    <w:tmpl w:val="40207EF6"/>
    <w:lvl w:ilvl="0" w:tplc="DA128BE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37576"/>
    <w:multiLevelType w:val="hybridMultilevel"/>
    <w:tmpl w:val="EC702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2145C2"/>
    <w:multiLevelType w:val="hybridMultilevel"/>
    <w:tmpl w:val="C1E2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E5302"/>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17" w15:restartNumberingAfterBreak="0">
    <w:nsid w:val="2BCF5506"/>
    <w:multiLevelType w:val="hybridMultilevel"/>
    <w:tmpl w:val="634251F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0558B"/>
    <w:multiLevelType w:val="hybridMultilevel"/>
    <w:tmpl w:val="FEFC96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C1EF9"/>
    <w:multiLevelType w:val="multilevel"/>
    <w:tmpl w:val="E836EDD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01686E"/>
    <w:multiLevelType w:val="multilevel"/>
    <w:tmpl w:val="27F8E306"/>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9A71C9"/>
    <w:multiLevelType w:val="hybridMultilevel"/>
    <w:tmpl w:val="F33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661BB"/>
    <w:multiLevelType w:val="hybridMultilevel"/>
    <w:tmpl w:val="C08656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4" w15:restartNumberingAfterBreak="0">
    <w:nsid w:val="62884F95"/>
    <w:multiLevelType w:val="hybridMultilevel"/>
    <w:tmpl w:val="9FD2D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AD5CBA"/>
    <w:multiLevelType w:val="hybridMultilevel"/>
    <w:tmpl w:val="1FC072D8"/>
    <w:lvl w:ilvl="0" w:tplc="DA128BE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85F4D"/>
    <w:multiLevelType w:val="hybridMultilevel"/>
    <w:tmpl w:val="C39A79D0"/>
    <w:lvl w:ilvl="0" w:tplc="DA128BE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03485"/>
    <w:multiLevelType w:val="hybridMultilevel"/>
    <w:tmpl w:val="FF96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175529">
    <w:abstractNumId w:val="9"/>
  </w:num>
  <w:num w:numId="2" w16cid:durableId="1578905973">
    <w:abstractNumId w:val="8"/>
  </w:num>
  <w:num w:numId="3" w16cid:durableId="1913660908">
    <w:abstractNumId w:val="7"/>
  </w:num>
  <w:num w:numId="4" w16cid:durableId="1032924809">
    <w:abstractNumId w:val="6"/>
  </w:num>
  <w:num w:numId="5" w16cid:durableId="1543208265">
    <w:abstractNumId w:val="5"/>
  </w:num>
  <w:num w:numId="6" w16cid:durableId="771129006">
    <w:abstractNumId w:val="4"/>
  </w:num>
  <w:num w:numId="7" w16cid:durableId="1652254580">
    <w:abstractNumId w:val="3"/>
  </w:num>
  <w:num w:numId="8" w16cid:durableId="1851720363">
    <w:abstractNumId w:val="2"/>
  </w:num>
  <w:num w:numId="9" w16cid:durableId="1616600602">
    <w:abstractNumId w:val="1"/>
  </w:num>
  <w:num w:numId="10" w16cid:durableId="573317944">
    <w:abstractNumId w:val="0"/>
  </w:num>
  <w:num w:numId="11" w16cid:durableId="1390688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499763">
    <w:abstractNumId w:val="21"/>
  </w:num>
  <w:num w:numId="13" w16cid:durableId="1557744299">
    <w:abstractNumId w:val="27"/>
  </w:num>
  <w:num w:numId="14" w16cid:durableId="1082264467">
    <w:abstractNumId w:val="14"/>
  </w:num>
  <w:num w:numId="15" w16cid:durableId="423771455">
    <w:abstractNumId w:val="15"/>
  </w:num>
  <w:num w:numId="16" w16cid:durableId="1582986313">
    <w:abstractNumId w:val="12"/>
  </w:num>
  <w:num w:numId="17" w16cid:durableId="1070423967">
    <w:abstractNumId w:val="23"/>
  </w:num>
  <w:num w:numId="18" w16cid:durableId="1434591087">
    <w:abstractNumId w:val="10"/>
  </w:num>
  <w:num w:numId="19" w16cid:durableId="348877102">
    <w:abstractNumId w:val="18"/>
  </w:num>
  <w:num w:numId="20" w16cid:durableId="1115438708">
    <w:abstractNumId w:val="22"/>
  </w:num>
  <w:num w:numId="21" w16cid:durableId="509833965">
    <w:abstractNumId w:val="25"/>
  </w:num>
  <w:num w:numId="22" w16cid:durableId="863130421">
    <w:abstractNumId w:val="11"/>
  </w:num>
  <w:num w:numId="23" w16cid:durableId="1608736623">
    <w:abstractNumId w:val="13"/>
  </w:num>
  <w:num w:numId="24" w16cid:durableId="34623090">
    <w:abstractNumId w:val="19"/>
  </w:num>
  <w:num w:numId="25" w16cid:durableId="603726796">
    <w:abstractNumId w:val="26"/>
  </w:num>
  <w:num w:numId="26" w16cid:durableId="74976314">
    <w:abstractNumId w:val="20"/>
  </w:num>
  <w:num w:numId="27" w16cid:durableId="1210068020">
    <w:abstractNumId w:val="24"/>
  </w:num>
  <w:num w:numId="28" w16cid:durableId="860896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3"/>
    <w:rsid w:val="00004C9F"/>
    <w:rsid w:val="00013A95"/>
    <w:rsid w:val="00015EE6"/>
    <w:rsid w:val="00033D70"/>
    <w:rsid w:val="000421D4"/>
    <w:rsid w:val="00045127"/>
    <w:rsid w:val="00051ECD"/>
    <w:rsid w:val="00061878"/>
    <w:rsid w:val="0006602D"/>
    <w:rsid w:val="00070E8C"/>
    <w:rsid w:val="0008527C"/>
    <w:rsid w:val="00090622"/>
    <w:rsid w:val="00091DE3"/>
    <w:rsid w:val="000A01D4"/>
    <w:rsid w:val="000A414F"/>
    <w:rsid w:val="000D279D"/>
    <w:rsid w:val="000E7DBE"/>
    <w:rsid w:val="000F714B"/>
    <w:rsid w:val="00114AD3"/>
    <w:rsid w:val="001268DD"/>
    <w:rsid w:val="00155B8D"/>
    <w:rsid w:val="001653D7"/>
    <w:rsid w:val="00173984"/>
    <w:rsid w:val="001845A1"/>
    <w:rsid w:val="001865C0"/>
    <w:rsid w:val="001A146E"/>
    <w:rsid w:val="001A43B0"/>
    <w:rsid w:val="001A701D"/>
    <w:rsid w:val="001B3D41"/>
    <w:rsid w:val="001C6E00"/>
    <w:rsid w:val="001D0405"/>
    <w:rsid w:val="001E79C1"/>
    <w:rsid w:val="001F5116"/>
    <w:rsid w:val="00203E3B"/>
    <w:rsid w:val="00211436"/>
    <w:rsid w:val="00212FA5"/>
    <w:rsid w:val="00225301"/>
    <w:rsid w:val="00227662"/>
    <w:rsid w:val="00234BE6"/>
    <w:rsid w:val="00234C5D"/>
    <w:rsid w:val="002357FA"/>
    <w:rsid w:val="00242902"/>
    <w:rsid w:val="00246CFF"/>
    <w:rsid w:val="00256DF2"/>
    <w:rsid w:val="002673EC"/>
    <w:rsid w:val="002A50FA"/>
    <w:rsid w:val="002A73AF"/>
    <w:rsid w:val="002C0B8A"/>
    <w:rsid w:val="002C0E68"/>
    <w:rsid w:val="002D3D1C"/>
    <w:rsid w:val="002D76AE"/>
    <w:rsid w:val="002F5B4F"/>
    <w:rsid w:val="003102BB"/>
    <w:rsid w:val="00314643"/>
    <w:rsid w:val="00315FAF"/>
    <w:rsid w:val="003229E6"/>
    <w:rsid w:val="00326683"/>
    <w:rsid w:val="00347F15"/>
    <w:rsid w:val="003601F2"/>
    <w:rsid w:val="003651C0"/>
    <w:rsid w:val="0037053A"/>
    <w:rsid w:val="003816E3"/>
    <w:rsid w:val="00392570"/>
    <w:rsid w:val="003A1F68"/>
    <w:rsid w:val="003A7216"/>
    <w:rsid w:val="003A7B00"/>
    <w:rsid w:val="003C3D93"/>
    <w:rsid w:val="003D5B68"/>
    <w:rsid w:val="003E334B"/>
    <w:rsid w:val="003E5F4D"/>
    <w:rsid w:val="003F069F"/>
    <w:rsid w:val="003F1A5A"/>
    <w:rsid w:val="003F4F51"/>
    <w:rsid w:val="00404736"/>
    <w:rsid w:val="0041710F"/>
    <w:rsid w:val="00437EFF"/>
    <w:rsid w:val="00451536"/>
    <w:rsid w:val="00457572"/>
    <w:rsid w:val="00470842"/>
    <w:rsid w:val="004957F8"/>
    <w:rsid w:val="004B5BD6"/>
    <w:rsid w:val="004B6E07"/>
    <w:rsid w:val="004C0FA1"/>
    <w:rsid w:val="004D29D6"/>
    <w:rsid w:val="004E4D80"/>
    <w:rsid w:val="00500E02"/>
    <w:rsid w:val="00500F35"/>
    <w:rsid w:val="005014FD"/>
    <w:rsid w:val="00517FD3"/>
    <w:rsid w:val="00524D50"/>
    <w:rsid w:val="00532930"/>
    <w:rsid w:val="00546A97"/>
    <w:rsid w:val="00555B30"/>
    <w:rsid w:val="00561D08"/>
    <w:rsid w:val="00562640"/>
    <w:rsid w:val="005626F1"/>
    <w:rsid w:val="0056740F"/>
    <w:rsid w:val="005724FC"/>
    <w:rsid w:val="00574972"/>
    <w:rsid w:val="00583364"/>
    <w:rsid w:val="00596248"/>
    <w:rsid w:val="005A6E4C"/>
    <w:rsid w:val="005B0354"/>
    <w:rsid w:val="005B1305"/>
    <w:rsid w:val="005C4171"/>
    <w:rsid w:val="005D405C"/>
    <w:rsid w:val="005F0C26"/>
    <w:rsid w:val="005F65BA"/>
    <w:rsid w:val="005F6666"/>
    <w:rsid w:val="00632906"/>
    <w:rsid w:val="00644651"/>
    <w:rsid w:val="00644761"/>
    <w:rsid w:val="0065566B"/>
    <w:rsid w:val="006608EC"/>
    <w:rsid w:val="006631FC"/>
    <w:rsid w:val="006713CD"/>
    <w:rsid w:val="00675B57"/>
    <w:rsid w:val="006933C2"/>
    <w:rsid w:val="0069505C"/>
    <w:rsid w:val="006B3846"/>
    <w:rsid w:val="006C274F"/>
    <w:rsid w:val="006C5A5B"/>
    <w:rsid w:val="006D6DF7"/>
    <w:rsid w:val="006F5B67"/>
    <w:rsid w:val="007017AC"/>
    <w:rsid w:val="00710345"/>
    <w:rsid w:val="0072518E"/>
    <w:rsid w:val="0074112F"/>
    <w:rsid w:val="00750671"/>
    <w:rsid w:val="007539A8"/>
    <w:rsid w:val="00772945"/>
    <w:rsid w:val="0077677A"/>
    <w:rsid w:val="007829EC"/>
    <w:rsid w:val="007A544F"/>
    <w:rsid w:val="007B1786"/>
    <w:rsid w:val="007E06DE"/>
    <w:rsid w:val="007E0F2C"/>
    <w:rsid w:val="007F4C7D"/>
    <w:rsid w:val="007F764C"/>
    <w:rsid w:val="00802B14"/>
    <w:rsid w:val="008059CA"/>
    <w:rsid w:val="00821B29"/>
    <w:rsid w:val="00847988"/>
    <w:rsid w:val="00856822"/>
    <w:rsid w:val="008734DE"/>
    <w:rsid w:val="00875100"/>
    <w:rsid w:val="00885196"/>
    <w:rsid w:val="008955C2"/>
    <w:rsid w:val="008A3659"/>
    <w:rsid w:val="008A7122"/>
    <w:rsid w:val="008C7872"/>
    <w:rsid w:val="008E6E91"/>
    <w:rsid w:val="008F566D"/>
    <w:rsid w:val="009214B2"/>
    <w:rsid w:val="00924570"/>
    <w:rsid w:val="0092620D"/>
    <w:rsid w:val="00933AA5"/>
    <w:rsid w:val="009510E8"/>
    <w:rsid w:val="009637C4"/>
    <w:rsid w:val="009710F6"/>
    <w:rsid w:val="00973A14"/>
    <w:rsid w:val="00973B56"/>
    <w:rsid w:val="009801E5"/>
    <w:rsid w:val="00984077"/>
    <w:rsid w:val="00993AEB"/>
    <w:rsid w:val="00995D17"/>
    <w:rsid w:val="009A5CD1"/>
    <w:rsid w:val="009B4D2C"/>
    <w:rsid w:val="009C709A"/>
    <w:rsid w:val="009D6B14"/>
    <w:rsid w:val="009E71AE"/>
    <w:rsid w:val="009F7C50"/>
    <w:rsid w:val="00A07FBD"/>
    <w:rsid w:val="00A31D77"/>
    <w:rsid w:val="00A33313"/>
    <w:rsid w:val="00A33E8E"/>
    <w:rsid w:val="00A41FAD"/>
    <w:rsid w:val="00AA3B7F"/>
    <w:rsid w:val="00AA6445"/>
    <w:rsid w:val="00AC13BA"/>
    <w:rsid w:val="00AC2731"/>
    <w:rsid w:val="00AE02DF"/>
    <w:rsid w:val="00AE4474"/>
    <w:rsid w:val="00B10339"/>
    <w:rsid w:val="00B2778E"/>
    <w:rsid w:val="00B30F86"/>
    <w:rsid w:val="00B31190"/>
    <w:rsid w:val="00B35AE3"/>
    <w:rsid w:val="00B44C15"/>
    <w:rsid w:val="00B46240"/>
    <w:rsid w:val="00B469DE"/>
    <w:rsid w:val="00B50154"/>
    <w:rsid w:val="00B513FE"/>
    <w:rsid w:val="00B56028"/>
    <w:rsid w:val="00B73D5D"/>
    <w:rsid w:val="00B77599"/>
    <w:rsid w:val="00B811E3"/>
    <w:rsid w:val="00B82645"/>
    <w:rsid w:val="00B8462A"/>
    <w:rsid w:val="00B90633"/>
    <w:rsid w:val="00BA6EC9"/>
    <w:rsid w:val="00BC7650"/>
    <w:rsid w:val="00BD7A51"/>
    <w:rsid w:val="00BF5E49"/>
    <w:rsid w:val="00C07EF3"/>
    <w:rsid w:val="00C4207E"/>
    <w:rsid w:val="00C47ADB"/>
    <w:rsid w:val="00C51D79"/>
    <w:rsid w:val="00C55B62"/>
    <w:rsid w:val="00C630C7"/>
    <w:rsid w:val="00C748D0"/>
    <w:rsid w:val="00C7655A"/>
    <w:rsid w:val="00C76946"/>
    <w:rsid w:val="00C84FE2"/>
    <w:rsid w:val="00CB3668"/>
    <w:rsid w:val="00CB4D0C"/>
    <w:rsid w:val="00CE17C8"/>
    <w:rsid w:val="00CE4E0A"/>
    <w:rsid w:val="00CF69B8"/>
    <w:rsid w:val="00D00459"/>
    <w:rsid w:val="00D07A35"/>
    <w:rsid w:val="00D2743B"/>
    <w:rsid w:val="00D375BA"/>
    <w:rsid w:val="00D52F72"/>
    <w:rsid w:val="00D553B2"/>
    <w:rsid w:val="00D84A43"/>
    <w:rsid w:val="00D96EBC"/>
    <w:rsid w:val="00DA5D45"/>
    <w:rsid w:val="00DA73E4"/>
    <w:rsid w:val="00DA79EC"/>
    <w:rsid w:val="00DB6CEE"/>
    <w:rsid w:val="00DC2D56"/>
    <w:rsid w:val="00DC47E3"/>
    <w:rsid w:val="00DD4762"/>
    <w:rsid w:val="00DD5AA5"/>
    <w:rsid w:val="00DE004D"/>
    <w:rsid w:val="00DF1D9D"/>
    <w:rsid w:val="00DF5871"/>
    <w:rsid w:val="00E0473E"/>
    <w:rsid w:val="00E06375"/>
    <w:rsid w:val="00E065B5"/>
    <w:rsid w:val="00E22123"/>
    <w:rsid w:val="00E37770"/>
    <w:rsid w:val="00E40E2A"/>
    <w:rsid w:val="00E44BFC"/>
    <w:rsid w:val="00E51D73"/>
    <w:rsid w:val="00E533A0"/>
    <w:rsid w:val="00E53736"/>
    <w:rsid w:val="00E55C24"/>
    <w:rsid w:val="00E6683F"/>
    <w:rsid w:val="00E7160A"/>
    <w:rsid w:val="00E72CC6"/>
    <w:rsid w:val="00E73FBF"/>
    <w:rsid w:val="00E85C9C"/>
    <w:rsid w:val="00EA0574"/>
    <w:rsid w:val="00EA7680"/>
    <w:rsid w:val="00EC0888"/>
    <w:rsid w:val="00EC4AF2"/>
    <w:rsid w:val="00EC696D"/>
    <w:rsid w:val="00ED5B21"/>
    <w:rsid w:val="00EF1047"/>
    <w:rsid w:val="00EF743A"/>
    <w:rsid w:val="00F146A2"/>
    <w:rsid w:val="00F32C41"/>
    <w:rsid w:val="00F450E2"/>
    <w:rsid w:val="00F45156"/>
    <w:rsid w:val="00F65F1A"/>
    <w:rsid w:val="00F65F79"/>
    <w:rsid w:val="00F665CE"/>
    <w:rsid w:val="00F845DB"/>
    <w:rsid w:val="00F91EA6"/>
    <w:rsid w:val="00FA099B"/>
    <w:rsid w:val="00FA44DA"/>
    <w:rsid w:val="00FB66B5"/>
    <w:rsid w:val="00FC02D8"/>
    <w:rsid w:val="00FD30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E11D"/>
  <w15:chartTrackingRefBased/>
  <w15:docId w15:val="{C55FDA21-12FB-4E8B-94AC-04228445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5C"/>
    <w:rPr>
      <w:rFonts w:ascii="Arial" w:eastAsia="Times New Roman" w:hAnsi="Arial" w:cs="Times New Roman"/>
      <w:szCs w:val="20"/>
      <w:lang w:eastAsia="en-US"/>
    </w:rPr>
  </w:style>
  <w:style w:type="paragraph" w:styleId="Heading1">
    <w:name w:val="heading 1"/>
    <w:basedOn w:val="Normal"/>
    <w:next w:val="Normal"/>
    <w:link w:val="Heading1Char"/>
    <w:uiPriority w:val="99"/>
    <w:qFormat/>
    <w:rsid w:val="008E6E91"/>
    <w:pPr>
      <w:keepNext/>
      <w:keepLines/>
      <w:spacing w:before="240"/>
      <w:outlineLvl w:val="0"/>
    </w:pPr>
    <w:rPr>
      <w:rFonts w:eastAsiaTheme="majorEastAsia" w:cstheme="majorBidi"/>
      <w:b/>
      <w:color w:val="0070C0"/>
      <w:sz w:val="32"/>
      <w:szCs w:val="32"/>
    </w:rPr>
  </w:style>
  <w:style w:type="paragraph" w:styleId="Heading2">
    <w:name w:val="heading 2"/>
    <w:basedOn w:val="Normal"/>
    <w:next w:val="Normal"/>
    <w:link w:val="Heading2Char"/>
    <w:uiPriority w:val="9"/>
    <w:semiHidden/>
    <w:unhideWhenUsed/>
    <w:qFormat/>
    <w:rsid w:val="008E6E91"/>
    <w:pPr>
      <w:keepNext/>
      <w:keepLines/>
      <w:spacing w:before="40"/>
      <w:outlineLvl w:val="1"/>
    </w:pPr>
    <w:rPr>
      <w:rFonts w:eastAsiaTheme="majorEastAsia"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6E91"/>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semiHidden/>
    <w:rsid w:val="008E6E91"/>
    <w:rPr>
      <w:rFonts w:ascii="Arial" w:eastAsiaTheme="majorEastAsia" w:hAnsi="Arial" w:cstheme="majorBidi"/>
      <w:color w:val="0070C0"/>
      <w:sz w:val="26"/>
      <w:szCs w:val="26"/>
    </w:rPr>
  </w:style>
  <w:style w:type="paragraph" w:styleId="Title">
    <w:name w:val="Title"/>
    <w:basedOn w:val="Normal"/>
    <w:next w:val="Normal"/>
    <w:link w:val="TitleChar"/>
    <w:uiPriority w:val="10"/>
    <w:qFormat/>
    <w:rsid w:val="008E6E91"/>
    <w:pPr>
      <w:contextualSpacing/>
    </w:pPr>
    <w:rPr>
      <w:rFonts w:eastAsiaTheme="majorEastAsia" w:cstheme="majorBidi"/>
      <w:b/>
      <w:color w:val="44546A"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44546A"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styleId="Hyperlink">
    <w:name w:val="Hyperlink"/>
    <w:basedOn w:val="DefaultParagraphFont"/>
    <w:uiPriority w:val="99"/>
    <w:rsid w:val="00DC47E3"/>
    <w:rPr>
      <w:rFonts w:cs="Times New Roman"/>
      <w:color w:val="0000FF"/>
      <w:u w:val="single"/>
    </w:rPr>
  </w:style>
  <w:style w:type="paragraph" w:styleId="NormalWeb">
    <w:name w:val="Normal (Web)"/>
    <w:basedOn w:val="Normal"/>
    <w:uiPriority w:val="99"/>
    <w:unhideWhenUsed/>
    <w:rsid w:val="00DC47E3"/>
    <w:pPr>
      <w:spacing w:before="100" w:beforeAutospacing="1" w:after="100" w:afterAutospacing="1"/>
    </w:pPr>
    <w:rPr>
      <w:rFonts w:ascii="Times New Roman" w:hAnsi="Times New Roman"/>
      <w:sz w:val="24"/>
      <w:szCs w:val="24"/>
      <w:lang w:eastAsia="zh-CN"/>
    </w:rPr>
  </w:style>
  <w:style w:type="paragraph" w:customStyle="1" w:styleId="paragraph">
    <w:name w:val="paragraph"/>
    <w:basedOn w:val="Normal"/>
    <w:rsid w:val="00DC47E3"/>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DC47E3"/>
  </w:style>
  <w:style w:type="character" w:customStyle="1" w:styleId="eop">
    <w:name w:val="eop"/>
    <w:basedOn w:val="DefaultParagraphFont"/>
    <w:rsid w:val="00DC47E3"/>
  </w:style>
  <w:style w:type="paragraph" w:styleId="ListParagraph">
    <w:name w:val="List Paragraph"/>
    <w:basedOn w:val="Normal"/>
    <w:uiPriority w:val="34"/>
    <w:qFormat/>
    <w:rsid w:val="00DC47E3"/>
    <w:pPr>
      <w:ind w:left="720"/>
      <w:contextualSpacing/>
    </w:pPr>
  </w:style>
  <w:style w:type="paragraph" w:styleId="BodyTextIndent2">
    <w:name w:val="Body Text Indent 2"/>
    <w:aliases w:val="Bold"/>
    <w:basedOn w:val="Normal"/>
    <w:link w:val="BodyTextIndent2Char"/>
    <w:uiPriority w:val="99"/>
    <w:rsid w:val="00DC47E3"/>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rsid w:val="00DC47E3"/>
    <w:rPr>
      <w:rFonts w:ascii="Arial" w:eastAsia="Times New Roman" w:hAnsi="Arial" w:cs="Times New Roman"/>
      <w:b/>
      <w:szCs w:val="24"/>
      <w:lang w:eastAsia="en-GB"/>
    </w:rPr>
  </w:style>
  <w:style w:type="paragraph" w:customStyle="1" w:styleId="Bullettext">
    <w:name w:val="Bullet text"/>
    <w:basedOn w:val="Normal"/>
    <w:uiPriority w:val="99"/>
    <w:rsid w:val="00DC47E3"/>
    <w:pPr>
      <w:numPr>
        <w:numId w:val="17"/>
      </w:numPr>
    </w:pPr>
    <w:rPr>
      <w:szCs w:val="24"/>
      <w:lang w:eastAsia="en-GB"/>
    </w:rPr>
  </w:style>
  <w:style w:type="table" w:styleId="LightList">
    <w:name w:val="Light List"/>
    <w:basedOn w:val="TableNormal"/>
    <w:uiPriority w:val="61"/>
    <w:rsid w:val="00DC47E3"/>
    <w:rPr>
      <w:rFonts w:ascii="Times New Roman" w:eastAsia="Times New Roman" w:hAnsi="Times New Roman" w:cs="Times New Roman"/>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E7160A"/>
    <w:pPr>
      <w:tabs>
        <w:tab w:val="center" w:pos="4513"/>
        <w:tab w:val="right" w:pos="9026"/>
      </w:tabs>
    </w:pPr>
  </w:style>
  <w:style w:type="character" w:customStyle="1" w:styleId="HeaderChar">
    <w:name w:val="Header Char"/>
    <w:basedOn w:val="DefaultParagraphFont"/>
    <w:link w:val="Header"/>
    <w:uiPriority w:val="99"/>
    <w:rsid w:val="00E7160A"/>
    <w:rPr>
      <w:rFonts w:ascii="Arial" w:eastAsia="Times New Roman" w:hAnsi="Arial" w:cs="Times New Roman"/>
      <w:szCs w:val="20"/>
      <w:lang w:eastAsia="en-US"/>
    </w:rPr>
  </w:style>
  <w:style w:type="paragraph" w:styleId="Footer">
    <w:name w:val="footer"/>
    <w:basedOn w:val="Normal"/>
    <w:link w:val="FooterChar"/>
    <w:uiPriority w:val="99"/>
    <w:unhideWhenUsed/>
    <w:rsid w:val="00E7160A"/>
    <w:pPr>
      <w:tabs>
        <w:tab w:val="center" w:pos="4513"/>
        <w:tab w:val="right" w:pos="9026"/>
      </w:tabs>
    </w:pPr>
  </w:style>
  <w:style w:type="character" w:customStyle="1" w:styleId="FooterChar">
    <w:name w:val="Footer Char"/>
    <w:basedOn w:val="DefaultParagraphFont"/>
    <w:link w:val="Footer"/>
    <w:uiPriority w:val="99"/>
    <w:rsid w:val="00E7160A"/>
    <w:rPr>
      <w:rFonts w:ascii="Arial" w:eastAsia="Times New Roman" w:hAnsi="Arial" w:cs="Times New Roman"/>
      <w:szCs w:val="20"/>
      <w:lang w:eastAsia="en-US"/>
    </w:rPr>
  </w:style>
  <w:style w:type="character" w:styleId="UnresolvedMention">
    <w:name w:val="Unresolved Mention"/>
    <w:basedOn w:val="DefaultParagraphFont"/>
    <w:uiPriority w:val="99"/>
    <w:semiHidden/>
    <w:unhideWhenUsed/>
    <w:rsid w:val="00E37770"/>
    <w:rPr>
      <w:color w:val="605E5C"/>
      <w:shd w:val="clear" w:color="auto" w:fill="E1DFDD"/>
    </w:rPr>
  </w:style>
  <w:style w:type="character" w:styleId="FollowedHyperlink">
    <w:name w:val="FollowedHyperlink"/>
    <w:basedOn w:val="DefaultParagraphFont"/>
    <w:uiPriority w:val="99"/>
    <w:semiHidden/>
    <w:unhideWhenUsed/>
    <w:rsid w:val="005626F1"/>
    <w:rPr>
      <w:color w:val="954F72" w:themeColor="followedHyperlink"/>
      <w:u w:val="single"/>
    </w:rPr>
  </w:style>
  <w:style w:type="character" w:styleId="CommentReference">
    <w:name w:val="annotation reference"/>
    <w:basedOn w:val="DefaultParagraphFont"/>
    <w:uiPriority w:val="99"/>
    <w:semiHidden/>
    <w:unhideWhenUsed/>
    <w:rsid w:val="005626F1"/>
    <w:rPr>
      <w:sz w:val="16"/>
      <w:szCs w:val="16"/>
    </w:rPr>
  </w:style>
  <w:style w:type="paragraph" w:styleId="CommentText">
    <w:name w:val="annotation text"/>
    <w:basedOn w:val="Normal"/>
    <w:link w:val="CommentTextChar"/>
    <w:uiPriority w:val="99"/>
    <w:unhideWhenUsed/>
    <w:rsid w:val="005626F1"/>
    <w:rPr>
      <w:sz w:val="20"/>
    </w:rPr>
  </w:style>
  <w:style w:type="character" w:customStyle="1" w:styleId="CommentTextChar">
    <w:name w:val="Comment Text Char"/>
    <w:basedOn w:val="DefaultParagraphFont"/>
    <w:link w:val="CommentText"/>
    <w:uiPriority w:val="99"/>
    <w:rsid w:val="005626F1"/>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626F1"/>
    <w:rPr>
      <w:b/>
      <w:bCs/>
    </w:rPr>
  </w:style>
  <w:style w:type="character" w:customStyle="1" w:styleId="CommentSubjectChar">
    <w:name w:val="Comment Subject Char"/>
    <w:basedOn w:val="CommentTextChar"/>
    <w:link w:val="CommentSubject"/>
    <w:uiPriority w:val="99"/>
    <w:semiHidden/>
    <w:rsid w:val="005626F1"/>
    <w:rPr>
      <w:rFonts w:ascii="Arial" w:eastAsia="Times New Roman" w:hAnsi="Arial" w:cs="Times New Roman"/>
      <w:b/>
      <w:bCs/>
      <w:sz w:val="20"/>
      <w:szCs w:val="20"/>
      <w:lang w:eastAsia="en-US"/>
    </w:rPr>
  </w:style>
  <w:style w:type="paragraph" w:styleId="Revision">
    <w:name w:val="Revision"/>
    <w:hidden/>
    <w:uiPriority w:val="99"/>
    <w:semiHidden/>
    <w:rsid w:val="00EA0574"/>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948">
      <w:bodyDiv w:val="1"/>
      <w:marLeft w:val="0"/>
      <w:marRight w:val="0"/>
      <w:marTop w:val="0"/>
      <w:marBottom w:val="0"/>
      <w:divBdr>
        <w:top w:val="none" w:sz="0" w:space="0" w:color="auto"/>
        <w:left w:val="none" w:sz="0" w:space="0" w:color="auto"/>
        <w:bottom w:val="none" w:sz="0" w:space="0" w:color="auto"/>
        <w:right w:val="none" w:sz="0" w:space="0" w:color="auto"/>
      </w:divBdr>
    </w:div>
    <w:div w:id="2010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7" ma:contentTypeDescription="Create a new document." ma:contentTypeScope="" ma:versionID="d27543a9a6b20163b6bb61ea3b0e81eb">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0a656c84fbb9ab96058aecec477c3c5f"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3c02463-d70b-4e51-a9b3-86b82ae15380}" ma:internalName="TaxCatchAll" ma:showField="CatchAllData" ma:web="1e82e727-aaa7-4496-933b-025d90a3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82e727-aaa7-4496-933b-025d90a37b17" xsi:nil="true"/>
    <lcf76f155ced4ddcb4097134ff3c332f xmlns="629dd88b-06c9-499b-bfba-d7812965d5c1">
      <Terms xmlns="http://schemas.microsoft.com/office/infopath/2007/PartnerControls"/>
    </lcf76f155ced4ddcb4097134ff3c332f>
    <Comments xmlns="629dd88b-06c9-499b-bfba-d7812965d5c1" xsi:nil="true"/>
    <SharedWithUsers xmlns="1e82e727-aaa7-4496-933b-025d90a37b17">
      <UserInfo>
        <DisplayName>Tracey Keyes</DisplayName>
        <AccountId>2098</AccountId>
        <AccountType/>
      </UserInfo>
      <UserInfo>
        <DisplayName>Hilary Leavy</DisplayName>
        <AccountId>141</AccountId>
        <AccountType/>
      </UserInfo>
    </SharedWithUsers>
  </documentManagement>
</p:properties>
</file>

<file path=customXml/itemProps1.xml><?xml version="1.0" encoding="utf-8"?>
<ds:datastoreItem xmlns:ds="http://schemas.openxmlformats.org/officeDocument/2006/customXml" ds:itemID="{2A7E86D8-1FD4-4888-8F6A-EC55AF24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4F276-DC60-4037-BCDA-76707F5DE75E}">
  <ds:schemaRefs>
    <ds:schemaRef ds:uri="http://schemas.openxmlformats.org/officeDocument/2006/bibliography"/>
  </ds:schemaRefs>
</ds:datastoreItem>
</file>

<file path=customXml/itemProps3.xml><?xml version="1.0" encoding="utf-8"?>
<ds:datastoreItem xmlns:ds="http://schemas.openxmlformats.org/officeDocument/2006/customXml" ds:itemID="{3D6D3C71-BDE0-4370-886F-3E35348D23DD}">
  <ds:schemaRefs>
    <ds:schemaRef ds:uri="http://schemas.microsoft.com/sharepoint/v3/contenttype/forms"/>
  </ds:schemaRefs>
</ds:datastoreItem>
</file>

<file path=customXml/itemProps4.xml><?xml version="1.0" encoding="utf-8"?>
<ds:datastoreItem xmlns:ds="http://schemas.openxmlformats.org/officeDocument/2006/customXml" ds:itemID="{46C633FF-51BA-4C74-98BB-0EC874BBF714}">
  <ds:schemaRefs>
    <ds:schemaRef ds:uri="http://purl.org/dc/terms/"/>
    <ds:schemaRef ds:uri="629dd88b-06c9-499b-bfba-d7812965d5c1"/>
    <ds:schemaRef ds:uri="http://purl.org/dc/dcmitype/"/>
    <ds:schemaRef ds:uri="http://schemas.openxmlformats.org/package/2006/metadata/core-properties"/>
    <ds:schemaRef ds:uri="1e82e727-aaa7-4496-933b-025d90a37b17"/>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1170</Words>
  <Characters>6675</Characters>
  <Application>Microsoft Office Word</Application>
  <DocSecurity>4</DocSecurity>
  <Lines>55</Lines>
  <Paragraphs>15</Paragraphs>
  <ScaleCrop>false</ScaleCrop>
  <Company/>
  <LinksUpToDate>false</LinksUpToDate>
  <CharactersWithSpaces>7830</CharactersWithSpaces>
  <SharedDoc>false</SharedDoc>
  <HLinks>
    <vt:vector size="96" baseType="variant">
      <vt:variant>
        <vt:i4>4325401</vt:i4>
      </vt:variant>
      <vt:variant>
        <vt:i4>45</vt:i4>
      </vt:variant>
      <vt:variant>
        <vt:i4>0</vt:i4>
      </vt:variant>
      <vt:variant>
        <vt:i4>5</vt:i4>
      </vt:variant>
      <vt:variant>
        <vt:lpwstr>https://www.heritagefund.org.uk/about/insight/research/dash-report-2021-pandemic-future-planning</vt:lpwstr>
      </vt:variant>
      <vt:variant>
        <vt:lpwstr/>
      </vt:variant>
      <vt:variant>
        <vt:i4>4653122</vt:i4>
      </vt:variant>
      <vt:variant>
        <vt:i4>42</vt:i4>
      </vt:variant>
      <vt:variant>
        <vt:i4>0</vt:i4>
      </vt:variant>
      <vt:variant>
        <vt:i4>5</vt:i4>
      </vt:variant>
      <vt:variant>
        <vt:lpwstr>https://www.heritagefund.org.uk/about/insight/research/dash-report-learning-first-uk-wide-digital-heritage-survey</vt:lpwstr>
      </vt:variant>
      <vt:variant>
        <vt:lpwstr/>
      </vt:variant>
      <vt:variant>
        <vt:i4>1704008</vt:i4>
      </vt:variant>
      <vt:variant>
        <vt:i4>39</vt:i4>
      </vt:variant>
      <vt:variant>
        <vt:i4>0</vt:i4>
      </vt:variant>
      <vt:variant>
        <vt:i4>5</vt:i4>
      </vt:variant>
      <vt:variant>
        <vt:lpwstr>https://www.heritagefund.org.uk/funding/digital-volunteering</vt:lpwstr>
      </vt:variant>
      <vt:variant>
        <vt:lpwstr/>
      </vt:variant>
      <vt:variant>
        <vt:i4>7995499</vt:i4>
      </vt:variant>
      <vt:variant>
        <vt:i4>36</vt:i4>
      </vt:variant>
      <vt:variant>
        <vt:i4>0</vt:i4>
      </vt:variant>
      <vt:variant>
        <vt:i4>5</vt:i4>
      </vt:variant>
      <vt:variant>
        <vt:lpwstr>https://www.heritagefund.org.uk/funding/closed-programmes/digital-skills-heritage-tranche-7-funding-connected-heritage</vt:lpwstr>
      </vt:variant>
      <vt:variant>
        <vt:lpwstr/>
      </vt:variant>
      <vt:variant>
        <vt:i4>4325401</vt:i4>
      </vt:variant>
      <vt:variant>
        <vt:i4>33</vt:i4>
      </vt:variant>
      <vt:variant>
        <vt:i4>0</vt:i4>
      </vt:variant>
      <vt:variant>
        <vt:i4>5</vt:i4>
      </vt:variant>
      <vt:variant>
        <vt:lpwstr>https://www.heritagefund.org.uk/about/insight/research/dash-report-2021-pandemic-future-planning</vt:lpwstr>
      </vt:variant>
      <vt:variant>
        <vt:lpwstr/>
      </vt:variant>
      <vt:variant>
        <vt:i4>3604527</vt:i4>
      </vt:variant>
      <vt:variant>
        <vt:i4>30</vt:i4>
      </vt:variant>
      <vt:variant>
        <vt:i4>0</vt:i4>
      </vt:variant>
      <vt:variant>
        <vt:i4>5</vt:i4>
      </vt:variant>
      <vt:variant>
        <vt:lpwstr>https://www.heritagefund.org.uk/publications/dash-report-learning-first-uk-wide-digital-heritage-survey</vt:lpwstr>
      </vt:variant>
      <vt:variant>
        <vt:lpwstr/>
      </vt:variant>
      <vt:variant>
        <vt:i4>7340095</vt:i4>
      </vt:variant>
      <vt:variant>
        <vt:i4>27</vt:i4>
      </vt:variant>
      <vt:variant>
        <vt:i4>0</vt:i4>
      </vt:variant>
      <vt:variant>
        <vt:i4>5</vt:i4>
      </vt:variant>
      <vt:variant>
        <vt:lpwstr>https://www.culturehive.co.uk/digital-heritage-hub/</vt:lpwstr>
      </vt:variant>
      <vt:variant>
        <vt:lpwstr/>
      </vt:variant>
      <vt:variant>
        <vt:i4>3735657</vt:i4>
      </vt:variant>
      <vt:variant>
        <vt:i4>24</vt:i4>
      </vt:variant>
      <vt:variant>
        <vt:i4>0</vt:i4>
      </vt:variant>
      <vt:variant>
        <vt:i4>5</vt:i4>
      </vt:variant>
      <vt:variant>
        <vt:lpwstr>https://www.heritagefund.org.uk/funding/closed-programmes/digital-skills-heritage-tranche-5-funding-qa</vt:lpwstr>
      </vt:variant>
      <vt:variant>
        <vt:lpwstr/>
      </vt:variant>
      <vt:variant>
        <vt:i4>2818160</vt:i4>
      </vt:variant>
      <vt:variant>
        <vt:i4>21</vt:i4>
      </vt:variant>
      <vt:variant>
        <vt:i4>0</vt:i4>
      </vt:variant>
      <vt:variant>
        <vt:i4>5</vt:i4>
      </vt:variant>
      <vt:variant>
        <vt:lpwstr>https://www.contractsfinder.service.gov.uk/Notice/9cf797b6-9389-4076-897b-7f1245ae7c76</vt:lpwstr>
      </vt:variant>
      <vt:variant>
        <vt:lpwstr/>
      </vt:variant>
      <vt:variant>
        <vt:i4>1769478</vt:i4>
      </vt:variant>
      <vt:variant>
        <vt:i4>18</vt:i4>
      </vt:variant>
      <vt:variant>
        <vt:i4>0</vt:i4>
      </vt:variant>
      <vt:variant>
        <vt:i4>5</vt:i4>
      </vt:variant>
      <vt:variant>
        <vt:lpwstr>https://weareculture24.org.uk/leading-the-sector/</vt:lpwstr>
      </vt:variant>
      <vt:variant>
        <vt:lpwstr/>
      </vt:variant>
      <vt:variant>
        <vt:i4>6160459</vt:i4>
      </vt:variant>
      <vt:variant>
        <vt:i4>15</vt:i4>
      </vt:variant>
      <vt:variant>
        <vt:i4>0</vt:i4>
      </vt:variant>
      <vt:variant>
        <vt:i4>5</vt:i4>
      </vt:variant>
      <vt:variant>
        <vt:lpwstr>https://www.heritagefund.org.uk/our-work/areas-focus</vt:lpwstr>
      </vt:variant>
      <vt:variant>
        <vt:lpwstr/>
      </vt:variant>
      <vt:variant>
        <vt:i4>7929962</vt:i4>
      </vt:variant>
      <vt:variant>
        <vt:i4>12</vt:i4>
      </vt:variant>
      <vt:variant>
        <vt:i4>0</vt:i4>
      </vt:variant>
      <vt:variant>
        <vt:i4>5</vt:i4>
      </vt:variant>
      <vt:variant>
        <vt:lpwstr>https://www.heritagefund.org.uk/article/digital-confidence-fund</vt:lpwstr>
      </vt:variant>
      <vt:variant>
        <vt:lpwstr/>
      </vt:variant>
      <vt:variant>
        <vt:i4>3997797</vt:i4>
      </vt:variant>
      <vt:variant>
        <vt:i4>9</vt:i4>
      </vt:variant>
      <vt:variant>
        <vt:i4>0</vt:i4>
      </vt:variant>
      <vt:variant>
        <vt:i4>5</vt:i4>
      </vt:variant>
      <vt:variant>
        <vt:lpwstr>https://www.heritagefund.org.uk/funding/closed-programmes/digital-skills-heritage-tranche-2-funding-taking-digital-forward</vt:lpwstr>
      </vt:variant>
      <vt:variant>
        <vt:lpwstr/>
      </vt:variant>
      <vt:variant>
        <vt:i4>2621497</vt:i4>
      </vt:variant>
      <vt:variant>
        <vt:i4>6</vt:i4>
      </vt:variant>
      <vt:variant>
        <vt:i4>0</vt:i4>
      </vt:variant>
      <vt:variant>
        <vt:i4>5</vt:i4>
      </vt:variant>
      <vt:variant>
        <vt:lpwstr>https://www.heritagefund.org.uk/funding/digital-campaign-tranche-2</vt:lpwstr>
      </vt:variant>
      <vt:variant>
        <vt:lpwstr/>
      </vt:variant>
      <vt:variant>
        <vt:i4>1507422</vt:i4>
      </vt:variant>
      <vt:variant>
        <vt:i4>3</vt:i4>
      </vt:variant>
      <vt:variant>
        <vt:i4>0</vt:i4>
      </vt:variant>
      <vt:variant>
        <vt:i4>5</vt:i4>
      </vt:variant>
      <vt:variant>
        <vt:lpwstr>https://www.heritagefund.org.uk/our-work/digital-skills-heritage</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Leavy</dc:creator>
  <cp:keywords/>
  <dc:description/>
  <cp:lastModifiedBy>Tracey Keyes</cp:lastModifiedBy>
  <cp:revision>2</cp:revision>
  <dcterms:created xsi:type="dcterms:W3CDTF">2023-02-24T07:54:00Z</dcterms:created>
  <dcterms:modified xsi:type="dcterms:W3CDTF">2023-02-24T07:54:00Z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ediaServiceImageTags">
    <vt:lpwstr/>
  </property>
</Properties>
</file>