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59D6" w14:textId="77777777" w:rsidR="00617059" w:rsidRDefault="00617059" w:rsidP="00C17877">
      <w:pPr>
        <w:pStyle w:val="BodyText"/>
        <w:spacing w:after="440"/>
      </w:pPr>
    </w:p>
    <w:p w14:paraId="45185FAD" w14:textId="77777777" w:rsidR="00617059" w:rsidRDefault="00617059" w:rsidP="00617059">
      <w:pPr>
        <w:pStyle w:val="BodyText"/>
      </w:pPr>
    </w:p>
    <w:p w14:paraId="531B5048" w14:textId="77777777" w:rsidR="00617059" w:rsidRDefault="00617059" w:rsidP="00617059">
      <w:pPr>
        <w:pStyle w:val="BodyText"/>
      </w:pPr>
      <w:bookmarkStart w:id="0" w:name="_Hlk4144088"/>
    </w:p>
    <w:tbl>
      <w:tblPr>
        <w:tblStyle w:val="TableGrid"/>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93"/>
        <w:gridCol w:w="4139"/>
      </w:tblGrid>
      <w:tr w:rsidR="00A46578" w14:paraId="4C0275D6" w14:textId="77777777" w:rsidTr="00C17877">
        <w:trPr>
          <w:cantSplit/>
        </w:trPr>
        <w:tc>
          <w:tcPr>
            <w:tcW w:w="6293" w:type="dxa"/>
          </w:tcPr>
          <w:p w14:paraId="59E3AB3A" w14:textId="11BC59DC" w:rsidR="00A46578" w:rsidRDefault="00A46578" w:rsidP="00617059">
            <w:pPr>
              <w:pStyle w:val="BodyText"/>
              <w:spacing w:after="0"/>
            </w:pPr>
          </w:p>
          <w:p w14:paraId="1E9A29DE" w14:textId="7EA2626E" w:rsidR="00926738" w:rsidRDefault="00BB1752" w:rsidP="00A46578">
            <w:pPr>
              <w:pStyle w:val="BodyText"/>
              <w:spacing w:after="0"/>
            </w:pPr>
            <w:r>
              <w:t xml:space="preserve">Amrit Summan - </w:t>
            </w:r>
            <w:r w:rsidR="00926738">
              <w:t>Moody’s Analytics.</w:t>
            </w:r>
          </w:p>
          <w:p w14:paraId="25401B4C" w14:textId="77777777" w:rsidR="00926738" w:rsidRDefault="00926738" w:rsidP="00A46578">
            <w:pPr>
              <w:pStyle w:val="BodyText"/>
              <w:spacing w:after="0"/>
            </w:pPr>
            <w:r>
              <w:t xml:space="preserve">1 Canada Square, </w:t>
            </w:r>
          </w:p>
          <w:p w14:paraId="41530B13" w14:textId="77777777" w:rsidR="00926738" w:rsidRDefault="00926738" w:rsidP="00A46578">
            <w:pPr>
              <w:pStyle w:val="BodyText"/>
              <w:spacing w:after="0"/>
            </w:pPr>
            <w:r>
              <w:t xml:space="preserve">Canary Wharf, </w:t>
            </w:r>
          </w:p>
          <w:p w14:paraId="5E8A01A5" w14:textId="77777777" w:rsidR="00926738" w:rsidRDefault="00926738" w:rsidP="00A46578">
            <w:pPr>
              <w:pStyle w:val="BodyText"/>
              <w:spacing w:after="0"/>
            </w:pPr>
            <w:r>
              <w:t xml:space="preserve">London, E14 5FA, </w:t>
            </w:r>
          </w:p>
          <w:p w14:paraId="0E2CBE71" w14:textId="1222DD21" w:rsidR="00A46578" w:rsidRDefault="00926738" w:rsidP="00A46578">
            <w:pPr>
              <w:pStyle w:val="BodyText"/>
              <w:spacing w:after="0"/>
            </w:pPr>
            <w:r>
              <w:t xml:space="preserve">United Kingdom.  </w:t>
            </w:r>
          </w:p>
        </w:tc>
        <w:tc>
          <w:tcPr>
            <w:tcW w:w="4139" w:type="dxa"/>
            <w:vMerge w:val="restart"/>
          </w:tcPr>
          <w:p w14:paraId="6592BDE1" w14:textId="77777777" w:rsidR="00A46578" w:rsidRPr="00C17877" w:rsidRDefault="00A46578" w:rsidP="00617059">
            <w:pPr>
              <w:pStyle w:val="BodyText"/>
              <w:spacing w:after="0"/>
              <w:rPr>
                <w:szCs w:val="24"/>
              </w:rPr>
            </w:pPr>
            <w:proofErr w:type="spellStart"/>
            <w:r w:rsidRPr="00C17877">
              <w:rPr>
                <w:szCs w:val="24"/>
              </w:rPr>
              <w:t>Finlaison</w:t>
            </w:r>
            <w:proofErr w:type="spellEnd"/>
            <w:r w:rsidRPr="00C17877">
              <w:rPr>
                <w:szCs w:val="24"/>
              </w:rPr>
              <w:t xml:space="preserve"> House</w:t>
            </w:r>
          </w:p>
          <w:p w14:paraId="498B4FDB" w14:textId="77777777" w:rsidR="00A46578" w:rsidRPr="00C17877" w:rsidRDefault="00A46578" w:rsidP="00617059">
            <w:pPr>
              <w:pStyle w:val="BodyText"/>
              <w:spacing w:after="0"/>
              <w:rPr>
                <w:szCs w:val="24"/>
              </w:rPr>
            </w:pPr>
            <w:r w:rsidRPr="00C17877">
              <w:rPr>
                <w:szCs w:val="24"/>
              </w:rPr>
              <w:t xml:space="preserve">15-17 </w:t>
            </w:r>
            <w:proofErr w:type="spellStart"/>
            <w:r w:rsidRPr="00C17877">
              <w:rPr>
                <w:szCs w:val="24"/>
              </w:rPr>
              <w:t>Furnival</w:t>
            </w:r>
            <w:proofErr w:type="spellEnd"/>
            <w:r w:rsidRPr="00C17877">
              <w:rPr>
                <w:szCs w:val="24"/>
              </w:rPr>
              <w:t xml:space="preserve"> Street</w:t>
            </w:r>
          </w:p>
          <w:p w14:paraId="00836CB7" w14:textId="77777777" w:rsidR="00A46578" w:rsidRPr="00C17877" w:rsidRDefault="00A46578" w:rsidP="00617059">
            <w:pPr>
              <w:pStyle w:val="BodyText"/>
              <w:spacing w:after="0"/>
              <w:rPr>
                <w:szCs w:val="24"/>
              </w:rPr>
            </w:pPr>
            <w:r w:rsidRPr="00C17877">
              <w:rPr>
                <w:szCs w:val="24"/>
              </w:rPr>
              <w:t>London</w:t>
            </w:r>
          </w:p>
          <w:p w14:paraId="4CEE4806" w14:textId="77777777" w:rsidR="00A46578" w:rsidRPr="00C17877" w:rsidRDefault="00A46578" w:rsidP="00C17877">
            <w:pPr>
              <w:pStyle w:val="BodyText"/>
              <w:spacing w:after="320"/>
              <w:rPr>
                <w:szCs w:val="24"/>
              </w:rPr>
            </w:pPr>
            <w:r w:rsidRPr="00C17877">
              <w:rPr>
                <w:szCs w:val="24"/>
              </w:rPr>
              <w:t>EC4A 1AB</w:t>
            </w:r>
          </w:p>
          <w:p w14:paraId="6C4DFA13" w14:textId="53FA8CB7" w:rsidR="00A46578" w:rsidRPr="00C17877" w:rsidRDefault="00A46578" w:rsidP="00617059">
            <w:pPr>
              <w:pStyle w:val="BodyText"/>
              <w:spacing w:after="0"/>
              <w:rPr>
                <w:szCs w:val="24"/>
              </w:rPr>
            </w:pPr>
            <w:r w:rsidRPr="00C17877">
              <w:rPr>
                <w:szCs w:val="24"/>
              </w:rPr>
              <w:t xml:space="preserve">020 7211 </w:t>
            </w:r>
            <w:r w:rsidR="00213C00">
              <w:rPr>
                <w:szCs w:val="24"/>
              </w:rPr>
              <w:t>2655</w:t>
            </w:r>
          </w:p>
          <w:p w14:paraId="067FA5CA" w14:textId="2E8FBE16" w:rsidR="00A46578" w:rsidRPr="00C17877" w:rsidRDefault="00213C00" w:rsidP="00617059">
            <w:pPr>
              <w:pStyle w:val="BodyText"/>
              <w:spacing w:after="0"/>
              <w:rPr>
                <w:szCs w:val="24"/>
              </w:rPr>
            </w:pPr>
            <w:r>
              <w:rPr>
                <w:szCs w:val="24"/>
              </w:rPr>
              <w:t>andrew.jinks</w:t>
            </w:r>
            <w:r w:rsidR="00A46578" w:rsidRPr="00B97ECE">
              <w:rPr>
                <w:szCs w:val="24"/>
              </w:rPr>
              <w:t>@gad.gov.uk</w:t>
            </w:r>
          </w:p>
          <w:p w14:paraId="6A07E5A9" w14:textId="77777777" w:rsidR="00A46578" w:rsidRPr="00C17877" w:rsidRDefault="00700422" w:rsidP="00617059">
            <w:pPr>
              <w:pStyle w:val="BodyText"/>
              <w:spacing w:after="0"/>
              <w:rPr>
                <w:szCs w:val="24"/>
              </w:rPr>
            </w:pPr>
            <w:hyperlink r:id="rId7" w:history="1">
              <w:r w:rsidR="00A46578" w:rsidRPr="00C17877">
                <w:rPr>
                  <w:rStyle w:val="Hyperlink"/>
                  <w:szCs w:val="24"/>
                </w:rPr>
                <w:t>www.gov.uk/gad</w:t>
              </w:r>
            </w:hyperlink>
          </w:p>
        </w:tc>
      </w:tr>
      <w:tr w:rsidR="00A46578" w14:paraId="3632A2A5" w14:textId="77777777" w:rsidTr="00C17877">
        <w:trPr>
          <w:cantSplit/>
        </w:trPr>
        <w:tc>
          <w:tcPr>
            <w:tcW w:w="6293" w:type="dxa"/>
            <w:vAlign w:val="bottom"/>
          </w:tcPr>
          <w:p w14:paraId="156F6CBC" w14:textId="6D1DFD7F" w:rsidR="00A46578" w:rsidRDefault="00700422" w:rsidP="00617059">
            <w:pPr>
              <w:pStyle w:val="BodyText"/>
              <w:spacing w:after="0"/>
            </w:pPr>
            <w:sdt>
              <w:sdtPr>
                <w:alias w:val="click here and enter (not type) date"/>
                <w:tag w:val="click here and enter (not type) date"/>
                <w:id w:val="-1958943569"/>
                <w:placeholder>
                  <w:docPart w:val="8508B3A4FADF4EC19D5DA6786C9D2649"/>
                </w:placeholder>
                <w15:color w:val="000000"/>
                <w:date w:fullDate="2021-11-22T00:00:00Z">
                  <w:dateFormat w:val="d MMMM yyyy"/>
                  <w:lid w:val="en-GB"/>
                  <w:storeMappedDataAs w:val="dateTime"/>
                  <w:calendar w:val="gregorian"/>
                </w:date>
              </w:sdtPr>
              <w:sdtEndPr/>
              <w:sdtContent>
                <w:r w:rsidR="00A76557">
                  <w:t>22 November 2021</w:t>
                </w:r>
              </w:sdtContent>
            </w:sdt>
          </w:p>
        </w:tc>
        <w:tc>
          <w:tcPr>
            <w:tcW w:w="4139" w:type="dxa"/>
            <w:vMerge/>
          </w:tcPr>
          <w:p w14:paraId="6EAB218A" w14:textId="77777777" w:rsidR="00A46578" w:rsidRPr="00C17877" w:rsidRDefault="00A46578" w:rsidP="00617059">
            <w:pPr>
              <w:pStyle w:val="BodyText"/>
              <w:spacing w:after="0"/>
              <w:rPr>
                <w:szCs w:val="24"/>
              </w:rPr>
            </w:pPr>
          </w:p>
        </w:tc>
      </w:tr>
    </w:tbl>
    <w:p w14:paraId="4F9662FD" w14:textId="77777777" w:rsidR="00617059" w:rsidRDefault="003769A5" w:rsidP="00A46578">
      <w:pPr>
        <w:pStyle w:val="BodyText"/>
        <w:spacing w:after="480"/>
      </w:pPr>
      <w:r>
        <w:rPr>
          <w:noProof/>
          <w:spacing w:val="-3"/>
        </w:rPr>
        <mc:AlternateContent>
          <mc:Choice Requires="wps">
            <w:drawing>
              <wp:anchor distT="288290" distB="0" distL="114300" distR="114300" simplePos="0" relativeHeight="251659264" behindDoc="0" locked="0" layoutInCell="1" allowOverlap="0" wp14:anchorId="0941F300" wp14:editId="4214015F">
                <wp:simplePos x="0" y="0"/>
                <wp:positionH relativeFrom="margin">
                  <wp:align>left</wp:align>
                </wp:positionH>
                <wp:positionV relativeFrom="page">
                  <wp:posOffset>10009505</wp:posOffset>
                </wp:positionV>
                <wp:extent cx="4977000" cy="28908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4977000" cy="289080"/>
                        </a:xfrm>
                        <a:prstGeom prst="rect">
                          <a:avLst/>
                        </a:prstGeom>
                        <a:noFill/>
                        <a:ln w="6350">
                          <a:noFill/>
                        </a:ln>
                      </wps:spPr>
                      <wps:txbx>
                        <w:txbxContent>
                          <w:p w14:paraId="0BBE5C6F" w14:textId="77777777" w:rsidR="003769A5" w:rsidRPr="00A5460D" w:rsidRDefault="003769A5" w:rsidP="003769A5">
                            <w:pPr>
                              <w:rPr>
                                <w:sz w:val="17"/>
                                <w:szCs w:val="17"/>
                              </w:rPr>
                            </w:pPr>
                            <w:r w:rsidRPr="00A5460D">
                              <w:rPr>
                                <w:sz w:val="17"/>
                                <w:szCs w:val="17"/>
                              </w:rPr>
                              <w:t xml:space="preserve">At GAD, we seek to achieve a high standard in all our work. We are accredited under the Institute and </w:t>
                            </w:r>
                            <w:r w:rsidRPr="00A5460D">
                              <w:rPr>
                                <w:sz w:val="17"/>
                                <w:szCs w:val="17"/>
                              </w:rPr>
                              <w:br/>
                              <w:t xml:space="preserve">Faculty of Actuaries’ Quality Assurance Scheme. Our website describes </w:t>
                            </w:r>
                            <w:hyperlink r:id="rId8" w:history="1">
                              <w:r w:rsidRPr="00A5460D">
                                <w:rPr>
                                  <w:rStyle w:val="Hyperlink"/>
                                  <w:b/>
                                  <w:sz w:val="17"/>
                                  <w:szCs w:val="17"/>
                                </w:rPr>
                                <w:t>the standards</w:t>
                              </w:r>
                            </w:hyperlink>
                            <w:r w:rsidRPr="00A5460D">
                              <w:rPr>
                                <w:sz w:val="17"/>
                                <w:szCs w:val="17"/>
                              </w:rPr>
                              <w:t xml:space="preserve"> we apply.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1F300" id="_x0000_t202" coordsize="21600,21600" o:spt="202" path="m,l,21600r21600,l21600,xe">
                <v:stroke joinstyle="miter"/>
                <v:path gradientshapeok="t" o:connecttype="rect"/>
              </v:shapetype>
              <v:shape id="Text Box 3" o:spid="_x0000_s1026" type="#_x0000_t202" style="position:absolute;margin-left:0;margin-top:788.15pt;width:391.9pt;height:22.75pt;z-index:251659264;visibility:visible;mso-wrap-style:square;mso-width-percent:0;mso-height-percent:0;mso-wrap-distance-left:9pt;mso-wrap-distance-top:22.7pt;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" o:allowoverlap="f" filled="f" stroked="f" strokeweight=".5pt">
                <v:textbox inset="0,0,0,0">
                  <w:txbxContent>
                    <w:p w14:paraId="0BBE5C6F" w14:textId="77777777" w:rsidR="003769A5" w:rsidRPr="00A5460D" w:rsidRDefault="003769A5" w:rsidP="003769A5">
                      <w:pPr>
                        <w:rPr>
                          <w:sz w:val="17"/>
                          <w:szCs w:val="17"/>
                        </w:rPr>
                      </w:pPr>
                      <w:r w:rsidRPr="00A5460D">
                        <w:rPr>
                          <w:sz w:val="17"/>
                          <w:szCs w:val="17"/>
                        </w:rPr>
                        <w:t xml:space="preserve">At GAD, we seek to achieve a high standard in all our work. We are accredited under the Institute and </w:t>
                      </w:r>
                      <w:r w:rsidRPr="00A5460D">
                        <w:rPr>
                          <w:sz w:val="17"/>
                          <w:szCs w:val="17"/>
                        </w:rPr>
                        <w:br/>
                        <w:t xml:space="preserve">Faculty of Actuaries’ Quality Assurance Scheme. Our website describes </w:t>
                      </w:r>
                      <w:hyperlink r:id="rId9" w:history="1">
                        <w:r w:rsidRPr="00A5460D">
                          <w:rPr>
                            <w:rStyle w:val="Hyperlink"/>
                            <w:b/>
                            <w:sz w:val="17"/>
                            <w:szCs w:val="17"/>
                          </w:rPr>
                          <w:t>the standards</w:t>
                        </w:r>
                      </w:hyperlink>
                      <w:r w:rsidRPr="00A5460D">
                        <w:rPr>
                          <w:sz w:val="17"/>
                          <w:szCs w:val="17"/>
                        </w:rPr>
                        <w:t xml:space="preserve"> we apply.</w:t>
                      </w:r>
                    </w:p>
                  </w:txbxContent>
                </v:textbox>
                <w10:wrap anchorx="margin" anchory="page"/>
              </v:shape>
            </w:pict>
          </mc:Fallback>
        </mc:AlternateContent>
      </w:r>
    </w:p>
    <w:bookmarkEnd w:id="0"/>
    <w:p w14:paraId="2DE69149" w14:textId="0CA539DB" w:rsidR="00213C00" w:rsidRDefault="00213C00" w:rsidP="00213C00">
      <w:pPr>
        <w:pStyle w:val="InsideAddress"/>
        <w:jc w:val="left"/>
      </w:pPr>
      <w:r w:rsidRPr="009A633B">
        <w:fldChar w:fldCharType="begin"/>
      </w:r>
      <w:r w:rsidRPr="009A633B">
        <w:instrText xml:space="preserve"> AUTOTEXTLIST  </w:instrText>
      </w:r>
      <w:r w:rsidRPr="009A633B">
        <w:fldChar w:fldCharType="separate"/>
      </w:r>
      <w:r w:rsidRPr="009A633B">
        <w:t>Dear</w:t>
      </w:r>
      <w:r w:rsidRPr="009A633B">
        <w:fldChar w:fldCharType="end"/>
      </w:r>
      <w:r>
        <w:t xml:space="preserve"> </w:t>
      </w:r>
      <w:r w:rsidR="00926738">
        <w:t>Amrit</w:t>
      </w:r>
    </w:p>
    <w:p w14:paraId="01607378" w14:textId="77777777" w:rsidR="00213C00" w:rsidRDefault="00213C00" w:rsidP="00213C00">
      <w:pPr>
        <w:pStyle w:val="InsideAddress"/>
        <w:jc w:val="left"/>
      </w:pPr>
    </w:p>
    <w:p w14:paraId="6C3A73D2" w14:textId="77777777" w:rsidR="00213C00" w:rsidRPr="00FD7799" w:rsidRDefault="00213C00" w:rsidP="00213C00">
      <w:pPr>
        <w:pStyle w:val="GADBodyText"/>
        <w:spacing w:after="240"/>
        <w:rPr>
          <w:b/>
          <w:szCs w:val="24"/>
        </w:rPr>
      </w:pPr>
      <w:r>
        <w:rPr>
          <w:b/>
          <w:szCs w:val="24"/>
        </w:rPr>
        <w:t>Tender for Economic Scenarios</w:t>
      </w:r>
    </w:p>
    <w:p w14:paraId="197A2618" w14:textId="6AF99887" w:rsidR="00213C00" w:rsidRDefault="00213C00" w:rsidP="00213C00">
      <w:pPr>
        <w:autoSpaceDE w:val="0"/>
        <w:autoSpaceDN w:val="0"/>
        <w:adjustRightInd w:val="0"/>
        <w:rPr>
          <w:rFonts w:cs="Arial"/>
          <w:color w:val="000000"/>
          <w:lang w:eastAsia="en-GB"/>
        </w:rPr>
      </w:pPr>
      <w:r>
        <w:rPr>
          <w:rFonts w:cs="Arial"/>
          <w:color w:val="000000"/>
          <w:lang w:eastAsia="en-GB"/>
        </w:rPr>
        <w:t xml:space="preserve">Thank you for your submission in our tender Reference </w:t>
      </w:r>
      <w:r w:rsidR="00926738">
        <w:rPr>
          <w:rFonts w:cs="Arial"/>
          <w:color w:val="000000"/>
          <w:lang w:eastAsia="en-GB"/>
        </w:rPr>
        <w:t>ESG Calibrations Proposition</w:t>
      </w:r>
      <w:r>
        <w:rPr>
          <w:rFonts w:cs="Arial"/>
          <w:color w:val="000000"/>
          <w:lang w:eastAsia="en-GB"/>
        </w:rPr>
        <w:t xml:space="preserve">, dated </w:t>
      </w:r>
      <w:r w:rsidR="00926738">
        <w:rPr>
          <w:rFonts w:cs="Arial"/>
          <w:color w:val="000000"/>
          <w:lang w:eastAsia="en-GB"/>
        </w:rPr>
        <w:t>22</w:t>
      </w:r>
      <w:r w:rsidR="00926738" w:rsidRPr="00926738">
        <w:rPr>
          <w:rFonts w:cs="Arial"/>
          <w:color w:val="000000"/>
          <w:vertAlign w:val="superscript"/>
          <w:lang w:eastAsia="en-GB"/>
        </w:rPr>
        <w:t>nd</w:t>
      </w:r>
      <w:r w:rsidR="00926738">
        <w:rPr>
          <w:rFonts w:cs="Arial"/>
          <w:color w:val="000000"/>
          <w:lang w:eastAsia="en-GB"/>
        </w:rPr>
        <w:t xml:space="preserve"> June</w:t>
      </w:r>
      <w:r>
        <w:rPr>
          <w:rFonts w:cs="Arial"/>
          <w:color w:val="000000"/>
          <w:lang w:eastAsia="en-GB"/>
        </w:rPr>
        <w:t xml:space="preserve"> for the contract for the provision of Stochastic Economic Scenarios. </w:t>
      </w:r>
      <w:r w:rsidRPr="002A4640">
        <w:rPr>
          <w:rFonts w:cs="Arial"/>
          <w:color w:val="000000"/>
          <w:lang w:eastAsia="en-GB"/>
        </w:rPr>
        <w:t xml:space="preserve">We have now completed our evaluation of all the tenders received </w:t>
      </w:r>
      <w:r w:rsidRPr="002A4640">
        <w:rPr>
          <w:rFonts w:cs="Arial"/>
          <w:lang w:eastAsia="en-GB"/>
        </w:rPr>
        <w:t>and</w:t>
      </w:r>
      <w:r>
        <w:rPr>
          <w:rFonts w:cs="Arial"/>
          <w:lang w:eastAsia="en-GB"/>
        </w:rPr>
        <w:t xml:space="preserve">, on behalf of GAD, I </w:t>
      </w:r>
      <w:r w:rsidR="0081613E">
        <w:rPr>
          <w:rFonts w:cs="Arial"/>
          <w:lang w:eastAsia="en-GB"/>
        </w:rPr>
        <w:t xml:space="preserve">am pleased </w:t>
      </w:r>
      <w:r w:rsidRPr="002A4640">
        <w:rPr>
          <w:rFonts w:cs="Arial"/>
          <w:color w:val="000000"/>
          <w:lang w:eastAsia="en-GB"/>
        </w:rPr>
        <w:t xml:space="preserve">to inform you that </w:t>
      </w:r>
      <w:r w:rsidR="0081613E">
        <w:rPr>
          <w:rFonts w:cs="Arial"/>
          <w:color w:val="000000"/>
          <w:lang w:eastAsia="en-GB"/>
        </w:rPr>
        <w:t>we intend to award Moody’s analytics the contract</w:t>
      </w:r>
      <w:r w:rsidRPr="002A4640">
        <w:rPr>
          <w:rFonts w:cs="Arial"/>
          <w:color w:val="000000"/>
          <w:lang w:eastAsia="en-GB"/>
        </w:rPr>
        <w:t xml:space="preserve">. </w:t>
      </w:r>
    </w:p>
    <w:p w14:paraId="7E142DD2" w14:textId="35D5D296" w:rsidR="00213C00" w:rsidRDefault="00213C00" w:rsidP="00213C00">
      <w:pPr>
        <w:autoSpaceDE w:val="0"/>
        <w:autoSpaceDN w:val="0"/>
        <w:adjustRightInd w:val="0"/>
        <w:rPr>
          <w:rFonts w:cs="Arial"/>
          <w:color w:val="000000"/>
          <w:lang w:eastAsia="en-GB"/>
        </w:rPr>
      </w:pPr>
      <w:r w:rsidRPr="002A4640">
        <w:rPr>
          <w:rFonts w:cs="Arial"/>
          <w:color w:val="000000"/>
          <w:lang w:eastAsia="en-GB"/>
        </w:rPr>
        <w:t xml:space="preserve">The evaluation of tenders was conducted against the criteria and weightings detailed in the Invitation to Tender. </w:t>
      </w:r>
      <w:r>
        <w:rPr>
          <w:rFonts w:cs="Arial"/>
          <w:color w:val="000000"/>
          <w:lang w:eastAsia="en-GB"/>
        </w:rPr>
        <w:t xml:space="preserve">The table below summarises the </w:t>
      </w:r>
      <w:r w:rsidR="002A715C">
        <w:rPr>
          <w:rFonts w:cs="Arial"/>
          <w:color w:val="000000"/>
          <w:lang w:eastAsia="en-GB"/>
        </w:rPr>
        <w:t xml:space="preserve">average </w:t>
      </w:r>
      <w:r>
        <w:rPr>
          <w:rFonts w:cs="Arial"/>
          <w:color w:val="000000"/>
          <w:lang w:eastAsia="en-GB"/>
        </w:rPr>
        <w:t xml:space="preserve">evaluation scores </w:t>
      </w:r>
      <w:r w:rsidR="002A715C">
        <w:rPr>
          <w:rFonts w:cs="Arial"/>
          <w:color w:val="000000"/>
          <w:lang w:eastAsia="en-GB"/>
        </w:rPr>
        <w:t xml:space="preserve">across the assessment panel </w:t>
      </w:r>
      <w:r>
        <w:rPr>
          <w:rFonts w:cs="Arial"/>
          <w:color w:val="000000"/>
          <w:lang w:eastAsia="en-GB"/>
        </w:rPr>
        <w:t>for your submission.</w:t>
      </w:r>
    </w:p>
    <w:tbl>
      <w:tblPr>
        <w:tblStyle w:val="TableGrid"/>
        <w:tblW w:w="5495" w:type="dxa"/>
        <w:tblInd w:w="630" w:type="dxa"/>
        <w:tblCellMar>
          <w:top w:w="85" w:type="dxa"/>
          <w:left w:w="85" w:type="dxa"/>
          <w:bottom w:w="85" w:type="dxa"/>
          <w:right w:w="85" w:type="dxa"/>
        </w:tblCellMar>
        <w:tblLook w:val="04A0" w:firstRow="1" w:lastRow="0" w:firstColumn="1" w:lastColumn="0" w:noHBand="0" w:noVBand="1"/>
      </w:tblPr>
      <w:tblGrid>
        <w:gridCol w:w="3227"/>
        <w:gridCol w:w="2268"/>
      </w:tblGrid>
      <w:tr w:rsidR="0081613E" w14:paraId="7D243A31" w14:textId="77777777" w:rsidTr="0081613E">
        <w:tc>
          <w:tcPr>
            <w:tcW w:w="3227" w:type="dxa"/>
            <w:vAlign w:val="center"/>
          </w:tcPr>
          <w:p w14:paraId="672EDFF3" w14:textId="77777777" w:rsidR="0081613E" w:rsidRPr="004232D0" w:rsidRDefault="0081613E" w:rsidP="00057FAF">
            <w:pPr>
              <w:pStyle w:val="GADBodyText"/>
              <w:spacing w:before="100" w:beforeAutospacing="1" w:after="100" w:afterAutospacing="1"/>
              <w:rPr>
                <w:rFonts w:cs="Arial"/>
              </w:rPr>
            </w:pPr>
            <w:r w:rsidRPr="004232D0">
              <w:rPr>
                <w:rFonts w:cs="Arial"/>
              </w:rPr>
              <w:t>Criteria</w:t>
            </w:r>
          </w:p>
        </w:tc>
        <w:tc>
          <w:tcPr>
            <w:tcW w:w="2268" w:type="dxa"/>
            <w:vAlign w:val="center"/>
          </w:tcPr>
          <w:p w14:paraId="5058E3B3" w14:textId="77777777" w:rsidR="0081613E" w:rsidRPr="004232D0" w:rsidRDefault="0081613E" w:rsidP="00057FAF">
            <w:pPr>
              <w:pStyle w:val="GADBodyText"/>
              <w:spacing w:before="100" w:beforeAutospacing="1" w:after="100" w:afterAutospacing="1"/>
              <w:rPr>
                <w:rFonts w:cs="Arial"/>
              </w:rPr>
            </w:pPr>
            <w:r w:rsidRPr="004232D0">
              <w:rPr>
                <w:rFonts w:cs="Arial"/>
              </w:rPr>
              <w:t>Winning Tender</w:t>
            </w:r>
          </w:p>
        </w:tc>
      </w:tr>
      <w:tr w:rsidR="0081613E" w14:paraId="365C7D8A" w14:textId="77777777" w:rsidTr="0081613E">
        <w:tc>
          <w:tcPr>
            <w:tcW w:w="3227" w:type="dxa"/>
            <w:vAlign w:val="center"/>
          </w:tcPr>
          <w:p w14:paraId="71D966C7" w14:textId="77777777" w:rsidR="0081613E" w:rsidRDefault="0081613E" w:rsidP="00057FAF">
            <w:pPr>
              <w:pStyle w:val="GADBodyText"/>
              <w:spacing w:before="100" w:beforeAutospacing="1" w:after="100" w:afterAutospacing="1"/>
              <w:rPr>
                <w:rFonts w:cs="Arial"/>
                <w:b/>
              </w:rPr>
            </w:pPr>
            <w:r w:rsidRPr="004232D0">
              <w:rPr>
                <w:rFonts w:cs="Arial"/>
                <w:b/>
              </w:rPr>
              <w:t>Qualit</w:t>
            </w:r>
            <w:r>
              <w:rPr>
                <w:rFonts w:cs="Arial"/>
                <w:b/>
              </w:rPr>
              <w:t>y</w:t>
            </w:r>
          </w:p>
          <w:p w14:paraId="3C48DF99" w14:textId="77777777" w:rsidR="0081613E" w:rsidRPr="009142C2" w:rsidRDefault="0081613E" w:rsidP="00057FAF">
            <w:pPr>
              <w:pStyle w:val="GADBodyText"/>
              <w:spacing w:before="100" w:beforeAutospacing="1" w:after="100" w:afterAutospacing="1"/>
              <w:rPr>
                <w:rFonts w:cs="Arial"/>
                <w:bCs/>
              </w:rPr>
            </w:pPr>
            <w:r w:rsidRPr="009142C2">
              <w:rPr>
                <w:rFonts w:cs="Arial"/>
                <w:bCs/>
              </w:rPr>
              <w:t xml:space="preserve">(25% weighting) </w:t>
            </w:r>
          </w:p>
        </w:tc>
        <w:tc>
          <w:tcPr>
            <w:tcW w:w="2268" w:type="dxa"/>
            <w:vAlign w:val="center"/>
          </w:tcPr>
          <w:p w14:paraId="47417CC5" w14:textId="77777777" w:rsidR="0081613E" w:rsidRPr="004232D0" w:rsidRDefault="0081613E" w:rsidP="00057FAF">
            <w:pPr>
              <w:pStyle w:val="GADBodyText"/>
              <w:spacing w:before="100" w:beforeAutospacing="1" w:after="100" w:afterAutospacing="1"/>
              <w:rPr>
                <w:rFonts w:cs="Arial"/>
              </w:rPr>
            </w:pPr>
            <w:r>
              <w:rPr>
                <w:rFonts w:cs="Arial"/>
              </w:rPr>
              <w:t>100%</w:t>
            </w:r>
          </w:p>
        </w:tc>
      </w:tr>
      <w:tr w:rsidR="0081613E" w14:paraId="692703A4" w14:textId="77777777" w:rsidTr="0081613E">
        <w:tc>
          <w:tcPr>
            <w:tcW w:w="3227" w:type="dxa"/>
            <w:vAlign w:val="center"/>
          </w:tcPr>
          <w:p w14:paraId="1548E729" w14:textId="77777777" w:rsidR="0081613E" w:rsidRDefault="0081613E" w:rsidP="00057FAF">
            <w:pPr>
              <w:pStyle w:val="GADBodyText"/>
              <w:spacing w:before="100" w:beforeAutospacing="1" w:after="100" w:afterAutospacing="1"/>
              <w:rPr>
                <w:rFonts w:cs="Arial"/>
                <w:b/>
              </w:rPr>
            </w:pPr>
            <w:r>
              <w:rPr>
                <w:rFonts w:cs="Arial"/>
                <w:b/>
              </w:rPr>
              <w:t>Service provision</w:t>
            </w:r>
          </w:p>
          <w:p w14:paraId="28D8C313" w14:textId="77777777" w:rsidR="0081613E" w:rsidRPr="009142C2" w:rsidRDefault="0081613E" w:rsidP="00057FAF">
            <w:pPr>
              <w:pStyle w:val="GADBodyText"/>
              <w:spacing w:before="100" w:beforeAutospacing="1" w:after="100" w:afterAutospacing="1"/>
              <w:rPr>
                <w:rFonts w:cs="Arial"/>
                <w:bCs/>
              </w:rPr>
            </w:pPr>
            <w:r w:rsidRPr="009142C2">
              <w:rPr>
                <w:rFonts w:cs="Arial"/>
                <w:bCs/>
              </w:rPr>
              <w:t xml:space="preserve">(10% weighting) </w:t>
            </w:r>
          </w:p>
        </w:tc>
        <w:tc>
          <w:tcPr>
            <w:tcW w:w="2268" w:type="dxa"/>
            <w:vAlign w:val="center"/>
          </w:tcPr>
          <w:p w14:paraId="560A6DE6" w14:textId="77777777" w:rsidR="0081613E" w:rsidRPr="004232D0" w:rsidRDefault="0081613E" w:rsidP="00057FAF">
            <w:pPr>
              <w:pStyle w:val="GADBodyText"/>
              <w:spacing w:before="100" w:beforeAutospacing="1" w:after="100" w:afterAutospacing="1"/>
              <w:rPr>
                <w:rFonts w:cs="Arial"/>
              </w:rPr>
            </w:pPr>
            <w:r>
              <w:rPr>
                <w:rFonts w:cs="Arial"/>
              </w:rPr>
              <w:t>100%</w:t>
            </w:r>
          </w:p>
        </w:tc>
      </w:tr>
      <w:tr w:rsidR="0081613E" w14:paraId="0EC933FB" w14:textId="77777777" w:rsidTr="0081613E">
        <w:tc>
          <w:tcPr>
            <w:tcW w:w="3227" w:type="dxa"/>
            <w:vAlign w:val="center"/>
          </w:tcPr>
          <w:p w14:paraId="18C3AAC8" w14:textId="77777777" w:rsidR="0081613E" w:rsidRDefault="0081613E" w:rsidP="00057FAF">
            <w:pPr>
              <w:spacing w:before="100" w:beforeAutospacing="1" w:after="100" w:afterAutospacing="1"/>
              <w:rPr>
                <w:rFonts w:cs="Arial"/>
                <w:b/>
              </w:rPr>
            </w:pPr>
            <w:r>
              <w:rPr>
                <w:rFonts w:cs="Arial"/>
                <w:b/>
              </w:rPr>
              <w:t xml:space="preserve">Technical specification </w:t>
            </w:r>
          </w:p>
          <w:p w14:paraId="257B8C54" w14:textId="77777777" w:rsidR="0081613E" w:rsidRPr="009142C2" w:rsidRDefault="0081613E" w:rsidP="00057FAF">
            <w:pPr>
              <w:spacing w:before="100" w:beforeAutospacing="1" w:after="100" w:afterAutospacing="1"/>
              <w:rPr>
                <w:rFonts w:cs="Arial"/>
                <w:bCs/>
              </w:rPr>
            </w:pPr>
            <w:r w:rsidRPr="009142C2">
              <w:rPr>
                <w:rFonts w:cs="Arial"/>
                <w:bCs/>
              </w:rPr>
              <w:t>(35% weighting)</w:t>
            </w:r>
          </w:p>
        </w:tc>
        <w:tc>
          <w:tcPr>
            <w:tcW w:w="2268" w:type="dxa"/>
            <w:vAlign w:val="center"/>
          </w:tcPr>
          <w:p w14:paraId="5243D181" w14:textId="167BBA46" w:rsidR="0081613E" w:rsidRPr="004232D0" w:rsidRDefault="0081613E" w:rsidP="00057FAF">
            <w:pPr>
              <w:pStyle w:val="GADBodyText"/>
              <w:spacing w:before="100" w:beforeAutospacing="1" w:after="100" w:afterAutospacing="1"/>
              <w:rPr>
                <w:rFonts w:cs="Arial"/>
              </w:rPr>
            </w:pPr>
            <w:r>
              <w:rPr>
                <w:rFonts w:cs="Arial"/>
              </w:rPr>
              <w:t>97%</w:t>
            </w:r>
          </w:p>
        </w:tc>
      </w:tr>
      <w:tr w:rsidR="0081613E" w14:paraId="67A77854" w14:textId="77777777" w:rsidTr="0081613E">
        <w:tc>
          <w:tcPr>
            <w:tcW w:w="3227" w:type="dxa"/>
            <w:vAlign w:val="center"/>
          </w:tcPr>
          <w:p w14:paraId="57DBF029" w14:textId="77777777" w:rsidR="0081613E" w:rsidRPr="004232D0" w:rsidRDefault="0081613E" w:rsidP="00057FAF">
            <w:pPr>
              <w:spacing w:before="100" w:beforeAutospacing="1" w:after="100" w:afterAutospacing="1"/>
              <w:rPr>
                <w:rFonts w:cs="Arial"/>
                <w:b/>
              </w:rPr>
            </w:pPr>
            <w:r>
              <w:rPr>
                <w:rFonts w:cs="Arial"/>
                <w:b/>
              </w:rPr>
              <w:t xml:space="preserve">Ad-hoc / bespoke calibration </w:t>
            </w:r>
          </w:p>
          <w:p w14:paraId="2B9935C7" w14:textId="77777777" w:rsidR="0081613E" w:rsidRPr="004232D0" w:rsidRDefault="0081613E" w:rsidP="00057FAF">
            <w:pPr>
              <w:pStyle w:val="GADBullett"/>
              <w:keepLines/>
              <w:numPr>
                <w:ilvl w:val="0"/>
                <w:numId w:val="0"/>
              </w:numPr>
              <w:spacing w:before="100" w:beforeAutospacing="1" w:after="100" w:afterAutospacing="1"/>
              <w:rPr>
                <w:rFonts w:cs="Arial"/>
              </w:rPr>
            </w:pPr>
            <w:r>
              <w:rPr>
                <w:rFonts w:cs="Arial"/>
              </w:rPr>
              <w:t>(10% weighting</w:t>
            </w:r>
            <w:r w:rsidRPr="004232D0">
              <w:rPr>
                <w:rFonts w:cs="Arial"/>
              </w:rPr>
              <w:t>)</w:t>
            </w:r>
          </w:p>
        </w:tc>
        <w:tc>
          <w:tcPr>
            <w:tcW w:w="2268" w:type="dxa"/>
            <w:vAlign w:val="center"/>
          </w:tcPr>
          <w:p w14:paraId="30B9EC35" w14:textId="2A248517" w:rsidR="0081613E" w:rsidRPr="004232D0" w:rsidRDefault="0081613E" w:rsidP="00057FAF">
            <w:pPr>
              <w:pStyle w:val="GADBodyText"/>
              <w:spacing w:before="100" w:beforeAutospacing="1" w:after="100" w:afterAutospacing="1"/>
              <w:rPr>
                <w:rFonts w:cs="Arial"/>
              </w:rPr>
            </w:pPr>
            <w:r>
              <w:rPr>
                <w:rFonts w:cs="Arial"/>
              </w:rPr>
              <w:t>87%</w:t>
            </w:r>
          </w:p>
        </w:tc>
      </w:tr>
      <w:tr w:rsidR="0081613E" w14:paraId="0E4829A8" w14:textId="77777777" w:rsidTr="0081613E">
        <w:trPr>
          <w:trHeight w:val="25"/>
        </w:trPr>
        <w:tc>
          <w:tcPr>
            <w:tcW w:w="3227" w:type="dxa"/>
            <w:vAlign w:val="center"/>
          </w:tcPr>
          <w:p w14:paraId="1EC02EDF" w14:textId="77777777" w:rsidR="0081613E" w:rsidRPr="004232D0" w:rsidRDefault="0081613E" w:rsidP="00057FAF">
            <w:pPr>
              <w:spacing w:before="100" w:beforeAutospacing="1" w:after="100" w:afterAutospacing="1"/>
              <w:rPr>
                <w:rFonts w:cs="Arial"/>
                <w:b/>
              </w:rPr>
            </w:pPr>
            <w:r>
              <w:rPr>
                <w:rFonts w:cs="Arial"/>
                <w:b/>
              </w:rPr>
              <w:t xml:space="preserve">Commercial </w:t>
            </w:r>
          </w:p>
          <w:p w14:paraId="4DD2DA42" w14:textId="77777777" w:rsidR="0081613E" w:rsidRPr="00A36CB2" w:rsidRDefault="0081613E" w:rsidP="00057FAF">
            <w:pPr>
              <w:pStyle w:val="GADBullett"/>
              <w:keepLines/>
              <w:numPr>
                <w:ilvl w:val="0"/>
                <w:numId w:val="0"/>
              </w:numPr>
              <w:spacing w:before="100" w:beforeAutospacing="1" w:after="100" w:afterAutospacing="1"/>
              <w:rPr>
                <w:rFonts w:cs="Arial"/>
              </w:rPr>
            </w:pPr>
            <w:r>
              <w:rPr>
                <w:rFonts w:cs="Arial"/>
              </w:rPr>
              <w:t>(20% weighting)</w:t>
            </w:r>
          </w:p>
        </w:tc>
        <w:tc>
          <w:tcPr>
            <w:tcW w:w="2268" w:type="dxa"/>
            <w:vAlign w:val="center"/>
          </w:tcPr>
          <w:p w14:paraId="3CAE859A" w14:textId="3C31B9ED" w:rsidR="0081613E" w:rsidRPr="004232D0" w:rsidRDefault="0081613E" w:rsidP="00057FAF">
            <w:pPr>
              <w:pStyle w:val="GADBodyText"/>
              <w:spacing w:before="100" w:beforeAutospacing="1" w:after="100" w:afterAutospacing="1"/>
              <w:rPr>
                <w:rFonts w:cs="Arial"/>
              </w:rPr>
            </w:pPr>
            <w:r>
              <w:rPr>
                <w:rFonts w:cs="Arial"/>
              </w:rPr>
              <w:t>60%</w:t>
            </w:r>
          </w:p>
        </w:tc>
      </w:tr>
    </w:tbl>
    <w:p w14:paraId="183E245A" w14:textId="01F34C86" w:rsidR="00213C00" w:rsidRDefault="00A229DF" w:rsidP="00213C00">
      <w:pPr>
        <w:autoSpaceDE w:val="0"/>
        <w:autoSpaceDN w:val="0"/>
        <w:adjustRightInd w:val="0"/>
        <w:rPr>
          <w:rFonts w:cs="Arial"/>
          <w:color w:val="000000"/>
          <w:lang w:eastAsia="en-GB"/>
        </w:rPr>
      </w:pPr>
      <w:r>
        <w:rPr>
          <w:rFonts w:eastAsia="Times New Roman"/>
        </w:rPr>
        <w:lastRenderedPageBreak/>
        <w:t xml:space="preserve">Your bid scored strongly across all technical aspects and you were the highest scoring bidder on all technical areas. The panel considered your calibration and simulation approach to be robust and sufficient to meet our needs. Your commercial score was considerably weaker </w:t>
      </w:r>
      <w:r w:rsidRPr="00A229DF">
        <w:rPr>
          <w:rFonts w:eastAsia="Times New Roman"/>
        </w:rPr>
        <w:t xml:space="preserve">than some </w:t>
      </w:r>
      <w:r>
        <w:rPr>
          <w:rFonts w:eastAsia="Times New Roman"/>
        </w:rPr>
        <w:t xml:space="preserve">other competitors owing to your price being considerably higher than that for other bidders. </w:t>
      </w:r>
      <w:r w:rsidR="00213C00">
        <w:rPr>
          <w:rFonts w:cs="Arial"/>
          <w:color w:val="000000"/>
          <w:lang w:eastAsia="en-GB"/>
        </w:rPr>
        <w:t xml:space="preserve">We are now required </w:t>
      </w:r>
      <w:r w:rsidR="0081613E">
        <w:rPr>
          <w:rFonts w:cs="Arial"/>
          <w:color w:val="000000"/>
          <w:lang w:eastAsia="en-GB"/>
        </w:rPr>
        <w:t xml:space="preserve">by law </w:t>
      </w:r>
      <w:r w:rsidR="00213C00">
        <w:rPr>
          <w:rFonts w:cs="Arial"/>
          <w:color w:val="000000"/>
          <w:lang w:eastAsia="en-GB"/>
        </w:rPr>
        <w:t xml:space="preserve">to observe a standstill period during which we must refrain from </w:t>
      </w:r>
      <w:proofErr w:type="gramStart"/>
      <w:r w:rsidR="00213C00">
        <w:rPr>
          <w:rFonts w:cs="Arial"/>
          <w:color w:val="000000"/>
          <w:lang w:eastAsia="en-GB"/>
        </w:rPr>
        <w:t>entering into</w:t>
      </w:r>
      <w:proofErr w:type="gramEnd"/>
      <w:r w:rsidR="00213C00">
        <w:rPr>
          <w:rFonts w:cs="Arial"/>
          <w:color w:val="000000"/>
          <w:lang w:eastAsia="en-GB"/>
        </w:rPr>
        <w:t xml:space="preserve"> contract with </w:t>
      </w:r>
      <w:r w:rsidR="0081613E">
        <w:rPr>
          <w:rFonts w:cs="Arial"/>
          <w:color w:val="000000"/>
          <w:lang w:eastAsia="en-GB"/>
        </w:rPr>
        <w:t>you</w:t>
      </w:r>
      <w:r w:rsidR="00213C00">
        <w:rPr>
          <w:rFonts w:cs="Arial"/>
          <w:color w:val="000000"/>
          <w:lang w:eastAsia="en-GB"/>
        </w:rPr>
        <w:t xml:space="preserve">. The standstill period shall run for a period of 10 days commencing the day after the date that this letter is despatched to you and is anticipated to end on </w:t>
      </w:r>
      <w:r w:rsidR="006745DC">
        <w:rPr>
          <w:rFonts w:cs="Arial"/>
          <w:color w:val="000000"/>
          <w:lang w:eastAsia="en-GB"/>
        </w:rPr>
        <w:t>2</w:t>
      </w:r>
      <w:r w:rsidR="006745DC" w:rsidRPr="006745DC">
        <w:rPr>
          <w:rFonts w:cs="Arial"/>
          <w:color w:val="000000"/>
          <w:vertAlign w:val="superscript"/>
          <w:lang w:eastAsia="en-GB"/>
        </w:rPr>
        <w:t>nd</w:t>
      </w:r>
      <w:r w:rsidR="006745DC">
        <w:rPr>
          <w:rFonts w:cs="Arial"/>
          <w:color w:val="000000"/>
          <w:lang w:eastAsia="en-GB"/>
        </w:rPr>
        <w:t xml:space="preserve"> of December</w:t>
      </w:r>
      <w:r w:rsidR="00213C00">
        <w:rPr>
          <w:rFonts w:cs="Arial"/>
          <w:color w:val="000000"/>
          <w:lang w:eastAsia="en-GB"/>
        </w:rPr>
        <w:t xml:space="preserve">. </w:t>
      </w:r>
      <w:r w:rsidR="0081613E">
        <w:rPr>
          <w:rFonts w:cs="Arial"/>
          <w:color w:val="000000"/>
          <w:lang w:eastAsia="en-GB"/>
        </w:rPr>
        <w:t xml:space="preserve">In the event of any disruption to the award procedure during the standstill period we will notify you promptly.  </w:t>
      </w:r>
    </w:p>
    <w:p w14:paraId="140DB5D0" w14:textId="5D0F00F8" w:rsidR="0081613E" w:rsidRDefault="0081613E" w:rsidP="00213C00">
      <w:pPr>
        <w:autoSpaceDE w:val="0"/>
        <w:autoSpaceDN w:val="0"/>
        <w:adjustRightInd w:val="0"/>
        <w:rPr>
          <w:rFonts w:cs="Arial"/>
          <w:color w:val="000000"/>
          <w:lang w:eastAsia="en-GB"/>
        </w:rPr>
      </w:pPr>
      <w:r>
        <w:rPr>
          <w:rFonts w:cs="Arial"/>
          <w:color w:val="000000"/>
          <w:lang w:eastAsia="en-GB"/>
        </w:rPr>
        <w:t xml:space="preserve">If there is no disruption, we shall contact you at the end of the standstill period to arrange a contract based on the terms outlined in the tender. As we do not bind ourselves to accepting any tender submitted, we may also wish to exercise our discretion and discontinue the procurement before a contract is signed. </w:t>
      </w:r>
    </w:p>
    <w:p w14:paraId="18AE4C89" w14:textId="673A8AD4" w:rsidR="00213C00" w:rsidRDefault="00213C00" w:rsidP="00213C00">
      <w:pPr>
        <w:autoSpaceDE w:val="0"/>
        <w:autoSpaceDN w:val="0"/>
        <w:adjustRightInd w:val="0"/>
        <w:rPr>
          <w:rFonts w:cs="Arial"/>
          <w:color w:val="000000"/>
          <w:lang w:eastAsia="en-GB"/>
        </w:rPr>
      </w:pPr>
      <w:r w:rsidRPr="002A4640">
        <w:rPr>
          <w:rFonts w:cs="Arial"/>
          <w:color w:val="000000"/>
          <w:lang w:eastAsia="en-GB"/>
        </w:rPr>
        <w:t>Yours sincerely,</w:t>
      </w:r>
    </w:p>
    <w:p w14:paraId="4BECE7BE" w14:textId="77777777" w:rsidR="002A715C" w:rsidRPr="002A4640" w:rsidRDefault="002A715C" w:rsidP="00213C00">
      <w:pPr>
        <w:autoSpaceDE w:val="0"/>
        <w:autoSpaceDN w:val="0"/>
        <w:adjustRightInd w:val="0"/>
        <w:rPr>
          <w:rFonts w:cs="Arial"/>
          <w:color w:val="000000"/>
          <w:lang w:eastAsia="en-GB"/>
        </w:rPr>
      </w:pPr>
    </w:p>
    <w:p w14:paraId="71BAF5B3" w14:textId="30AFB11D" w:rsidR="00213C00" w:rsidRDefault="002A715C" w:rsidP="00213C00">
      <w:pPr>
        <w:pStyle w:val="BodyText"/>
      </w:pPr>
      <w:r>
        <w:rPr>
          <w:noProof/>
        </w:rPr>
        <w:tab/>
      </w:r>
      <w:r>
        <w:rPr>
          <w:noProof/>
        </w:rPr>
        <w:drawing>
          <wp:inline distT="0" distB="0" distL="0" distR="0" wp14:anchorId="0EE17F5A" wp14:editId="2D5CD0C2">
            <wp:extent cx="1138687" cy="568256"/>
            <wp:effectExtent l="0" t="0" r="4445" b="3810"/>
            <wp:docPr id="1" name="Picture 1" descr="A drawing of a question mar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question mark&#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3367" cy="580572"/>
                    </a:xfrm>
                    <a:prstGeom prst="rect">
                      <a:avLst/>
                    </a:prstGeom>
                  </pic:spPr>
                </pic:pic>
              </a:graphicData>
            </a:graphic>
          </wp:inline>
        </w:drawing>
      </w:r>
    </w:p>
    <w:p w14:paraId="783F5513" w14:textId="77777777" w:rsidR="002A715C" w:rsidRDefault="002A715C" w:rsidP="00213C00">
      <w:pPr>
        <w:pStyle w:val="BodyText"/>
        <w:rPr>
          <w:b/>
        </w:rPr>
      </w:pPr>
    </w:p>
    <w:p w14:paraId="609B520F" w14:textId="5A83401C" w:rsidR="00213C00" w:rsidRPr="002A4640" w:rsidRDefault="00213C00" w:rsidP="00213C00">
      <w:pPr>
        <w:pStyle w:val="BodyText"/>
      </w:pPr>
      <w:r>
        <w:rPr>
          <w:b/>
        </w:rPr>
        <w:t xml:space="preserve">Andrew Jinks </w:t>
      </w:r>
      <w:r w:rsidRPr="002A4640">
        <w:br/>
      </w:r>
      <w:r>
        <w:t xml:space="preserve">Head of Insurance &amp; Investment </w:t>
      </w:r>
    </w:p>
    <w:p w14:paraId="42D641D8" w14:textId="77777777" w:rsidR="00A46578" w:rsidRDefault="00A46578" w:rsidP="00617059">
      <w:pPr>
        <w:pStyle w:val="BodyText"/>
      </w:pPr>
    </w:p>
    <w:p w14:paraId="30A8D4B6" w14:textId="77777777" w:rsidR="00A46578" w:rsidRDefault="00A46578" w:rsidP="00617059">
      <w:pPr>
        <w:pStyle w:val="BodyText"/>
      </w:pPr>
    </w:p>
    <w:p w14:paraId="57F50A68" w14:textId="77777777" w:rsidR="00A46578" w:rsidRDefault="00A46578" w:rsidP="00617059">
      <w:pPr>
        <w:pStyle w:val="BodyText"/>
      </w:pPr>
    </w:p>
    <w:p w14:paraId="6E9D0BC6" w14:textId="77777777" w:rsidR="00A46578" w:rsidRDefault="00A46578" w:rsidP="00617059">
      <w:pPr>
        <w:pStyle w:val="BodyText"/>
      </w:pPr>
    </w:p>
    <w:p w14:paraId="19D99C86" w14:textId="77777777" w:rsidR="00A46578" w:rsidRDefault="00A46578" w:rsidP="00617059">
      <w:pPr>
        <w:pStyle w:val="BodyText"/>
      </w:pPr>
    </w:p>
    <w:p w14:paraId="4C56823E" w14:textId="77777777" w:rsidR="00A46578" w:rsidRDefault="00A46578" w:rsidP="00617059">
      <w:pPr>
        <w:pStyle w:val="BodyText"/>
      </w:pPr>
    </w:p>
    <w:p w14:paraId="2DCF5BE4" w14:textId="77777777" w:rsidR="00A46578" w:rsidRDefault="00A46578" w:rsidP="00617059">
      <w:pPr>
        <w:pStyle w:val="BodyText"/>
      </w:pPr>
    </w:p>
    <w:p w14:paraId="07050BBB" w14:textId="77777777" w:rsidR="00A46578" w:rsidRDefault="00A46578" w:rsidP="00617059">
      <w:pPr>
        <w:pStyle w:val="BodyText"/>
      </w:pPr>
    </w:p>
    <w:p w14:paraId="679FA680" w14:textId="77777777" w:rsidR="00C17877" w:rsidRDefault="00C17877" w:rsidP="00617059">
      <w:pPr>
        <w:pStyle w:val="BodyText"/>
      </w:pPr>
    </w:p>
    <w:sectPr w:rsidR="00C17877" w:rsidSect="00A46578">
      <w:footerReference w:type="default" r:id="rId11"/>
      <w:headerReference w:type="first" r:id="rId12"/>
      <w:pgSz w:w="11906" w:h="16838" w:code="9"/>
      <w:pgMar w:top="1077" w:right="720" w:bottom="1418"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7B57" w14:textId="77777777" w:rsidR="00213C00" w:rsidRDefault="00213C00" w:rsidP="00A46578">
      <w:pPr>
        <w:spacing w:after="0"/>
      </w:pPr>
      <w:r>
        <w:separator/>
      </w:r>
    </w:p>
  </w:endnote>
  <w:endnote w:type="continuationSeparator" w:id="0">
    <w:p w14:paraId="30874428" w14:textId="77777777" w:rsidR="00213C00" w:rsidRDefault="00213C00" w:rsidP="00A465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7826" w14:textId="77777777" w:rsidR="00A46578" w:rsidRDefault="00A46578" w:rsidP="00A46578">
    <w:pPr>
      <w:pStyle w:val="Footer"/>
      <w:jc w:val="center"/>
    </w:pPr>
    <w:r>
      <w:fldChar w:fldCharType="begin"/>
    </w:r>
    <w:r>
      <w:instrText xml:space="preserve"> PAGE   \* MERGEFORMAT </w:instrText>
    </w:r>
    <w:r>
      <w:fldChar w:fldCharType="separate"/>
    </w:r>
    <w:r w:rsidR="009B101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6019" w14:textId="77777777" w:rsidR="00213C00" w:rsidRDefault="00213C00" w:rsidP="00A46578">
      <w:pPr>
        <w:spacing w:after="0"/>
      </w:pPr>
      <w:r>
        <w:separator/>
      </w:r>
    </w:p>
  </w:footnote>
  <w:footnote w:type="continuationSeparator" w:id="0">
    <w:p w14:paraId="163B42A4" w14:textId="77777777" w:rsidR="00213C00" w:rsidRDefault="00213C00" w:rsidP="00A465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5BA3" w14:textId="77777777" w:rsidR="00A46578" w:rsidRDefault="009B1014">
    <w:pPr>
      <w:pStyle w:val="Header"/>
    </w:pPr>
    <w:r>
      <w:rPr>
        <w:noProof/>
      </w:rPr>
      <w:drawing>
        <wp:anchor distT="0" distB="0" distL="114300" distR="114300" simplePos="0" relativeHeight="251657215" behindDoc="1" locked="0" layoutInCell="1" allowOverlap="1" wp14:anchorId="7BB896EF" wp14:editId="73833613">
          <wp:simplePos x="457200" y="361950"/>
          <wp:positionH relativeFrom="page">
            <wp:align>left</wp:align>
          </wp:positionH>
          <wp:positionV relativeFrom="page">
            <wp:align>top</wp:align>
          </wp:positionV>
          <wp:extent cx="7560360" cy="10698480"/>
          <wp:effectExtent l="0" t="0" r="2540" b="7620"/>
          <wp:wrapNone/>
          <wp:docPr id="2" name="Picture 2" descr="Government Actuary's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vernment Actuary's Departmen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60" cy="10698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8787C"/>
    <w:multiLevelType w:val="hybridMultilevel"/>
    <w:tmpl w:val="1CA42A5C"/>
    <w:lvl w:ilvl="0" w:tplc="6FB4A40E">
      <w:start w:val="1"/>
      <w:numFmt w:val="bullet"/>
      <w:pStyle w:val="GADBullett"/>
      <w:lvlText w:val="&gt;"/>
      <w:lvlJc w:val="left"/>
      <w:pPr>
        <w:tabs>
          <w:tab w:val="num" w:pos="720"/>
        </w:tabs>
        <w:ind w:left="720" w:hanging="360"/>
      </w:pPr>
      <w:rPr>
        <w:rFonts w:ascii="Arial" w:hAnsi="Arial" w:hint="default"/>
        <w:color w:val="9C1F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00"/>
    <w:rsid w:val="000B6187"/>
    <w:rsid w:val="00142B12"/>
    <w:rsid w:val="00167E0E"/>
    <w:rsid w:val="00213C00"/>
    <w:rsid w:val="002823EE"/>
    <w:rsid w:val="002A715C"/>
    <w:rsid w:val="002C36EA"/>
    <w:rsid w:val="00356F70"/>
    <w:rsid w:val="003769A5"/>
    <w:rsid w:val="004C04F8"/>
    <w:rsid w:val="005A1DD9"/>
    <w:rsid w:val="00617059"/>
    <w:rsid w:val="006745DC"/>
    <w:rsid w:val="00690B2F"/>
    <w:rsid w:val="00700422"/>
    <w:rsid w:val="0081613E"/>
    <w:rsid w:val="00926738"/>
    <w:rsid w:val="009B1014"/>
    <w:rsid w:val="00A229DF"/>
    <w:rsid w:val="00A46578"/>
    <w:rsid w:val="00A5460D"/>
    <w:rsid w:val="00A76557"/>
    <w:rsid w:val="00AB0187"/>
    <w:rsid w:val="00AD104D"/>
    <w:rsid w:val="00B97ECE"/>
    <w:rsid w:val="00BB1752"/>
    <w:rsid w:val="00C17877"/>
    <w:rsid w:val="00CC072A"/>
    <w:rsid w:val="00DB5A0E"/>
    <w:rsid w:val="00E35401"/>
    <w:rsid w:val="00EC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403995"/>
  <w15:chartTrackingRefBased/>
  <w15:docId w15:val="{1E03CD3D-DA0A-471F-BA0D-A679F125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99"/>
    <w:semiHidden/>
    <w:rsid w:val="00213C00"/>
    <w:pPr>
      <w:spacing w:after="24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17059"/>
    <w:pPr>
      <w:spacing w:after="240" w:line="240" w:lineRule="auto"/>
    </w:pPr>
    <w:rPr>
      <w:rFonts w:ascii="Arial" w:hAnsi="Arial" w:cs="Segoe UI"/>
      <w:sz w:val="24"/>
      <w:szCs w:val="18"/>
    </w:rPr>
  </w:style>
  <w:style w:type="character" w:customStyle="1" w:styleId="BodyTextChar">
    <w:name w:val="Body Text Char"/>
    <w:basedOn w:val="DefaultParagraphFont"/>
    <w:link w:val="BodyText"/>
    <w:rsid w:val="00617059"/>
    <w:rPr>
      <w:rFonts w:ascii="Arial" w:hAnsi="Arial" w:cs="Segoe UI"/>
      <w:sz w:val="24"/>
      <w:szCs w:val="18"/>
    </w:rPr>
  </w:style>
  <w:style w:type="table" w:styleId="TableGrid">
    <w:name w:val="Table Grid"/>
    <w:basedOn w:val="TableNormal"/>
    <w:rsid w:val="0061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97ECE"/>
    <w:rPr>
      <w:color w:val="009D95" w:themeColor="accent1"/>
      <w:u w:val="single"/>
    </w:rPr>
  </w:style>
  <w:style w:type="character" w:styleId="UnresolvedMention">
    <w:name w:val="Unresolved Mention"/>
    <w:basedOn w:val="DefaultParagraphFont"/>
    <w:uiPriority w:val="99"/>
    <w:semiHidden/>
    <w:rsid w:val="00617059"/>
    <w:rPr>
      <w:color w:val="808080"/>
      <w:shd w:val="clear" w:color="auto" w:fill="E6E6E6"/>
    </w:rPr>
  </w:style>
  <w:style w:type="paragraph" w:styleId="Header">
    <w:name w:val="header"/>
    <w:basedOn w:val="Normal"/>
    <w:link w:val="HeaderChar"/>
    <w:uiPriority w:val="99"/>
    <w:semiHidden/>
    <w:rsid w:val="00A46578"/>
    <w:pPr>
      <w:tabs>
        <w:tab w:val="center" w:pos="4513"/>
        <w:tab w:val="right" w:pos="9026"/>
      </w:tabs>
      <w:spacing w:after="0"/>
    </w:pPr>
  </w:style>
  <w:style w:type="character" w:styleId="FollowedHyperlink">
    <w:name w:val="FollowedHyperlink"/>
    <w:uiPriority w:val="99"/>
    <w:semiHidden/>
    <w:rsid w:val="00B97ECE"/>
    <w:rPr>
      <w:color w:val="009D95" w:themeColor="accent1"/>
      <w:u w:val="single"/>
    </w:rPr>
  </w:style>
  <w:style w:type="character" w:customStyle="1" w:styleId="HeaderChar">
    <w:name w:val="Header Char"/>
    <w:basedOn w:val="DefaultParagraphFont"/>
    <w:link w:val="Header"/>
    <w:uiPriority w:val="99"/>
    <w:semiHidden/>
    <w:rsid w:val="00A46578"/>
    <w:rPr>
      <w:rFonts w:ascii="Arial" w:hAnsi="Arial"/>
      <w:sz w:val="24"/>
    </w:rPr>
  </w:style>
  <w:style w:type="paragraph" w:styleId="Footer">
    <w:name w:val="footer"/>
    <w:basedOn w:val="Normal"/>
    <w:link w:val="FooterChar"/>
    <w:uiPriority w:val="99"/>
    <w:semiHidden/>
    <w:rsid w:val="00A46578"/>
    <w:pPr>
      <w:tabs>
        <w:tab w:val="center" w:pos="4513"/>
        <w:tab w:val="right" w:pos="9026"/>
      </w:tabs>
      <w:spacing w:after="0"/>
    </w:pPr>
  </w:style>
  <w:style w:type="character" w:customStyle="1" w:styleId="FooterChar">
    <w:name w:val="Footer Char"/>
    <w:basedOn w:val="DefaultParagraphFont"/>
    <w:link w:val="Footer"/>
    <w:uiPriority w:val="99"/>
    <w:semiHidden/>
    <w:rsid w:val="00A46578"/>
    <w:rPr>
      <w:rFonts w:ascii="Arial" w:hAnsi="Arial"/>
      <w:sz w:val="24"/>
    </w:rPr>
  </w:style>
  <w:style w:type="character" w:styleId="PlaceholderText">
    <w:name w:val="Placeholder Text"/>
    <w:basedOn w:val="DefaultParagraphFont"/>
    <w:uiPriority w:val="99"/>
    <w:semiHidden/>
    <w:rsid w:val="002823EE"/>
    <w:rPr>
      <w:color w:val="808080"/>
    </w:rPr>
  </w:style>
  <w:style w:type="paragraph" w:customStyle="1" w:styleId="InsideAddress">
    <w:name w:val="Inside Address"/>
    <w:basedOn w:val="Normal"/>
    <w:link w:val="InsideAddressChar"/>
    <w:rsid w:val="00213C00"/>
    <w:pPr>
      <w:spacing w:after="0" w:line="220" w:lineRule="atLeast"/>
      <w:jc w:val="both"/>
    </w:pPr>
    <w:rPr>
      <w:rFonts w:eastAsia="Times New Roman" w:cs="Times New Roman"/>
      <w:spacing w:val="-5"/>
      <w:sz w:val="22"/>
    </w:rPr>
  </w:style>
  <w:style w:type="paragraph" w:customStyle="1" w:styleId="GADBodyText">
    <w:name w:val="GAD Body Text"/>
    <w:basedOn w:val="BodyText"/>
    <w:link w:val="GADBodyTextChar"/>
    <w:rsid w:val="00213C00"/>
    <w:pPr>
      <w:spacing w:after="360"/>
    </w:pPr>
    <w:rPr>
      <w:rFonts w:eastAsia="Times New Roman" w:cs="Times New Roman"/>
      <w:spacing w:val="-5"/>
    </w:rPr>
  </w:style>
  <w:style w:type="character" w:customStyle="1" w:styleId="GADBodyTextChar">
    <w:name w:val="GAD Body Text Char"/>
    <w:basedOn w:val="BodyTextChar"/>
    <w:link w:val="GADBodyText"/>
    <w:rsid w:val="00213C00"/>
    <w:rPr>
      <w:rFonts w:ascii="Arial" w:eastAsia="Times New Roman" w:hAnsi="Arial" w:cs="Times New Roman"/>
      <w:spacing w:val="-5"/>
      <w:sz w:val="24"/>
      <w:szCs w:val="18"/>
    </w:rPr>
  </w:style>
  <w:style w:type="paragraph" w:customStyle="1" w:styleId="GADLetterAddress">
    <w:name w:val="GAD Letter Address"/>
    <w:basedOn w:val="Normal"/>
    <w:rsid w:val="00213C00"/>
    <w:pPr>
      <w:spacing w:after="0" w:line="220" w:lineRule="atLeast"/>
    </w:pPr>
    <w:rPr>
      <w:rFonts w:eastAsia="Times New Roman" w:cs="Times New Roman"/>
      <w:spacing w:val="-5"/>
      <w:sz w:val="22"/>
    </w:rPr>
  </w:style>
  <w:style w:type="paragraph" w:customStyle="1" w:styleId="GADBullett">
    <w:name w:val="GAD Bullett"/>
    <w:basedOn w:val="GADBodyText"/>
    <w:rsid w:val="00213C00"/>
    <w:pPr>
      <w:numPr>
        <w:numId w:val="1"/>
      </w:numPr>
      <w:tabs>
        <w:tab w:val="clear" w:pos="720"/>
        <w:tab w:val="num" w:pos="360"/>
      </w:tabs>
      <w:spacing w:after="120"/>
      <w:ind w:left="714" w:hanging="357"/>
    </w:pPr>
  </w:style>
  <w:style w:type="character" w:customStyle="1" w:styleId="InsideAddressChar">
    <w:name w:val="Inside Address Char"/>
    <w:basedOn w:val="DefaultParagraphFont"/>
    <w:link w:val="InsideAddress"/>
    <w:rsid w:val="00213C00"/>
    <w:rPr>
      <w:rFonts w:ascii="Arial" w:eastAsia="Times New Roman" w:hAnsi="Arial" w:cs="Times New Roman"/>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government-actuarys-department/about/terms-of-refere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ga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gov.uk/government/organisations/government-actuarys-department/about/terms-of-referenc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Jinks\AppData\Roaming\Microsoft\Templates\GAD%20lett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08B3A4FADF4EC19D5DA6786C9D2649"/>
        <w:category>
          <w:name w:val="General"/>
          <w:gallery w:val="placeholder"/>
        </w:category>
        <w:types>
          <w:type w:val="bbPlcHdr"/>
        </w:types>
        <w:behaviors>
          <w:behavior w:val="content"/>
        </w:behaviors>
        <w:guid w:val="{40914E3E-40EE-41E8-9788-41167F6FCE8C}"/>
      </w:docPartPr>
      <w:docPartBody>
        <w:p w:rsidR="00751F31" w:rsidRDefault="00751F31">
          <w:pPr>
            <w:pStyle w:val="8508B3A4FADF4EC19D5DA6786C9D2649"/>
          </w:pPr>
          <w:r w:rsidRPr="00D5484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31"/>
    <w:rsid w:val="00751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508B3A4FADF4EC19D5DA6786C9D2649">
    <w:name w:val="8508B3A4FADF4EC19D5DA6786C9D2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AD">
      <a:dk1>
        <a:sysClr val="windowText" lastClr="000000"/>
      </a:dk1>
      <a:lt1>
        <a:sysClr val="window" lastClr="FFFFFF"/>
      </a:lt1>
      <a:dk2>
        <a:srgbClr val="000000"/>
      </a:dk2>
      <a:lt2>
        <a:srgbClr val="FFFFFF"/>
      </a:lt2>
      <a:accent1>
        <a:srgbClr val="009D95"/>
      </a:accent1>
      <a:accent2>
        <a:srgbClr val="B2292E"/>
      </a:accent2>
      <a:accent3>
        <a:srgbClr val="901F63"/>
      </a:accent3>
      <a:accent4>
        <a:srgbClr val="F18500"/>
      </a:accent4>
      <a:accent5>
        <a:srgbClr val="319B6D"/>
      </a:accent5>
      <a:accent6>
        <a:srgbClr val="C7A5C1"/>
      </a:accent6>
      <a:hlink>
        <a:srgbClr val="009D95"/>
      </a:hlink>
      <a:folHlink>
        <a:srgbClr val="009D95"/>
      </a:folHlink>
    </a:clrScheme>
    <a:fontScheme name="GA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GAD letter template</Template>
  <TotalTime>0</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[Title]</vt:lpstr>
    </vt:vector>
  </TitlesOfParts>
  <Manager>Government Actuary's Department</Manager>
  <Company>Government Actuary's Department</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AndyJinks</dc:creator>
  <cp:keywords>[Key words separated by commas]</cp:keywords>
  <dc:description/>
  <cp:lastModifiedBy>Charlie Houseman</cp:lastModifiedBy>
  <cp:revision>2</cp:revision>
  <cp:lastPrinted>2021-11-22T16:43:00Z</cp:lastPrinted>
  <dcterms:created xsi:type="dcterms:W3CDTF">2022-07-26T13:11:00Z</dcterms:created>
  <dcterms:modified xsi:type="dcterms:W3CDTF">2022-07-26T13:11:00Z</dcterms:modified>
</cp:coreProperties>
</file>