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2CCE5" w14:textId="77777777" w:rsidR="00760E89" w:rsidRDefault="00750A02">
      <w:pPr>
        <w:pStyle w:val="Standard"/>
        <w:spacing w:after="897" w:line="254" w:lineRule="auto"/>
        <w:ind w:left="1134" w:firstLine="0"/>
      </w:pPr>
      <w:r>
        <w:rPr>
          <w:noProof/>
        </w:rPr>
        <w:drawing>
          <wp:inline distT="0" distB="0" distL="0" distR="0" wp14:anchorId="2D19D558" wp14:editId="531A6184">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7A5B3C50" w14:textId="77777777" w:rsidR="00760E89" w:rsidRDefault="00750A02">
      <w:pPr>
        <w:pStyle w:val="Heading1"/>
        <w:spacing w:after="600" w:line="254" w:lineRule="auto"/>
        <w:ind w:left="1133" w:firstLine="0"/>
      </w:pPr>
      <w:bookmarkStart w:id="0" w:name="_heading=h.gjdgxs"/>
      <w:bookmarkEnd w:id="0"/>
      <w:r>
        <w:rPr>
          <w:sz w:val="36"/>
          <w:szCs w:val="36"/>
        </w:rPr>
        <w:t>G-Cloud 13 Call-Off Contract</w:t>
      </w:r>
    </w:p>
    <w:p w14:paraId="1925C213" w14:textId="77777777" w:rsidR="00760E89" w:rsidRDefault="00750A02">
      <w:pPr>
        <w:pStyle w:val="Standard"/>
        <w:spacing w:after="172" w:line="240" w:lineRule="auto"/>
        <w:ind w:right="14"/>
      </w:pPr>
      <w:r>
        <w:t>This Call-Off Contract for the G-Cloud 13 Framework Agreement (RM1557.13) includes:</w:t>
      </w:r>
    </w:p>
    <w:p w14:paraId="589313DD" w14:textId="77777777" w:rsidR="00760E89" w:rsidRDefault="00750A02">
      <w:pPr>
        <w:pStyle w:val="Standard"/>
        <w:spacing w:after="172" w:line="240" w:lineRule="auto"/>
        <w:ind w:right="14"/>
      </w:pPr>
      <w:r>
        <w:rPr>
          <w:b/>
          <w:sz w:val="24"/>
          <w:szCs w:val="24"/>
        </w:rPr>
        <w:t>G-Cloud 13 Call-Off Contract</w:t>
      </w:r>
    </w:p>
    <w:p w14:paraId="1D6DF1A2" w14:textId="77777777" w:rsidR="00760E89" w:rsidRDefault="00750A02">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DDBA05B" w14:textId="77777777" w:rsidR="00760E89" w:rsidRDefault="00750A02">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DA387FF" w14:textId="77777777" w:rsidR="00760E89" w:rsidRDefault="00750A02">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5A4F94F" w14:textId="77777777" w:rsidR="00760E89" w:rsidRDefault="00750A02">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4FD23F7" w14:textId="77777777" w:rsidR="00760E89" w:rsidRDefault="00750A02">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6E599385" w14:textId="77777777" w:rsidR="00760E89" w:rsidRDefault="00750A02">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7D7D3885" w14:textId="77777777" w:rsidR="00760E89" w:rsidRDefault="00750A02">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47EE330A" w14:textId="77777777" w:rsidR="00760E89" w:rsidRDefault="00750A02">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1828CFB1" w14:textId="77777777" w:rsidR="00760E89" w:rsidRDefault="00750A02">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70B47098" w14:textId="77777777" w:rsidR="00760E89" w:rsidRDefault="00750A02">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5550795E" w14:textId="77777777" w:rsidR="00760E89" w:rsidRDefault="00750A02">
      <w:pPr>
        <w:pStyle w:val="Standard"/>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0B4CF89F" w14:textId="77777777" w:rsidR="00760E89" w:rsidRDefault="00760E89">
      <w:pPr>
        <w:pStyle w:val="Heading1"/>
        <w:spacing w:after="83" w:line="240" w:lineRule="auto"/>
        <w:ind w:left="0" w:firstLine="0"/>
      </w:pPr>
      <w:bookmarkStart w:id="1" w:name="_heading=h.30j0zll"/>
      <w:bookmarkEnd w:id="1"/>
    </w:p>
    <w:p w14:paraId="22EAADB3" w14:textId="77777777" w:rsidR="00760E89" w:rsidRDefault="00760E89">
      <w:pPr>
        <w:pStyle w:val="Heading1"/>
        <w:spacing w:after="83" w:line="240" w:lineRule="auto"/>
        <w:ind w:left="1113" w:firstLine="1118"/>
      </w:pPr>
    </w:p>
    <w:p w14:paraId="20167FE0" w14:textId="77777777" w:rsidR="00760E89" w:rsidRDefault="00760E89">
      <w:pPr>
        <w:pStyle w:val="Heading1"/>
        <w:spacing w:after="83" w:line="240" w:lineRule="auto"/>
        <w:ind w:left="1113" w:firstLine="1118"/>
      </w:pPr>
    </w:p>
    <w:p w14:paraId="1A3471AB" w14:textId="77777777" w:rsidR="00760E89" w:rsidRDefault="00760E89">
      <w:pPr>
        <w:pStyle w:val="Heading1"/>
        <w:spacing w:after="83" w:line="240" w:lineRule="auto"/>
        <w:ind w:left="0" w:firstLine="0"/>
      </w:pPr>
    </w:p>
    <w:p w14:paraId="68F976EC" w14:textId="77777777" w:rsidR="00760E89" w:rsidRDefault="00760E89">
      <w:pPr>
        <w:pStyle w:val="Standard"/>
      </w:pPr>
    </w:p>
    <w:p w14:paraId="455438B7" w14:textId="77777777" w:rsidR="00760E89" w:rsidRDefault="00760E89">
      <w:pPr>
        <w:pStyle w:val="Heading1"/>
        <w:spacing w:after="83" w:line="240" w:lineRule="auto"/>
        <w:ind w:left="1113" w:firstLine="1118"/>
      </w:pPr>
    </w:p>
    <w:p w14:paraId="4B109D6C" w14:textId="77777777" w:rsidR="00760E89" w:rsidRDefault="00750A02">
      <w:pPr>
        <w:pStyle w:val="Heading1"/>
        <w:spacing w:after="83" w:line="240" w:lineRule="auto"/>
        <w:ind w:left="1113" w:firstLine="1118"/>
      </w:pPr>
      <w:r>
        <w:t>Part A: Order Form</w:t>
      </w:r>
    </w:p>
    <w:p w14:paraId="57740303" w14:textId="77777777" w:rsidR="00760E89" w:rsidRDefault="00750A02">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760E89" w14:paraId="18F39C1E" w14:textId="77777777">
        <w:trPr>
          <w:trHeight w:val="12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A46E92" w14:textId="77777777" w:rsidR="00760E89" w:rsidRDefault="00760E89">
            <w:pPr>
              <w:pStyle w:val="Standard"/>
              <w:spacing w:line="254" w:lineRule="auto"/>
              <w:ind w:left="0" w:firstLine="0"/>
              <w:rPr>
                <w:b/>
              </w:rPr>
            </w:pPr>
          </w:p>
          <w:p w14:paraId="7732A0C4" w14:textId="77777777" w:rsidR="00760E89" w:rsidRDefault="00750A02">
            <w:pPr>
              <w:pStyle w:val="Standard"/>
              <w:spacing w:line="25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C4E7536" w14:textId="77777777" w:rsidR="00760E89" w:rsidRDefault="00750A02">
            <w:pPr>
              <w:pStyle w:val="Standard"/>
              <w:spacing w:line="254" w:lineRule="auto"/>
              <w:ind w:left="10" w:firstLine="0"/>
            </w:pPr>
            <w:r>
              <w:t>8885 8230 0716 394</w:t>
            </w:r>
          </w:p>
        </w:tc>
      </w:tr>
      <w:tr w:rsidR="00760E89" w14:paraId="6ECD7A83"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4B8FC58" w14:textId="77777777" w:rsidR="00760E89" w:rsidRDefault="00750A02">
            <w:pPr>
              <w:pStyle w:val="Standard"/>
              <w:spacing w:line="25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7B5A6D1" w14:textId="77777777" w:rsidR="00760E89" w:rsidRDefault="00750A02">
            <w:pPr>
              <w:pStyle w:val="Standard"/>
              <w:spacing w:line="254" w:lineRule="auto"/>
              <w:ind w:left="10" w:firstLine="0"/>
            </w:pPr>
            <w:r>
              <w:t>CCZN23A19</w:t>
            </w:r>
          </w:p>
        </w:tc>
      </w:tr>
      <w:tr w:rsidR="00760E89" w14:paraId="34D8DE75" w14:textId="77777777">
        <w:trPr>
          <w:trHeight w:val="936"/>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BE1E495" w14:textId="77777777" w:rsidR="00760E89" w:rsidRDefault="00750A02">
            <w:pPr>
              <w:pStyle w:val="Standard"/>
              <w:spacing w:line="254"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40AFEAD" w14:textId="77777777" w:rsidR="00760E89" w:rsidRDefault="00750A02">
            <w:pPr>
              <w:pStyle w:val="Standard"/>
              <w:spacing w:line="254" w:lineRule="auto"/>
              <w:ind w:left="10" w:firstLine="0"/>
            </w:pPr>
            <w:r>
              <w:t>Benchmarking Data Service (BDS) Beta Support and Maintenance</w:t>
            </w:r>
          </w:p>
        </w:tc>
      </w:tr>
      <w:tr w:rsidR="00760E89" w14:paraId="0DFB67B8"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EDAFD66" w14:textId="77777777" w:rsidR="00760E89" w:rsidRDefault="00750A02">
            <w:pPr>
              <w:pStyle w:val="Standard"/>
              <w:spacing w:line="25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2383C86" w14:textId="77777777" w:rsidR="008A69D8" w:rsidRPr="008A69D8" w:rsidRDefault="008A69D8" w:rsidP="008A69D8">
            <w:pPr>
              <w:pStyle w:val="Standard"/>
              <w:spacing w:line="254" w:lineRule="auto"/>
              <w:ind w:left="10" w:firstLine="0"/>
            </w:pPr>
            <w:r w:rsidRPr="008A69D8">
              <w:t>This procurement is to establish a Support and Maintenance Call-Off Contract for the BDS that will ensure its availability to the end users across HMG.  It will also maintain relevant compliance with Cabinet Office Digital (CO-D), Discovery, Science and Insights (DSI) and Government Digital Service (GDS) IT service requirements.</w:t>
            </w:r>
          </w:p>
          <w:p w14:paraId="3276ADEF" w14:textId="77777777" w:rsidR="00760E89" w:rsidRDefault="00760E89">
            <w:pPr>
              <w:pStyle w:val="Standard"/>
              <w:spacing w:line="254" w:lineRule="auto"/>
              <w:ind w:left="10" w:firstLine="0"/>
            </w:pPr>
          </w:p>
        </w:tc>
      </w:tr>
      <w:tr w:rsidR="00760E89" w14:paraId="49E0C24A"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0C6B2AC" w14:textId="77777777" w:rsidR="00760E89" w:rsidRDefault="00750A02">
            <w:pPr>
              <w:pStyle w:val="Standard"/>
              <w:spacing w:line="25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1C12622" w14:textId="073B6F7A" w:rsidR="00760E89" w:rsidRDefault="007A0264">
            <w:pPr>
              <w:pStyle w:val="Standard"/>
              <w:spacing w:line="254" w:lineRule="auto"/>
              <w:ind w:left="10" w:firstLine="0"/>
            </w:pPr>
            <w:r>
              <w:t>13</w:t>
            </w:r>
            <w:r w:rsidRPr="007A0264">
              <w:rPr>
                <w:vertAlign w:val="superscript"/>
              </w:rPr>
              <w:t>th</w:t>
            </w:r>
            <w:r>
              <w:t xml:space="preserve"> Nove</w:t>
            </w:r>
            <w:r w:rsidR="00193F3D">
              <w:t>mber</w:t>
            </w:r>
            <w:r w:rsidR="00E93105">
              <w:t xml:space="preserve"> 2023</w:t>
            </w:r>
          </w:p>
        </w:tc>
      </w:tr>
      <w:tr w:rsidR="00760E89" w14:paraId="46F86B0F"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E8A7151" w14:textId="77777777" w:rsidR="00760E89" w:rsidRDefault="00750A02">
            <w:pPr>
              <w:pStyle w:val="Standard"/>
              <w:spacing w:line="254"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02A0180" w14:textId="7A1BBD22" w:rsidR="00760E89" w:rsidRDefault="007A0264">
            <w:pPr>
              <w:pStyle w:val="Standard"/>
              <w:spacing w:line="254" w:lineRule="auto"/>
              <w:ind w:left="10" w:firstLine="0"/>
            </w:pPr>
            <w:r>
              <w:t>12</w:t>
            </w:r>
            <w:r w:rsidRPr="007A0264">
              <w:rPr>
                <w:vertAlign w:val="superscript"/>
              </w:rPr>
              <w:t>th</w:t>
            </w:r>
            <w:r>
              <w:t xml:space="preserve"> Nov</w:t>
            </w:r>
            <w:r w:rsidR="00CA3AE5">
              <w:t>ember</w:t>
            </w:r>
            <w:r w:rsidR="00E93105">
              <w:t xml:space="preserve"> 202</w:t>
            </w:r>
            <w:r w:rsidR="00193F3D">
              <w:t>5 (Initial Term)</w:t>
            </w:r>
          </w:p>
          <w:p w14:paraId="56885381" w14:textId="60D3F358" w:rsidR="00193F3D" w:rsidRDefault="008C047F">
            <w:pPr>
              <w:pStyle w:val="Standard"/>
              <w:spacing w:line="254" w:lineRule="auto"/>
              <w:ind w:left="10" w:firstLine="0"/>
            </w:pPr>
            <w:r>
              <w:t>1</w:t>
            </w:r>
            <w:r w:rsidR="00E15B30">
              <w:t>2</w:t>
            </w:r>
            <w:r w:rsidRPr="008C047F">
              <w:rPr>
                <w:vertAlign w:val="superscript"/>
              </w:rPr>
              <w:t>th</w:t>
            </w:r>
            <w:r>
              <w:t xml:space="preserve"> Nov</w:t>
            </w:r>
            <w:r w:rsidR="00CA3AE5">
              <w:t>ember</w:t>
            </w:r>
            <w:r w:rsidR="00193F3D">
              <w:t xml:space="preserve"> 2026 (Extension Term)</w:t>
            </w:r>
          </w:p>
        </w:tc>
      </w:tr>
      <w:tr w:rsidR="00760E89" w14:paraId="7E63F8FA" w14:textId="77777777">
        <w:trPr>
          <w:trHeight w:val="93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32FE734" w14:textId="77777777" w:rsidR="00760E89" w:rsidRDefault="00750A02">
            <w:pPr>
              <w:pStyle w:val="Standard"/>
              <w:spacing w:line="25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FC59E0B" w14:textId="77777777" w:rsidR="00E93105" w:rsidRDefault="00E93105" w:rsidP="00E93105">
            <w:pPr>
              <w:spacing w:after="247" w:line="229" w:lineRule="auto"/>
              <w:ind w:left="8" w:firstLine="8"/>
              <w:rPr>
                <w:sz w:val="24"/>
              </w:rPr>
            </w:pPr>
            <w:r>
              <w:rPr>
                <w:sz w:val="24"/>
              </w:rPr>
              <w:t>£</w:t>
            </w:r>
            <w:r w:rsidR="00193F3D">
              <w:rPr>
                <w:sz w:val="24"/>
              </w:rPr>
              <w:t>2</w:t>
            </w:r>
            <w:r>
              <w:rPr>
                <w:sz w:val="24"/>
              </w:rPr>
              <w:t>00,000.00 (</w:t>
            </w:r>
            <w:r w:rsidR="00193F3D">
              <w:rPr>
                <w:sz w:val="24"/>
              </w:rPr>
              <w:t xml:space="preserve">Initial Term and </w:t>
            </w:r>
            <w:r>
              <w:rPr>
                <w:sz w:val="24"/>
              </w:rPr>
              <w:t xml:space="preserve">excluding VAT) </w:t>
            </w:r>
          </w:p>
          <w:p w14:paraId="7B4CD1E7" w14:textId="77777777" w:rsidR="00193F3D" w:rsidRPr="00193F3D" w:rsidRDefault="00193F3D" w:rsidP="00E93105">
            <w:pPr>
              <w:spacing w:after="247" w:line="229" w:lineRule="auto"/>
              <w:ind w:left="8" w:firstLine="8"/>
              <w:rPr>
                <w:sz w:val="24"/>
              </w:rPr>
            </w:pPr>
            <w:r w:rsidRPr="00193F3D">
              <w:rPr>
                <w:sz w:val="24"/>
              </w:rPr>
              <w:t>£100,000.00 (Extension Term and excluding VAT)</w:t>
            </w:r>
          </w:p>
          <w:p w14:paraId="4D1D76D0" w14:textId="77777777" w:rsidR="00760E89" w:rsidRDefault="00E93105" w:rsidP="00E93105">
            <w:pPr>
              <w:pStyle w:val="Standard"/>
              <w:spacing w:line="254" w:lineRule="auto"/>
              <w:ind w:left="10" w:firstLine="0"/>
            </w:pPr>
            <w:r>
              <w:rPr>
                <w:sz w:val="24"/>
              </w:rPr>
              <w:t>PPN 10/21: £360,000.00 (including VAT and including extension Options)</w:t>
            </w:r>
          </w:p>
        </w:tc>
      </w:tr>
      <w:tr w:rsidR="00760E89" w14:paraId="4F8E1EC0"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C5392D8" w14:textId="77777777" w:rsidR="00760E89" w:rsidRDefault="00750A02">
            <w:pPr>
              <w:pStyle w:val="Standard"/>
              <w:spacing w:line="254"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D354469" w14:textId="77777777" w:rsidR="00760E89" w:rsidRDefault="00EE697F">
            <w:pPr>
              <w:pStyle w:val="Standard"/>
              <w:spacing w:line="254" w:lineRule="auto"/>
              <w:ind w:left="10" w:firstLine="0"/>
            </w:pPr>
            <w:r>
              <w:t>Invoicing monthly in arrears</w:t>
            </w:r>
          </w:p>
        </w:tc>
      </w:tr>
      <w:tr w:rsidR="00760E89" w14:paraId="6974C886"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A3E84D8" w14:textId="77777777" w:rsidR="00760E89" w:rsidRDefault="00750A02">
            <w:pPr>
              <w:pStyle w:val="Standard"/>
              <w:spacing w:line="254"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B7B04D1" w14:textId="77777777" w:rsidR="00760E89" w:rsidRDefault="008E3C27">
            <w:pPr>
              <w:pStyle w:val="Standard"/>
              <w:spacing w:line="254" w:lineRule="auto"/>
              <w:ind w:left="10" w:firstLine="0"/>
            </w:pPr>
            <w:r>
              <w:t>To be issued by Authority upon Contract signing</w:t>
            </w:r>
          </w:p>
        </w:tc>
      </w:tr>
    </w:tbl>
    <w:p w14:paraId="403DAD99" w14:textId="77777777" w:rsidR="00760E89" w:rsidRDefault="00760E89">
      <w:pPr>
        <w:pStyle w:val="Standard"/>
        <w:spacing w:after="237" w:line="240" w:lineRule="auto"/>
        <w:ind w:right="14"/>
      </w:pPr>
    </w:p>
    <w:p w14:paraId="19399629" w14:textId="77777777" w:rsidR="00760E89" w:rsidRDefault="00750A02">
      <w:pPr>
        <w:pStyle w:val="Standard"/>
        <w:spacing w:after="237" w:line="240" w:lineRule="auto"/>
        <w:ind w:right="14"/>
      </w:pPr>
      <w:r>
        <w:t>This Order Form is issued under the G-Cloud 13 Framework Agreement (RM1557.13).</w:t>
      </w:r>
    </w:p>
    <w:p w14:paraId="514252A0" w14:textId="77777777" w:rsidR="00760E89" w:rsidRDefault="00750A02">
      <w:pPr>
        <w:pStyle w:val="Standard"/>
        <w:spacing w:after="227" w:line="240" w:lineRule="auto"/>
        <w:ind w:right="14"/>
      </w:pPr>
      <w:r>
        <w:t>Buyers can use this Order Form to specify their G-Cloud service requirements when placing an Order.</w:t>
      </w:r>
    </w:p>
    <w:p w14:paraId="786892A6" w14:textId="77777777" w:rsidR="00760E89" w:rsidRDefault="00750A02">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5ECED1EE" w14:textId="77777777" w:rsidR="00760E89" w:rsidRDefault="00750A02">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9345B6" w14:paraId="6238F004" w14:textId="77777777" w:rsidTr="009345B6">
        <w:trPr>
          <w:trHeight w:val="432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F587965" w14:textId="77777777" w:rsidR="009345B6" w:rsidRDefault="009345B6" w:rsidP="009345B6">
            <w:pPr>
              <w:pStyle w:val="Standard"/>
              <w:spacing w:after="0" w:line="254" w:lineRule="auto"/>
              <w:ind w:left="5" w:firstLine="0"/>
              <w:rPr>
                <w:b/>
              </w:rPr>
            </w:pPr>
          </w:p>
          <w:p w14:paraId="4035DAAD" w14:textId="77777777" w:rsidR="009345B6" w:rsidRDefault="009345B6" w:rsidP="009345B6">
            <w:pPr>
              <w:pStyle w:val="Standard"/>
              <w:spacing w:after="0" w:line="254" w:lineRule="auto"/>
              <w:ind w:left="5" w:firstLine="0"/>
              <w:rPr>
                <w:b/>
              </w:rPr>
            </w:pPr>
          </w:p>
          <w:p w14:paraId="6D130785" w14:textId="77777777" w:rsidR="009345B6" w:rsidRDefault="009345B6" w:rsidP="009345B6">
            <w:pPr>
              <w:pStyle w:val="Standard"/>
              <w:spacing w:after="0" w:line="254" w:lineRule="auto"/>
              <w:ind w:left="5" w:firstLine="0"/>
              <w:rPr>
                <w:b/>
              </w:rPr>
            </w:pPr>
          </w:p>
          <w:p w14:paraId="0E147002" w14:textId="77777777" w:rsidR="009345B6" w:rsidRDefault="009345B6" w:rsidP="009345B6">
            <w:pPr>
              <w:pStyle w:val="Standard"/>
              <w:spacing w:after="0" w:line="254"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119A56A" w14:textId="77777777" w:rsidR="009345B6" w:rsidRDefault="009345B6" w:rsidP="009345B6">
            <w:pPr>
              <w:spacing w:before="240"/>
            </w:pPr>
            <w:r>
              <w:t>Cabinet Office</w:t>
            </w:r>
          </w:p>
          <w:p w14:paraId="0FEB9F30" w14:textId="77777777" w:rsidR="009345B6" w:rsidRPr="002D76D6" w:rsidRDefault="009345B6" w:rsidP="009345B6">
            <w:pPr>
              <w:spacing w:before="240"/>
            </w:pPr>
            <w:r>
              <w:t>Infrastructure and Projects Authority (IPA)</w:t>
            </w:r>
          </w:p>
          <w:p w14:paraId="5D46B972" w14:textId="77777777" w:rsidR="009345B6" w:rsidRDefault="009345B6" w:rsidP="009345B6">
            <w:pPr>
              <w:spacing w:before="240"/>
            </w:pPr>
            <w:r>
              <w:rPr>
                <w:b/>
                <w:color w:val="FF0000"/>
              </w:rPr>
              <w:t>REDACTED TEXT under FOIA Section 40, Personal Information</w:t>
            </w:r>
          </w:p>
          <w:p w14:paraId="7D452F6A" w14:textId="77777777" w:rsidR="009345B6" w:rsidRDefault="009345B6" w:rsidP="009345B6">
            <w:pPr>
              <w:spacing w:before="240"/>
            </w:pPr>
          </w:p>
        </w:tc>
      </w:tr>
      <w:tr w:rsidR="00107199" w14:paraId="48F05040" w14:textId="77777777" w:rsidTr="006365DA">
        <w:trPr>
          <w:trHeight w:val="5543"/>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D5CA2B1" w14:textId="77777777" w:rsidR="00107199" w:rsidRDefault="00107199" w:rsidP="00107199">
            <w:pPr>
              <w:pStyle w:val="Standard"/>
              <w:spacing w:after="0" w:line="254" w:lineRule="auto"/>
              <w:ind w:left="5" w:firstLine="0"/>
              <w:rPr>
                <w:b/>
              </w:rPr>
            </w:pPr>
          </w:p>
          <w:p w14:paraId="25DA46F4" w14:textId="77777777" w:rsidR="00107199" w:rsidRDefault="00107199" w:rsidP="00107199">
            <w:pPr>
              <w:pStyle w:val="Standard"/>
              <w:spacing w:after="0" w:line="254" w:lineRule="auto"/>
              <w:ind w:left="5" w:firstLine="0"/>
              <w:rPr>
                <w:b/>
              </w:rPr>
            </w:pPr>
          </w:p>
          <w:p w14:paraId="41E0D2A3" w14:textId="77777777" w:rsidR="00107199" w:rsidRDefault="00107199" w:rsidP="00107199">
            <w:pPr>
              <w:pStyle w:val="Standard"/>
              <w:spacing w:after="0" w:line="254" w:lineRule="auto"/>
              <w:ind w:left="5" w:firstLine="0"/>
              <w:rPr>
                <w:b/>
              </w:rPr>
            </w:pPr>
          </w:p>
          <w:p w14:paraId="68FD8271" w14:textId="77777777" w:rsidR="00107199" w:rsidRDefault="00107199" w:rsidP="00107199">
            <w:pPr>
              <w:pStyle w:val="Standard"/>
              <w:spacing w:after="0" w:line="254"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08210FA" w14:textId="77777777" w:rsidR="00107199" w:rsidRPr="002D76D6" w:rsidRDefault="00107199" w:rsidP="00107199">
            <w:pPr>
              <w:spacing w:before="240"/>
            </w:pPr>
            <w:r>
              <w:t>Gulp Digital</w:t>
            </w:r>
          </w:p>
          <w:p w14:paraId="78D21E2F" w14:textId="77777777" w:rsidR="00107199" w:rsidRDefault="00107199" w:rsidP="00107199">
            <w:pPr>
              <w:spacing w:before="240"/>
            </w:pPr>
            <w:r>
              <w:rPr>
                <w:b/>
                <w:color w:val="FF0000"/>
              </w:rPr>
              <w:t>REDACTED TEXT under FOIA Section 40, Personal Information</w:t>
            </w:r>
          </w:p>
          <w:p w14:paraId="2FDCE956" w14:textId="77777777" w:rsidR="00107199" w:rsidRDefault="00107199" w:rsidP="00107199">
            <w:pPr>
              <w:spacing w:before="240"/>
            </w:pPr>
          </w:p>
        </w:tc>
      </w:tr>
      <w:tr w:rsidR="00760E89" w14:paraId="242F9E63" w14:textId="77777777" w:rsidTr="009345B6">
        <w:trPr>
          <w:trHeight w:val="1085"/>
        </w:trPr>
        <w:tc>
          <w:tcPr>
            <w:tcW w:w="8882"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6437015" w14:textId="77777777" w:rsidR="00760E89" w:rsidRDefault="00750A02">
            <w:pPr>
              <w:pStyle w:val="Standard"/>
              <w:spacing w:after="0" w:line="254" w:lineRule="auto"/>
              <w:ind w:left="5" w:firstLine="0"/>
            </w:pPr>
            <w:r>
              <w:rPr>
                <w:b/>
              </w:rPr>
              <w:lastRenderedPageBreak/>
              <w:t>Together the ‘Parties’</w:t>
            </w:r>
          </w:p>
        </w:tc>
      </w:tr>
    </w:tbl>
    <w:p w14:paraId="51DBFDC0" w14:textId="77777777" w:rsidR="00760E89" w:rsidRDefault="00760E89">
      <w:pPr>
        <w:pStyle w:val="Heading3"/>
        <w:spacing w:after="312" w:line="240" w:lineRule="auto"/>
        <w:ind w:left="1113" w:firstLine="1118"/>
      </w:pPr>
    </w:p>
    <w:p w14:paraId="7FA29B05" w14:textId="77777777" w:rsidR="00760E89" w:rsidRDefault="00750A02">
      <w:pPr>
        <w:pStyle w:val="Heading3"/>
        <w:spacing w:after="312" w:line="240" w:lineRule="auto"/>
        <w:ind w:left="0" w:firstLine="0"/>
      </w:pPr>
      <w:r>
        <w:t xml:space="preserve">              Principal contact details</w:t>
      </w:r>
    </w:p>
    <w:p w14:paraId="1C21FAB7" w14:textId="77777777" w:rsidR="00760E89" w:rsidRDefault="00750A02">
      <w:pPr>
        <w:pStyle w:val="Standard"/>
        <w:spacing w:after="373" w:line="259" w:lineRule="auto"/>
        <w:ind w:left="1123" w:right="3672" w:firstLine="0"/>
      </w:pPr>
      <w:r>
        <w:rPr>
          <w:b/>
        </w:rPr>
        <w:t>For the Buyer:</w:t>
      </w:r>
    </w:p>
    <w:p w14:paraId="5E9C0789" w14:textId="77777777" w:rsidR="00AC49CD" w:rsidRDefault="00750A02" w:rsidP="00AC49CD">
      <w:pPr>
        <w:spacing w:after="117"/>
        <w:ind w:left="398" w:right="14" w:firstLine="720"/>
        <w:jc w:val="both"/>
      </w:pPr>
      <w:r>
        <w:t xml:space="preserve">Title: </w:t>
      </w:r>
      <w:r w:rsidR="00AC49CD">
        <w:t>Head of Benchmarking and Estimating Performance, Benchmarking and Data</w:t>
      </w:r>
    </w:p>
    <w:p w14:paraId="22D9F06F" w14:textId="77777777" w:rsidR="00F8289E" w:rsidRDefault="00F8289E" w:rsidP="00F8289E">
      <w:pPr>
        <w:spacing w:after="120"/>
        <w:ind w:left="398" w:firstLine="720"/>
      </w:pPr>
      <w:r>
        <w:rPr>
          <w:b/>
          <w:color w:val="FF0000"/>
        </w:rPr>
        <w:t>REDACTED TEXT under FOIA Section 40, Personal Information</w:t>
      </w:r>
    </w:p>
    <w:p w14:paraId="1DE987C0" w14:textId="77777777" w:rsidR="00760E89" w:rsidRDefault="00750A02">
      <w:pPr>
        <w:pStyle w:val="Standard"/>
        <w:spacing w:after="1" w:line="763" w:lineRule="auto"/>
        <w:ind w:right="6350"/>
      </w:pPr>
      <w:r>
        <w:rPr>
          <w:b/>
        </w:rPr>
        <w:t>For the Supplier:</w:t>
      </w:r>
    </w:p>
    <w:p w14:paraId="230997C9" w14:textId="77777777" w:rsidR="00760E89" w:rsidRDefault="00750A02">
      <w:pPr>
        <w:pStyle w:val="Standard"/>
        <w:spacing w:after="83" w:line="240" w:lineRule="auto"/>
        <w:ind w:right="14"/>
      </w:pPr>
      <w:r>
        <w:t xml:space="preserve">Title: </w:t>
      </w:r>
      <w:r w:rsidR="00AF7A08">
        <w:t>Director of Services</w:t>
      </w:r>
    </w:p>
    <w:p w14:paraId="4210B4FD" w14:textId="77777777" w:rsidR="00F8289E" w:rsidRDefault="00F8289E" w:rsidP="00F8289E">
      <w:pPr>
        <w:spacing w:after="120"/>
        <w:ind w:left="393" w:firstLine="720"/>
        <w:rPr>
          <w:b/>
          <w:color w:val="FF0000"/>
        </w:rPr>
      </w:pPr>
      <w:r>
        <w:rPr>
          <w:b/>
          <w:color w:val="FF0000"/>
        </w:rPr>
        <w:t>REDACTED TEXT under FOIA Section 40, Personal Information</w:t>
      </w:r>
    </w:p>
    <w:p w14:paraId="15FC25E1" w14:textId="77777777" w:rsidR="00F8289E" w:rsidRDefault="00F8289E" w:rsidP="00F8289E">
      <w:pPr>
        <w:spacing w:after="120"/>
        <w:ind w:left="393" w:firstLine="720"/>
      </w:pPr>
    </w:p>
    <w:p w14:paraId="0545E5A9" w14:textId="77777777" w:rsidR="00760E89" w:rsidRDefault="00750A02" w:rsidP="00AF20E7">
      <w:pPr>
        <w:pStyle w:val="Heading3"/>
        <w:spacing w:after="0" w:line="240" w:lineRule="auto"/>
      </w:pPr>
      <w:r>
        <w:t>Call-Off Contract term</w:t>
      </w:r>
    </w:p>
    <w:tbl>
      <w:tblPr>
        <w:tblW w:w="9605" w:type="dxa"/>
        <w:tblInd w:w="1039" w:type="dxa"/>
        <w:tblLayout w:type="fixed"/>
        <w:tblCellMar>
          <w:left w:w="10" w:type="dxa"/>
          <w:right w:w="10" w:type="dxa"/>
        </w:tblCellMar>
        <w:tblLook w:val="0000" w:firstRow="0" w:lastRow="0" w:firstColumn="0" w:lastColumn="0" w:noHBand="0" w:noVBand="0"/>
      </w:tblPr>
      <w:tblGrid>
        <w:gridCol w:w="2828"/>
        <w:gridCol w:w="6777"/>
      </w:tblGrid>
      <w:tr w:rsidR="00760E89" w14:paraId="435BCD14" w14:textId="7777777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5882B5B" w14:textId="77777777" w:rsidR="00760E89" w:rsidRDefault="00750A02">
            <w:pPr>
              <w:pStyle w:val="Standard"/>
              <w:spacing w:after="0" w:line="254" w:lineRule="auto"/>
              <w:ind w:left="0" w:firstLine="0"/>
            </w:pPr>
            <w:r>
              <w:rPr>
                <w:b/>
              </w:rPr>
              <w:t>Start date</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3F42D48" w14:textId="50557F38" w:rsidR="00760E89" w:rsidRDefault="00750A02">
            <w:pPr>
              <w:pStyle w:val="Standard"/>
              <w:spacing w:after="0" w:line="254" w:lineRule="auto"/>
              <w:ind w:left="2" w:firstLine="0"/>
              <w:rPr>
                <w:b/>
              </w:rPr>
            </w:pPr>
            <w:r>
              <w:t xml:space="preserve">This Call-Off Contract Starts on </w:t>
            </w:r>
            <w:r w:rsidR="008C047F">
              <w:t>13</w:t>
            </w:r>
            <w:r w:rsidR="008C047F" w:rsidRPr="008C047F">
              <w:rPr>
                <w:vertAlign w:val="superscript"/>
              </w:rPr>
              <w:t>th</w:t>
            </w:r>
            <w:r w:rsidR="008C047F">
              <w:t xml:space="preserve"> Nov</w:t>
            </w:r>
            <w:r w:rsidR="00F53C74">
              <w:t>ember</w:t>
            </w:r>
            <w:r w:rsidR="00FD36F0" w:rsidRPr="003022B3">
              <w:t xml:space="preserve"> 2023</w:t>
            </w:r>
            <w:r>
              <w:rPr>
                <w:b/>
              </w:rPr>
              <w:t xml:space="preserve"> </w:t>
            </w:r>
            <w:r>
              <w:t>and is valid fo</w:t>
            </w:r>
            <w:r w:rsidR="003022B3">
              <w:t>r two (2) years</w:t>
            </w:r>
            <w:r w:rsidR="00FD36F0">
              <w:rPr>
                <w:b/>
              </w:rPr>
              <w:t>.</w:t>
            </w:r>
          </w:p>
          <w:p w14:paraId="3979FA39" w14:textId="77777777" w:rsidR="003022B3" w:rsidRDefault="003022B3">
            <w:pPr>
              <w:pStyle w:val="Standard"/>
              <w:spacing w:after="0" w:line="254" w:lineRule="auto"/>
              <w:ind w:left="2" w:firstLine="0"/>
            </w:pPr>
          </w:p>
          <w:p w14:paraId="17813919" w14:textId="77777777" w:rsidR="003022B3" w:rsidRDefault="003022B3" w:rsidP="003022B3">
            <w:pPr>
              <w:spacing w:before="240"/>
            </w:pPr>
            <w:r>
              <w:t xml:space="preserve">There shall be an option to extend this contract by one period of one (1) year. </w:t>
            </w:r>
          </w:p>
          <w:p w14:paraId="53782622" w14:textId="77777777" w:rsidR="003022B3" w:rsidRDefault="003022B3">
            <w:pPr>
              <w:pStyle w:val="Standard"/>
              <w:spacing w:after="0" w:line="254" w:lineRule="auto"/>
              <w:ind w:left="2" w:firstLine="0"/>
            </w:pPr>
          </w:p>
        </w:tc>
      </w:tr>
      <w:tr w:rsidR="00760E89" w14:paraId="6356B798"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3D7533B" w14:textId="77777777" w:rsidR="00760E89" w:rsidRDefault="00760E89">
            <w:pPr>
              <w:pStyle w:val="Standard"/>
              <w:spacing w:after="28" w:line="254" w:lineRule="auto"/>
              <w:ind w:left="0" w:firstLine="0"/>
              <w:rPr>
                <w:b/>
              </w:rPr>
            </w:pPr>
          </w:p>
          <w:p w14:paraId="66A0C58A" w14:textId="77777777" w:rsidR="00760E89" w:rsidRDefault="00750A02">
            <w:pPr>
              <w:pStyle w:val="Standard"/>
              <w:spacing w:after="28" w:line="254" w:lineRule="auto"/>
              <w:ind w:left="0" w:firstLine="0"/>
            </w:pPr>
            <w:r>
              <w:rPr>
                <w:b/>
              </w:rPr>
              <w:t>Ending</w:t>
            </w:r>
          </w:p>
          <w:p w14:paraId="40C7276F" w14:textId="77777777" w:rsidR="00760E89" w:rsidRDefault="00750A02">
            <w:pPr>
              <w:pStyle w:val="Standard"/>
              <w:spacing w:after="0" w:line="254" w:lineRule="auto"/>
              <w:ind w:left="0" w:firstLine="0"/>
            </w:pPr>
            <w:r>
              <w:rPr>
                <w:b/>
              </w:rPr>
              <w:t>(termination)</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340A12C" w14:textId="77777777" w:rsidR="00760E89" w:rsidRDefault="00750A02">
            <w:pPr>
              <w:pStyle w:val="Standard"/>
              <w:spacing w:before="240" w:after="249" w:line="292"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5173D246" w14:textId="77777777" w:rsidR="00760E89" w:rsidRDefault="00750A02">
            <w:pPr>
              <w:pStyle w:val="Standard"/>
              <w:spacing w:before="240" w:after="0" w:line="254" w:lineRule="auto"/>
              <w:ind w:left="2" w:firstLine="0"/>
            </w:pPr>
            <w:r>
              <w:t xml:space="preserve">The notice period for the Buyer is a maximum of </w:t>
            </w:r>
            <w:r>
              <w:rPr>
                <w:b/>
              </w:rPr>
              <w:t xml:space="preserve">[30] </w:t>
            </w:r>
            <w:r>
              <w:t>days from the date of written notice for Ending without cause (as per clause 18.1).</w:t>
            </w:r>
          </w:p>
        </w:tc>
      </w:tr>
      <w:tr w:rsidR="00760E89" w14:paraId="4D5465E2" w14:textId="77777777">
        <w:trPr>
          <w:trHeight w:val="592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0CE3F34" w14:textId="77777777" w:rsidR="00760E89" w:rsidRDefault="00750A02">
            <w:pPr>
              <w:pStyle w:val="Standard"/>
              <w:spacing w:after="0" w:line="254" w:lineRule="auto"/>
              <w:ind w:left="0" w:firstLine="0"/>
            </w:pPr>
            <w:r>
              <w:rPr>
                <w:b/>
              </w:rPr>
              <w:lastRenderedPageBreak/>
              <w:t>Extension period</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35B6077" w14:textId="77777777" w:rsidR="00760E89" w:rsidRDefault="00750A02">
            <w:pPr>
              <w:pStyle w:val="Standard"/>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4868F6">
              <w:rPr>
                <w:b/>
              </w:rPr>
              <w:t>4 weeks</w:t>
            </w:r>
            <w:r>
              <w:rPr>
                <w:b/>
              </w:rPr>
              <w:t xml:space="preserve"> </w:t>
            </w:r>
            <w:r>
              <w:t>written notice before its expiry. The extension period is subject to clauses 1.3 and 1.4 in Part B below.</w:t>
            </w:r>
          </w:p>
          <w:p w14:paraId="7390A65F" w14:textId="77777777" w:rsidR="00760E89" w:rsidRDefault="00750A02">
            <w:pPr>
              <w:pStyle w:val="Standard"/>
              <w:spacing w:after="242" w:line="280" w:lineRule="auto"/>
              <w:ind w:left="2" w:firstLine="0"/>
            </w:pPr>
            <w:r>
              <w:t>Extensions which extend the Term beyond 36 months are only permitted if the Supplier complies with the additional exit plan requirements at clauses 21.3 to 21.8.</w:t>
            </w:r>
          </w:p>
          <w:p w14:paraId="0F4B6EFE" w14:textId="77777777" w:rsidR="00F53C74" w:rsidRDefault="00F53C74" w:rsidP="00F53C74">
            <w:pPr>
              <w:pStyle w:val="Standard"/>
              <w:spacing w:after="243" w:line="280" w:lineRule="auto"/>
            </w:pPr>
          </w:p>
          <w:p w14:paraId="5BEDD014" w14:textId="77777777" w:rsidR="00760E89" w:rsidRDefault="00760E89">
            <w:pPr>
              <w:pStyle w:val="Standard"/>
              <w:spacing w:after="0" w:line="254" w:lineRule="auto"/>
              <w:ind w:left="2" w:firstLine="0"/>
            </w:pPr>
          </w:p>
        </w:tc>
      </w:tr>
    </w:tbl>
    <w:p w14:paraId="39D5680B" w14:textId="77777777" w:rsidR="00760E89" w:rsidRDefault="00760E89">
      <w:pPr>
        <w:pStyle w:val="Heading3"/>
        <w:spacing w:after="165" w:line="240" w:lineRule="auto"/>
        <w:ind w:left="1113" w:firstLine="1118"/>
      </w:pPr>
    </w:p>
    <w:p w14:paraId="4B0538C6" w14:textId="77777777" w:rsidR="00760E89" w:rsidRDefault="00760E89">
      <w:pPr>
        <w:pStyle w:val="Heading3"/>
        <w:spacing w:after="165" w:line="240" w:lineRule="auto"/>
        <w:ind w:left="1113" w:firstLine="1118"/>
      </w:pPr>
    </w:p>
    <w:p w14:paraId="225FE869" w14:textId="77777777" w:rsidR="00760E89" w:rsidRDefault="00760E89">
      <w:pPr>
        <w:pStyle w:val="Heading3"/>
        <w:spacing w:after="165" w:line="240" w:lineRule="auto"/>
        <w:ind w:left="1113" w:firstLine="1118"/>
      </w:pPr>
    </w:p>
    <w:p w14:paraId="5463CDE0" w14:textId="77777777" w:rsidR="00760E89" w:rsidRDefault="00760E89">
      <w:pPr>
        <w:pStyle w:val="Heading3"/>
        <w:spacing w:after="165" w:line="240" w:lineRule="auto"/>
        <w:ind w:left="1113" w:firstLine="1118"/>
      </w:pPr>
    </w:p>
    <w:p w14:paraId="13DDDA07" w14:textId="77777777" w:rsidR="00760E89" w:rsidRDefault="00760E89">
      <w:pPr>
        <w:pStyle w:val="Heading3"/>
        <w:spacing w:after="165" w:line="240" w:lineRule="auto"/>
        <w:ind w:left="1113" w:firstLine="1118"/>
      </w:pPr>
    </w:p>
    <w:p w14:paraId="4101F53E" w14:textId="77777777" w:rsidR="00760E89" w:rsidRDefault="00760E89">
      <w:pPr>
        <w:pStyle w:val="Heading3"/>
        <w:spacing w:after="165" w:line="240" w:lineRule="auto"/>
        <w:ind w:left="1113" w:firstLine="1118"/>
      </w:pPr>
    </w:p>
    <w:p w14:paraId="032A15EE" w14:textId="77777777" w:rsidR="00760E89" w:rsidRDefault="00760E89">
      <w:pPr>
        <w:pStyle w:val="Heading3"/>
        <w:spacing w:after="165" w:line="240" w:lineRule="auto"/>
        <w:ind w:left="1113" w:firstLine="1118"/>
      </w:pPr>
    </w:p>
    <w:p w14:paraId="00980D1A" w14:textId="77777777" w:rsidR="00760E89" w:rsidRDefault="00760E89">
      <w:pPr>
        <w:pStyle w:val="Heading3"/>
        <w:spacing w:after="165" w:line="240" w:lineRule="auto"/>
        <w:ind w:left="1113" w:firstLine="1118"/>
      </w:pPr>
    </w:p>
    <w:p w14:paraId="643B566B" w14:textId="77777777" w:rsidR="00760E89" w:rsidRDefault="00760E89">
      <w:pPr>
        <w:pStyle w:val="Heading3"/>
        <w:spacing w:after="165" w:line="240" w:lineRule="auto"/>
        <w:ind w:left="1113" w:firstLine="1118"/>
      </w:pPr>
    </w:p>
    <w:p w14:paraId="536F2BA5" w14:textId="77777777" w:rsidR="00760E89" w:rsidRDefault="00760E89">
      <w:pPr>
        <w:pStyle w:val="Heading3"/>
        <w:spacing w:after="165" w:line="240" w:lineRule="auto"/>
        <w:ind w:left="1113" w:firstLine="1118"/>
      </w:pPr>
    </w:p>
    <w:p w14:paraId="6AEA2B6F" w14:textId="77777777" w:rsidR="00760E89" w:rsidRDefault="00760E89">
      <w:pPr>
        <w:pStyle w:val="Standard"/>
      </w:pPr>
    </w:p>
    <w:p w14:paraId="34914101" w14:textId="77777777" w:rsidR="00760E89" w:rsidRDefault="00760E89">
      <w:pPr>
        <w:pStyle w:val="Standard"/>
      </w:pPr>
    </w:p>
    <w:p w14:paraId="43778A9F" w14:textId="77777777" w:rsidR="00760E89" w:rsidRDefault="00760E89">
      <w:pPr>
        <w:pStyle w:val="Standard"/>
      </w:pPr>
    </w:p>
    <w:p w14:paraId="5C0DC5A2" w14:textId="77777777" w:rsidR="00760E89" w:rsidRDefault="00750A02">
      <w:pPr>
        <w:pStyle w:val="Heading3"/>
        <w:spacing w:after="165" w:line="240" w:lineRule="auto"/>
        <w:ind w:left="1113" w:firstLine="1118"/>
      </w:pPr>
      <w:r>
        <w:t>Buyer contractual details</w:t>
      </w:r>
    </w:p>
    <w:p w14:paraId="1763C9D2" w14:textId="77777777" w:rsidR="00760E89" w:rsidRDefault="00750A02">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6A423B54" w14:textId="77777777" w:rsidR="00760E89" w:rsidRDefault="00760E89">
      <w:pPr>
        <w:pStyle w:val="Standard"/>
        <w:spacing w:after="0" w:line="240" w:lineRule="auto"/>
        <w:ind w:right="14"/>
      </w:pPr>
    </w:p>
    <w:p w14:paraId="09EAEEA5" w14:textId="77777777" w:rsidR="00760E89" w:rsidRDefault="00760E89">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3246"/>
        <w:gridCol w:w="6369"/>
      </w:tblGrid>
      <w:tr w:rsidR="00760E89" w14:paraId="242AE12B" w14:textId="77777777" w:rsidTr="000278E6">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D1DD5A" w14:textId="77777777" w:rsidR="00760E89" w:rsidRDefault="00750A02">
            <w:pPr>
              <w:pStyle w:val="Standard"/>
              <w:widowControl w:val="0"/>
              <w:spacing w:before="190" w:after="0" w:line="280"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257C04" w14:textId="77777777" w:rsidR="00760E89" w:rsidRDefault="00750A02">
            <w:pPr>
              <w:pStyle w:val="Standard"/>
              <w:widowControl w:val="0"/>
              <w:spacing w:before="190" w:after="0" w:line="280" w:lineRule="auto"/>
              <w:ind w:left="0" w:right="322" w:firstLine="0"/>
            </w:pPr>
            <w:r>
              <w:t>This Call-Off Contract is for the provision of Services Under:</w:t>
            </w:r>
          </w:p>
          <w:p w14:paraId="031399BF" w14:textId="77777777" w:rsidR="00FD36F0" w:rsidRDefault="00FD36F0">
            <w:pPr>
              <w:pStyle w:val="Standard"/>
              <w:widowControl w:val="0"/>
              <w:spacing w:before="190" w:after="0" w:line="280" w:lineRule="auto"/>
              <w:ind w:left="0" w:right="322" w:firstLine="0"/>
            </w:pPr>
          </w:p>
          <w:p w14:paraId="21FDE445" w14:textId="77777777" w:rsidR="00760E89" w:rsidRDefault="00750A02">
            <w:pPr>
              <w:pStyle w:val="Standard"/>
              <w:widowControl w:val="0"/>
              <w:numPr>
                <w:ilvl w:val="0"/>
                <w:numId w:val="15"/>
              </w:numPr>
              <w:spacing w:after="0" w:line="280" w:lineRule="auto"/>
              <w:ind w:right="322"/>
            </w:pPr>
            <w:r>
              <w:t xml:space="preserve">Lot 3: Cloud support </w:t>
            </w:r>
          </w:p>
        </w:tc>
      </w:tr>
      <w:tr w:rsidR="000278E6" w14:paraId="3F9CC3E3" w14:textId="77777777" w:rsidTr="000278E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CFEA6" w14:textId="77777777" w:rsidR="000278E6" w:rsidRDefault="000278E6" w:rsidP="000278E6">
            <w:pPr>
              <w:pStyle w:val="Standard"/>
              <w:widowControl w:val="0"/>
              <w:spacing w:before="190" w:after="0" w:line="280"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91D97B" w14:textId="77777777" w:rsidR="000278E6" w:rsidRDefault="000278E6" w:rsidP="000278E6">
            <w:pPr>
              <w:widowControl w:val="0"/>
              <w:spacing w:before="190" w:line="278" w:lineRule="auto"/>
              <w:ind w:right="322"/>
              <w:jc w:val="both"/>
            </w:pPr>
            <w:r>
              <w:t>The Services to be provided by the Supplier under the above Lot are listed in Framework Schedule 4 and outlined below under the overall requirement to support and maintain the BDS for end user availability and functionality, including:</w:t>
            </w:r>
          </w:p>
          <w:p w14:paraId="2B511FD9" w14:textId="77777777" w:rsidR="000278E6" w:rsidRDefault="000278E6" w:rsidP="000278E6">
            <w:pPr>
              <w:widowControl w:val="0"/>
              <w:spacing w:before="190" w:line="278" w:lineRule="auto"/>
              <w:ind w:right="322"/>
              <w:jc w:val="both"/>
            </w:pPr>
          </w:p>
          <w:p w14:paraId="623F8B57" w14:textId="77777777" w:rsidR="000278E6" w:rsidRDefault="000278E6" w:rsidP="000278E6">
            <w:pPr>
              <w:widowControl w:val="0"/>
              <w:numPr>
                <w:ilvl w:val="0"/>
                <w:numId w:val="86"/>
              </w:numPr>
              <w:suppressAutoHyphens w:val="0"/>
              <w:autoSpaceDN/>
              <w:spacing w:line="278" w:lineRule="auto"/>
              <w:ind w:right="322"/>
              <w:jc w:val="both"/>
              <w:textAlignment w:val="auto"/>
            </w:pPr>
            <w:r>
              <w:t xml:space="preserve">Software Licensing: </w:t>
            </w:r>
            <w:r w:rsidRPr="00192ECF">
              <w:t>Maintenance of existing integrated licencing of COLA, as required by the BDS. Additional software licences to deliver this service will be reviewed with the supplier but owned by the buyer</w:t>
            </w:r>
            <w:r>
              <w:t>;</w:t>
            </w:r>
          </w:p>
          <w:p w14:paraId="3AD17BB2" w14:textId="77777777" w:rsidR="000278E6" w:rsidRDefault="000278E6" w:rsidP="000278E6">
            <w:pPr>
              <w:widowControl w:val="0"/>
              <w:numPr>
                <w:ilvl w:val="0"/>
                <w:numId w:val="86"/>
              </w:numPr>
              <w:suppressAutoHyphens w:val="0"/>
              <w:autoSpaceDN/>
              <w:spacing w:line="278" w:lineRule="auto"/>
              <w:ind w:right="322"/>
              <w:jc w:val="both"/>
              <w:textAlignment w:val="auto"/>
            </w:pPr>
            <w:r>
              <w:t>Security: All security prevention, detection and defensive tasks and services including monitoring, software patching and proactive health checks;</w:t>
            </w:r>
          </w:p>
          <w:p w14:paraId="11833582" w14:textId="77777777" w:rsidR="000278E6" w:rsidRDefault="000278E6" w:rsidP="000278E6">
            <w:pPr>
              <w:widowControl w:val="0"/>
              <w:numPr>
                <w:ilvl w:val="0"/>
                <w:numId w:val="86"/>
              </w:numPr>
              <w:suppressAutoHyphens w:val="0"/>
              <w:autoSpaceDN/>
              <w:spacing w:line="278" w:lineRule="auto"/>
              <w:ind w:right="322"/>
              <w:jc w:val="both"/>
              <w:textAlignment w:val="auto"/>
            </w:pPr>
            <w:r>
              <w:t xml:space="preserve">Infrastructure: </w:t>
            </w:r>
            <w:r w:rsidRPr="00192ECF">
              <w:t>Appropriate support of the provisioned AWS Cloud Hosting Environment, including monitoring, maintenance, and service intervention of the host infrastructure services</w:t>
            </w:r>
            <w:r>
              <w:t>;</w:t>
            </w:r>
          </w:p>
          <w:p w14:paraId="71A86788" w14:textId="77777777" w:rsidR="000278E6" w:rsidRDefault="000278E6" w:rsidP="000278E6">
            <w:pPr>
              <w:widowControl w:val="0"/>
              <w:numPr>
                <w:ilvl w:val="0"/>
                <w:numId w:val="86"/>
              </w:numPr>
              <w:suppressAutoHyphens w:val="0"/>
              <w:autoSpaceDN/>
              <w:spacing w:line="278" w:lineRule="auto"/>
              <w:ind w:right="322"/>
              <w:jc w:val="both"/>
              <w:textAlignment w:val="auto"/>
            </w:pPr>
            <w:r>
              <w:t>Core Service Support: To support service incidents and problem incidents and other categories affecting the BDS application and services;</w:t>
            </w:r>
          </w:p>
          <w:p w14:paraId="6498CC28" w14:textId="77777777" w:rsidR="000278E6" w:rsidRDefault="000278E6" w:rsidP="000278E6">
            <w:pPr>
              <w:widowControl w:val="0"/>
              <w:numPr>
                <w:ilvl w:val="0"/>
                <w:numId w:val="86"/>
              </w:numPr>
              <w:suppressAutoHyphens w:val="0"/>
              <w:autoSpaceDN/>
              <w:spacing w:line="278" w:lineRule="auto"/>
              <w:ind w:right="322"/>
              <w:jc w:val="both"/>
              <w:textAlignment w:val="auto"/>
            </w:pPr>
            <w:r>
              <w:t>System Change Management: The Supplier will be required to ensure agreed change control and management procedures are followed and Release Management. The Supplier will be responsible for the release of 'change requests' and new applications for the BDS; and</w:t>
            </w:r>
          </w:p>
          <w:p w14:paraId="54DD0F32" w14:textId="77777777" w:rsidR="000278E6" w:rsidRDefault="000278E6" w:rsidP="000278E6">
            <w:pPr>
              <w:widowControl w:val="0"/>
              <w:numPr>
                <w:ilvl w:val="0"/>
                <w:numId w:val="86"/>
              </w:numPr>
              <w:suppressAutoHyphens w:val="0"/>
              <w:autoSpaceDN/>
              <w:spacing w:line="278" w:lineRule="auto"/>
              <w:ind w:right="322"/>
              <w:jc w:val="both"/>
              <w:textAlignment w:val="auto"/>
            </w:pPr>
            <w:r>
              <w:t>Updates: The Supplier will ensure the BDS will be maintained with software and configuration updates to ensure secure operation. Updates will be made with appropriate testing, change and service interruption procedures.</w:t>
            </w:r>
          </w:p>
        </w:tc>
      </w:tr>
      <w:tr w:rsidR="00CD4B1E" w14:paraId="73F5B851" w14:textId="77777777" w:rsidTr="000278E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3A351" w14:textId="77777777" w:rsidR="00CD4B1E" w:rsidRDefault="00CD4B1E" w:rsidP="00CD4B1E">
            <w:pPr>
              <w:pStyle w:val="Standard"/>
              <w:widowControl w:val="0"/>
              <w:spacing w:before="190" w:after="0" w:line="280"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6D620C" w14:textId="77777777" w:rsidR="00CD4B1E" w:rsidRDefault="00CD4B1E" w:rsidP="00CD4B1E">
            <w:pPr>
              <w:widowControl w:val="0"/>
              <w:numPr>
                <w:ilvl w:val="0"/>
                <w:numId w:val="87"/>
              </w:numPr>
              <w:suppressAutoHyphens w:val="0"/>
              <w:autoSpaceDN/>
              <w:spacing w:before="190" w:line="278" w:lineRule="auto"/>
              <w:ind w:right="322"/>
              <w:jc w:val="both"/>
              <w:textAlignment w:val="auto"/>
            </w:pPr>
            <w:r>
              <w:t>The Supplier will take responsibility for the application service (BDS) support and maintenance within four days of contract award.</w:t>
            </w:r>
          </w:p>
          <w:p w14:paraId="37573782" w14:textId="77777777" w:rsidR="00CD4B1E" w:rsidRDefault="00CD4B1E" w:rsidP="00CD4B1E">
            <w:pPr>
              <w:widowControl w:val="0"/>
              <w:numPr>
                <w:ilvl w:val="0"/>
                <w:numId w:val="87"/>
              </w:numPr>
              <w:suppressAutoHyphens w:val="0"/>
              <w:autoSpaceDN/>
              <w:spacing w:line="278" w:lineRule="auto"/>
              <w:ind w:right="322"/>
              <w:jc w:val="both"/>
              <w:textAlignment w:val="auto"/>
            </w:pPr>
            <w:r>
              <w:t xml:space="preserve">Data Upload: Migrating data across multiple asset and project types, and thereby structures, taxonomies and detail.  All this shall be captured and stored </w:t>
            </w:r>
            <w:r>
              <w:lastRenderedPageBreak/>
              <w:t>for access to enable valuable insights with adequate detail.  Data granularity will increase over time and thus needs to be accommodated in the BDS.</w:t>
            </w:r>
          </w:p>
          <w:p w14:paraId="27F94534" w14:textId="77777777" w:rsidR="00CD4B1E" w:rsidRDefault="00CD4B1E" w:rsidP="00CD4B1E">
            <w:pPr>
              <w:widowControl w:val="0"/>
              <w:numPr>
                <w:ilvl w:val="0"/>
                <w:numId w:val="87"/>
              </w:numPr>
              <w:suppressAutoHyphens w:val="0"/>
              <w:autoSpaceDN/>
              <w:spacing w:line="278" w:lineRule="auto"/>
              <w:ind w:right="322"/>
              <w:jc w:val="both"/>
              <w:textAlignment w:val="auto"/>
            </w:pPr>
            <w:r>
              <w:t>User Access: The Supplier will be responsible for facilitating new users onboarding and maintaining their access to the BDS using COLA.</w:t>
            </w:r>
          </w:p>
          <w:p w14:paraId="20E0A09A" w14:textId="77777777" w:rsidR="00CD4B1E" w:rsidRDefault="00CD4B1E" w:rsidP="00CD4B1E">
            <w:pPr>
              <w:widowControl w:val="0"/>
              <w:numPr>
                <w:ilvl w:val="0"/>
                <w:numId w:val="87"/>
              </w:numPr>
              <w:suppressAutoHyphens w:val="0"/>
              <w:autoSpaceDN/>
              <w:spacing w:line="278" w:lineRule="auto"/>
              <w:ind w:right="322"/>
              <w:jc w:val="both"/>
              <w:textAlignment w:val="auto"/>
            </w:pPr>
            <w:r>
              <w:t>Incident Resolution: Once issues have been raised, the supplier will resolve in adherence with the contract Service Level Agreements (SLAs).</w:t>
            </w:r>
          </w:p>
          <w:p w14:paraId="647DFD13" w14:textId="77777777" w:rsidR="00CD4B1E" w:rsidRDefault="00CD4B1E" w:rsidP="00CD4B1E">
            <w:pPr>
              <w:widowControl w:val="0"/>
              <w:numPr>
                <w:ilvl w:val="0"/>
                <w:numId w:val="87"/>
              </w:numPr>
              <w:suppressAutoHyphens w:val="0"/>
              <w:autoSpaceDN/>
              <w:spacing w:line="278" w:lineRule="auto"/>
              <w:ind w:right="322"/>
              <w:jc w:val="both"/>
              <w:textAlignment w:val="auto"/>
            </w:pPr>
            <w:r>
              <w:t>Data Integrity and Availability: The Supplier will be responsible for AWS services and relevant applications to ensure the residing data is secure and employ an agreed data backup strategy with the IT infrastructure host and the Buyer.</w:t>
            </w:r>
          </w:p>
          <w:p w14:paraId="5062A688" w14:textId="77777777" w:rsidR="00CD4B1E" w:rsidRDefault="00CD4B1E" w:rsidP="00CD4B1E">
            <w:pPr>
              <w:widowControl w:val="0"/>
              <w:numPr>
                <w:ilvl w:val="0"/>
                <w:numId w:val="87"/>
              </w:numPr>
              <w:suppressAutoHyphens w:val="0"/>
              <w:autoSpaceDN/>
              <w:spacing w:line="278" w:lineRule="auto"/>
              <w:ind w:right="322"/>
              <w:jc w:val="both"/>
              <w:textAlignment w:val="auto"/>
            </w:pPr>
            <w:r>
              <w:t>The Supplier’s staff assigned to the Call-Off Contract shall allocate appropriately skilled personnel to handle support requests promptly, in accord with the deliverables, SLAs and the platform digital infrastructure and have minimum BPSS security clearance.  However, SC clearance is advised.</w:t>
            </w:r>
          </w:p>
          <w:p w14:paraId="739B8712" w14:textId="77777777" w:rsidR="00CD4B1E" w:rsidRDefault="00CD4B1E" w:rsidP="00CD4B1E">
            <w:pPr>
              <w:widowControl w:val="0"/>
              <w:numPr>
                <w:ilvl w:val="0"/>
                <w:numId w:val="87"/>
              </w:numPr>
              <w:suppressAutoHyphens w:val="0"/>
              <w:autoSpaceDN/>
              <w:spacing w:line="278" w:lineRule="auto"/>
              <w:ind w:right="322"/>
              <w:jc w:val="both"/>
              <w:textAlignment w:val="auto"/>
            </w:pPr>
            <w:r>
              <w:t>The Supplier shall ensure that staff understand the Buyer’s vision and objectives and provide excellent customer service throughout the duration of the Call-Off Contract.</w:t>
            </w:r>
          </w:p>
          <w:p w14:paraId="3099AB4F" w14:textId="77777777" w:rsidR="00CD4B1E" w:rsidRDefault="00CD4B1E" w:rsidP="00CD4B1E">
            <w:pPr>
              <w:widowControl w:val="0"/>
              <w:numPr>
                <w:ilvl w:val="0"/>
                <w:numId w:val="87"/>
              </w:numPr>
              <w:suppressAutoHyphens w:val="0"/>
              <w:autoSpaceDN/>
              <w:spacing w:line="278" w:lineRule="auto"/>
              <w:ind w:right="322"/>
              <w:jc w:val="both"/>
              <w:textAlignment w:val="auto"/>
            </w:pPr>
            <w:r>
              <w:t>The Supplier must engender high confidence to host and provide sufficient resources to support the BDS with an ability to upscale and downscale resources as required to meet the SLAs and deliverables.</w:t>
            </w:r>
          </w:p>
          <w:p w14:paraId="124DD396" w14:textId="77777777" w:rsidR="00CD4B1E" w:rsidRDefault="00CD4B1E" w:rsidP="00CD4B1E">
            <w:pPr>
              <w:widowControl w:val="0"/>
              <w:numPr>
                <w:ilvl w:val="0"/>
                <w:numId w:val="87"/>
              </w:numPr>
              <w:suppressAutoHyphens w:val="0"/>
              <w:autoSpaceDN/>
              <w:spacing w:line="278" w:lineRule="auto"/>
              <w:ind w:right="322"/>
              <w:jc w:val="both"/>
              <w:textAlignment w:val="auto"/>
            </w:pPr>
            <w:r>
              <w:t>The Supplier shall expertly manage the data processing and transformation technologies in AWS, including, but not limited to, COLA, ETL, ELT, AWS Glue and AWS Lambda.  Due diligence shall be placed on data source connectivity, data transformation scripts, data destination connectivity, data security and encryption (where applicable).  Taking attributable responsibility for monitoring, reporting/recording that’s scalable, with resilience to increasing data volume and number of users.</w:t>
            </w:r>
          </w:p>
          <w:p w14:paraId="4EBAEBD2" w14:textId="77777777" w:rsidR="00CD4B1E" w:rsidRDefault="00CD4B1E" w:rsidP="00CD4B1E">
            <w:pPr>
              <w:widowControl w:val="0"/>
              <w:numPr>
                <w:ilvl w:val="0"/>
                <w:numId w:val="87"/>
              </w:numPr>
              <w:suppressAutoHyphens w:val="0"/>
              <w:autoSpaceDN/>
              <w:spacing w:line="278" w:lineRule="auto"/>
              <w:ind w:right="322"/>
              <w:jc w:val="both"/>
              <w:textAlignment w:val="auto"/>
            </w:pPr>
            <w:r>
              <w:t>Where required/pertinent to the Service, the Supplier shall respond to the Client and the IT technology host regarding compliance to meet new or changes in host IT architecture.  Reasonable updates to the Service should be implemented accordingly.</w:t>
            </w:r>
          </w:p>
        </w:tc>
      </w:tr>
      <w:tr w:rsidR="00434D1E" w14:paraId="4BABC8FE" w14:textId="77777777" w:rsidTr="000278E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AD043F" w14:textId="77777777" w:rsidR="00434D1E" w:rsidRDefault="00434D1E" w:rsidP="00434D1E">
            <w:pPr>
              <w:pStyle w:val="Standard"/>
              <w:widowControl w:val="0"/>
              <w:spacing w:before="190" w:after="0" w:line="280" w:lineRule="auto"/>
              <w:ind w:left="0" w:right="322" w:firstLine="0"/>
              <w:rPr>
                <w:b/>
              </w:rPr>
            </w:pPr>
          </w:p>
          <w:p w14:paraId="6C88B26F" w14:textId="77777777" w:rsidR="00434D1E" w:rsidRDefault="00434D1E" w:rsidP="00434D1E">
            <w:pPr>
              <w:pStyle w:val="Standard"/>
              <w:widowControl w:val="0"/>
              <w:spacing w:before="190" w:after="0" w:line="280"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324C73" w14:textId="77777777" w:rsidR="00434D1E" w:rsidRDefault="00434D1E" w:rsidP="00434D1E">
            <w:pPr>
              <w:widowControl w:val="0"/>
              <w:spacing w:before="190" w:line="278" w:lineRule="auto"/>
              <w:ind w:right="322"/>
              <w:jc w:val="both"/>
            </w:pPr>
            <w:r>
              <w:t xml:space="preserve">The Services will primarily be carried out at remote locations using online tools to communicate with the project team, however, face-to-face meetings may be required but this will </w:t>
            </w:r>
            <w:r>
              <w:lastRenderedPageBreak/>
              <w:t>be agreed between both Parties on what is the most efficient delivery method.</w:t>
            </w:r>
          </w:p>
        </w:tc>
      </w:tr>
      <w:tr w:rsidR="00F532B2" w14:paraId="61613DCF" w14:textId="77777777" w:rsidTr="000278E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4AA3B9" w14:textId="77777777" w:rsidR="00F532B2" w:rsidRDefault="00F532B2" w:rsidP="00F532B2">
            <w:pPr>
              <w:pStyle w:val="Standard"/>
              <w:widowControl w:val="0"/>
              <w:spacing w:before="190" w:after="0" w:line="280" w:lineRule="auto"/>
              <w:ind w:left="0" w:right="322" w:firstLine="0"/>
            </w:pPr>
            <w:r>
              <w:rPr>
                <w:b/>
              </w:rPr>
              <w:lastRenderedPageBreak/>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77B5D2" w14:textId="77777777" w:rsidR="00F532B2" w:rsidRDefault="00F532B2" w:rsidP="00F532B2">
            <w:pPr>
              <w:widowControl w:val="0"/>
              <w:spacing w:before="190" w:line="278" w:lineRule="auto"/>
              <w:ind w:right="322"/>
              <w:jc w:val="both"/>
            </w:pPr>
            <w:r>
              <w:t>The quality standards required for this Call-Off Contract are as follows, but for the avoidance of doubt, this does not replace the Service Definition Document as per the Digital Marketplace platform service with ID 888582300716394:</w:t>
            </w:r>
          </w:p>
          <w:p w14:paraId="4586E2F3" w14:textId="77777777" w:rsidR="00F532B2" w:rsidRDefault="00F532B2" w:rsidP="00F532B2">
            <w:pPr>
              <w:widowControl w:val="0"/>
              <w:numPr>
                <w:ilvl w:val="0"/>
                <w:numId w:val="88"/>
              </w:numPr>
              <w:suppressAutoHyphens w:val="0"/>
              <w:autoSpaceDN/>
              <w:spacing w:before="190" w:line="278" w:lineRule="auto"/>
              <w:ind w:right="322"/>
              <w:jc w:val="both"/>
              <w:textAlignment w:val="auto"/>
            </w:pPr>
            <w:r>
              <w:t>The Supplier must possess Cyber Essentials Plus certification, as a minimum.</w:t>
            </w:r>
          </w:p>
          <w:p w14:paraId="62BD5DD1" w14:textId="77777777" w:rsidR="00F532B2" w:rsidRDefault="00F532B2" w:rsidP="00F532B2">
            <w:pPr>
              <w:widowControl w:val="0"/>
              <w:numPr>
                <w:ilvl w:val="0"/>
                <w:numId w:val="88"/>
              </w:numPr>
              <w:suppressAutoHyphens w:val="0"/>
              <w:autoSpaceDN/>
              <w:spacing w:line="278" w:lineRule="auto"/>
              <w:ind w:right="322"/>
              <w:jc w:val="both"/>
              <w:textAlignment w:val="auto"/>
            </w:pPr>
            <w:r>
              <w:t>The Supplier shall provide a sufficient level of resources throughout the duration of the Call-Off Contract in order to consistently deliver a quality service;</w:t>
            </w:r>
          </w:p>
          <w:p w14:paraId="15C50E18" w14:textId="77777777" w:rsidR="00F532B2" w:rsidRDefault="00F532B2" w:rsidP="00F532B2">
            <w:pPr>
              <w:widowControl w:val="0"/>
              <w:numPr>
                <w:ilvl w:val="0"/>
                <w:numId w:val="88"/>
              </w:numPr>
              <w:suppressAutoHyphens w:val="0"/>
              <w:autoSpaceDN/>
              <w:spacing w:line="278" w:lineRule="auto"/>
              <w:ind w:right="322"/>
              <w:jc w:val="both"/>
              <w:textAlignment w:val="auto"/>
            </w:pPr>
            <w:r>
              <w:t xml:space="preserve">The Supplier’s staff assigned to the Call-Off Contract shall have the relevant qualifications and experience to deliver the Call-Off Contract to the required standard; and </w:t>
            </w:r>
          </w:p>
          <w:p w14:paraId="43BA692A" w14:textId="77777777" w:rsidR="00F532B2" w:rsidRDefault="00F532B2" w:rsidP="00F532B2">
            <w:pPr>
              <w:widowControl w:val="0"/>
              <w:numPr>
                <w:ilvl w:val="0"/>
                <w:numId w:val="88"/>
              </w:numPr>
              <w:suppressAutoHyphens w:val="0"/>
              <w:autoSpaceDN/>
              <w:spacing w:line="278" w:lineRule="auto"/>
              <w:ind w:right="322"/>
              <w:jc w:val="both"/>
              <w:textAlignment w:val="auto"/>
            </w:pPr>
            <w:r>
              <w:t>The Supplier shall ensure that staff understand the Buyer’s vision and objectives and will provide excellent customer service to the Buyer throughout the duration of the Call-Off Contract.</w:t>
            </w:r>
          </w:p>
        </w:tc>
      </w:tr>
      <w:tr w:rsidR="00F532B2" w14:paraId="0F54F572" w14:textId="77777777" w:rsidTr="000278E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8D07F6" w14:textId="77777777" w:rsidR="00F532B2" w:rsidRDefault="00F532B2" w:rsidP="00F532B2">
            <w:pPr>
              <w:pStyle w:val="Standard"/>
              <w:widowControl w:val="0"/>
              <w:spacing w:before="190" w:after="0" w:line="280"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77596F" w14:textId="77777777" w:rsidR="00F532B2" w:rsidRDefault="00F532B2" w:rsidP="00F532B2">
            <w:pPr>
              <w:widowControl w:val="0"/>
              <w:spacing w:before="190" w:line="278" w:lineRule="auto"/>
              <w:ind w:right="322"/>
              <w:jc w:val="both"/>
            </w:pPr>
            <w:r>
              <w:t>The technical standards used as a requirement for this Call-Off Contract are:</w:t>
            </w:r>
          </w:p>
          <w:p w14:paraId="60AED4D5" w14:textId="77777777" w:rsidR="00F532B2" w:rsidRDefault="00F532B2" w:rsidP="00F532B2">
            <w:pPr>
              <w:widowControl w:val="0"/>
              <w:numPr>
                <w:ilvl w:val="0"/>
                <w:numId w:val="90"/>
              </w:numPr>
              <w:suppressAutoHyphens w:val="0"/>
              <w:autoSpaceDN/>
              <w:spacing w:line="278" w:lineRule="auto"/>
              <w:ind w:left="992" w:right="315" w:hanging="283"/>
              <w:jc w:val="both"/>
              <w:textAlignment w:val="auto"/>
            </w:pPr>
            <w:r>
              <w:t>Data mapping from asset specific features onto the BDS;</w:t>
            </w:r>
          </w:p>
          <w:p w14:paraId="2E27E398" w14:textId="77777777" w:rsidR="00F532B2" w:rsidRDefault="00F532B2" w:rsidP="00F532B2">
            <w:pPr>
              <w:widowControl w:val="0"/>
              <w:numPr>
                <w:ilvl w:val="0"/>
                <w:numId w:val="90"/>
              </w:numPr>
              <w:suppressAutoHyphens w:val="0"/>
              <w:autoSpaceDN/>
              <w:spacing w:line="278" w:lineRule="auto"/>
              <w:ind w:left="992" w:right="315" w:hanging="283"/>
              <w:jc w:val="both"/>
              <w:textAlignment w:val="auto"/>
            </w:pPr>
            <w:r>
              <w:t>Data upload, storage and download using the Cabinet Office AWS platform (ETL, ELT)’ and</w:t>
            </w:r>
          </w:p>
          <w:p w14:paraId="4B530D7E" w14:textId="77777777" w:rsidR="00F532B2" w:rsidRDefault="00F532B2" w:rsidP="00F532B2">
            <w:pPr>
              <w:widowControl w:val="0"/>
              <w:numPr>
                <w:ilvl w:val="0"/>
                <w:numId w:val="90"/>
              </w:numPr>
              <w:suppressAutoHyphens w:val="0"/>
              <w:autoSpaceDN/>
              <w:spacing w:line="278" w:lineRule="auto"/>
              <w:ind w:left="992" w:right="315" w:hanging="283"/>
              <w:jc w:val="both"/>
              <w:textAlignment w:val="auto"/>
            </w:pPr>
            <w:r>
              <w:t xml:space="preserve">Supporting Cabinet Office Login Application (COLA). </w:t>
            </w:r>
          </w:p>
          <w:p w14:paraId="4C397B5B" w14:textId="77777777" w:rsidR="00F532B2" w:rsidRDefault="00F532B2" w:rsidP="00F532B2">
            <w:pPr>
              <w:widowControl w:val="0"/>
              <w:spacing w:before="190" w:line="283" w:lineRule="auto"/>
              <w:ind w:right="322"/>
              <w:jc w:val="both"/>
            </w:pPr>
            <w:r>
              <w:t>The Supplier is also expected to adhere and comply to the following standards where relevant:</w:t>
            </w:r>
          </w:p>
          <w:p w14:paraId="543E3111" w14:textId="77777777" w:rsidR="00F532B2" w:rsidRDefault="00F532B2" w:rsidP="00F532B2">
            <w:pPr>
              <w:widowControl w:val="0"/>
              <w:numPr>
                <w:ilvl w:val="0"/>
                <w:numId w:val="89"/>
              </w:numPr>
              <w:suppressAutoHyphens w:val="0"/>
              <w:autoSpaceDN/>
              <w:spacing w:before="190" w:line="283" w:lineRule="auto"/>
              <w:ind w:right="322"/>
              <w:jc w:val="both"/>
              <w:textAlignment w:val="auto"/>
            </w:pPr>
            <w:r>
              <w:t>The HMG Service Standard</w:t>
            </w:r>
          </w:p>
          <w:p w14:paraId="70ED3F4D" w14:textId="77777777" w:rsidR="00F532B2" w:rsidRDefault="00BD4475" w:rsidP="00F532B2">
            <w:pPr>
              <w:widowControl w:val="0"/>
              <w:numPr>
                <w:ilvl w:val="1"/>
                <w:numId w:val="89"/>
              </w:numPr>
              <w:suppressAutoHyphens w:val="0"/>
              <w:autoSpaceDN/>
              <w:spacing w:before="190" w:line="283" w:lineRule="auto"/>
              <w:ind w:right="322"/>
              <w:jc w:val="both"/>
              <w:textAlignment w:val="auto"/>
            </w:pPr>
            <w:hyperlink r:id="rId8">
              <w:r w:rsidR="00F532B2">
                <w:rPr>
                  <w:color w:val="1155CC"/>
                  <w:u w:val="single"/>
                </w:rPr>
                <w:t>https://www.gov.uk/service-manual/service-standard</w:t>
              </w:r>
            </w:hyperlink>
          </w:p>
          <w:p w14:paraId="58A25CEA" w14:textId="77777777" w:rsidR="00F532B2" w:rsidRDefault="00F532B2" w:rsidP="00F532B2">
            <w:pPr>
              <w:widowControl w:val="0"/>
              <w:numPr>
                <w:ilvl w:val="0"/>
                <w:numId w:val="89"/>
              </w:numPr>
              <w:suppressAutoHyphens w:val="0"/>
              <w:autoSpaceDN/>
              <w:spacing w:line="283" w:lineRule="auto"/>
              <w:ind w:right="322"/>
              <w:jc w:val="both"/>
              <w:textAlignment w:val="auto"/>
            </w:pPr>
            <w:r>
              <w:t>Technology Code of Practice</w:t>
            </w:r>
          </w:p>
          <w:p w14:paraId="67D3653B" w14:textId="77777777" w:rsidR="00F532B2" w:rsidRDefault="00BD4475" w:rsidP="00F532B2">
            <w:pPr>
              <w:widowControl w:val="0"/>
              <w:numPr>
                <w:ilvl w:val="1"/>
                <w:numId w:val="89"/>
              </w:numPr>
              <w:suppressAutoHyphens w:val="0"/>
              <w:autoSpaceDN/>
              <w:spacing w:before="190" w:line="283" w:lineRule="auto"/>
              <w:ind w:right="322"/>
              <w:jc w:val="both"/>
              <w:textAlignment w:val="auto"/>
            </w:pPr>
            <w:hyperlink r:id="rId9">
              <w:r w:rsidR="00F532B2">
                <w:rPr>
                  <w:color w:val="1155CC"/>
                  <w:u w:val="single"/>
                </w:rPr>
                <w:t>https://www.gov.uk/guidance/the-technology-code-of-practice</w:t>
              </w:r>
            </w:hyperlink>
          </w:p>
          <w:p w14:paraId="33DF7BAD" w14:textId="77777777" w:rsidR="00F532B2" w:rsidRDefault="00F532B2" w:rsidP="00F532B2">
            <w:pPr>
              <w:widowControl w:val="0"/>
              <w:numPr>
                <w:ilvl w:val="0"/>
                <w:numId w:val="89"/>
              </w:numPr>
              <w:suppressAutoHyphens w:val="0"/>
              <w:autoSpaceDN/>
              <w:spacing w:line="283" w:lineRule="auto"/>
              <w:ind w:right="322"/>
              <w:jc w:val="both"/>
              <w:textAlignment w:val="auto"/>
            </w:pPr>
            <w:r>
              <w:t>API Technical &amp; Data Standards.</w:t>
            </w:r>
          </w:p>
          <w:p w14:paraId="1F985D43" w14:textId="77777777" w:rsidR="00F532B2" w:rsidRDefault="00BD4475" w:rsidP="00F532B2">
            <w:pPr>
              <w:widowControl w:val="0"/>
              <w:numPr>
                <w:ilvl w:val="1"/>
                <w:numId w:val="89"/>
              </w:numPr>
              <w:suppressAutoHyphens w:val="0"/>
              <w:autoSpaceDN/>
              <w:spacing w:before="190" w:line="283" w:lineRule="auto"/>
              <w:ind w:right="322"/>
              <w:jc w:val="both"/>
              <w:textAlignment w:val="auto"/>
            </w:pPr>
            <w:hyperlink r:id="rId10">
              <w:r w:rsidR="00F532B2">
                <w:rPr>
                  <w:color w:val="1155CC"/>
                  <w:u w:val="single"/>
                </w:rPr>
                <w:t>https://www.gov.uk/guidance/gds-api-technical-and-data-standards</w:t>
              </w:r>
            </w:hyperlink>
          </w:p>
          <w:p w14:paraId="333E9CC5" w14:textId="77777777" w:rsidR="00F532B2" w:rsidRDefault="00F532B2" w:rsidP="00F532B2">
            <w:pPr>
              <w:widowControl w:val="0"/>
              <w:numPr>
                <w:ilvl w:val="0"/>
                <w:numId w:val="89"/>
              </w:numPr>
              <w:suppressAutoHyphens w:val="0"/>
              <w:autoSpaceDN/>
              <w:spacing w:line="283" w:lineRule="auto"/>
              <w:ind w:right="322"/>
              <w:jc w:val="both"/>
              <w:textAlignment w:val="auto"/>
            </w:pPr>
            <w:r>
              <w:t>HMG Security policy framework</w:t>
            </w:r>
          </w:p>
          <w:p w14:paraId="04110BB6" w14:textId="77777777" w:rsidR="00F532B2" w:rsidRDefault="00BD4475" w:rsidP="00F532B2">
            <w:pPr>
              <w:widowControl w:val="0"/>
              <w:numPr>
                <w:ilvl w:val="1"/>
                <w:numId w:val="89"/>
              </w:numPr>
              <w:suppressAutoHyphens w:val="0"/>
              <w:autoSpaceDN/>
              <w:spacing w:before="190" w:line="283" w:lineRule="auto"/>
              <w:ind w:right="322"/>
              <w:jc w:val="both"/>
              <w:textAlignment w:val="auto"/>
            </w:pPr>
            <w:hyperlink r:id="rId11">
              <w:r w:rsidR="00F532B2">
                <w:rPr>
                  <w:color w:val="1155CC"/>
                  <w:u w:val="single"/>
                </w:rPr>
                <w:t>https://www.gov.uk/government/publications/security-policy-framework/hmg-security-policy-framework</w:t>
              </w:r>
            </w:hyperlink>
          </w:p>
          <w:p w14:paraId="1CFAE5F0" w14:textId="77777777" w:rsidR="00F532B2" w:rsidRDefault="00F532B2" w:rsidP="00F532B2">
            <w:pPr>
              <w:widowControl w:val="0"/>
              <w:numPr>
                <w:ilvl w:val="0"/>
                <w:numId w:val="89"/>
              </w:numPr>
              <w:suppressAutoHyphens w:val="0"/>
              <w:autoSpaceDN/>
              <w:spacing w:line="283" w:lineRule="auto"/>
              <w:ind w:right="322"/>
              <w:jc w:val="both"/>
              <w:textAlignment w:val="auto"/>
            </w:pPr>
            <w:r>
              <w:t>NCSC CAF guidance</w:t>
            </w:r>
          </w:p>
          <w:p w14:paraId="6053F117" w14:textId="77777777" w:rsidR="00F532B2" w:rsidRDefault="00BD4475" w:rsidP="00F532B2">
            <w:pPr>
              <w:widowControl w:val="0"/>
              <w:numPr>
                <w:ilvl w:val="1"/>
                <w:numId w:val="89"/>
              </w:numPr>
              <w:suppressAutoHyphens w:val="0"/>
              <w:autoSpaceDN/>
              <w:spacing w:before="190" w:line="283" w:lineRule="auto"/>
              <w:ind w:right="322"/>
              <w:jc w:val="both"/>
              <w:textAlignment w:val="auto"/>
            </w:pPr>
            <w:hyperlink r:id="rId12">
              <w:r w:rsidR="00F532B2">
                <w:rPr>
                  <w:color w:val="1155CC"/>
                  <w:u w:val="single"/>
                </w:rPr>
                <w:t>https://www.ncsc.gov.uk/collection/caf/cyber-assessment-framework</w:t>
              </w:r>
            </w:hyperlink>
          </w:p>
        </w:tc>
      </w:tr>
      <w:tr w:rsidR="00280788" w14:paraId="76FFF0DE" w14:textId="77777777" w:rsidTr="000278E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58D414" w14:textId="77777777" w:rsidR="00280788" w:rsidRDefault="00280788" w:rsidP="00280788">
            <w:pPr>
              <w:pStyle w:val="Standard"/>
              <w:widowControl w:val="0"/>
              <w:spacing w:before="190" w:after="0" w:line="280" w:lineRule="auto"/>
              <w:ind w:left="0" w:right="322" w:firstLine="0"/>
            </w:pPr>
            <w:r>
              <w:rPr>
                <w:b/>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CCEFE9" w14:textId="77777777" w:rsidR="00280788" w:rsidRDefault="00280788" w:rsidP="00280788">
            <w:pPr>
              <w:widowControl w:val="0"/>
              <w:spacing w:before="200" w:line="276" w:lineRule="auto"/>
              <w:ind w:right="320"/>
              <w:jc w:val="both"/>
            </w:pPr>
            <w:r>
              <w:t>The service level and availability criteria required for this Call-Off Contract are:</w:t>
            </w:r>
          </w:p>
          <w:p w14:paraId="241CA606" w14:textId="77777777" w:rsidR="00280788" w:rsidRDefault="00280788" w:rsidP="00280788">
            <w:pPr>
              <w:widowControl w:val="0"/>
              <w:spacing w:before="200" w:line="276" w:lineRule="auto"/>
              <w:ind w:right="320"/>
              <w:jc w:val="both"/>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66"/>
              <w:gridCol w:w="2715"/>
              <w:gridCol w:w="1968"/>
            </w:tblGrid>
            <w:tr w:rsidR="00280788" w14:paraId="734E64B8" w14:textId="77777777" w:rsidTr="006365DA">
              <w:trPr>
                <w:trHeight w:val="540"/>
              </w:trPr>
              <w:tc>
                <w:tcPr>
                  <w:tcW w:w="1192" w:type="pct"/>
                  <w:tcBorders>
                    <w:top w:val="single" w:sz="8" w:space="0" w:color="000000"/>
                    <w:left w:val="single" w:sz="8" w:space="0" w:color="000000"/>
                    <w:bottom w:val="single" w:sz="8" w:space="0" w:color="000000"/>
                    <w:right w:val="single" w:sz="8" w:space="0" w:color="000000"/>
                  </w:tcBorders>
                  <w:shd w:val="clear" w:color="auto" w:fill="DBE5F1"/>
                  <w:tcMar>
                    <w:top w:w="0" w:type="dxa"/>
                    <w:left w:w="120" w:type="dxa"/>
                    <w:bottom w:w="0" w:type="dxa"/>
                    <w:right w:w="120" w:type="dxa"/>
                  </w:tcMar>
                </w:tcPr>
                <w:p w14:paraId="7A19E8B4" w14:textId="77777777" w:rsidR="00280788" w:rsidRDefault="00280788" w:rsidP="00280788">
                  <w:pPr>
                    <w:spacing w:after="240" w:line="276" w:lineRule="auto"/>
                    <w:ind w:right="-128"/>
                    <w:jc w:val="both"/>
                  </w:pPr>
                  <w:r>
                    <w:t>Deliverable</w:t>
                  </w:r>
                </w:p>
              </w:tc>
              <w:tc>
                <w:tcPr>
                  <w:tcW w:w="2208" w:type="pct"/>
                  <w:tcBorders>
                    <w:top w:val="single" w:sz="8" w:space="0" w:color="000000"/>
                    <w:left w:val="single" w:sz="8" w:space="0" w:color="000000"/>
                    <w:bottom w:val="single" w:sz="8" w:space="0" w:color="000000"/>
                    <w:right w:val="single" w:sz="8" w:space="0" w:color="000000"/>
                  </w:tcBorders>
                  <w:shd w:val="clear" w:color="auto" w:fill="DBE5F1"/>
                  <w:tcMar>
                    <w:top w:w="0" w:type="dxa"/>
                    <w:left w:w="120" w:type="dxa"/>
                    <w:bottom w:w="0" w:type="dxa"/>
                    <w:right w:w="120" w:type="dxa"/>
                  </w:tcMar>
                </w:tcPr>
                <w:p w14:paraId="4F0127E4" w14:textId="77777777" w:rsidR="00280788" w:rsidRDefault="00280788" w:rsidP="00280788">
                  <w:pPr>
                    <w:spacing w:after="240" w:line="276" w:lineRule="auto"/>
                    <w:jc w:val="both"/>
                  </w:pPr>
                  <w:r>
                    <w:t>Description</w:t>
                  </w:r>
                </w:p>
              </w:tc>
              <w:tc>
                <w:tcPr>
                  <w:tcW w:w="1600" w:type="pct"/>
                  <w:tcBorders>
                    <w:top w:val="single" w:sz="8" w:space="0" w:color="000000"/>
                    <w:left w:val="single" w:sz="8" w:space="0" w:color="000000"/>
                    <w:bottom w:val="single" w:sz="8" w:space="0" w:color="000000"/>
                    <w:right w:val="single" w:sz="8" w:space="0" w:color="000000"/>
                  </w:tcBorders>
                  <w:shd w:val="clear" w:color="auto" w:fill="DBE5F1"/>
                  <w:tcMar>
                    <w:top w:w="0" w:type="dxa"/>
                    <w:left w:w="120" w:type="dxa"/>
                    <w:bottom w:w="0" w:type="dxa"/>
                    <w:right w:w="120" w:type="dxa"/>
                  </w:tcMar>
                </w:tcPr>
                <w:p w14:paraId="7A64423F" w14:textId="77777777" w:rsidR="00280788" w:rsidRDefault="00280788" w:rsidP="00280788">
                  <w:pPr>
                    <w:spacing w:after="240" w:line="276" w:lineRule="auto"/>
                    <w:ind w:right="-60"/>
                    <w:jc w:val="both"/>
                  </w:pPr>
                  <w:r>
                    <w:t>Target</w:t>
                  </w:r>
                </w:p>
              </w:tc>
            </w:tr>
            <w:tr w:rsidR="00280788" w14:paraId="2847858F" w14:textId="77777777" w:rsidTr="006365DA">
              <w:trPr>
                <w:trHeight w:val="1635"/>
              </w:trPr>
              <w:tc>
                <w:tcPr>
                  <w:tcW w:w="1192" w:type="pct"/>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17ACE2C" w14:textId="77777777" w:rsidR="00280788" w:rsidRDefault="00280788" w:rsidP="00280788">
                  <w:pPr>
                    <w:spacing w:after="240" w:line="276" w:lineRule="auto"/>
                    <w:ind w:right="-128"/>
                    <w:jc w:val="both"/>
                  </w:pPr>
                  <w:r>
                    <w:t>D1</w:t>
                  </w:r>
                </w:p>
              </w:tc>
              <w:tc>
                <w:tcPr>
                  <w:tcW w:w="2208" w:type="pct"/>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F44340A" w14:textId="77777777" w:rsidR="00280788" w:rsidRDefault="00280788" w:rsidP="00280788">
                  <w:pPr>
                    <w:spacing w:after="240" w:line="276" w:lineRule="auto"/>
                    <w:jc w:val="both"/>
                  </w:pPr>
                  <w:r>
                    <w:t>Mobilise Supplier</w:t>
                  </w:r>
                </w:p>
              </w:tc>
              <w:tc>
                <w:tcPr>
                  <w:tcW w:w="1600" w:type="pct"/>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68D5D77" w14:textId="77777777" w:rsidR="00280788" w:rsidRDefault="00280788" w:rsidP="00280788">
                  <w:pPr>
                    <w:spacing w:after="240" w:line="276" w:lineRule="auto"/>
                    <w:jc w:val="both"/>
                  </w:pPr>
                  <w:r>
                    <w:t>Contract signed and Service Mobilised within 4 days of Contract Award</w:t>
                  </w:r>
                </w:p>
              </w:tc>
            </w:tr>
            <w:tr w:rsidR="00280788" w14:paraId="2BA05204" w14:textId="77777777" w:rsidTr="006365DA">
              <w:trPr>
                <w:trHeight w:val="1350"/>
              </w:trPr>
              <w:tc>
                <w:tcPr>
                  <w:tcW w:w="1192" w:type="pct"/>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5ADB8502" w14:textId="77777777" w:rsidR="00280788" w:rsidRDefault="00280788" w:rsidP="00280788">
                  <w:pPr>
                    <w:spacing w:after="240" w:line="276" w:lineRule="auto"/>
                    <w:ind w:right="-128"/>
                    <w:jc w:val="both"/>
                  </w:pPr>
                  <w:r>
                    <w:t>D2</w:t>
                  </w:r>
                </w:p>
              </w:tc>
              <w:tc>
                <w:tcPr>
                  <w:tcW w:w="2208" w:type="pct"/>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328A7133" w14:textId="77777777" w:rsidR="00280788" w:rsidRDefault="00280788" w:rsidP="00280788">
                  <w:pPr>
                    <w:spacing w:after="240" w:line="276" w:lineRule="auto"/>
                    <w:jc w:val="both"/>
                  </w:pPr>
                  <w:r>
                    <w:t>Upload first tranche of data in the BDS</w:t>
                  </w:r>
                </w:p>
              </w:tc>
              <w:tc>
                <w:tcPr>
                  <w:tcW w:w="1600" w:type="pct"/>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04257258" w14:textId="77777777" w:rsidR="00280788" w:rsidRDefault="00280788" w:rsidP="00280788">
                  <w:pPr>
                    <w:spacing w:after="240" w:line="276" w:lineRule="auto"/>
                    <w:jc w:val="both"/>
                  </w:pPr>
                  <w:r>
                    <w:t>Within 2 weeks of Contract Award and no later than 3 months</w:t>
                  </w:r>
                </w:p>
              </w:tc>
            </w:tr>
            <w:tr w:rsidR="00280788" w14:paraId="68EFB846" w14:textId="77777777" w:rsidTr="006365DA">
              <w:trPr>
                <w:trHeight w:val="2190"/>
              </w:trPr>
              <w:tc>
                <w:tcPr>
                  <w:tcW w:w="1192" w:type="pct"/>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40773833" w14:textId="77777777" w:rsidR="00280788" w:rsidRDefault="00280788" w:rsidP="00280788">
                  <w:pPr>
                    <w:spacing w:after="240" w:line="276" w:lineRule="auto"/>
                    <w:ind w:right="-128"/>
                    <w:jc w:val="both"/>
                  </w:pPr>
                  <w:r>
                    <w:t>D3</w:t>
                  </w:r>
                </w:p>
              </w:tc>
              <w:tc>
                <w:tcPr>
                  <w:tcW w:w="2208" w:type="pct"/>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38B3C0B6" w14:textId="77777777" w:rsidR="00280788" w:rsidRDefault="00280788" w:rsidP="00280788">
                  <w:pPr>
                    <w:spacing w:after="240" w:line="276" w:lineRule="auto"/>
                    <w:jc w:val="both"/>
                  </w:pPr>
                  <w:r>
                    <w:t>Train the Trainer: Data Upload. The Supplier shall provide instruction to transfer data from a system (e.g., MS Excel) to the Service, accessible to end users</w:t>
                  </w:r>
                </w:p>
              </w:tc>
              <w:tc>
                <w:tcPr>
                  <w:tcW w:w="1600" w:type="pct"/>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62F4EB32" w14:textId="77777777" w:rsidR="00280788" w:rsidRDefault="00280788" w:rsidP="00280788">
                  <w:pPr>
                    <w:spacing w:after="240" w:line="276" w:lineRule="auto"/>
                    <w:jc w:val="both"/>
                  </w:pPr>
                  <w:r>
                    <w:t>Within 6 months of Contract Award</w:t>
                  </w:r>
                </w:p>
              </w:tc>
            </w:tr>
          </w:tbl>
          <w:p w14:paraId="4F7D50D6" w14:textId="77777777" w:rsidR="00280788" w:rsidRDefault="00280788" w:rsidP="00280788">
            <w:pPr>
              <w:widowControl w:val="0"/>
              <w:spacing w:before="200" w:line="276" w:lineRule="auto"/>
              <w:ind w:right="320"/>
              <w:jc w:val="both"/>
            </w:pPr>
          </w:p>
          <w:tbl>
            <w:tblPr>
              <w:tblW w:w="6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1395"/>
              <w:gridCol w:w="2715"/>
              <w:gridCol w:w="1320"/>
            </w:tblGrid>
            <w:tr w:rsidR="00280788" w14:paraId="3BD279F8" w14:textId="77777777" w:rsidTr="006365DA">
              <w:trPr>
                <w:trHeight w:val="540"/>
              </w:trPr>
              <w:tc>
                <w:tcPr>
                  <w:tcW w:w="990" w:type="dxa"/>
                  <w:tcBorders>
                    <w:top w:val="single" w:sz="8" w:space="0" w:color="000000"/>
                    <w:left w:val="single" w:sz="8" w:space="0" w:color="000000"/>
                    <w:bottom w:val="single" w:sz="8" w:space="0" w:color="000000"/>
                    <w:right w:val="single" w:sz="8" w:space="0" w:color="000000"/>
                  </w:tcBorders>
                  <w:shd w:val="clear" w:color="auto" w:fill="DBE5F1"/>
                  <w:tcMar>
                    <w:top w:w="0" w:type="dxa"/>
                    <w:left w:w="120" w:type="dxa"/>
                    <w:bottom w:w="0" w:type="dxa"/>
                    <w:right w:w="120" w:type="dxa"/>
                  </w:tcMar>
                </w:tcPr>
                <w:p w14:paraId="159301CE" w14:textId="77777777" w:rsidR="00280788" w:rsidRDefault="00280788" w:rsidP="00280788">
                  <w:pPr>
                    <w:spacing w:after="240" w:line="276" w:lineRule="auto"/>
                    <w:ind w:hanging="1"/>
                    <w:jc w:val="both"/>
                  </w:pPr>
                  <w:r>
                    <w:t>KPI</w:t>
                  </w:r>
                </w:p>
              </w:tc>
              <w:tc>
                <w:tcPr>
                  <w:tcW w:w="1395" w:type="dxa"/>
                  <w:tcBorders>
                    <w:top w:val="single" w:sz="8" w:space="0" w:color="000000"/>
                    <w:left w:val="single" w:sz="8" w:space="0" w:color="000000"/>
                    <w:bottom w:val="single" w:sz="8" w:space="0" w:color="000000"/>
                    <w:right w:val="single" w:sz="8" w:space="0" w:color="000000"/>
                  </w:tcBorders>
                  <w:shd w:val="clear" w:color="auto" w:fill="DBE5F1"/>
                  <w:tcMar>
                    <w:top w:w="0" w:type="dxa"/>
                    <w:left w:w="120" w:type="dxa"/>
                    <w:bottom w:w="0" w:type="dxa"/>
                    <w:right w:w="120" w:type="dxa"/>
                  </w:tcMar>
                </w:tcPr>
                <w:p w14:paraId="43B8EA11" w14:textId="77777777" w:rsidR="00280788" w:rsidRDefault="00280788" w:rsidP="00280788">
                  <w:pPr>
                    <w:spacing w:after="240" w:line="276" w:lineRule="auto"/>
                    <w:ind w:right="-92"/>
                    <w:jc w:val="both"/>
                  </w:pPr>
                  <w:r>
                    <w:t>Title</w:t>
                  </w:r>
                </w:p>
              </w:tc>
              <w:tc>
                <w:tcPr>
                  <w:tcW w:w="2715" w:type="dxa"/>
                  <w:tcBorders>
                    <w:top w:val="single" w:sz="8" w:space="0" w:color="000000"/>
                    <w:left w:val="single" w:sz="8" w:space="0" w:color="000000"/>
                    <w:bottom w:val="single" w:sz="8" w:space="0" w:color="000000"/>
                    <w:right w:val="single" w:sz="8" w:space="0" w:color="000000"/>
                  </w:tcBorders>
                  <w:shd w:val="clear" w:color="auto" w:fill="DBE5F1"/>
                  <w:tcMar>
                    <w:top w:w="0" w:type="dxa"/>
                    <w:left w:w="120" w:type="dxa"/>
                    <w:bottom w:w="0" w:type="dxa"/>
                    <w:right w:w="120" w:type="dxa"/>
                  </w:tcMar>
                </w:tcPr>
                <w:p w14:paraId="27F86ACA" w14:textId="77777777" w:rsidR="00280788" w:rsidRDefault="00280788" w:rsidP="00280788">
                  <w:pPr>
                    <w:spacing w:after="240" w:line="276" w:lineRule="auto"/>
                    <w:ind w:right="-60"/>
                    <w:jc w:val="both"/>
                  </w:pPr>
                  <w:r>
                    <w:t>Description</w:t>
                  </w:r>
                </w:p>
              </w:tc>
              <w:tc>
                <w:tcPr>
                  <w:tcW w:w="1320" w:type="dxa"/>
                  <w:tcBorders>
                    <w:top w:val="single" w:sz="8" w:space="0" w:color="000000"/>
                    <w:left w:val="single" w:sz="8" w:space="0" w:color="000000"/>
                    <w:bottom w:val="single" w:sz="8" w:space="0" w:color="000000"/>
                    <w:right w:val="single" w:sz="8" w:space="0" w:color="000000"/>
                  </w:tcBorders>
                  <w:shd w:val="clear" w:color="auto" w:fill="DBE5F1"/>
                  <w:tcMar>
                    <w:top w:w="0" w:type="dxa"/>
                    <w:left w:w="120" w:type="dxa"/>
                    <w:bottom w:w="0" w:type="dxa"/>
                    <w:right w:w="120" w:type="dxa"/>
                  </w:tcMar>
                </w:tcPr>
                <w:p w14:paraId="00258E58" w14:textId="77777777" w:rsidR="00280788" w:rsidRDefault="00280788" w:rsidP="00280788">
                  <w:pPr>
                    <w:spacing w:after="240" w:line="276" w:lineRule="auto"/>
                    <w:ind w:right="-60"/>
                    <w:jc w:val="both"/>
                  </w:pPr>
                  <w:r>
                    <w:t>Target</w:t>
                  </w:r>
                </w:p>
              </w:tc>
            </w:tr>
            <w:tr w:rsidR="00280788" w14:paraId="41EA16F8" w14:textId="77777777" w:rsidTr="006365DA">
              <w:trPr>
                <w:trHeight w:val="810"/>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149DFB2F" w14:textId="77777777" w:rsidR="00280788" w:rsidRDefault="00280788" w:rsidP="00280788">
                  <w:pPr>
                    <w:spacing w:after="240" w:line="276" w:lineRule="auto"/>
                    <w:ind w:hanging="1"/>
                    <w:jc w:val="both"/>
                  </w:pPr>
                  <w:r>
                    <w:t>KPI1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0BBA0502" w14:textId="77777777" w:rsidR="00280788" w:rsidRDefault="00280788" w:rsidP="00280788">
                  <w:pPr>
                    <w:spacing w:after="240" w:line="276" w:lineRule="auto"/>
                    <w:ind w:right="-92"/>
                    <w:jc w:val="both"/>
                  </w:pPr>
                  <w:r>
                    <w:t>Mean Time to Respond</w:t>
                  </w:r>
                </w:p>
              </w:tc>
              <w:tc>
                <w:tcPr>
                  <w:tcW w:w="271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A5EC36A" w14:textId="77777777" w:rsidR="00280788" w:rsidRDefault="00280788" w:rsidP="00280788">
                  <w:pPr>
                    <w:spacing w:after="240" w:line="276" w:lineRule="auto"/>
                    <w:ind w:right="-60"/>
                    <w:jc w:val="both"/>
                  </w:pPr>
                  <w:r>
                    <w:t>Average time to respond to incidents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07BA15C" w14:textId="77777777" w:rsidR="00280788" w:rsidRDefault="00280788" w:rsidP="00280788">
                  <w:pPr>
                    <w:spacing w:after="240" w:line="276" w:lineRule="auto"/>
                    <w:jc w:val="both"/>
                  </w:pPr>
                  <w:r>
                    <w:t>24 hours</w:t>
                  </w:r>
                </w:p>
              </w:tc>
            </w:tr>
            <w:tr w:rsidR="00280788" w14:paraId="31CE9EA2" w14:textId="77777777" w:rsidTr="006365DA">
              <w:trPr>
                <w:trHeight w:val="810"/>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4C800C0C" w14:textId="77777777" w:rsidR="00280788" w:rsidRDefault="00280788" w:rsidP="00280788">
                  <w:pPr>
                    <w:spacing w:after="240" w:line="276" w:lineRule="auto"/>
                    <w:ind w:hanging="1"/>
                    <w:jc w:val="both"/>
                  </w:pPr>
                  <w:r>
                    <w:t>KPI2</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675B0E09" w14:textId="77777777" w:rsidR="00280788" w:rsidRDefault="00280788" w:rsidP="00280788">
                  <w:pPr>
                    <w:spacing w:after="240" w:line="276" w:lineRule="auto"/>
                    <w:ind w:right="-92"/>
                    <w:jc w:val="both"/>
                  </w:pPr>
                  <w:r>
                    <w:t>Mean Time to Resolve</w:t>
                  </w:r>
                </w:p>
              </w:tc>
              <w:tc>
                <w:tcPr>
                  <w:tcW w:w="271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B365BC4" w14:textId="77777777" w:rsidR="00280788" w:rsidRDefault="00280788" w:rsidP="00280788">
                  <w:pPr>
                    <w:spacing w:after="240" w:line="276" w:lineRule="auto"/>
                    <w:ind w:right="-60"/>
                    <w:jc w:val="both"/>
                  </w:pPr>
                  <w:r>
                    <w:t>Average time to resolve incidents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5F6B48A4" w14:textId="77777777" w:rsidR="00280788" w:rsidRDefault="00280788" w:rsidP="00280788">
                  <w:pPr>
                    <w:spacing w:after="240" w:line="276" w:lineRule="auto"/>
                    <w:jc w:val="both"/>
                  </w:pPr>
                  <w:r>
                    <w:t>5 days</w:t>
                  </w:r>
                </w:p>
              </w:tc>
            </w:tr>
            <w:tr w:rsidR="00280788" w14:paraId="323319A2" w14:textId="77777777" w:rsidTr="006365DA">
              <w:trPr>
                <w:trHeight w:val="1350"/>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5EA88BA2" w14:textId="77777777" w:rsidR="00280788" w:rsidRDefault="00280788" w:rsidP="00280788">
                  <w:pPr>
                    <w:spacing w:after="240" w:line="276" w:lineRule="auto"/>
                    <w:ind w:hanging="1"/>
                    <w:jc w:val="both"/>
                  </w:pPr>
                  <w:r>
                    <w:t>KPI3</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0301BD71" w14:textId="77777777" w:rsidR="00280788" w:rsidRDefault="00280788" w:rsidP="00280788">
                  <w:pPr>
                    <w:spacing w:after="240" w:line="276" w:lineRule="auto"/>
                    <w:ind w:right="-92"/>
                    <w:jc w:val="both"/>
                  </w:pPr>
                  <w:r>
                    <w:t>Incident Resolution Rate</w:t>
                  </w:r>
                </w:p>
              </w:tc>
              <w:tc>
                <w:tcPr>
                  <w:tcW w:w="271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4CD47A1" w14:textId="77777777" w:rsidR="00280788" w:rsidRDefault="00280788" w:rsidP="00280788">
                  <w:pPr>
                    <w:spacing w:after="240" w:line="276" w:lineRule="auto"/>
                    <w:ind w:right="-60"/>
                    <w:jc w:val="both"/>
                  </w:pPr>
                  <w:r>
                    <w:t>Percentage of incidents resolved first time by supplier within relevant SLA(s) target(s)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0241D272" w14:textId="77777777" w:rsidR="00280788" w:rsidRDefault="00280788" w:rsidP="00280788">
                  <w:pPr>
                    <w:spacing w:after="240" w:line="276" w:lineRule="auto"/>
                    <w:jc w:val="both"/>
                  </w:pPr>
                  <w:r>
                    <w:t>95%</w:t>
                  </w:r>
                </w:p>
              </w:tc>
            </w:tr>
            <w:tr w:rsidR="00280788" w14:paraId="588069B1" w14:textId="77777777" w:rsidTr="006365DA">
              <w:trPr>
                <w:trHeight w:val="2190"/>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6D6B3ADC" w14:textId="77777777" w:rsidR="00280788" w:rsidRDefault="00280788" w:rsidP="00280788">
                  <w:pPr>
                    <w:spacing w:after="240" w:line="276" w:lineRule="auto"/>
                    <w:ind w:hanging="1"/>
                    <w:jc w:val="both"/>
                  </w:pPr>
                  <w:r>
                    <w:lastRenderedPageBreak/>
                    <w:t>KPI4</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45BE070D" w14:textId="77777777" w:rsidR="00280788" w:rsidRDefault="00280788" w:rsidP="00280788">
                  <w:pPr>
                    <w:spacing w:after="240" w:line="276" w:lineRule="auto"/>
                    <w:ind w:right="-92"/>
                    <w:jc w:val="both"/>
                  </w:pPr>
                  <w:r>
                    <w:t>Customer Satisfaction</w:t>
                  </w:r>
                </w:p>
              </w:tc>
              <w:tc>
                <w:tcPr>
                  <w:tcW w:w="271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62164C0" w14:textId="77777777" w:rsidR="00280788" w:rsidRDefault="00280788" w:rsidP="00280788">
                  <w:pPr>
                    <w:spacing w:after="240" w:line="276" w:lineRule="auto"/>
                    <w:ind w:right="-60"/>
                    <w:jc w:val="both"/>
                  </w:pPr>
                  <w:r>
                    <w:t>IPA survey results on Supplier perceived performance and identify areas for potential improvement. Questions and format to be agreed between IPA and Supplier.</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6A22EA39" w14:textId="77777777" w:rsidR="00280788" w:rsidRDefault="00280788" w:rsidP="00280788">
                  <w:pPr>
                    <w:spacing w:after="240" w:line="276" w:lineRule="auto"/>
                    <w:jc w:val="both"/>
                  </w:pPr>
                  <w:r>
                    <w:t>80%</w:t>
                  </w:r>
                </w:p>
              </w:tc>
            </w:tr>
            <w:tr w:rsidR="00280788" w14:paraId="377E6E6E" w14:textId="77777777" w:rsidTr="006365DA">
              <w:trPr>
                <w:trHeight w:val="1080"/>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51639519" w14:textId="77777777" w:rsidR="00280788" w:rsidRDefault="00280788" w:rsidP="00280788">
                  <w:pPr>
                    <w:spacing w:after="240" w:line="276" w:lineRule="auto"/>
                    <w:ind w:hanging="1"/>
                    <w:jc w:val="both"/>
                  </w:pPr>
                  <w:r>
                    <w:t>KPI5</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45BCC33" w14:textId="77777777" w:rsidR="00280788" w:rsidRDefault="00280788" w:rsidP="00280788">
                  <w:pPr>
                    <w:spacing w:after="240" w:line="276" w:lineRule="auto"/>
                    <w:ind w:right="-92"/>
                    <w:jc w:val="both"/>
                  </w:pPr>
                  <w:r>
                    <w:t>Compliance with SLAs</w:t>
                  </w:r>
                </w:p>
              </w:tc>
              <w:tc>
                <w:tcPr>
                  <w:tcW w:w="271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00B5C4DB" w14:textId="77777777" w:rsidR="00280788" w:rsidRDefault="00280788" w:rsidP="00280788">
                  <w:pPr>
                    <w:spacing w:after="240" w:line="276" w:lineRule="auto"/>
                    <w:ind w:right="-60"/>
                    <w:jc w:val="both"/>
                  </w:pPr>
                  <w:r>
                    <w:t>Measure of Supplier adherence to defined SLAs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584DB0A4" w14:textId="77777777" w:rsidR="00280788" w:rsidRDefault="00280788" w:rsidP="00280788">
                  <w:pPr>
                    <w:spacing w:after="240" w:line="276" w:lineRule="auto"/>
                    <w:jc w:val="both"/>
                  </w:pPr>
                  <w:r>
                    <w:t>95%</w:t>
                  </w:r>
                </w:p>
              </w:tc>
            </w:tr>
          </w:tbl>
          <w:p w14:paraId="085F31A7" w14:textId="77777777" w:rsidR="00280788" w:rsidRDefault="00280788" w:rsidP="00280788">
            <w:pPr>
              <w:widowControl w:val="0"/>
              <w:spacing w:before="200" w:line="276" w:lineRule="auto"/>
              <w:ind w:right="320"/>
              <w:jc w:val="both"/>
            </w:pPr>
          </w:p>
          <w:tbl>
            <w:tblPr>
              <w:tblW w:w="6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350"/>
              <w:gridCol w:w="2445"/>
              <w:gridCol w:w="1230"/>
            </w:tblGrid>
            <w:tr w:rsidR="00280788" w14:paraId="782F574F" w14:textId="77777777" w:rsidTr="006365DA">
              <w:trPr>
                <w:trHeight w:val="810"/>
              </w:trPr>
              <w:tc>
                <w:tcPr>
                  <w:tcW w:w="1170" w:type="dxa"/>
                  <w:tcBorders>
                    <w:top w:val="single" w:sz="8" w:space="0" w:color="000000"/>
                    <w:left w:val="single" w:sz="8" w:space="0" w:color="000000"/>
                    <w:bottom w:val="single" w:sz="8" w:space="0" w:color="000000"/>
                    <w:right w:val="single" w:sz="8" w:space="0" w:color="000000"/>
                  </w:tcBorders>
                  <w:shd w:val="clear" w:color="auto" w:fill="B8CCE4"/>
                  <w:tcMar>
                    <w:top w:w="0" w:type="dxa"/>
                    <w:left w:w="120" w:type="dxa"/>
                    <w:bottom w:w="0" w:type="dxa"/>
                    <w:right w:w="120" w:type="dxa"/>
                  </w:tcMar>
                </w:tcPr>
                <w:p w14:paraId="47009647" w14:textId="77777777" w:rsidR="00280788" w:rsidRDefault="00280788" w:rsidP="00280788">
                  <w:pPr>
                    <w:widowControl w:val="0"/>
                    <w:spacing w:after="240" w:line="276" w:lineRule="auto"/>
                    <w:ind w:right="-60"/>
                    <w:jc w:val="both"/>
                  </w:pPr>
                  <w:r>
                    <w:t>SLA</w:t>
                  </w:r>
                </w:p>
              </w:tc>
              <w:tc>
                <w:tcPr>
                  <w:tcW w:w="1350" w:type="dxa"/>
                  <w:tcBorders>
                    <w:top w:val="single" w:sz="8" w:space="0" w:color="000000"/>
                    <w:left w:val="single" w:sz="8" w:space="0" w:color="000000"/>
                    <w:bottom w:val="single" w:sz="8" w:space="0" w:color="000000"/>
                    <w:right w:val="single" w:sz="8" w:space="0" w:color="000000"/>
                  </w:tcBorders>
                  <w:shd w:val="clear" w:color="auto" w:fill="B8CCE4"/>
                  <w:tcMar>
                    <w:top w:w="0" w:type="dxa"/>
                    <w:left w:w="120" w:type="dxa"/>
                    <w:bottom w:w="0" w:type="dxa"/>
                    <w:right w:w="120" w:type="dxa"/>
                  </w:tcMar>
                </w:tcPr>
                <w:p w14:paraId="7C920DFC" w14:textId="77777777" w:rsidR="00280788" w:rsidRDefault="00280788" w:rsidP="00280788">
                  <w:pPr>
                    <w:widowControl w:val="0"/>
                    <w:spacing w:after="240" w:line="276" w:lineRule="auto"/>
                    <w:ind w:right="-60"/>
                    <w:jc w:val="both"/>
                  </w:pPr>
                  <w:r>
                    <w:t>Service Area</w:t>
                  </w:r>
                </w:p>
              </w:tc>
              <w:tc>
                <w:tcPr>
                  <w:tcW w:w="2445" w:type="dxa"/>
                  <w:tcBorders>
                    <w:top w:val="single" w:sz="8" w:space="0" w:color="000000"/>
                    <w:left w:val="single" w:sz="8" w:space="0" w:color="000000"/>
                    <w:bottom w:val="single" w:sz="8" w:space="0" w:color="000000"/>
                    <w:right w:val="single" w:sz="8" w:space="0" w:color="000000"/>
                  </w:tcBorders>
                  <w:shd w:val="clear" w:color="auto" w:fill="B8CCE4"/>
                  <w:tcMar>
                    <w:top w:w="0" w:type="dxa"/>
                    <w:left w:w="120" w:type="dxa"/>
                    <w:bottom w:w="0" w:type="dxa"/>
                    <w:right w:w="120" w:type="dxa"/>
                  </w:tcMar>
                </w:tcPr>
                <w:p w14:paraId="0A2F87D8" w14:textId="77777777" w:rsidR="00280788" w:rsidRDefault="00280788" w:rsidP="00280788">
                  <w:pPr>
                    <w:widowControl w:val="0"/>
                    <w:spacing w:after="240" w:line="276" w:lineRule="auto"/>
                    <w:ind w:right="-60"/>
                    <w:jc w:val="both"/>
                  </w:pPr>
                  <w:r>
                    <w:t>KPI Description</w:t>
                  </w:r>
                </w:p>
              </w:tc>
              <w:tc>
                <w:tcPr>
                  <w:tcW w:w="1230" w:type="dxa"/>
                  <w:tcBorders>
                    <w:top w:val="single" w:sz="8" w:space="0" w:color="000000"/>
                    <w:left w:val="single" w:sz="8" w:space="0" w:color="000000"/>
                    <w:bottom w:val="single" w:sz="8" w:space="0" w:color="000000"/>
                    <w:right w:val="single" w:sz="8" w:space="0" w:color="000000"/>
                  </w:tcBorders>
                  <w:shd w:val="clear" w:color="auto" w:fill="B8CCE4"/>
                  <w:tcMar>
                    <w:top w:w="0" w:type="dxa"/>
                    <w:left w:w="120" w:type="dxa"/>
                    <w:bottom w:w="0" w:type="dxa"/>
                    <w:right w:w="120" w:type="dxa"/>
                  </w:tcMar>
                </w:tcPr>
                <w:p w14:paraId="5C7B105B" w14:textId="77777777" w:rsidR="00280788" w:rsidRDefault="00280788" w:rsidP="00280788">
                  <w:pPr>
                    <w:widowControl w:val="0"/>
                    <w:spacing w:after="240" w:line="276" w:lineRule="auto"/>
                    <w:ind w:right="-60"/>
                    <w:jc w:val="both"/>
                  </w:pPr>
                  <w:r>
                    <w:t>Target</w:t>
                  </w:r>
                </w:p>
              </w:tc>
            </w:tr>
            <w:tr w:rsidR="00280788" w14:paraId="5AC5B222" w14:textId="77777777" w:rsidTr="006365DA">
              <w:trPr>
                <w:trHeight w:val="1635"/>
              </w:trPr>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4B357340" w14:textId="77777777" w:rsidR="00280788" w:rsidRDefault="00280788" w:rsidP="00280788">
                  <w:pPr>
                    <w:widowControl w:val="0"/>
                    <w:spacing w:after="240" w:line="276" w:lineRule="auto"/>
                    <w:ind w:right="-62"/>
                    <w:jc w:val="both"/>
                  </w:pPr>
                  <w:r>
                    <w:t>SLA1</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5C933A56" w14:textId="77777777" w:rsidR="00280788" w:rsidRDefault="00280788" w:rsidP="00280788">
                  <w:pPr>
                    <w:widowControl w:val="0"/>
                    <w:spacing w:after="240" w:line="276" w:lineRule="auto"/>
                    <w:jc w:val="both"/>
                  </w:pPr>
                  <w:r>
                    <w:t>Availability</w:t>
                  </w: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1731D826" w14:textId="77777777" w:rsidR="00280788" w:rsidRDefault="00280788" w:rsidP="00280788">
                  <w:pPr>
                    <w:widowControl w:val="0"/>
                    <w:spacing w:after="240" w:line="276" w:lineRule="auto"/>
                    <w:jc w:val="both"/>
                  </w:pPr>
                  <w:r>
                    <w:t>Service availability for end users and the IPA to perform administrative tasks, including data upload.</w:t>
                  </w:r>
                </w:p>
              </w:tc>
              <w:tc>
                <w:tcPr>
                  <w:tcW w:w="123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6E3DFAA6" w14:textId="77777777" w:rsidR="00280788" w:rsidRDefault="00280788" w:rsidP="00280788">
                  <w:pPr>
                    <w:widowControl w:val="0"/>
                    <w:spacing w:after="240" w:line="276" w:lineRule="auto"/>
                    <w:ind w:right="-2"/>
                    <w:jc w:val="both"/>
                  </w:pPr>
                  <w:r>
                    <w:t>99% (monthly)</w:t>
                  </w:r>
                </w:p>
              </w:tc>
            </w:tr>
            <w:tr w:rsidR="00280788" w14:paraId="6BA4E357" w14:textId="77777777" w:rsidTr="006365DA">
              <w:trPr>
                <w:trHeight w:val="2190"/>
              </w:trPr>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6D4F97B1" w14:textId="77777777" w:rsidR="00280788" w:rsidRDefault="00280788" w:rsidP="00280788">
                  <w:pPr>
                    <w:widowControl w:val="0"/>
                    <w:spacing w:after="240" w:line="276" w:lineRule="auto"/>
                    <w:ind w:right="-62"/>
                    <w:jc w:val="both"/>
                    <w:rPr>
                      <w:vertAlign w:val="superscript"/>
                    </w:rPr>
                  </w:pPr>
                  <w:r>
                    <w:t>SLA2</w:t>
                  </w:r>
                  <w:r>
                    <w:rPr>
                      <w:vertAlign w:val="superscript"/>
                    </w:rPr>
                    <w:t>1</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17B5D3C" w14:textId="77777777" w:rsidR="00280788" w:rsidRDefault="00280788" w:rsidP="00280788">
                  <w:pPr>
                    <w:widowControl w:val="0"/>
                    <w:spacing w:after="240" w:line="276" w:lineRule="auto"/>
                    <w:jc w:val="both"/>
                    <w:rPr>
                      <w:vertAlign w:val="superscript"/>
                    </w:rPr>
                  </w:pPr>
                  <w:r>
                    <w:t>Response Time</w:t>
                  </w:r>
                  <w:r>
                    <w:rPr>
                      <w:vertAlign w:val="superscript"/>
                    </w:rPr>
                    <w:t>2</w:t>
                  </w: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14B48B0F" w14:textId="77777777" w:rsidR="00280788" w:rsidRDefault="00280788" w:rsidP="00280788">
                  <w:pPr>
                    <w:widowControl w:val="0"/>
                    <w:spacing w:after="240" w:line="276" w:lineRule="auto"/>
                    <w:jc w:val="both"/>
                  </w:pPr>
                  <w:r>
                    <w:t>Time to acknowledge and commence activities to address the incident. This includes the IPA and Supplier agreement on incident priority level.</w:t>
                  </w:r>
                </w:p>
              </w:tc>
              <w:tc>
                <w:tcPr>
                  <w:tcW w:w="123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6D478421" w14:textId="77777777" w:rsidR="00280788" w:rsidRDefault="00280788" w:rsidP="00280788">
                  <w:pPr>
                    <w:widowControl w:val="0"/>
                    <w:spacing w:after="240" w:line="276" w:lineRule="auto"/>
                    <w:ind w:right="-2"/>
                    <w:jc w:val="both"/>
                    <w:rPr>
                      <w:vertAlign w:val="superscript"/>
                    </w:rPr>
                  </w:pPr>
                  <w:r>
                    <w:t>See priority table</w:t>
                  </w:r>
                </w:p>
              </w:tc>
            </w:tr>
            <w:tr w:rsidR="00280788" w14:paraId="4F1E457F" w14:textId="77777777" w:rsidTr="006365DA">
              <w:trPr>
                <w:trHeight w:val="1140"/>
              </w:trPr>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FB27C77" w14:textId="77777777" w:rsidR="00280788" w:rsidRDefault="00280788" w:rsidP="00280788">
                  <w:pPr>
                    <w:widowControl w:val="0"/>
                    <w:spacing w:after="240" w:line="276" w:lineRule="auto"/>
                    <w:ind w:right="-62"/>
                    <w:jc w:val="both"/>
                    <w:rPr>
                      <w:vertAlign w:val="superscript"/>
                    </w:rPr>
                  </w:pPr>
                  <w:r>
                    <w:t>SLA3</w:t>
                  </w:r>
                  <w:r>
                    <w:rPr>
                      <w:vertAlign w:val="superscript"/>
                    </w:rPr>
                    <w:t>1</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6D5D9E72" w14:textId="77777777" w:rsidR="00280788" w:rsidRDefault="00280788" w:rsidP="00280788">
                  <w:pPr>
                    <w:widowControl w:val="0"/>
                    <w:spacing w:after="240" w:line="276" w:lineRule="auto"/>
                    <w:jc w:val="both"/>
                  </w:pPr>
                  <w:r>
                    <w:t>Resolution Time</w:t>
                  </w:r>
                  <w:r>
                    <w:rPr>
                      <w:vertAlign w:val="superscript"/>
                    </w:rPr>
                    <w:t>2</w:t>
                  </w: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3B94649D" w14:textId="77777777" w:rsidR="00280788" w:rsidRDefault="00280788" w:rsidP="00280788">
                  <w:pPr>
                    <w:widowControl w:val="0"/>
                    <w:spacing w:after="240" w:line="276" w:lineRule="auto"/>
                    <w:jc w:val="both"/>
                  </w:pPr>
                  <w:r>
                    <w:t>Time to resolve incidents</w:t>
                  </w:r>
                </w:p>
              </w:tc>
              <w:tc>
                <w:tcPr>
                  <w:tcW w:w="123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46E4B5C6" w14:textId="77777777" w:rsidR="00280788" w:rsidRDefault="00280788" w:rsidP="00280788">
                  <w:pPr>
                    <w:widowControl w:val="0"/>
                    <w:spacing w:after="240" w:line="276" w:lineRule="auto"/>
                    <w:ind w:right="-2"/>
                    <w:jc w:val="both"/>
                    <w:rPr>
                      <w:vertAlign w:val="superscript"/>
                    </w:rPr>
                  </w:pPr>
                  <w:r>
                    <w:t>See priority table</w:t>
                  </w:r>
                </w:p>
              </w:tc>
            </w:tr>
          </w:tbl>
          <w:p w14:paraId="575CE770" w14:textId="77777777" w:rsidR="00280788" w:rsidRDefault="00280788" w:rsidP="00280788">
            <w:pPr>
              <w:widowControl w:val="0"/>
              <w:spacing w:before="200" w:line="276" w:lineRule="auto"/>
              <w:ind w:right="320"/>
              <w:jc w:val="both"/>
            </w:pPr>
            <w:r>
              <w:rPr>
                <w:vertAlign w:val="superscript"/>
              </w:rPr>
              <w:t>1</w:t>
            </w:r>
            <w:r>
              <w:t xml:space="preserve"> Refer to priority definitions (below)</w:t>
            </w:r>
          </w:p>
          <w:p w14:paraId="22278669" w14:textId="77777777" w:rsidR="00280788" w:rsidRDefault="00280788" w:rsidP="00280788">
            <w:pPr>
              <w:widowControl w:val="0"/>
              <w:spacing w:before="200" w:line="276" w:lineRule="auto"/>
              <w:ind w:right="320"/>
              <w:jc w:val="both"/>
            </w:pPr>
            <w:r>
              <w:rPr>
                <w:vertAlign w:val="superscript"/>
              </w:rPr>
              <w:t xml:space="preserve">2 </w:t>
            </w:r>
            <w:r>
              <w:t>Business hours Monday to Friday, 09:00 to 18:00 (excluding UK bank holidays)</w:t>
            </w:r>
          </w:p>
          <w:p w14:paraId="615C3200" w14:textId="77777777" w:rsidR="00280788" w:rsidRDefault="00280788" w:rsidP="00280788">
            <w:pPr>
              <w:widowControl w:val="0"/>
              <w:spacing w:before="200" w:line="276" w:lineRule="auto"/>
              <w:ind w:right="320"/>
              <w:jc w:val="both"/>
              <w:rPr>
                <w:b/>
              </w:rPr>
            </w:pPr>
            <w:r>
              <w:rPr>
                <w:b/>
              </w:rPr>
              <w:t>Priority Definitions</w:t>
            </w:r>
          </w:p>
          <w:p w14:paraId="28F70B42" w14:textId="77777777" w:rsidR="00280788" w:rsidRDefault="00280788" w:rsidP="00280788">
            <w:pPr>
              <w:widowControl w:val="0"/>
              <w:spacing w:before="200" w:line="276" w:lineRule="auto"/>
              <w:ind w:right="320"/>
              <w:jc w:val="both"/>
              <w:rPr>
                <w:b/>
              </w:rPr>
            </w:pPr>
          </w:p>
          <w:tbl>
            <w:tblPr>
              <w:tblW w:w="6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330"/>
              <w:gridCol w:w="1575"/>
            </w:tblGrid>
            <w:tr w:rsidR="00280788" w14:paraId="131D3BC2" w14:textId="77777777" w:rsidTr="006365DA">
              <w:trPr>
                <w:trHeight w:val="780"/>
              </w:trPr>
              <w:tc>
                <w:tcPr>
                  <w:tcW w:w="1305" w:type="dxa"/>
                  <w:tcBorders>
                    <w:top w:val="single" w:sz="8" w:space="0" w:color="000000"/>
                    <w:left w:val="single" w:sz="8" w:space="0" w:color="000000"/>
                    <w:bottom w:val="single" w:sz="8" w:space="0" w:color="000000"/>
                    <w:right w:val="single" w:sz="8" w:space="0" w:color="000000"/>
                  </w:tcBorders>
                  <w:shd w:val="clear" w:color="auto" w:fill="B8CCE4"/>
                  <w:tcMar>
                    <w:top w:w="0" w:type="dxa"/>
                    <w:left w:w="120" w:type="dxa"/>
                    <w:bottom w:w="0" w:type="dxa"/>
                    <w:right w:w="120" w:type="dxa"/>
                  </w:tcMar>
                </w:tcPr>
                <w:p w14:paraId="2877B3FA" w14:textId="77777777" w:rsidR="00280788" w:rsidRDefault="00280788" w:rsidP="00BF2D83">
                  <w:pPr>
                    <w:pStyle w:val="Heading2"/>
                    <w:keepNext w:val="0"/>
                    <w:keepLines w:val="0"/>
                    <w:widowControl w:val="0"/>
                    <w:spacing w:after="240" w:line="278" w:lineRule="auto"/>
                    <w:ind w:left="0" w:right="-68"/>
                    <w:jc w:val="both"/>
                    <w:rPr>
                      <w:sz w:val="24"/>
                      <w:szCs w:val="24"/>
                    </w:rPr>
                  </w:pPr>
                  <w:bookmarkStart w:id="2" w:name="_vbjka7n40nl5" w:colFirst="0" w:colLast="0"/>
                  <w:bookmarkEnd w:id="2"/>
                  <w:r>
                    <w:rPr>
                      <w:sz w:val="24"/>
                      <w:szCs w:val="24"/>
                    </w:rPr>
                    <w:t>Priority Level</w:t>
                  </w:r>
                </w:p>
              </w:tc>
              <w:tc>
                <w:tcPr>
                  <w:tcW w:w="3330" w:type="dxa"/>
                  <w:tcBorders>
                    <w:top w:val="single" w:sz="8" w:space="0" w:color="000000"/>
                    <w:left w:val="single" w:sz="8" w:space="0" w:color="000000"/>
                    <w:bottom w:val="single" w:sz="8" w:space="0" w:color="000000"/>
                    <w:right w:val="single" w:sz="8" w:space="0" w:color="000000"/>
                  </w:tcBorders>
                  <w:shd w:val="clear" w:color="auto" w:fill="B8CCE4"/>
                  <w:tcMar>
                    <w:top w:w="0" w:type="dxa"/>
                    <w:left w:w="120" w:type="dxa"/>
                    <w:bottom w:w="0" w:type="dxa"/>
                    <w:right w:w="120" w:type="dxa"/>
                  </w:tcMar>
                </w:tcPr>
                <w:p w14:paraId="13403EDC" w14:textId="77777777" w:rsidR="00280788" w:rsidRDefault="00280788" w:rsidP="00BF2D83">
                  <w:pPr>
                    <w:pStyle w:val="Heading2"/>
                    <w:keepNext w:val="0"/>
                    <w:keepLines w:val="0"/>
                    <w:widowControl w:val="0"/>
                    <w:spacing w:after="240" w:line="278" w:lineRule="auto"/>
                    <w:ind w:left="22" w:right="-28"/>
                    <w:jc w:val="both"/>
                    <w:rPr>
                      <w:sz w:val="24"/>
                      <w:szCs w:val="24"/>
                    </w:rPr>
                  </w:pPr>
                  <w:bookmarkStart w:id="3" w:name="_nntlj0ngow5t" w:colFirst="0" w:colLast="0"/>
                  <w:bookmarkEnd w:id="3"/>
                  <w:r>
                    <w:rPr>
                      <w:sz w:val="24"/>
                      <w:szCs w:val="24"/>
                    </w:rPr>
                    <w:t>Definition</w:t>
                  </w:r>
                </w:p>
              </w:tc>
              <w:tc>
                <w:tcPr>
                  <w:tcW w:w="1575" w:type="dxa"/>
                  <w:tcBorders>
                    <w:top w:val="single" w:sz="8" w:space="0" w:color="000000"/>
                    <w:left w:val="single" w:sz="8" w:space="0" w:color="000000"/>
                    <w:bottom w:val="single" w:sz="8" w:space="0" w:color="000000"/>
                    <w:right w:val="single" w:sz="8" w:space="0" w:color="000000"/>
                  </w:tcBorders>
                  <w:shd w:val="clear" w:color="auto" w:fill="B8CCE4"/>
                  <w:tcMar>
                    <w:top w:w="0" w:type="dxa"/>
                    <w:left w:w="120" w:type="dxa"/>
                    <w:bottom w:w="0" w:type="dxa"/>
                    <w:right w:w="120" w:type="dxa"/>
                  </w:tcMar>
                </w:tcPr>
                <w:p w14:paraId="22B84AE0" w14:textId="77777777" w:rsidR="00280788" w:rsidRDefault="00280788" w:rsidP="00BF2D83">
                  <w:pPr>
                    <w:pStyle w:val="Heading2"/>
                    <w:keepNext w:val="0"/>
                    <w:keepLines w:val="0"/>
                    <w:widowControl w:val="0"/>
                    <w:spacing w:after="240" w:line="278" w:lineRule="auto"/>
                    <w:ind w:left="0" w:right="-82"/>
                    <w:jc w:val="both"/>
                    <w:rPr>
                      <w:sz w:val="24"/>
                      <w:szCs w:val="24"/>
                    </w:rPr>
                  </w:pPr>
                  <w:bookmarkStart w:id="4" w:name="_t2w1z792aurw" w:colFirst="0" w:colLast="0"/>
                  <w:bookmarkEnd w:id="4"/>
                  <w:r>
                    <w:rPr>
                      <w:sz w:val="24"/>
                      <w:szCs w:val="24"/>
                    </w:rPr>
                    <w:t>Resolution Target</w:t>
                  </w:r>
                </w:p>
              </w:tc>
            </w:tr>
            <w:tr w:rsidR="00280788" w14:paraId="674D749F" w14:textId="77777777" w:rsidTr="006365DA">
              <w:trPr>
                <w:trHeight w:val="1050"/>
              </w:trPr>
              <w:tc>
                <w:tcPr>
                  <w:tcW w:w="130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638A46C9" w14:textId="77777777" w:rsidR="00280788" w:rsidRDefault="00280788" w:rsidP="00BF2D83">
                  <w:pPr>
                    <w:pStyle w:val="Heading2"/>
                    <w:keepNext w:val="0"/>
                    <w:keepLines w:val="0"/>
                    <w:widowControl w:val="0"/>
                    <w:spacing w:before="360" w:after="240" w:line="278" w:lineRule="auto"/>
                    <w:ind w:left="0" w:right="-68"/>
                    <w:jc w:val="both"/>
                    <w:rPr>
                      <w:sz w:val="24"/>
                      <w:szCs w:val="24"/>
                    </w:rPr>
                  </w:pPr>
                  <w:bookmarkStart w:id="5" w:name="_lp1xp9mc6p6y" w:colFirst="0" w:colLast="0"/>
                  <w:bookmarkEnd w:id="5"/>
                  <w:r>
                    <w:rPr>
                      <w:sz w:val="24"/>
                      <w:szCs w:val="24"/>
                    </w:rPr>
                    <w:lastRenderedPageBreak/>
                    <w:t>Critical</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4ACA6788" w14:textId="77777777" w:rsidR="00280788" w:rsidRDefault="00280788" w:rsidP="00BF2D83">
                  <w:pPr>
                    <w:pStyle w:val="Heading2"/>
                    <w:keepNext w:val="0"/>
                    <w:keepLines w:val="0"/>
                    <w:widowControl w:val="0"/>
                    <w:spacing w:before="360" w:after="240" w:line="278" w:lineRule="auto"/>
                    <w:ind w:left="22" w:right="-28"/>
                    <w:jc w:val="both"/>
                    <w:rPr>
                      <w:sz w:val="24"/>
                      <w:szCs w:val="24"/>
                    </w:rPr>
                  </w:pPr>
                  <w:bookmarkStart w:id="6" w:name="_yc06i1xmzml" w:colFirst="0" w:colLast="0"/>
                  <w:bookmarkEnd w:id="6"/>
                  <w:r>
                    <w:rPr>
                      <w:sz w:val="24"/>
                      <w:szCs w:val="24"/>
                    </w:rPr>
                    <w:t>Complete service interruption or significantly impact user experience</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51F2B66E" w14:textId="77777777" w:rsidR="00280788" w:rsidRDefault="00280788" w:rsidP="00BF2D83">
                  <w:pPr>
                    <w:pStyle w:val="Heading2"/>
                    <w:keepNext w:val="0"/>
                    <w:keepLines w:val="0"/>
                    <w:widowControl w:val="0"/>
                    <w:spacing w:before="360" w:after="240" w:line="278" w:lineRule="auto"/>
                    <w:ind w:left="0" w:right="-82" w:hanging="58"/>
                    <w:jc w:val="both"/>
                    <w:rPr>
                      <w:sz w:val="24"/>
                      <w:szCs w:val="24"/>
                    </w:rPr>
                  </w:pPr>
                  <w:bookmarkStart w:id="7" w:name="_9s119888981z" w:colFirst="0" w:colLast="0"/>
                  <w:bookmarkEnd w:id="7"/>
                  <w:r>
                    <w:rPr>
                      <w:sz w:val="24"/>
                      <w:szCs w:val="24"/>
                    </w:rPr>
                    <w:t>1 hour</w:t>
                  </w:r>
                </w:p>
              </w:tc>
            </w:tr>
            <w:tr w:rsidR="00280788" w14:paraId="01309520" w14:textId="77777777" w:rsidTr="006365DA">
              <w:trPr>
                <w:trHeight w:val="1575"/>
              </w:trPr>
              <w:tc>
                <w:tcPr>
                  <w:tcW w:w="130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17FEFB9" w14:textId="77777777" w:rsidR="00280788" w:rsidRDefault="00280788" w:rsidP="00BF2D83">
                  <w:pPr>
                    <w:pStyle w:val="Heading2"/>
                    <w:keepNext w:val="0"/>
                    <w:keepLines w:val="0"/>
                    <w:widowControl w:val="0"/>
                    <w:spacing w:before="360" w:after="240" w:line="278" w:lineRule="auto"/>
                    <w:ind w:left="0" w:right="-68"/>
                    <w:jc w:val="both"/>
                    <w:rPr>
                      <w:sz w:val="24"/>
                      <w:szCs w:val="24"/>
                    </w:rPr>
                  </w:pPr>
                  <w:bookmarkStart w:id="8" w:name="_kv8jeitpbxfn" w:colFirst="0" w:colLast="0"/>
                  <w:bookmarkEnd w:id="8"/>
                  <w:r>
                    <w:rPr>
                      <w:sz w:val="24"/>
                      <w:szCs w:val="24"/>
                    </w:rPr>
                    <w:t>High</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441C5EA1" w14:textId="77777777" w:rsidR="00280788" w:rsidRDefault="00280788" w:rsidP="00BF2D83">
                  <w:pPr>
                    <w:pStyle w:val="Heading2"/>
                    <w:keepNext w:val="0"/>
                    <w:keepLines w:val="0"/>
                    <w:widowControl w:val="0"/>
                    <w:spacing w:before="360" w:after="240" w:line="278" w:lineRule="auto"/>
                    <w:ind w:left="22" w:right="-28"/>
                    <w:jc w:val="both"/>
                    <w:rPr>
                      <w:sz w:val="24"/>
                      <w:szCs w:val="24"/>
                    </w:rPr>
                  </w:pPr>
                  <w:bookmarkStart w:id="9" w:name="_k810jkrprgu1" w:colFirst="0" w:colLast="0"/>
                  <w:bookmarkEnd w:id="9"/>
                  <w:r>
                    <w:rPr>
                      <w:sz w:val="24"/>
                      <w:szCs w:val="24"/>
                    </w:rPr>
                    <w:t>Substantial impact to functionality or performance but not complete service outage (e.g., service wide user login issue)</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0F6718D6" w14:textId="77777777" w:rsidR="00280788" w:rsidRDefault="00280788" w:rsidP="00BF2D83">
                  <w:pPr>
                    <w:pStyle w:val="Heading2"/>
                    <w:keepNext w:val="0"/>
                    <w:keepLines w:val="0"/>
                    <w:widowControl w:val="0"/>
                    <w:spacing w:before="360" w:after="240" w:line="278" w:lineRule="auto"/>
                    <w:ind w:left="0" w:right="-82" w:hanging="58"/>
                    <w:jc w:val="both"/>
                    <w:rPr>
                      <w:sz w:val="24"/>
                      <w:szCs w:val="24"/>
                    </w:rPr>
                  </w:pPr>
                  <w:bookmarkStart w:id="10" w:name="_htpptzsje1v4" w:colFirst="0" w:colLast="0"/>
                  <w:bookmarkEnd w:id="10"/>
                  <w:r>
                    <w:rPr>
                      <w:sz w:val="24"/>
                      <w:szCs w:val="24"/>
                    </w:rPr>
                    <w:t>4 hours</w:t>
                  </w:r>
                </w:p>
              </w:tc>
            </w:tr>
            <w:tr w:rsidR="00280788" w14:paraId="62703C56" w14:textId="77777777" w:rsidTr="006365DA">
              <w:trPr>
                <w:trHeight w:val="1830"/>
              </w:trPr>
              <w:tc>
                <w:tcPr>
                  <w:tcW w:w="130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3FD595C3" w14:textId="77777777" w:rsidR="00280788" w:rsidRDefault="00280788" w:rsidP="00BF2D83">
                  <w:pPr>
                    <w:pStyle w:val="Heading2"/>
                    <w:keepNext w:val="0"/>
                    <w:keepLines w:val="0"/>
                    <w:widowControl w:val="0"/>
                    <w:spacing w:before="360" w:after="240" w:line="278" w:lineRule="auto"/>
                    <w:ind w:left="0" w:right="-68"/>
                    <w:jc w:val="both"/>
                    <w:rPr>
                      <w:sz w:val="24"/>
                      <w:szCs w:val="24"/>
                    </w:rPr>
                  </w:pPr>
                  <w:bookmarkStart w:id="11" w:name="_ee9jp7gx08mg" w:colFirst="0" w:colLast="0"/>
                  <w:bookmarkEnd w:id="11"/>
                  <w:r>
                    <w:rPr>
                      <w:sz w:val="24"/>
                      <w:szCs w:val="24"/>
                    </w:rPr>
                    <w:t>Medium</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FDF28F6" w14:textId="77777777" w:rsidR="00280788" w:rsidRDefault="00280788" w:rsidP="00BF2D83">
                  <w:pPr>
                    <w:pStyle w:val="Heading2"/>
                    <w:keepNext w:val="0"/>
                    <w:keepLines w:val="0"/>
                    <w:widowControl w:val="0"/>
                    <w:spacing w:before="360" w:after="240" w:line="278" w:lineRule="auto"/>
                    <w:ind w:left="22" w:right="-28"/>
                    <w:jc w:val="both"/>
                    <w:rPr>
                      <w:sz w:val="24"/>
                      <w:szCs w:val="24"/>
                    </w:rPr>
                  </w:pPr>
                  <w:bookmarkStart w:id="12" w:name="_ae88edc2l34o" w:colFirst="0" w:colLast="0"/>
                  <w:bookmarkEnd w:id="12"/>
                  <w:r>
                    <w:rPr>
                      <w:sz w:val="24"/>
                      <w:szCs w:val="24"/>
                    </w:rPr>
                    <w:t>Moderate impact to functionality or performance but not require immediate intervention (e.g., a single user has login issue)</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2F3369D7" w14:textId="77777777" w:rsidR="00280788" w:rsidRDefault="00280788" w:rsidP="00BF2D83">
                  <w:pPr>
                    <w:pStyle w:val="Heading2"/>
                    <w:keepNext w:val="0"/>
                    <w:keepLines w:val="0"/>
                    <w:widowControl w:val="0"/>
                    <w:spacing w:before="360" w:after="240" w:line="278" w:lineRule="auto"/>
                    <w:ind w:left="0" w:right="-82" w:hanging="58"/>
                    <w:jc w:val="both"/>
                    <w:rPr>
                      <w:sz w:val="24"/>
                      <w:szCs w:val="24"/>
                    </w:rPr>
                  </w:pPr>
                  <w:bookmarkStart w:id="13" w:name="_38b2zfro2ol6" w:colFirst="0" w:colLast="0"/>
                  <w:bookmarkEnd w:id="13"/>
                  <w:r>
                    <w:rPr>
                      <w:sz w:val="24"/>
                      <w:szCs w:val="24"/>
                    </w:rPr>
                    <w:t>8 hours</w:t>
                  </w:r>
                </w:p>
              </w:tc>
            </w:tr>
            <w:tr w:rsidR="00280788" w14:paraId="08891AD7" w14:textId="77777777" w:rsidTr="006365DA">
              <w:trPr>
                <w:trHeight w:val="1845"/>
              </w:trPr>
              <w:tc>
                <w:tcPr>
                  <w:tcW w:w="130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06C7AA47" w14:textId="77777777" w:rsidR="00280788" w:rsidRDefault="00280788" w:rsidP="00BF2D83">
                  <w:pPr>
                    <w:pStyle w:val="Heading2"/>
                    <w:keepNext w:val="0"/>
                    <w:keepLines w:val="0"/>
                    <w:widowControl w:val="0"/>
                    <w:spacing w:before="360" w:after="240" w:line="278" w:lineRule="auto"/>
                    <w:ind w:left="0" w:right="-68"/>
                    <w:jc w:val="both"/>
                    <w:rPr>
                      <w:sz w:val="24"/>
                      <w:szCs w:val="24"/>
                    </w:rPr>
                  </w:pPr>
                  <w:bookmarkStart w:id="14" w:name="_29eas1by2qyn" w:colFirst="0" w:colLast="0"/>
                  <w:bookmarkEnd w:id="14"/>
                  <w:r>
                    <w:rPr>
                      <w:sz w:val="24"/>
                      <w:szCs w:val="24"/>
                    </w:rPr>
                    <w:t>Low</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34DC2303" w14:textId="77777777" w:rsidR="00280788" w:rsidRDefault="00280788" w:rsidP="00BF2D83">
                  <w:pPr>
                    <w:pStyle w:val="Heading2"/>
                    <w:keepNext w:val="0"/>
                    <w:keepLines w:val="0"/>
                    <w:widowControl w:val="0"/>
                    <w:spacing w:before="360" w:after="240" w:line="278" w:lineRule="auto"/>
                    <w:ind w:left="22" w:right="-28"/>
                    <w:jc w:val="both"/>
                    <w:rPr>
                      <w:sz w:val="24"/>
                      <w:szCs w:val="24"/>
                    </w:rPr>
                  </w:pPr>
                  <w:bookmarkStart w:id="15" w:name="_qus6dy1njqw2" w:colFirst="0" w:colLast="0"/>
                  <w:bookmarkEnd w:id="15"/>
                  <w:r>
                    <w:rPr>
                      <w:sz w:val="24"/>
                      <w:szCs w:val="24"/>
                    </w:rPr>
                    <w:t>Minor issues or feature requests that have minimal impact on functionality or performance (e.g., data update required)</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0" w:type="dxa"/>
                    <w:left w:w="120" w:type="dxa"/>
                    <w:bottom w:w="0" w:type="dxa"/>
                    <w:right w:w="120" w:type="dxa"/>
                  </w:tcMar>
                </w:tcPr>
                <w:p w14:paraId="7C37ECEC" w14:textId="77777777" w:rsidR="00280788" w:rsidRDefault="00280788" w:rsidP="00BF2D83">
                  <w:pPr>
                    <w:pStyle w:val="Heading2"/>
                    <w:keepNext w:val="0"/>
                    <w:keepLines w:val="0"/>
                    <w:widowControl w:val="0"/>
                    <w:spacing w:before="360" w:after="240" w:line="278" w:lineRule="auto"/>
                    <w:ind w:left="0" w:right="-82" w:hanging="58"/>
                    <w:jc w:val="both"/>
                    <w:rPr>
                      <w:sz w:val="24"/>
                      <w:szCs w:val="24"/>
                    </w:rPr>
                  </w:pPr>
                  <w:bookmarkStart w:id="16" w:name="_ou3c88mh38th" w:colFirst="0" w:colLast="0"/>
                  <w:bookmarkEnd w:id="16"/>
                  <w:r>
                    <w:rPr>
                      <w:sz w:val="24"/>
                      <w:szCs w:val="24"/>
                    </w:rPr>
                    <w:t>24 hours</w:t>
                  </w:r>
                </w:p>
              </w:tc>
            </w:tr>
          </w:tbl>
          <w:p w14:paraId="0ED75C63" w14:textId="77777777" w:rsidR="00280788" w:rsidRDefault="00280788" w:rsidP="00280788">
            <w:pPr>
              <w:widowControl w:val="0"/>
              <w:spacing w:before="190" w:line="278" w:lineRule="auto"/>
              <w:ind w:right="322"/>
              <w:jc w:val="both"/>
            </w:pPr>
            <w:r>
              <w:t>Continued non-compliance (three or more consecutive months) with SLAs and/or attendant target KPIs shall initiate a performance review by the IPA with the Supplier and can lead to early termination of the Call-Off Contract.</w:t>
            </w:r>
          </w:p>
        </w:tc>
      </w:tr>
      <w:tr w:rsidR="005F4F98" w14:paraId="6FE4124E" w14:textId="77777777" w:rsidTr="000278E6">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C8699C" w14:textId="77777777" w:rsidR="005F4F98" w:rsidRDefault="005F4F98" w:rsidP="005F4F98">
            <w:pPr>
              <w:pStyle w:val="Standard"/>
              <w:widowControl w:val="0"/>
              <w:spacing w:before="190" w:after="0" w:line="280" w:lineRule="auto"/>
              <w:ind w:left="0" w:right="322" w:firstLine="0"/>
            </w:pPr>
            <w:r>
              <w:rPr>
                <w:b/>
              </w:rPr>
              <w:lastRenderedPageBreak/>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87457" w14:textId="77777777" w:rsidR="005F4F98" w:rsidRDefault="005F4F98" w:rsidP="005F4F98">
            <w:pPr>
              <w:widowControl w:val="0"/>
              <w:spacing w:before="190" w:line="278" w:lineRule="auto"/>
              <w:ind w:right="322"/>
              <w:jc w:val="both"/>
            </w:pPr>
            <w:r>
              <w:t>The onboarding plan for this Call-Off Contract is to introduce the Supplier to the key stakeholders in CO-D and GDS who are responsible for the CO technical services used for the BDS.  Required security clearances to be assessed and addressed where necessary.</w:t>
            </w:r>
          </w:p>
        </w:tc>
      </w:tr>
    </w:tbl>
    <w:p w14:paraId="1B9F3F56" w14:textId="77777777" w:rsidR="00760E89" w:rsidRDefault="00760E89">
      <w:pPr>
        <w:pStyle w:val="Standard"/>
        <w:spacing w:after="0" w:line="254" w:lineRule="auto"/>
        <w:ind w:left="0" w:right="110" w:firstLine="0"/>
      </w:pPr>
    </w:p>
    <w:tbl>
      <w:tblPr>
        <w:tblW w:w="9639" w:type="dxa"/>
        <w:tblInd w:w="983" w:type="dxa"/>
        <w:tblLayout w:type="fixed"/>
        <w:tblCellMar>
          <w:left w:w="10" w:type="dxa"/>
          <w:right w:w="10" w:type="dxa"/>
        </w:tblCellMar>
        <w:tblLook w:val="0000" w:firstRow="0" w:lastRow="0" w:firstColumn="0" w:lastColumn="0" w:noHBand="0" w:noVBand="0"/>
      </w:tblPr>
      <w:tblGrid>
        <w:gridCol w:w="3256"/>
        <w:gridCol w:w="6383"/>
      </w:tblGrid>
      <w:tr w:rsidR="00E05AF2" w14:paraId="071C8F18" w14:textId="77777777" w:rsidTr="00E05AF2">
        <w:trPr>
          <w:trHeight w:val="14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74D899A" w14:textId="77777777" w:rsidR="00E05AF2" w:rsidRDefault="00E05AF2" w:rsidP="00E05AF2">
            <w:pPr>
              <w:pStyle w:val="Standard"/>
              <w:spacing w:after="0" w:line="254"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4A4BE1A" w14:textId="77777777" w:rsidR="00E05AF2" w:rsidRDefault="00E05AF2" w:rsidP="00E05AF2">
            <w:pPr>
              <w:spacing w:line="252" w:lineRule="auto"/>
              <w:ind w:left="10"/>
              <w:jc w:val="both"/>
            </w:pPr>
            <w:r>
              <w:t>The offboarding plan for this Call-Off Contract is minimal where the Supplier will not retain any data or digital exclusivity related to the BDS at Call-Off Contract expiry.</w:t>
            </w:r>
          </w:p>
          <w:p w14:paraId="3F1DA72A" w14:textId="77777777" w:rsidR="00E05AF2" w:rsidRDefault="00E05AF2" w:rsidP="00E05AF2">
            <w:pPr>
              <w:spacing w:line="252" w:lineRule="auto"/>
              <w:ind w:left="10"/>
              <w:jc w:val="both"/>
            </w:pPr>
          </w:p>
          <w:p w14:paraId="6FA2C72E" w14:textId="77777777" w:rsidR="00E05AF2" w:rsidRDefault="00E05AF2" w:rsidP="00E05AF2">
            <w:pPr>
              <w:spacing w:line="252" w:lineRule="auto"/>
              <w:ind w:left="10"/>
              <w:jc w:val="both"/>
            </w:pPr>
            <w:r>
              <w:t xml:space="preserve">The Supplier shall provide training to IPA to ensure minimal service operation can be exercised, specifically data upload, </w:t>
            </w:r>
            <w:r>
              <w:lastRenderedPageBreak/>
              <w:t>once the Supplier leaves.  IT infrastructure is compliant with CO-D and CDDO guidance, thereby minimising the documentation required.  The Supplier shall provide:</w:t>
            </w:r>
          </w:p>
          <w:p w14:paraId="52C01025" w14:textId="77777777" w:rsidR="00E05AF2" w:rsidRDefault="00E05AF2" w:rsidP="00E05AF2">
            <w:pPr>
              <w:spacing w:line="252" w:lineRule="auto"/>
              <w:ind w:left="10"/>
              <w:jc w:val="both"/>
            </w:pPr>
          </w:p>
          <w:p w14:paraId="2D382C97" w14:textId="77777777" w:rsidR="00E05AF2" w:rsidRDefault="00E05AF2" w:rsidP="00E05AF2">
            <w:pPr>
              <w:spacing w:line="252" w:lineRule="auto"/>
              <w:ind w:left="10"/>
              <w:jc w:val="both"/>
            </w:pPr>
            <w:r>
              <w:t>1.</w:t>
            </w:r>
            <w:r>
              <w:tab/>
              <w:t xml:space="preserve">Documentation on service operation and features, including change control; and </w:t>
            </w:r>
          </w:p>
          <w:p w14:paraId="5F136BD4" w14:textId="77777777" w:rsidR="00E05AF2" w:rsidRDefault="00E05AF2" w:rsidP="00E05AF2">
            <w:pPr>
              <w:spacing w:line="252" w:lineRule="auto"/>
              <w:ind w:left="10"/>
              <w:jc w:val="both"/>
            </w:pPr>
            <w:r>
              <w:t>2.</w:t>
            </w:r>
            <w:r>
              <w:tab/>
              <w:t>User Guide for the BDS, developed with the Buyer.</w:t>
            </w:r>
          </w:p>
        </w:tc>
      </w:tr>
      <w:tr w:rsidR="00E05AF2" w14:paraId="321FD797" w14:textId="77777777" w:rsidTr="00E05AF2">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DAA2E7C" w14:textId="77777777" w:rsidR="00E05AF2" w:rsidRDefault="00E05AF2" w:rsidP="00E05AF2">
            <w:pPr>
              <w:pStyle w:val="Standard"/>
              <w:spacing w:after="0" w:line="254" w:lineRule="auto"/>
              <w:ind w:left="0" w:firstLine="0"/>
            </w:pPr>
            <w:r>
              <w:rPr>
                <w:b/>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4C62FAD" w14:textId="77777777" w:rsidR="00E05AF2" w:rsidRDefault="00E05AF2" w:rsidP="00E05AF2">
            <w:pPr>
              <w:pStyle w:val="Standard"/>
              <w:spacing w:after="0" w:line="254" w:lineRule="auto"/>
              <w:ind w:left="10" w:firstLine="0"/>
            </w:pPr>
            <w:r>
              <w:t>N</w:t>
            </w:r>
            <w:r w:rsidR="00FB00E0">
              <w:t xml:space="preserve">ot Applicable </w:t>
            </w:r>
          </w:p>
        </w:tc>
      </w:tr>
      <w:tr w:rsidR="00E05AF2" w14:paraId="53F95D1C" w14:textId="77777777" w:rsidTr="00E05AF2">
        <w:trPr>
          <w:trHeight w:val="730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A9E8A3C" w14:textId="77777777" w:rsidR="00E05AF2" w:rsidRDefault="00E05AF2" w:rsidP="00E05AF2">
            <w:pPr>
              <w:pStyle w:val="Standard"/>
              <w:spacing w:after="0" w:line="254" w:lineRule="auto"/>
              <w:ind w:left="0" w:firstLine="0"/>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916846A" w14:textId="77777777" w:rsidR="00883ED0" w:rsidRDefault="00883ED0" w:rsidP="00883ED0">
            <w:pPr>
              <w:spacing w:before="240"/>
            </w:pPr>
            <w:r>
              <w:rPr>
                <w:b/>
                <w:bCs/>
                <w:color w:val="FF0000"/>
              </w:rPr>
              <w:t>REDACTED TEXT under FOIA Section 43 Commercial Interests</w:t>
            </w:r>
          </w:p>
          <w:p w14:paraId="63266B90" w14:textId="7A70165A" w:rsidR="00E05AF2" w:rsidRDefault="00E05AF2" w:rsidP="00E05AF2">
            <w:pPr>
              <w:pStyle w:val="Standard"/>
              <w:spacing w:after="0" w:line="254" w:lineRule="auto"/>
              <w:ind w:left="10" w:firstLine="0"/>
            </w:pPr>
            <w:bookmarkStart w:id="17" w:name="_GoBack"/>
            <w:bookmarkEnd w:id="17"/>
          </w:p>
        </w:tc>
      </w:tr>
      <w:tr w:rsidR="00E05AF2" w14:paraId="72BD6B39" w14:textId="77777777" w:rsidTr="00E05AF2">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075E74C" w14:textId="77777777" w:rsidR="00E05AF2" w:rsidRDefault="00E05AF2" w:rsidP="00E05AF2">
            <w:pPr>
              <w:pStyle w:val="Standard"/>
              <w:spacing w:after="0" w:line="254" w:lineRule="auto"/>
              <w:ind w:left="0" w:firstLine="0"/>
            </w:pPr>
            <w:r>
              <w:rPr>
                <w:b/>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6370634" w14:textId="77777777" w:rsidR="00E05AF2" w:rsidRDefault="00E05AF2" w:rsidP="00E05AF2">
            <w:pPr>
              <w:pStyle w:val="Standard"/>
              <w:spacing w:after="48" w:line="254" w:lineRule="auto"/>
              <w:ind w:left="10" w:firstLine="0"/>
            </w:pPr>
            <w:r>
              <w:t>The Supplier insurance(s) required will be:</w:t>
            </w:r>
          </w:p>
          <w:p w14:paraId="67F5F08D" w14:textId="77777777" w:rsidR="00E05AF2" w:rsidRDefault="009D4450" w:rsidP="00E05AF2">
            <w:pPr>
              <w:pStyle w:val="Standard"/>
              <w:numPr>
                <w:ilvl w:val="0"/>
                <w:numId w:val="52"/>
              </w:numPr>
              <w:spacing w:after="22" w:line="283" w:lineRule="auto"/>
              <w:ind w:hanging="398"/>
            </w:pPr>
            <w:r>
              <w:t>A</w:t>
            </w:r>
            <w:r w:rsidR="00E05AF2">
              <w:t xml:space="preserve"> minimum insurance period of 6 years following the expiration or Ending of this Call-Off Contract]</w:t>
            </w:r>
          </w:p>
          <w:p w14:paraId="611A2E22" w14:textId="77777777" w:rsidR="00E05AF2" w:rsidRDefault="009D4450" w:rsidP="00E05AF2">
            <w:pPr>
              <w:pStyle w:val="Standard"/>
              <w:numPr>
                <w:ilvl w:val="0"/>
                <w:numId w:val="17"/>
              </w:numPr>
              <w:spacing w:after="18" w:line="280" w:lineRule="auto"/>
              <w:ind w:hanging="398"/>
            </w:pPr>
            <w:r>
              <w:t>P</w:t>
            </w:r>
            <w:r w:rsidR="00E05AF2">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468B12F" w14:textId="77777777" w:rsidR="00E05AF2" w:rsidRDefault="00E05AF2" w:rsidP="00E05AF2">
            <w:pPr>
              <w:pStyle w:val="Standard"/>
              <w:numPr>
                <w:ilvl w:val="0"/>
                <w:numId w:val="17"/>
              </w:numPr>
              <w:spacing w:after="43" w:line="254" w:lineRule="auto"/>
              <w:ind w:hanging="398"/>
            </w:pPr>
            <w:r>
              <w:t>employers' liability insurance with a minimum limit of</w:t>
            </w:r>
          </w:p>
          <w:p w14:paraId="7F6221F3" w14:textId="77777777" w:rsidR="00E05AF2" w:rsidRDefault="00E05AF2" w:rsidP="00E05AF2">
            <w:pPr>
              <w:pStyle w:val="Standard"/>
              <w:spacing w:after="0" w:line="254" w:lineRule="auto"/>
              <w:ind w:left="0" w:right="65" w:firstLine="0"/>
              <w:jc w:val="right"/>
            </w:pPr>
            <w:r>
              <w:t>£5,000,000 or any higher minimum limit required by Law</w:t>
            </w:r>
          </w:p>
        </w:tc>
      </w:tr>
      <w:tr w:rsidR="002D3BAF" w14:paraId="6D334EC4" w14:textId="77777777" w:rsidTr="00E05AF2">
        <w:trPr>
          <w:trHeight w:val="172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7C764F6" w14:textId="77777777" w:rsidR="002D3BAF" w:rsidRDefault="002D3BAF" w:rsidP="002D3BAF">
            <w:pPr>
              <w:pStyle w:val="Standard"/>
              <w:spacing w:after="0" w:line="254"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77929ED" w14:textId="77777777" w:rsidR="002D3BAF" w:rsidRDefault="002D3BAF" w:rsidP="002D3BAF">
            <w:pPr>
              <w:spacing w:line="252" w:lineRule="auto"/>
              <w:ind w:left="10"/>
              <w:jc w:val="both"/>
            </w:pPr>
            <w:r>
              <w:t>The Buyer is responsible for the provision of data the BDS requires to deliver its intended value to stakeholders and end users.  This includes identifying what data is required and the corresponding format.  Since the Buyer does not yet have direct access to most of the required data, there is a dependency on the data owner, i.e., HMG department.</w:t>
            </w:r>
          </w:p>
          <w:p w14:paraId="2E4A4CE7" w14:textId="77777777" w:rsidR="002D3BAF" w:rsidRDefault="002D3BAF" w:rsidP="002D3BAF">
            <w:pPr>
              <w:spacing w:line="252" w:lineRule="auto"/>
              <w:ind w:left="10"/>
              <w:jc w:val="both"/>
            </w:pPr>
          </w:p>
          <w:p w14:paraId="737511A8" w14:textId="77777777" w:rsidR="002D3BAF" w:rsidRDefault="002D3BAF" w:rsidP="002D3BAF">
            <w:pPr>
              <w:spacing w:line="252" w:lineRule="auto"/>
              <w:ind w:left="10"/>
              <w:jc w:val="both"/>
            </w:pPr>
            <w:r>
              <w:t>The Buyer is also responsible for the payment of Charges and fulfilment of responsibilities as set forth in this Call-Off Contract.</w:t>
            </w:r>
          </w:p>
        </w:tc>
      </w:tr>
      <w:tr w:rsidR="006042A9" w14:paraId="74CD7085" w14:textId="77777777" w:rsidTr="00E05AF2">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461B567" w14:textId="77777777" w:rsidR="006042A9" w:rsidRDefault="006042A9" w:rsidP="006042A9">
            <w:pPr>
              <w:pStyle w:val="Standard"/>
              <w:spacing w:after="0" w:line="254"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3792888" w14:textId="77777777" w:rsidR="006042A9" w:rsidRDefault="006042A9" w:rsidP="006042A9">
            <w:pPr>
              <w:pBdr>
                <w:top w:val="nil"/>
                <w:left w:val="nil"/>
                <w:bottom w:val="nil"/>
                <w:right w:val="nil"/>
                <w:between w:val="nil"/>
              </w:pBdr>
              <w:spacing w:after="250" w:line="300" w:lineRule="auto"/>
              <w:ind w:left="10"/>
              <w:jc w:val="both"/>
            </w:pPr>
            <w:r>
              <w:t>No equipment required from the Buyer.</w:t>
            </w:r>
          </w:p>
          <w:p w14:paraId="2A14A367" w14:textId="77777777" w:rsidR="006042A9" w:rsidRDefault="006042A9" w:rsidP="006042A9">
            <w:pPr>
              <w:pBdr>
                <w:top w:val="nil"/>
                <w:left w:val="nil"/>
                <w:bottom w:val="nil"/>
                <w:right w:val="nil"/>
                <w:between w:val="nil"/>
              </w:pBdr>
              <w:spacing w:after="250" w:line="300" w:lineRule="auto"/>
              <w:ind w:left="10"/>
              <w:jc w:val="both"/>
            </w:pPr>
            <w:r w:rsidRPr="00192ECF">
              <w:t>The Supplier does not require a Cabinet Office Laptop during this Call-Off Contract since the appropriate Cabinet Office Platforms are accessible to support the Benchmarking Data Service.</w:t>
            </w:r>
          </w:p>
        </w:tc>
      </w:tr>
    </w:tbl>
    <w:p w14:paraId="086290D0" w14:textId="77777777" w:rsidR="00760E89" w:rsidRDefault="00750A02">
      <w:pPr>
        <w:pStyle w:val="Heading3"/>
        <w:spacing w:after="0" w:line="240" w:lineRule="auto"/>
        <w:ind w:left="1113" w:firstLine="1118"/>
      </w:pPr>
      <w:r>
        <w:t>Supplier’s information</w:t>
      </w:r>
    </w:p>
    <w:tbl>
      <w:tblPr>
        <w:tblW w:w="16645" w:type="dxa"/>
        <w:tblInd w:w="1039" w:type="dxa"/>
        <w:tblLayout w:type="fixed"/>
        <w:tblCellMar>
          <w:left w:w="10" w:type="dxa"/>
          <w:right w:w="10" w:type="dxa"/>
        </w:tblCellMar>
        <w:tblLook w:val="0000" w:firstRow="0" w:lastRow="0" w:firstColumn="0" w:lastColumn="0" w:noHBand="0" w:noVBand="0"/>
      </w:tblPr>
      <w:tblGrid>
        <w:gridCol w:w="2599"/>
        <w:gridCol w:w="7023"/>
        <w:gridCol w:w="7023"/>
      </w:tblGrid>
      <w:tr w:rsidR="008F5415" w14:paraId="74C547C0" w14:textId="77777777" w:rsidTr="008F5415">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85A1DA8" w14:textId="77777777" w:rsidR="008F5415" w:rsidRDefault="008F5415" w:rsidP="008F5415">
            <w:pPr>
              <w:pStyle w:val="Standard"/>
              <w:spacing w:after="0" w:line="254"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tcPr>
          <w:p w14:paraId="4430824F" w14:textId="77777777" w:rsidR="008F5415" w:rsidRDefault="008F5415" w:rsidP="008F5415">
            <w:pPr>
              <w:spacing w:line="252" w:lineRule="auto"/>
              <w:ind w:left="10"/>
              <w:jc w:val="both"/>
            </w:pPr>
            <w:r>
              <w:t xml:space="preserve"> </w:t>
            </w:r>
            <w:proofErr w:type="spellStart"/>
            <w:r>
              <w:t>Evalian</w:t>
            </w:r>
            <w:proofErr w:type="spellEnd"/>
            <w:r>
              <w:t xml:space="preserve"> Limited (11314058)</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1403E718" w14:textId="77777777" w:rsidR="008F5415" w:rsidRDefault="008F5415" w:rsidP="008F5415">
            <w:pPr>
              <w:pStyle w:val="Standard"/>
              <w:spacing w:after="0" w:line="254" w:lineRule="auto"/>
              <w:ind w:left="10" w:firstLine="0"/>
            </w:pPr>
          </w:p>
        </w:tc>
      </w:tr>
    </w:tbl>
    <w:p w14:paraId="4F5E8E41" w14:textId="77777777" w:rsidR="00760E89" w:rsidRDefault="00750A02">
      <w:pPr>
        <w:pStyle w:val="Heading3"/>
        <w:spacing w:after="158" w:line="240" w:lineRule="auto"/>
        <w:ind w:left="1113" w:firstLine="1118"/>
      </w:pPr>
      <w:r>
        <w:lastRenderedPageBreak/>
        <w:t>Call-Off Contract charges and payment</w:t>
      </w:r>
    </w:p>
    <w:p w14:paraId="7984370A" w14:textId="77777777" w:rsidR="00760E89" w:rsidRDefault="00750A02">
      <w:pPr>
        <w:pStyle w:val="Standard"/>
        <w:spacing w:after="0" w:line="240" w:lineRule="auto"/>
        <w:ind w:right="14"/>
      </w:pPr>
      <w:r>
        <w:t>The Call-Off Contract charges and payment details are in the table below. See Schedule 2 for a full breakdown.</w:t>
      </w:r>
    </w:p>
    <w:p w14:paraId="60407C42" w14:textId="77777777" w:rsidR="00760E89" w:rsidRDefault="00760E89">
      <w:pPr>
        <w:pStyle w:val="Standard"/>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1"/>
        <w:gridCol w:w="7121"/>
      </w:tblGrid>
      <w:tr w:rsidR="00760E89" w14:paraId="78FF9969" w14:textId="77777777" w:rsidTr="00D84082">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EBD31C" w14:textId="77777777" w:rsidR="00760E89" w:rsidRDefault="00750A02">
            <w:pPr>
              <w:pStyle w:val="Standard"/>
              <w:spacing w:after="0" w:line="254"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60E9891" w14:textId="77777777" w:rsidR="00760E89" w:rsidRDefault="00750A02">
            <w:pPr>
              <w:pStyle w:val="Standard"/>
              <w:spacing w:after="0" w:line="254" w:lineRule="auto"/>
              <w:ind w:left="2" w:firstLine="0"/>
            </w:pPr>
            <w:r>
              <w:t xml:space="preserve">The payment method for this Call-Off Contract is </w:t>
            </w:r>
            <w:r w:rsidR="00C762BF">
              <w:rPr>
                <w:b/>
              </w:rPr>
              <w:t>BACS</w:t>
            </w:r>
          </w:p>
        </w:tc>
      </w:tr>
      <w:tr w:rsidR="00760E89" w14:paraId="0271AFE6" w14:textId="77777777" w:rsidTr="00D84082">
        <w:trPr>
          <w:trHeight w:val="21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AD4DD4" w14:textId="77777777" w:rsidR="00760E89" w:rsidRDefault="00750A02">
            <w:pPr>
              <w:pStyle w:val="Standard"/>
              <w:spacing w:after="0" w:line="254"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8F7B16" w14:textId="77777777" w:rsidR="00760E89" w:rsidRDefault="00750A02">
            <w:pPr>
              <w:pStyle w:val="Standard"/>
              <w:spacing w:after="0" w:line="254" w:lineRule="auto"/>
              <w:ind w:left="2" w:firstLine="0"/>
            </w:pPr>
            <w:r>
              <w:t xml:space="preserve">The payment profile for this Call-Off Contract is </w:t>
            </w:r>
            <w:r>
              <w:rPr>
                <w:b/>
              </w:rPr>
              <w:t xml:space="preserve">monthly </w:t>
            </w:r>
            <w:r>
              <w:t>in arrears.</w:t>
            </w:r>
          </w:p>
        </w:tc>
      </w:tr>
      <w:tr w:rsidR="00D84082" w14:paraId="415440E0" w14:textId="77777777" w:rsidTr="00D84082">
        <w:trPr>
          <w:trHeight w:val="19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E75AC4F" w14:textId="77777777" w:rsidR="00D84082" w:rsidRDefault="00D84082" w:rsidP="00D84082">
            <w:pPr>
              <w:pStyle w:val="Standard"/>
              <w:spacing w:after="0" w:line="254"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60392A" w14:textId="77777777" w:rsidR="00D84082" w:rsidRDefault="00D84082" w:rsidP="00D84082">
            <w:pPr>
              <w:spacing w:line="252" w:lineRule="auto"/>
              <w:jc w:val="both"/>
            </w:pPr>
            <w:r>
              <w:t xml:space="preserve">Within 10 Working Days of receipt of your countersigned copy of this Order Form, the Buyer will send the Supplier a unique Purchase Order (PO) Number.  The Supplier must be in receipt of a valid PO Number before submitting an invoice.  </w:t>
            </w:r>
          </w:p>
          <w:p w14:paraId="7D7DECFA" w14:textId="77777777" w:rsidR="00D84082" w:rsidRDefault="00D84082" w:rsidP="00D84082">
            <w:pPr>
              <w:spacing w:line="252" w:lineRule="auto"/>
              <w:ind w:left="2"/>
              <w:jc w:val="both"/>
            </w:pPr>
          </w:p>
          <w:p w14:paraId="62F92229" w14:textId="77777777" w:rsidR="00D84082" w:rsidRDefault="00D84082" w:rsidP="00D84082">
            <w:pPr>
              <w:spacing w:line="252" w:lineRule="auto"/>
              <w:ind w:left="2"/>
              <w:jc w:val="both"/>
            </w:pPr>
            <w:r>
              <w:t xml:space="preserve">The Supplier will issue electronic invoices </w:t>
            </w:r>
            <w:r>
              <w:rPr>
                <w:b/>
              </w:rPr>
              <w:t xml:space="preserve">monthly </w:t>
            </w:r>
            <w:r>
              <w:t>in arrears.  The Buyer will pay the Supplier within 30 days of receipt of a valid undisputed invoice.</w:t>
            </w:r>
          </w:p>
          <w:p w14:paraId="0AA07C1A" w14:textId="77777777" w:rsidR="00D84082" w:rsidRDefault="00D84082" w:rsidP="00D84082">
            <w:pPr>
              <w:spacing w:line="252" w:lineRule="auto"/>
              <w:ind w:left="2"/>
              <w:jc w:val="both"/>
            </w:pPr>
          </w:p>
          <w:p w14:paraId="49C5B8ED" w14:textId="77777777" w:rsidR="00D84082" w:rsidRDefault="00D84082" w:rsidP="00D84082">
            <w:pPr>
              <w:spacing w:line="252" w:lineRule="auto"/>
              <w:ind w:left="2"/>
              <w:jc w:val="both"/>
            </w:pPr>
            <w:r>
              <w:t>Payment can only be made following satisfactory delivery of pre-agreed certified products and deliverables.</w:t>
            </w:r>
          </w:p>
        </w:tc>
      </w:tr>
      <w:tr w:rsidR="003A3557" w14:paraId="7D4B86E3" w14:textId="77777777" w:rsidTr="00D84082">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849B6FA" w14:textId="77777777" w:rsidR="003A3557" w:rsidRDefault="003A3557" w:rsidP="003A3557">
            <w:pPr>
              <w:pStyle w:val="Standard"/>
              <w:spacing w:after="0" w:line="254"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EFD7A5A" w14:textId="77777777" w:rsidR="003A3557" w:rsidRDefault="003A3557" w:rsidP="003A3557">
            <w:pPr>
              <w:spacing w:before="240"/>
            </w:pPr>
            <w:r>
              <w:rPr>
                <w:b/>
                <w:color w:val="FF0000"/>
              </w:rPr>
              <w:t>REDACTED TEXT under FOIA Section 40, Personal Information</w:t>
            </w:r>
          </w:p>
        </w:tc>
      </w:tr>
      <w:tr w:rsidR="00D84082" w14:paraId="4A3A8F1F" w14:textId="77777777" w:rsidTr="00D84082">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82BB82" w14:textId="77777777" w:rsidR="00D84082" w:rsidRDefault="00D84082" w:rsidP="00D84082">
            <w:pPr>
              <w:pStyle w:val="Standard"/>
              <w:spacing w:after="0" w:line="254" w:lineRule="auto"/>
              <w:ind w:left="0" w:firstLine="0"/>
            </w:pPr>
            <w:r>
              <w:rPr>
                <w:b/>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604C9C" w14:textId="77777777" w:rsidR="00D84082" w:rsidRPr="00B351C6" w:rsidRDefault="00D84082" w:rsidP="00D84082">
            <w:pPr>
              <w:spacing w:line="252" w:lineRule="auto"/>
              <w:ind w:left="2"/>
              <w:jc w:val="both"/>
              <w:rPr>
                <w:color w:val="000000"/>
              </w:rPr>
            </w:pPr>
            <w:r w:rsidRPr="00B351C6">
              <w:rPr>
                <w:color w:val="000000"/>
              </w:rPr>
              <w:t>To avoid delay in payment it is important that the invoice is compliant and that it includes a valid PO Number, item number (if applicable) and the details (for example, name, e-mail, and telephone number etc.) of your Buyer contact (i.e.,</w:t>
            </w:r>
            <w:r w:rsidR="00DF25FC">
              <w:rPr>
                <w:color w:val="000000"/>
              </w:rPr>
              <w:t xml:space="preserve"> </w:t>
            </w:r>
            <w:r w:rsidRPr="00B351C6">
              <w:rPr>
                <w:color w:val="000000"/>
              </w:rPr>
              <w:t xml:space="preserve">Buyer Authorised Representative).  Non-compliant invoices may be sent back to you, which may lead to a delay in payment. </w:t>
            </w:r>
          </w:p>
          <w:p w14:paraId="7067C31A" w14:textId="77777777" w:rsidR="00D84082" w:rsidRPr="00B351C6" w:rsidRDefault="00D84082" w:rsidP="00D84082">
            <w:pPr>
              <w:spacing w:line="252" w:lineRule="auto"/>
              <w:ind w:left="2"/>
              <w:jc w:val="both"/>
              <w:rPr>
                <w:color w:val="000000"/>
              </w:rPr>
            </w:pPr>
          </w:p>
          <w:p w14:paraId="57B4B2C2" w14:textId="77777777" w:rsidR="00D84082" w:rsidRDefault="00D84082" w:rsidP="00D84082">
            <w:pPr>
              <w:pStyle w:val="Standard"/>
              <w:spacing w:after="0" w:line="254" w:lineRule="auto"/>
              <w:ind w:left="2" w:firstLine="0"/>
            </w:pPr>
            <w:r>
              <w:t>Before payment can be considered, each invoice must include a detailed elemental breakdown of work completed and the associated costs.</w:t>
            </w:r>
          </w:p>
        </w:tc>
      </w:tr>
      <w:tr w:rsidR="00D84082" w14:paraId="02E65FB8" w14:textId="77777777" w:rsidTr="00D84082">
        <w:trPr>
          <w:trHeight w:val="13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3917F83" w14:textId="77777777" w:rsidR="00D84082" w:rsidRDefault="00D84082" w:rsidP="00D84082">
            <w:pPr>
              <w:pStyle w:val="Standard"/>
              <w:spacing w:after="0" w:line="254"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FD5A9F8" w14:textId="77777777" w:rsidR="00D84082" w:rsidRDefault="00D84082" w:rsidP="00D84082">
            <w:pPr>
              <w:pStyle w:val="Standard"/>
              <w:spacing w:after="0" w:line="254" w:lineRule="auto"/>
              <w:ind w:left="2" w:firstLine="0"/>
            </w:pPr>
            <w:r>
              <w:t>Invoice will be sent to the Buyer</w:t>
            </w:r>
            <w:r w:rsidR="00651119">
              <w:t xml:space="preserve"> in arrears in line with the payment profile.</w:t>
            </w:r>
          </w:p>
        </w:tc>
      </w:tr>
      <w:tr w:rsidR="00D84082" w14:paraId="387B7536" w14:textId="77777777" w:rsidTr="00D84082">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AF2DA67" w14:textId="77777777" w:rsidR="00D84082" w:rsidRDefault="00D84082" w:rsidP="00D84082">
            <w:pPr>
              <w:pStyle w:val="Standard"/>
              <w:spacing w:after="0" w:line="254"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1B182FA" w14:textId="77777777" w:rsidR="00D84082" w:rsidRDefault="00D84082" w:rsidP="00D84082">
            <w:pPr>
              <w:spacing w:after="247" w:line="229" w:lineRule="auto"/>
              <w:ind w:left="8" w:firstLine="8"/>
            </w:pPr>
            <w:r>
              <w:t>The total value of this Call-Off Contract is £300,000.00 (</w:t>
            </w:r>
            <w:r w:rsidRPr="00432765">
              <w:t xml:space="preserve">excluding VAT and including Extension Options) </w:t>
            </w:r>
          </w:p>
          <w:p w14:paraId="01FA8E56" w14:textId="77777777" w:rsidR="005D36A4" w:rsidRDefault="005D36A4" w:rsidP="00D84082">
            <w:pPr>
              <w:spacing w:after="247" w:line="229" w:lineRule="auto"/>
              <w:ind w:left="8" w:firstLine="8"/>
            </w:pPr>
            <w:r>
              <w:t>This comprises £200,000.00.00 (excluding VAT) for the Initial Term and £100,000.00 (excluding VAT) for the Extension.</w:t>
            </w:r>
          </w:p>
          <w:p w14:paraId="043320BC" w14:textId="77777777" w:rsidR="00D84082" w:rsidRDefault="00D84082" w:rsidP="00D84082">
            <w:pPr>
              <w:pStyle w:val="Standard"/>
              <w:spacing w:after="0" w:line="254" w:lineRule="auto"/>
              <w:ind w:left="2" w:firstLine="0"/>
            </w:pPr>
            <w:r w:rsidRPr="00432765">
              <w:rPr>
                <w:color w:val="auto"/>
              </w:rPr>
              <w:t>PPN 10/21: £360,000.00 (including VAT and including extension Options)</w:t>
            </w:r>
          </w:p>
        </w:tc>
      </w:tr>
      <w:tr w:rsidR="00731167" w14:paraId="26DFC4AE" w14:textId="77777777" w:rsidTr="00D84082">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34C69D4" w14:textId="77777777" w:rsidR="00731167" w:rsidRDefault="00731167" w:rsidP="00731167">
            <w:pPr>
              <w:pStyle w:val="Standard"/>
              <w:spacing w:after="0" w:line="254"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84D709" w14:textId="77777777" w:rsidR="00731167" w:rsidRDefault="00731167" w:rsidP="00731167">
            <w:pPr>
              <w:spacing w:before="240"/>
            </w:pPr>
            <w:r>
              <w:rPr>
                <w:b/>
                <w:bCs/>
                <w:color w:val="FF0000"/>
              </w:rPr>
              <w:t>REDACTED TEXT under FOIA Section 43 Commercial Interests</w:t>
            </w:r>
          </w:p>
          <w:p w14:paraId="643A5932" w14:textId="77777777" w:rsidR="00731167" w:rsidRDefault="00731167" w:rsidP="00731167">
            <w:pPr>
              <w:spacing w:before="240"/>
            </w:pPr>
          </w:p>
          <w:p w14:paraId="2D7CC6B4" w14:textId="77777777" w:rsidR="00731167" w:rsidRDefault="00731167" w:rsidP="00731167">
            <w:pPr>
              <w:spacing w:before="240"/>
            </w:pPr>
          </w:p>
        </w:tc>
      </w:tr>
    </w:tbl>
    <w:p w14:paraId="71890027" w14:textId="77777777" w:rsidR="00760E89" w:rsidRDefault="00750A02">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000" w:firstRow="0" w:lastRow="0" w:firstColumn="0" w:lastColumn="0" w:noHBand="0" w:noVBand="0"/>
      </w:tblPr>
      <w:tblGrid>
        <w:gridCol w:w="2621"/>
        <w:gridCol w:w="6962"/>
      </w:tblGrid>
      <w:tr w:rsidR="00760E89" w14:paraId="61895FB5" w14:textId="77777777" w:rsidTr="00C65C85">
        <w:trPr>
          <w:trHeight w:val="330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FD7DA2B" w14:textId="77777777" w:rsidR="00760E89" w:rsidRDefault="00750A02">
            <w:pPr>
              <w:pStyle w:val="Standard"/>
              <w:spacing w:after="0" w:line="254"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6D98329" w14:textId="77777777" w:rsidR="00760E89" w:rsidRDefault="00704791" w:rsidP="00704791">
            <w:pPr>
              <w:pStyle w:val="Standard"/>
              <w:spacing w:after="268" w:line="280" w:lineRule="auto"/>
              <w:ind w:left="2" w:firstLine="0"/>
            </w:pPr>
            <w:r>
              <w:t>Not Applicable</w:t>
            </w:r>
          </w:p>
        </w:tc>
      </w:tr>
      <w:tr w:rsidR="00760E89" w14:paraId="2ADE2614" w14:textId="77777777" w:rsidTr="00C65C85">
        <w:trPr>
          <w:trHeight w:val="217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9C36" w14:textId="77777777" w:rsidR="00760E89" w:rsidRDefault="00750A02">
            <w:pPr>
              <w:pStyle w:val="Standard"/>
              <w:spacing w:after="0" w:line="254"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D5AAE51" w14:textId="77777777" w:rsidR="00760E89" w:rsidRDefault="00704791">
            <w:pPr>
              <w:pStyle w:val="Standard"/>
              <w:spacing w:after="0" w:line="254" w:lineRule="auto"/>
              <w:ind w:left="2" w:firstLine="0"/>
            </w:pPr>
            <w:r>
              <w:t>Not Applicable</w:t>
            </w:r>
          </w:p>
        </w:tc>
      </w:tr>
      <w:tr w:rsidR="00760E89" w14:paraId="7126383D" w14:textId="77777777" w:rsidTr="00C65C85">
        <w:trPr>
          <w:trHeight w:val="248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767A023" w14:textId="77777777" w:rsidR="00760E89" w:rsidRDefault="00750A02">
            <w:pPr>
              <w:pStyle w:val="Standard"/>
              <w:spacing w:after="0" w:line="254"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D773482" w14:textId="77777777" w:rsidR="00760E89" w:rsidRDefault="00704791">
            <w:pPr>
              <w:pStyle w:val="Standard"/>
              <w:spacing w:after="0" w:line="254" w:lineRule="auto"/>
              <w:ind w:left="2" w:firstLine="0"/>
            </w:pPr>
            <w:r>
              <w:t>Not Applicable</w:t>
            </w:r>
          </w:p>
        </w:tc>
      </w:tr>
      <w:tr w:rsidR="00760E89" w14:paraId="3DE8EF8E" w14:textId="77777777" w:rsidTr="00C65C85">
        <w:trPr>
          <w:trHeight w:val="22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2487445" w14:textId="77777777" w:rsidR="00760E89" w:rsidRDefault="00750A02">
            <w:pPr>
              <w:pStyle w:val="Standard"/>
              <w:spacing w:after="0" w:line="254"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0A15B81" w14:textId="77777777" w:rsidR="00A11529" w:rsidRDefault="00750A02" w:rsidP="00A11529">
            <w:pPr>
              <w:spacing w:line="252" w:lineRule="auto"/>
              <w:jc w:val="both"/>
            </w:pPr>
            <w:r>
              <w:t xml:space="preserve">Within the scope of the Call-Off Contract, the Supplier </w:t>
            </w:r>
            <w:r w:rsidR="00A11529">
              <w:t>will align to the</w:t>
            </w:r>
          </w:p>
          <w:p w14:paraId="19400E93" w14:textId="77777777" w:rsidR="00A11529" w:rsidRDefault="00A11529" w:rsidP="00A11529">
            <w:pPr>
              <w:spacing w:line="252" w:lineRule="auto"/>
              <w:jc w:val="both"/>
            </w:pPr>
            <w:r>
              <w:t>following supplemental requirements:</w:t>
            </w:r>
          </w:p>
          <w:p w14:paraId="497BE568" w14:textId="77777777" w:rsidR="00A11529" w:rsidRDefault="00A11529" w:rsidP="00A11529">
            <w:pPr>
              <w:spacing w:line="252" w:lineRule="auto"/>
              <w:jc w:val="both"/>
            </w:pPr>
          </w:p>
          <w:p w14:paraId="311CB5FA" w14:textId="77777777" w:rsidR="00A11529" w:rsidRDefault="00A11529" w:rsidP="00A11529">
            <w:pPr>
              <w:spacing w:line="252" w:lineRule="auto"/>
              <w:jc w:val="both"/>
            </w:pPr>
            <w:r>
              <w:t>Schedule 8 Security Management Schedule (Developer)</w:t>
            </w:r>
          </w:p>
          <w:p w14:paraId="357E0094" w14:textId="77777777" w:rsidR="00760E89" w:rsidRDefault="00760E89">
            <w:pPr>
              <w:pStyle w:val="Standard"/>
              <w:spacing w:after="0" w:line="254" w:lineRule="auto"/>
              <w:ind w:left="2" w:firstLine="0"/>
            </w:pPr>
          </w:p>
        </w:tc>
      </w:tr>
      <w:tr w:rsidR="00760E89" w14:paraId="66D4D3CB" w14:textId="77777777" w:rsidTr="00C65C85">
        <w:trPr>
          <w:trHeight w:val="222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C3AE07F" w14:textId="77777777" w:rsidR="00760E89" w:rsidRDefault="00750A02">
            <w:pPr>
              <w:pStyle w:val="Standard"/>
              <w:spacing w:after="0" w:line="254" w:lineRule="auto"/>
              <w:ind w:left="0" w:firstLine="0"/>
            </w:pPr>
            <w:r>
              <w:rPr>
                <w:b/>
              </w:rPr>
              <w:lastRenderedPageBreak/>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9C32DAB" w14:textId="77777777" w:rsidR="00760E89" w:rsidRDefault="00750A02">
            <w:pPr>
              <w:pStyle w:val="Standard"/>
              <w:spacing w:after="245" w:line="280" w:lineRule="auto"/>
              <w:ind w:left="2" w:firstLine="0"/>
            </w:pPr>
            <w:r>
              <w:t>These Alternative Clauses, which have been selected from Schedule 4, will apply:</w:t>
            </w:r>
          </w:p>
          <w:p w14:paraId="7FBBE889" w14:textId="77777777" w:rsidR="00760E89" w:rsidRDefault="00AF6D29">
            <w:pPr>
              <w:pStyle w:val="Standard"/>
              <w:spacing w:after="0" w:line="254" w:lineRule="auto"/>
              <w:ind w:left="2" w:firstLine="0"/>
            </w:pPr>
            <w:r>
              <w:t>Not Applicable</w:t>
            </w:r>
          </w:p>
        </w:tc>
      </w:tr>
      <w:tr w:rsidR="00760E89" w14:paraId="0E8DC990" w14:textId="77777777" w:rsidTr="00C65C85">
        <w:trPr>
          <w:trHeight w:val="254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DCDEEB0" w14:textId="77777777" w:rsidR="00760E89" w:rsidRDefault="00750A02">
            <w:pPr>
              <w:pStyle w:val="Standard"/>
              <w:spacing w:after="26" w:line="254" w:lineRule="auto"/>
              <w:ind w:left="0" w:firstLine="0"/>
            </w:pPr>
            <w:r>
              <w:rPr>
                <w:b/>
              </w:rPr>
              <w:t>Buyer specific</w:t>
            </w:r>
          </w:p>
          <w:p w14:paraId="304A848B" w14:textId="77777777" w:rsidR="00760E89" w:rsidRDefault="00750A02">
            <w:pPr>
              <w:pStyle w:val="Standard"/>
              <w:spacing w:after="28" w:line="254" w:lineRule="auto"/>
              <w:ind w:left="0" w:firstLine="0"/>
            </w:pPr>
            <w:r>
              <w:rPr>
                <w:b/>
              </w:rPr>
              <w:t>amendments</w:t>
            </w:r>
          </w:p>
          <w:p w14:paraId="35CBA196" w14:textId="77777777" w:rsidR="00760E89" w:rsidRDefault="00750A02">
            <w:pPr>
              <w:pStyle w:val="Standard"/>
              <w:spacing w:after="0" w:line="254"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002D035" w14:textId="77777777" w:rsidR="00AF6D29" w:rsidRDefault="00750A02" w:rsidP="00AF6D29">
            <w:pPr>
              <w:spacing w:line="252" w:lineRule="auto"/>
              <w:ind w:left="2"/>
              <w:jc w:val="both"/>
            </w:pPr>
            <w:r>
              <w:t xml:space="preserve">Within the scope of the Call-Off Contract, the Supplier will </w:t>
            </w:r>
            <w:r w:rsidR="00AF6D29">
              <w:t>adhere to</w:t>
            </w:r>
          </w:p>
          <w:p w14:paraId="66FA5D7D" w14:textId="77777777" w:rsidR="00AF6D29" w:rsidRDefault="00AF6D29" w:rsidP="00AF6D29">
            <w:pPr>
              <w:spacing w:line="252" w:lineRule="auto"/>
              <w:ind w:left="2"/>
              <w:jc w:val="both"/>
            </w:pPr>
            <w:r>
              <w:t>the following Buyer specific amendment/refinements:</w:t>
            </w:r>
          </w:p>
          <w:p w14:paraId="2DE17541" w14:textId="77777777" w:rsidR="00AF6D29" w:rsidRDefault="00AF6D29" w:rsidP="00AF6D29">
            <w:pPr>
              <w:spacing w:line="252" w:lineRule="auto"/>
              <w:ind w:left="2"/>
              <w:jc w:val="both"/>
            </w:pPr>
          </w:p>
          <w:p w14:paraId="3D5C0738" w14:textId="77777777" w:rsidR="00760E89" w:rsidRPr="00AF6D29" w:rsidRDefault="00AF6D29" w:rsidP="00AF6D29">
            <w:pPr>
              <w:pStyle w:val="Standard"/>
              <w:spacing w:after="0" w:line="254" w:lineRule="auto"/>
              <w:ind w:left="2" w:firstLine="0"/>
              <w:rPr>
                <w:b/>
              </w:rPr>
            </w:pPr>
            <w:r>
              <w:t>Not Applicable</w:t>
            </w:r>
          </w:p>
        </w:tc>
      </w:tr>
      <w:tr w:rsidR="00760E89" w14:paraId="54916BA8" w14:textId="77777777" w:rsidTr="00C65C85">
        <w:trPr>
          <w:trHeight w:val="19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07A4119" w14:textId="77777777" w:rsidR="00760E89" w:rsidRDefault="00750A02">
            <w:pPr>
              <w:pStyle w:val="Standard"/>
              <w:spacing w:after="0" w:line="254"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20473B" w14:textId="77777777" w:rsidR="00760E89" w:rsidRDefault="00750A02">
            <w:pPr>
              <w:pStyle w:val="Standard"/>
              <w:spacing w:after="46" w:line="254" w:lineRule="auto"/>
              <w:ind w:left="2" w:firstLine="0"/>
            </w:pPr>
            <w:r>
              <w:t>Confirm whether Annex 1 (and Annex 2, if applicable) of</w:t>
            </w:r>
          </w:p>
          <w:p w14:paraId="7A5972AE" w14:textId="77777777" w:rsidR="00760E89" w:rsidRDefault="00750A02">
            <w:pPr>
              <w:pStyle w:val="Standard"/>
              <w:spacing w:after="0" w:line="254" w:lineRule="auto"/>
              <w:ind w:left="2" w:firstLine="0"/>
            </w:pPr>
            <w:r>
              <w:t>Schedule 7 is being used: Annex 1</w:t>
            </w:r>
          </w:p>
        </w:tc>
      </w:tr>
      <w:tr w:rsidR="00C65C85" w14:paraId="2EC8A60D" w14:textId="77777777" w:rsidTr="00C65C85">
        <w:trPr>
          <w:trHeight w:val="192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9DBDBFA" w14:textId="77777777" w:rsidR="00C65C85" w:rsidRDefault="00C65C85" w:rsidP="00C65C85">
            <w:pPr>
              <w:pStyle w:val="Standard"/>
              <w:spacing w:after="0" w:line="254"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292FEC1" w14:textId="77777777" w:rsidR="00C65C85" w:rsidRDefault="00C65C85" w:rsidP="00C65C85">
            <w:pPr>
              <w:spacing w:line="252" w:lineRule="auto"/>
              <w:ind w:left="2"/>
              <w:jc w:val="both"/>
            </w:pPr>
            <w:r>
              <w:t>The Buyer will own the configuration of the software and customised</w:t>
            </w:r>
          </w:p>
          <w:p w14:paraId="4C441265" w14:textId="77777777" w:rsidR="00C65C85" w:rsidRDefault="00C65C85" w:rsidP="00C65C85">
            <w:pPr>
              <w:spacing w:line="252" w:lineRule="auto"/>
              <w:ind w:left="2"/>
              <w:jc w:val="both"/>
            </w:pPr>
            <w:r>
              <w:t>software, and own the rights to the Perpetual software.  The Buyer will always own the data as they are classified as the Data Controller.</w:t>
            </w:r>
          </w:p>
          <w:p w14:paraId="6A829630" w14:textId="77777777" w:rsidR="00C65C85" w:rsidRDefault="00C65C85" w:rsidP="00C65C85">
            <w:pPr>
              <w:spacing w:line="252" w:lineRule="auto"/>
              <w:ind w:left="2"/>
              <w:jc w:val="both"/>
            </w:pPr>
          </w:p>
        </w:tc>
      </w:tr>
      <w:tr w:rsidR="00CE58D6" w14:paraId="0B8B3AE8" w14:textId="77777777" w:rsidTr="00C65C85">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29708CD" w14:textId="77777777" w:rsidR="00CE58D6" w:rsidRDefault="00CE58D6" w:rsidP="00CE58D6">
            <w:pPr>
              <w:pStyle w:val="Standard"/>
              <w:spacing w:after="0" w:line="254"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73996A2" w14:textId="77777777" w:rsidR="00CE58D6" w:rsidRDefault="00CE58D6" w:rsidP="00CE58D6">
            <w:pPr>
              <w:pBdr>
                <w:top w:val="nil"/>
                <w:left w:val="nil"/>
                <w:bottom w:val="nil"/>
                <w:right w:val="nil"/>
                <w:between w:val="nil"/>
              </w:pBdr>
              <w:spacing w:line="252" w:lineRule="auto"/>
              <w:ind w:left="2"/>
              <w:jc w:val="both"/>
            </w:pPr>
            <w:r>
              <w:t>The Supplier will align with Buyer published policy objectives to meet</w:t>
            </w:r>
          </w:p>
          <w:p w14:paraId="5754AFD9" w14:textId="77777777" w:rsidR="00CE58D6" w:rsidRDefault="00CE58D6" w:rsidP="00CE58D6">
            <w:pPr>
              <w:pBdr>
                <w:top w:val="nil"/>
                <w:left w:val="nil"/>
                <w:bottom w:val="nil"/>
                <w:right w:val="nil"/>
                <w:between w:val="nil"/>
              </w:pBdr>
              <w:spacing w:line="252" w:lineRule="auto"/>
              <w:ind w:left="2"/>
              <w:jc w:val="both"/>
            </w:pPr>
            <w:r>
              <w:t>its Net Zero and Reduction Carbon targets and so the Supplier should consider environmental sustainability across all aspects of contract implementation.  Requirements include, but are not limited to:</w:t>
            </w:r>
          </w:p>
          <w:p w14:paraId="66EB005B" w14:textId="77777777" w:rsidR="00CE58D6" w:rsidRDefault="00CE58D6" w:rsidP="00CE58D6">
            <w:pPr>
              <w:pBdr>
                <w:top w:val="nil"/>
                <w:left w:val="nil"/>
                <w:bottom w:val="nil"/>
                <w:right w:val="nil"/>
                <w:between w:val="nil"/>
              </w:pBdr>
              <w:spacing w:line="252" w:lineRule="auto"/>
              <w:ind w:left="2"/>
              <w:jc w:val="both"/>
            </w:pPr>
          </w:p>
          <w:p w14:paraId="60798BCF" w14:textId="77777777" w:rsidR="00CE58D6" w:rsidRDefault="00CE58D6" w:rsidP="00CE58D6">
            <w:pPr>
              <w:numPr>
                <w:ilvl w:val="0"/>
                <w:numId w:val="91"/>
              </w:numPr>
              <w:pBdr>
                <w:top w:val="nil"/>
                <w:left w:val="nil"/>
                <w:bottom w:val="nil"/>
                <w:right w:val="nil"/>
                <w:between w:val="nil"/>
              </w:pBdr>
              <w:suppressAutoHyphens w:val="0"/>
              <w:autoSpaceDN/>
              <w:spacing w:line="252" w:lineRule="auto"/>
              <w:jc w:val="both"/>
              <w:textAlignment w:val="auto"/>
            </w:pPr>
            <w:r>
              <w:t>Savings in CO</w:t>
            </w:r>
            <w:r>
              <w:rPr>
                <w:vertAlign w:val="subscript"/>
              </w:rPr>
              <w:t>2</w:t>
            </w:r>
            <w:r>
              <w:t xml:space="preserve"> emissions achieved through decarbonisation of processes and operations above a relevant baseline as a result of digitalisation initiatives;</w:t>
            </w:r>
          </w:p>
          <w:p w14:paraId="31F55B7E" w14:textId="77777777" w:rsidR="00CE58D6" w:rsidRDefault="00CE58D6" w:rsidP="00CE58D6">
            <w:pPr>
              <w:numPr>
                <w:ilvl w:val="0"/>
                <w:numId w:val="91"/>
              </w:numPr>
              <w:pBdr>
                <w:top w:val="nil"/>
                <w:left w:val="nil"/>
                <w:bottom w:val="nil"/>
                <w:right w:val="nil"/>
                <w:between w:val="nil"/>
              </w:pBdr>
              <w:suppressAutoHyphens w:val="0"/>
              <w:autoSpaceDN/>
              <w:spacing w:line="252" w:lineRule="auto"/>
              <w:jc w:val="both"/>
              <w:textAlignment w:val="auto"/>
            </w:pPr>
            <w:r>
              <w:lastRenderedPageBreak/>
              <w:t>Support of environmental protection and improvement through the delivery of the Call-Off Contract;</w:t>
            </w:r>
          </w:p>
          <w:p w14:paraId="2CC3BBB4" w14:textId="77777777" w:rsidR="00CE58D6" w:rsidRDefault="00CE58D6" w:rsidP="00CE58D6">
            <w:pPr>
              <w:numPr>
                <w:ilvl w:val="0"/>
                <w:numId w:val="91"/>
              </w:numPr>
              <w:pBdr>
                <w:top w:val="nil"/>
                <w:left w:val="nil"/>
                <w:bottom w:val="nil"/>
                <w:right w:val="nil"/>
                <w:between w:val="nil"/>
              </w:pBdr>
              <w:suppressAutoHyphens w:val="0"/>
              <w:autoSpaceDN/>
              <w:spacing w:line="252" w:lineRule="auto"/>
              <w:jc w:val="both"/>
              <w:textAlignment w:val="auto"/>
            </w:pPr>
            <w:r>
              <w:t>Compliance with the Modern Slavery Act 2015; and</w:t>
            </w:r>
          </w:p>
          <w:p w14:paraId="6C04B471" w14:textId="77777777" w:rsidR="00CE58D6" w:rsidRDefault="00CE58D6" w:rsidP="00CE58D6">
            <w:pPr>
              <w:numPr>
                <w:ilvl w:val="0"/>
                <w:numId w:val="91"/>
              </w:numPr>
              <w:pBdr>
                <w:top w:val="nil"/>
                <w:left w:val="nil"/>
                <w:bottom w:val="nil"/>
                <w:right w:val="nil"/>
                <w:between w:val="nil"/>
              </w:pBdr>
              <w:suppressAutoHyphens w:val="0"/>
              <w:autoSpaceDN/>
              <w:spacing w:line="252" w:lineRule="auto"/>
              <w:jc w:val="both"/>
              <w:textAlignment w:val="auto"/>
            </w:pPr>
            <w:r>
              <w:t>50 hours of local community support, such as volunteering and community led initiatives annually.</w:t>
            </w:r>
          </w:p>
        </w:tc>
      </w:tr>
    </w:tbl>
    <w:p w14:paraId="775F8076" w14:textId="77777777" w:rsidR="00760E89" w:rsidRDefault="00750A02">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Formation of contract</w:t>
      </w:r>
    </w:p>
    <w:p w14:paraId="25D03930" w14:textId="77777777" w:rsidR="00760E89" w:rsidRDefault="00750A02">
      <w:pPr>
        <w:pStyle w:val="Standard"/>
        <w:ind w:left="1838" w:right="14" w:hanging="720"/>
      </w:pPr>
      <w:r>
        <w:t>1.1       By signing and returning this Order Form (Part A), the Supplier agrees to enter into a Call-Off Contract with the Buyer.</w:t>
      </w:r>
    </w:p>
    <w:p w14:paraId="402EA5E7" w14:textId="77777777" w:rsidR="00760E89" w:rsidRDefault="00750A02">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589F62FD" w14:textId="77777777" w:rsidR="00760E89" w:rsidRDefault="00750A02">
      <w:pPr>
        <w:pStyle w:val="Standard"/>
        <w:ind w:left="1838" w:right="14" w:hanging="720"/>
      </w:pPr>
      <w:r>
        <w:t xml:space="preserve">1.3 </w:t>
      </w:r>
      <w:r>
        <w:tab/>
        <w:t>This Call-Off Contract will be formed when the Buyer acknowledges receipt of the signed copy of the Order Form from the Supplier.</w:t>
      </w:r>
    </w:p>
    <w:p w14:paraId="75A5561B" w14:textId="77777777" w:rsidR="00760E89" w:rsidRDefault="00750A02">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2E52D9C" w14:textId="77777777" w:rsidR="00760E89" w:rsidRDefault="00750A02">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0D13B7C8" w14:textId="77777777" w:rsidR="00760E89" w:rsidRDefault="00750A02">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760E89" w14:paraId="2FA0A03E"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87E1BAB" w14:textId="77777777" w:rsidR="00760E89" w:rsidRDefault="00750A02">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8F848D0" w14:textId="77777777" w:rsidR="00760E89" w:rsidRDefault="00750A02">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80E174C" w14:textId="77777777" w:rsidR="00760E89" w:rsidRDefault="00750A02">
            <w:pPr>
              <w:pStyle w:val="Standard"/>
              <w:spacing w:after="0" w:line="254" w:lineRule="auto"/>
              <w:ind w:left="0" w:firstLine="0"/>
            </w:pPr>
            <w:r>
              <w:t>Buyer</w:t>
            </w:r>
          </w:p>
        </w:tc>
      </w:tr>
      <w:tr w:rsidR="00025966" w14:paraId="60FE87F5" w14:textId="77777777" w:rsidTr="006365DA">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0303800" w14:textId="77777777" w:rsidR="00025966" w:rsidRDefault="00025966" w:rsidP="00025966">
            <w:pPr>
              <w:pStyle w:val="Standard"/>
              <w:spacing w:after="0" w:line="25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14E12ACC" w14:textId="77777777" w:rsidR="00025966" w:rsidRDefault="00025966" w:rsidP="00025966">
            <w:pPr>
              <w:spacing w:before="240"/>
            </w:pPr>
            <w:r>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1D33A2F0" w14:textId="77777777" w:rsidR="00025966" w:rsidRDefault="00025966" w:rsidP="00025966">
            <w:pPr>
              <w:spacing w:before="240"/>
            </w:pPr>
            <w:r>
              <w:rPr>
                <w:b/>
                <w:color w:val="FF0000"/>
              </w:rPr>
              <w:t>REDACTED TEXT under FOIA Section 40, Personal Information</w:t>
            </w:r>
          </w:p>
        </w:tc>
      </w:tr>
      <w:tr w:rsidR="00025966" w14:paraId="356407B9" w14:textId="77777777" w:rsidTr="006365DA">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FB2B9BE" w14:textId="77777777" w:rsidR="00025966" w:rsidRDefault="00025966" w:rsidP="00025966">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268C6B8B" w14:textId="77777777" w:rsidR="00025966" w:rsidRDefault="00025966" w:rsidP="00025966">
            <w:pPr>
              <w:spacing w:before="240"/>
            </w:pPr>
            <w:r>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74066BD7" w14:textId="77777777" w:rsidR="00025966" w:rsidRDefault="00025966" w:rsidP="00025966">
            <w:pPr>
              <w:spacing w:before="240"/>
            </w:pPr>
            <w:r>
              <w:rPr>
                <w:b/>
                <w:color w:val="FF0000"/>
              </w:rPr>
              <w:t>REDACTED TEXT under FOIA Section 40, Personal Information</w:t>
            </w:r>
          </w:p>
        </w:tc>
      </w:tr>
      <w:tr w:rsidR="00760E89" w14:paraId="166972B9"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9891E58" w14:textId="77777777" w:rsidR="00760E89" w:rsidRDefault="00750A02">
            <w:pPr>
              <w:pStyle w:val="Standard"/>
              <w:spacing w:after="0" w:line="25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C5E0383" w14:textId="3BFE6A63" w:rsidR="00760E89" w:rsidRDefault="00750A02">
            <w:pPr>
              <w:pStyle w:val="Standard"/>
              <w:spacing w:after="0" w:line="254" w:lineRule="auto"/>
              <w:ind w:left="0" w:firstLine="0"/>
            </w:pPr>
            <w:r>
              <w:t xml:space="preserve"> </w:t>
            </w:r>
            <w:r w:rsidR="00867873">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DB9A7DC" w14:textId="2A443314" w:rsidR="00760E89" w:rsidRDefault="00750A02">
            <w:pPr>
              <w:pStyle w:val="Standard"/>
              <w:spacing w:after="0" w:line="254" w:lineRule="auto"/>
              <w:ind w:left="0" w:firstLine="0"/>
            </w:pPr>
            <w:r>
              <w:t xml:space="preserve"> </w:t>
            </w:r>
            <w:r w:rsidR="00867873">
              <w:rPr>
                <w:b/>
                <w:color w:val="FF0000"/>
              </w:rPr>
              <w:t>REDACTED TEXT under FOIA Section 40, Personal Information</w:t>
            </w:r>
          </w:p>
        </w:tc>
      </w:tr>
      <w:tr w:rsidR="00760E89" w14:paraId="2754E39A"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62E7D7" w14:textId="77777777" w:rsidR="00760E89" w:rsidRDefault="00750A02">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B650BA1" w14:textId="45C6C7B8" w:rsidR="00760E89" w:rsidRDefault="009E63C8">
            <w:pPr>
              <w:pStyle w:val="Standard"/>
              <w:spacing w:after="0" w:line="254" w:lineRule="auto"/>
              <w:ind w:left="0" w:firstLine="0"/>
            </w:pPr>
            <w:r>
              <w:t>13</w:t>
            </w:r>
            <w:r w:rsidRPr="009E63C8">
              <w:rPr>
                <w:vertAlign w:val="superscript"/>
              </w:rPr>
              <w:t>th</w:t>
            </w:r>
            <w:r>
              <w:t xml:space="preserve"> November 2023</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7C083C" w14:textId="31099603" w:rsidR="00760E89" w:rsidRDefault="009E63C8">
            <w:pPr>
              <w:pStyle w:val="Standard"/>
              <w:spacing w:after="0" w:line="254" w:lineRule="auto"/>
              <w:ind w:left="0" w:firstLine="0"/>
            </w:pPr>
            <w:r>
              <w:t>13</w:t>
            </w:r>
            <w:r w:rsidRPr="009E63C8">
              <w:rPr>
                <w:vertAlign w:val="superscript"/>
              </w:rPr>
              <w:t>th</w:t>
            </w:r>
            <w:r>
              <w:t xml:space="preserve"> November 2023</w:t>
            </w:r>
          </w:p>
        </w:tc>
      </w:tr>
    </w:tbl>
    <w:p w14:paraId="7EAC63E2" w14:textId="77777777" w:rsidR="00760E89" w:rsidRDefault="00750A02">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3680C63F" w14:textId="77777777" w:rsidR="00760E89" w:rsidRDefault="00750A02">
      <w:pPr>
        <w:pStyle w:val="Heading2"/>
        <w:pageBreakBefore/>
        <w:spacing w:after="278" w:line="240" w:lineRule="auto"/>
        <w:ind w:left="1113" w:firstLine="1118"/>
      </w:pPr>
      <w:r>
        <w:lastRenderedPageBreak/>
        <w:t>Customer Benefits</w:t>
      </w:r>
    </w:p>
    <w:p w14:paraId="05421D28" w14:textId="77777777" w:rsidR="00760E89" w:rsidRDefault="00750A02">
      <w:pPr>
        <w:pStyle w:val="Standard"/>
        <w:ind w:right="14"/>
      </w:pPr>
      <w:r>
        <w:t>For each Call-Off Contract please complete a customer benefits record, by following this link:</w:t>
      </w:r>
    </w:p>
    <w:p w14:paraId="546538D5" w14:textId="77777777" w:rsidR="00760E89" w:rsidRDefault="00750A02">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13" w:history="1">
        <w:r>
          <w:rPr>
            <w:color w:val="1155CC"/>
            <w:u w:val="single"/>
          </w:rPr>
          <w:t>G-Cloud 13 Customer Benefit Record</w:t>
        </w:r>
      </w:hyperlink>
      <w:r>
        <w:tab/>
      </w:r>
    </w:p>
    <w:p w14:paraId="4A423126" w14:textId="77777777" w:rsidR="00760E89" w:rsidRDefault="00750A02">
      <w:pPr>
        <w:pStyle w:val="Heading1"/>
        <w:pageBreakBefore/>
        <w:spacing w:after="299" w:line="240" w:lineRule="auto"/>
        <w:ind w:left="1113" w:firstLine="1118"/>
      </w:pPr>
      <w:bookmarkStart w:id="18" w:name="_heading=h.1fob9te"/>
      <w:bookmarkEnd w:id="18"/>
      <w:r>
        <w:lastRenderedPageBreak/>
        <w:t>Part B: Terms and conditions</w:t>
      </w:r>
    </w:p>
    <w:p w14:paraId="68645C9D" w14:textId="77777777" w:rsidR="00760E89" w:rsidRDefault="00750A02">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6D41DCC2" w14:textId="77777777" w:rsidR="00760E89" w:rsidRDefault="00750A02">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12BEE3A2" w14:textId="77777777" w:rsidR="00760E89" w:rsidRDefault="00750A02">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402F79B8" w14:textId="77777777" w:rsidR="00760E89" w:rsidRDefault="00750A02">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785D66B3" w14:textId="77777777" w:rsidR="00760E89" w:rsidRDefault="00750A02">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3239DF95" w14:textId="77777777" w:rsidR="00760E89" w:rsidRDefault="00750A02">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71432906" w14:textId="77777777" w:rsidR="00760E89" w:rsidRDefault="00750A02">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3889B97A" w14:textId="77777777" w:rsidR="00760E89" w:rsidRDefault="00750A02" w:rsidP="00075C10">
      <w:pPr>
        <w:pStyle w:val="Standard"/>
        <w:numPr>
          <w:ilvl w:val="0"/>
          <w:numId w:val="54"/>
        </w:numPr>
        <w:spacing w:after="28" w:line="240" w:lineRule="auto"/>
        <w:ind w:left="1891" w:right="14" w:hanging="397"/>
      </w:pPr>
      <w:r>
        <w:t>2.3 (Warranties and representations)</w:t>
      </w:r>
    </w:p>
    <w:p w14:paraId="169D3F2F" w14:textId="77777777" w:rsidR="00760E89" w:rsidRDefault="00750A02">
      <w:pPr>
        <w:pStyle w:val="Standard"/>
        <w:numPr>
          <w:ilvl w:val="0"/>
          <w:numId w:val="3"/>
        </w:numPr>
        <w:spacing w:after="31" w:line="240" w:lineRule="auto"/>
        <w:ind w:left="1891" w:right="14" w:hanging="397"/>
      </w:pPr>
      <w:r>
        <w:t>4.1 to 4.6 (Liability)</w:t>
      </w:r>
    </w:p>
    <w:p w14:paraId="298DBAF4" w14:textId="77777777" w:rsidR="00760E89" w:rsidRDefault="00750A02">
      <w:pPr>
        <w:pStyle w:val="Standard"/>
        <w:numPr>
          <w:ilvl w:val="0"/>
          <w:numId w:val="3"/>
        </w:numPr>
        <w:spacing w:after="31" w:line="240" w:lineRule="auto"/>
        <w:ind w:left="1891" w:right="14" w:hanging="397"/>
      </w:pPr>
      <w:r>
        <w:t>4.10 to 4.11 (IR35)</w:t>
      </w:r>
    </w:p>
    <w:p w14:paraId="3D49E40E" w14:textId="77777777" w:rsidR="00760E89" w:rsidRDefault="00750A02">
      <w:pPr>
        <w:pStyle w:val="Standard"/>
        <w:numPr>
          <w:ilvl w:val="0"/>
          <w:numId w:val="3"/>
        </w:numPr>
        <w:spacing w:after="30" w:line="240" w:lineRule="auto"/>
        <w:ind w:left="1891" w:right="14" w:hanging="397"/>
      </w:pPr>
      <w:r>
        <w:t>10 (Force majeure)</w:t>
      </w:r>
    </w:p>
    <w:p w14:paraId="56BEB684" w14:textId="77777777" w:rsidR="00760E89" w:rsidRDefault="00750A02">
      <w:pPr>
        <w:pStyle w:val="Standard"/>
        <w:numPr>
          <w:ilvl w:val="0"/>
          <w:numId w:val="3"/>
        </w:numPr>
        <w:spacing w:after="30" w:line="240" w:lineRule="auto"/>
        <w:ind w:left="1891" w:right="14" w:hanging="397"/>
      </w:pPr>
      <w:r>
        <w:t>5.3 (Continuing rights)</w:t>
      </w:r>
    </w:p>
    <w:p w14:paraId="6D6CC017" w14:textId="77777777" w:rsidR="00760E89" w:rsidRDefault="00750A02">
      <w:pPr>
        <w:pStyle w:val="Standard"/>
        <w:numPr>
          <w:ilvl w:val="0"/>
          <w:numId w:val="3"/>
        </w:numPr>
        <w:spacing w:after="32" w:line="240" w:lineRule="auto"/>
        <w:ind w:left="1891" w:right="14" w:hanging="397"/>
      </w:pPr>
      <w:r>
        <w:t>5.4 to 5.6 (Change of control)</w:t>
      </w:r>
    </w:p>
    <w:p w14:paraId="00121FE8" w14:textId="77777777" w:rsidR="00760E89" w:rsidRDefault="00750A02">
      <w:pPr>
        <w:pStyle w:val="Standard"/>
        <w:numPr>
          <w:ilvl w:val="0"/>
          <w:numId w:val="3"/>
        </w:numPr>
        <w:spacing w:after="31" w:line="240" w:lineRule="auto"/>
        <w:ind w:left="1891" w:right="14" w:hanging="397"/>
      </w:pPr>
      <w:r>
        <w:t>5.7 (Fraud)</w:t>
      </w:r>
    </w:p>
    <w:p w14:paraId="525EA9F9" w14:textId="77777777" w:rsidR="00760E89" w:rsidRDefault="00750A02">
      <w:pPr>
        <w:pStyle w:val="Standard"/>
        <w:numPr>
          <w:ilvl w:val="0"/>
          <w:numId w:val="3"/>
        </w:numPr>
        <w:spacing w:after="28" w:line="240" w:lineRule="auto"/>
        <w:ind w:left="1891" w:right="14" w:hanging="397"/>
      </w:pPr>
      <w:r>
        <w:t>5.8 (Notice of fraud)</w:t>
      </w:r>
    </w:p>
    <w:p w14:paraId="14AB931F" w14:textId="77777777" w:rsidR="00760E89" w:rsidRDefault="00750A02">
      <w:pPr>
        <w:pStyle w:val="Standard"/>
        <w:numPr>
          <w:ilvl w:val="0"/>
          <w:numId w:val="3"/>
        </w:numPr>
        <w:spacing w:after="31" w:line="240" w:lineRule="auto"/>
        <w:ind w:left="1891" w:right="14" w:hanging="397"/>
      </w:pPr>
      <w:r>
        <w:t>7 (Transparency and Audit)</w:t>
      </w:r>
    </w:p>
    <w:p w14:paraId="1537CF53" w14:textId="77777777" w:rsidR="00760E89" w:rsidRDefault="00750A02">
      <w:pPr>
        <w:pStyle w:val="Standard"/>
        <w:numPr>
          <w:ilvl w:val="0"/>
          <w:numId w:val="3"/>
        </w:numPr>
        <w:spacing w:after="31" w:line="240" w:lineRule="auto"/>
        <w:ind w:left="1891" w:right="14" w:hanging="397"/>
      </w:pPr>
      <w:r>
        <w:t>8.3 (Order of precedence)</w:t>
      </w:r>
    </w:p>
    <w:p w14:paraId="19196C6F" w14:textId="77777777" w:rsidR="00760E89" w:rsidRDefault="00750A02">
      <w:pPr>
        <w:pStyle w:val="Standard"/>
        <w:numPr>
          <w:ilvl w:val="0"/>
          <w:numId w:val="3"/>
        </w:numPr>
        <w:spacing w:after="30" w:line="240" w:lineRule="auto"/>
        <w:ind w:left="1891" w:right="14" w:hanging="397"/>
      </w:pPr>
      <w:r>
        <w:t>11 (Relationship)</w:t>
      </w:r>
    </w:p>
    <w:p w14:paraId="7F61AA86" w14:textId="77777777" w:rsidR="00760E89" w:rsidRDefault="00750A02">
      <w:pPr>
        <w:pStyle w:val="Standard"/>
        <w:numPr>
          <w:ilvl w:val="0"/>
          <w:numId w:val="3"/>
        </w:numPr>
        <w:spacing w:after="30" w:line="240" w:lineRule="auto"/>
        <w:ind w:left="1891" w:right="14" w:hanging="397"/>
      </w:pPr>
      <w:r>
        <w:t>14 (Entire agreement)</w:t>
      </w:r>
    </w:p>
    <w:p w14:paraId="60D7CC77" w14:textId="77777777" w:rsidR="00760E89" w:rsidRDefault="00750A02">
      <w:pPr>
        <w:pStyle w:val="Standard"/>
        <w:numPr>
          <w:ilvl w:val="0"/>
          <w:numId w:val="3"/>
        </w:numPr>
        <w:spacing w:after="30" w:line="240" w:lineRule="auto"/>
        <w:ind w:left="1891" w:right="14" w:hanging="397"/>
      </w:pPr>
      <w:r>
        <w:t>15 (Law and jurisdiction)</w:t>
      </w:r>
    </w:p>
    <w:p w14:paraId="51CBDFC0" w14:textId="77777777" w:rsidR="00760E89" w:rsidRDefault="00750A02">
      <w:pPr>
        <w:pStyle w:val="Standard"/>
        <w:numPr>
          <w:ilvl w:val="0"/>
          <w:numId w:val="3"/>
        </w:numPr>
        <w:spacing w:after="30" w:line="240" w:lineRule="auto"/>
        <w:ind w:left="1891" w:right="14" w:hanging="397"/>
      </w:pPr>
      <w:r>
        <w:t>16 (Legislative change)</w:t>
      </w:r>
    </w:p>
    <w:p w14:paraId="15539F85" w14:textId="77777777" w:rsidR="00760E89" w:rsidRDefault="00750A02">
      <w:pPr>
        <w:pStyle w:val="Standard"/>
        <w:numPr>
          <w:ilvl w:val="0"/>
          <w:numId w:val="3"/>
        </w:numPr>
        <w:spacing w:after="27" w:line="240" w:lineRule="auto"/>
        <w:ind w:left="1891" w:right="14" w:hanging="397"/>
      </w:pPr>
      <w:r>
        <w:t>17 (Bribery and corruption)</w:t>
      </w:r>
    </w:p>
    <w:p w14:paraId="441B71D4" w14:textId="77777777" w:rsidR="00760E89" w:rsidRDefault="00750A02">
      <w:pPr>
        <w:pStyle w:val="Standard"/>
        <w:numPr>
          <w:ilvl w:val="0"/>
          <w:numId w:val="3"/>
        </w:numPr>
        <w:spacing w:after="30" w:line="240" w:lineRule="auto"/>
        <w:ind w:left="1891" w:right="14" w:hanging="397"/>
      </w:pPr>
      <w:r>
        <w:t>18 (Freedom of Information Act)</w:t>
      </w:r>
    </w:p>
    <w:p w14:paraId="6BEABAEA" w14:textId="77777777" w:rsidR="00760E89" w:rsidRDefault="00750A02">
      <w:pPr>
        <w:pStyle w:val="Standard"/>
        <w:numPr>
          <w:ilvl w:val="0"/>
          <w:numId w:val="3"/>
        </w:numPr>
        <w:spacing w:after="30" w:line="240" w:lineRule="auto"/>
        <w:ind w:left="1891" w:right="14" w:hanging="397"/>
      </w:pPr>
      <w:r>
        <w:t>19 (Promoting tax compliance)</w:t>
      </w:r>
    </w:p>
    <w:p w14:paraId="2711883D" w14:textId="77777777" w:rsidR="00760E89" w:rsidRDefault="00750A02">
      <w:pPr>
        <w:pStyle w:val="Standard"/>
        <w:numPr>
          <w:ilvl w:val="0"/>
          <w:numId w:val="3"/>
        </w:numPr>
        <w:spacing w:after="30" w:line="240" w:lineRule="auto"/>
        <w:ind w:left="1891" w:right="14" w:hanging="397"/>
      </w:pPr>
      <w:r>
        <w:t>20 (Official Secrets Act)</w:t>
      </w:r>
    </w:p>
    <w:p w14:paraId="66A44EEB" w14:textId="77777777" w:rsidR="00760E89" w:rsidRDefault="00750A02">
      <w:pPr>
        <w:pStyle w:val="Standard"/>
        <w:numPr>
          <w:ilvl w:val="0"/>
          <w:numId w:val="3"/>
        </w:numPr>
        <w:spacing w:after="29" w:line="240" w:lineRule="auto"/>
        <w:ind w:left="1891" w:right="14" w:hanging="397"/>
      </w:pPr>
      <w:r>
        <w:t>21 (Transfer and subcontracting)</w:t>
      </w:r>
    </w:p>
    <w:p w14:paraId="48748781" w14:textId="77777777" w:rsidR="00760E89" w:rsidRDefault="00750A02">
      <w:pPr>
        <w:pStyle w:val="Standard"/>
        <w:numPr>
          <w:ilvl w:val="0"/>
          <w:numId w:val="3"/>
        </w:numPr>
        <w:spacing w:after="0" w:line="240" w:lineRule="auto"/>
        <w:ind w:left="1891" w:right="14" w:hanging="397"/>
      </w:pPr>
      <w:r>
        <w:t>23 (Complaints handling and resolution)</w:t>
      </w:r>
    </w:p>
    <w:p w14:paraId="397F3C8D" w14:textId="77777777" w:rsidR="00760E89" w:rsidRDefault="00750A02">
      <w:pPr>
        <w:pStyle w:val="Standard"/>
        <w:numPr>
          <w:ilvl w:val="0"/>
          <w:numId w:val="3"/>
        </w:numPr>
        <w:spacing w:after="0" w:line="240" w:lineRule="auto"/>
        <w:ind w:left="1891" w:right="14" w:hanging="397"/>
      </w:pPr>
      <w:r>
        <w:t>24 (Conflicts of interest and ethical walls)</w:t>
      </w:r>
    </w:p>
    <w:p w14:paraId="6142BB25" w14:textId="77777777" w:rsidR="00760E89" w:rsidRDefault="00750A02">
      <w:pPr>
        <w:pStyle w:val="Standard"/>
        <w:numPr>
          <w:ilvl w:val="0"/>
          <w:numId w:val="3"/>
        </w:numPr>
        <w:spacing w:after="0" w:line="240" w:lineRule="auto"/>
        <w:ind w:left="1891" w:right="14" w:hanging="397"/>
      </w:pPr>
      <w:r>
        <w:t>25 (Publicity and branding)</w:t>
      </w:r>
    </w:p>
    <w:p w14:paraId="5812770C" w14:textId="77777777" w:rsidR="00760E89" w:rsidRDefault="00750A02">
      <w:pPr>
        <w:pStyle w:val="Standard"/>
        <w:numPr>
          <w:ilvl w:val="0"/>
          <w:numId w:val="3"/>
        </w:numPr>
        <w:spacing w:after="0" w:line="240" w:lineRule="auto"/>
        <w:ind w:left="1891" w:right="14" w:hanging="397"/>
      </w:pPr>
      <w:r>
        <w:t>26 (Equality and diversity)</w:t>
      </w:r>
    </w:p>
    <w:p w14:paraId="576DE3D2" w14:textId="77777777" w:rsidR="00760E89" w:rsidRDefault="00750A02">
      <w:pPr>
        <w:pStyle w:val="Standard"/>
        <w:numPr>
          <w:ilvl w:val="0"/>
          <w:numId w:val="3"/>
        </w:numPr>
        <w:spacing w:after="29" w:line="240" w:lineRule="auto"/>
        <w:ind w:left="1891" w:right="14" w:hanging="397"/>
      </w:pPr>
      <w:r>
        <w:t>28 (Data protection)</w:t>
      </w:r>
    </w:p>
    <w:p w14:paraId="2DC9CEAD" w14:textId="77777777" w:rsidR="00760E89" w:rsidRDefault="00750A02">
      <w:pPr>
        <w:pStyle w:val="Standard"/>
        <w:numPr>
          <w:ilvl w:val="0"/>
          <w:numId w:val="3"/>
        </w:numPr>
        <w:spacing w:after="29" w:line="240" w:lineRule="auto"/>
        <w:ind w:left="1891" w:right="14" w:hanging="397"/>
      </w:pPr>
      <w:r>
        <w:t>31 (Severability)</w:t>
      </w:r>
    </w:p>
    <w:p w14:paraId="320A7F17" w14:textId="77777777" w:rsidR="00760E89" w:rsidRDefault="00750A02">
      <w:pPr>
        <w:pStyle w:val="Standard"/>
        <w:numPr>
          <w:ilvl w:val="0"/>
          <w:numId w:val="3"/>
        </w:numPr>
        <w:spacing w:after="31" w:line="240" w:lineRule="auto"/>
        <w:ind w:left="1891" w:right="14" w:hanging="397"/>
      </w:pPr>
      <w:r>
        <w:t>32 and 33 (Managing disputes and Mediation)</w:t>
      </w:r>
    </w:p>
    <w:p w14:paraId="57BA70B1" w14:textId="77777777" w:rsidR="00760E89" w:rsidRDefault="00750A02">
      <w:pPr>
        <w:pStyle w:val="Standard"/>
        <w:numPr>
          <w:ilvl w:val="0"/>
          <w:numId w:val="3"/>
        </w:numPr>
        <w:spacing w:after="30" w:line="240" w:lineRule="auto"/>
        <w:ind w:left="1891" w:right="14" w:hanging="397"/>
      </w:pPr>
      <w:r>
        <w:lastRenderedPageBreak/>
        <w:t>34 (Confidentiality)</w:t>
      </w:r>
    </w:p>
    <w:p w14:paraId="26822040" w14:textId="77777777" w:rsidR="00760E89" w:rsidRDefault="00750A02">
      <w:pPr>
        <w:pStyle w:val="Standard"/>
        <w:numPr>
          <w:ilvl w:val="0"/>
          <w:numId w:val="3"/>
        </w:numPr>
        <w:spacing w:after="30" w:line="240" w:lineRule="auto"/>
        <w:ind w:left="1891" w:right="14" w:hanging="397"/>
      </w:pPr>
      <w:r>
        <w:t>35 (Waiver and cumulative remedies)</w:t>
      </w:r>
    </w:p>
    <w:p w14:paraId="691C0AF1" w14:textId="77777777" w:rsidR="00760E89" w:rsidRDefault="00750A02">
      <w:pPr>
        <w:pStyle w:val="Standard"/>
        <w:numPr>
          <w:ilvl w:val="0"/>
          <w:numId w:val="3"/>
        </w:numPr>
        <w:spacing w:after="27" w:line="240" w:lineRule="auto"/>
        <w:ind w:left="1891" w:right="14" w:hanging="397"/>
      </w:pPr>
      <w:r>
        <w:t>36 (Corporate Social Responsibility)</w:t>
      </w:r>
    </w:p>
    <w:p w14:paraId="73DCBBA1" w14:textId="77777777" w:rsidR="00760E89" w:rsidRDefault="00750A02">
      <w:pPr>
        <w:pStyle w:val="Standard"/>
        <w:numPr>
          <w:ilvl w:val="0"/>
          <w:numId w:val="3"/>
        </w:numPr>
        <w:ind w:left="1891" w:right="14" w:hanging="397"/>
      </w:pPr>
      <w:r>
        <w:t>paragraphs 1 to 10 of the Framework Agreement Schedule 3</w:t>
      </w:r>
    </w:p>
    <w:p w14:paraId="761707E5" w14:textId="77777777" w:rsidR="00760E89" w:rsidRDefault="00750A02">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6C96D87F" w14:textId="77777777" w:rsidR="00760E89" w:rsidRDefault="00750A02">
      <w:pPr>
        <w:pStyle w:val="Standard"/>
        <w:numPr>
          <w:ilvl w:val="2"/>
          <w:numId w:val="5"/>
        </w:numPr>
        <w:spacing w:after="41" w:line="240" w:lineRule="auto"/>
        <w:ind w:right="14" w:hanging="720"/>
      </w:pPr>
      <w:r>
        <w:t>a reference to the ‘Framework Agreement’ will be a reference to the ‘Call-Off Contract’</w:t>
      </w:r>
    </w:p>
    <w:p w14:paraId="71FC6729" w14:textId="77777777" w:rsidR="00760E89" w:rsidRDefault="00750A02">
      <w:pPr>
        <w:pStyle w:val="Standard"/>
        <w:numPr>
          <w:ilvl w:val="2"/>
          <w:numId w:val="5"/>
        </w:numPr>
        <w:spacing w:after="55" w:line="240" w:lineRule="auto"/>
        <w:ind w:right="14" w:hanging="720"/>
      </w:pPr>
      <w:r>
        <w:t>a reference to ‘CCS’ or to ‘CCS and/or the Buyer’ will be a reference to ‘the Buyer’</w:t>
      </w:r>
    </w:p>
    <w:p w14:paraId="7B0E86CD" w14:textId="77777777" w:rsidR="00760E89" w:rsidRDefault="00750A02">
      <w:pPr>
        <w:pStyle w:val="Standard"/>
        <w:numPr>
          <w:ilvl w:val="2"/>
          <w:numId w:val="5"/>
        </w:numPr>
        <w:ind w:right="14" w:hanging="720"/>
      </w:pPr>
      <w:r>
        <w:t>a reference to the ‘Parties’ and a ‘Party’ will be a reference to the Buyer and Supplier as Parties under this Call-Off Contract</w:t>
      </w:r>
    </w:p>
    <w:p w14:paraId="775670DD" w14:textId="77777777" w:rsidR="00760E89" w:rsidRDefault="00750A02">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4A34BB01" w14:textId="77777777" w:rsidR="00760E89" w:rsidRDefault="00750A02">
      <w:pPr>
        <w:pStyle w:val="Standard"/>
        <w:numPr>
          <w:ilvl w:val="1"/>
          <w:numId w:val="7"/>
        </w:numPr>
        <w:ind w:right="14" w:hanging="720"/>
      </w:pPr>
      <w:r>
        <w:t>The Framework Agreement incorporated clauses will be referred to as incorporated Framework clause ‘XX’, where ‘XX’ is the Framework Agreement clause number.</w:t>
      </w:r>
    </w:p>
    <w:p w14:paraId="63F704C8" w14:textId="77777777" w:rsidR="00760E89" w:rsidRDefault="00750A02">
      <w:pPr>
        <w:pStyle w:val="Standard"/>
        <w:numPr>
          <w:ilvl w:val="1"/>
          <w:numId w:val="7"/>
        </w:numPr>
        <w:spacing w:after="740" w:line="240" w:lineRule="auto"/>
        <w:ind w:right="14" w:hanging="720"/>
      </w:pPr>
      <w:r>
        <w:t>When an Order Form is signed, the terms and conditions agreed in it will be incorporated into this Call-Off Contract.</w:t>
      </w:r>
    </w:p>
    <w:p w14:paraId="167F4A52" w14:textId="77777777" w:rsidR="00760E89" w:rsidRDefault="00750A02">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2C52E137" w14:textId="77777777" w:rsidR="00760E89" w:rsidRDefault="00750A02">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0296C204" w14:textId="77777777" w:rsidR="00760E89" w:rsidRDefault="00750A02">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6C9DCE6B" w14:textId="77777777" w:rsidR="00760E89" w:rsidRDefault="00760E89">
      <w:pPr>
        <w:pStyle w:val="Standard"/>
        <w:spacing w:after="741" w:line="240" w:lineRule="auto"/>
        <w:ind w:left="1838" w:right="14" w:hanging="720"/>
      </w:pPr>
    </w:p>
    <w:p w14:paraId="7D04DD33" w14:textId="77777777" w:rsidR="00760E89" w:rsidRDefault="00750A02">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3EA6E7E3" w14:textId="77777777" w:rsidR="00760E89" w:rsidRDefault="00750A02">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241ABAC5" w14:textId="77777777" w:rsidR="00760E89" w:rsidRDefault="00750A02">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307BE019" w14:textId="77777777" w:rsidR="00760E89" w:rsidRDefault="00750A02">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1B50F254" w14:textId="77777777" w:rsidR="00760E89" w:rsidRDefault="00750A02">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0B6D52CA" w14:textId="77777777" w:rsidR="00760E89" w:rsidRDefault="00750A02">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7C0DD3CA" w14:textId="77777777" w:rsidR="00760E89" w:rsidRDefault="00750A02">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3982E65E" w14:textId="77777777" w:rsidR="00760E89" w:rsidRDefault="00750A02">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6DCC72E5" w14:textId="77777777" w:rsidR="00760E89" w:rsidRDefault="00750A02">
      <w:pPr>
        <w:pStyle w:val="Standard"/>
        <w:ind w:left="1838" w:right="14" w:hanging="720"/>
      </w:pPr>
      <w:r>
        <w:t xml:space="preserve">4.3 </w:t>
      </w:r>
      <w:r>
        <w:tab/>
        <w:t>The Supplier may substitute any Supplier Staff as long as they have the equivalent experience and qualifications to the substituted staff member.</w:t>
      </w:r>
    </w:p>
    <w:p w14:paraId="5760B7B9" w14:textId="77777777" w:rsidR="00760E89" w:rsidRDefault="00750A02">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347509DA" w14:textId="77777777" w:rsidR="00760E89" w:rsidRDefault="00750A02">
      <w:pPr>
        <w:pStyle w:val="Standard"/>
        <w:ind w:left="1838" w:right="14" w:hanging="720"/>
      </w:pPr>
      <w:r>
        <w:t xml:space="preserve">4.5 </w:t>
      </w:r>
      <w:r>
        <w:tab/>
        <w:t>The Buyer may End this Call-Off Contract for Material Breach as per clause 18.5 hereunder if the Supplier is delivering the Services Inside IR35.</w:t>
      </w:r>
    </w:p>
    <w:p w14:paraId="0907BB47" w14:textId="77777777" w:rsidR="00760E89" w:rsidRDefault="00750A02">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8A8466C" w14:textId="77777777" w:rsidR="00760E89" w:rsidRDefault="00750A02">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3AA2567B" w14:textId="77777777" w:rsidR="00760E89" w:rsidRDefault="00750A02">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00DC7DD6" w14:textId="77777777" w:rsidR="00760E89" w:rsidRDefault="00750A02">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25D4235B" w14:textId="77777777" w:rsidR="00760E89" w:rsidRDefault="00750A02">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565D1EC5" w14:textId="77777777" w:rsidR="00760E89" w:rsidRDefault="00750A02">
      <w:pPr>
        <w:pStyle w:val="Standard"/>
        <w:spacing w:after="127" w:line="240" w:lineRule="auto"/>
        <w:ind w:left="2573" w:right="14" w:hanging="720"/>
      </w:pPr>
      <w:r>
        <w:t>5.1.1 have made their own enquiries and are satisfied by the accuracy of any information supplied by the other Party</w:t>
      </w:r>
    </w:p>
    <w:p w14:paraId="4D724033" w14:textId="77777777" w:rsidR="00760E89" w:rsidRDefault="00750A02">
      <w:pPr>
        <w:pStyle w:val="Standard"/>
        <w:spacing w:after="128" w:line="240" w:lineRule="auto"/>
        <w:ind w:left="2573" w:right="14" w:hanging="720"/>
      </w:pPr>
      <w:r>
        <w:t>5.1.2 are confident that they can fulfil their obligations according to the Call-Off Contract terms</w:t>
      </w:r>
    </w:p>
    <w:p w14:paraId="3315B168" w14:textId="77777777" w:rsidR="00760E89" w:rsidRDefault="00750A02">
      <w:pPr>
        <w:pStyle w:val="Standard"/>
        <w:spacing w:after="128" w:line="240" w:lineRule="auto"/>
        <w:ind w:left="2573" w:right="14" w:hanging="720"/>
      </w:pPr>
      <w:r>
        <w:t>5.1.3 have raised all due diligence questions before signing the Call-Off Contract</w:t>
      </w:r>
    </w:p>
    <w:p w14:paraId="6243A431" w14:textId="77777777" w:rsidR="00760E89" w:rsidRDefault="00750A02">
      <w:pPr>
        <w:pStyle w:val="Standard"/>
        <w:spacing w:after="128" w:line="240" w:lineRule="auto"/>
        <w:ind w:left="2573" w:right="14" w:hanging="720"/>
      </w:pPr>
      <w:r>
        <w:t>5.1.4 have entered into the Call-Off Contract relying on their own due diligence</w:t>
      </w:r>
    </w:p>
    <w:p w14:paraId="57FEDB98" w14:textId="77777777" w:rsidR="00760E89" w:rsidRDefault="00750A02">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673B305B" w14:textId="77777777" w:rsidR="00760E89" w:rsidRDefault="00750A02">
      <w:pPr>
        <w:pStyle w:val="Standard"/>
        <w:spacing w:after="349" w:line="240" w:lineRule="auto"/>
        <w:ind w:left="1838" w:right="14" w:hanging="720"/>
      </w:pPr>
      <w:r>
        <w:t xml:space="preserve">6.1 </w:t>
      </w:r>
      <w:r>
        <w:tab/>
        <w:t>The Supplier will have a clear business continuity and disaster recovery plan in their Service Descriptions.</w:t>
      </w:r>
    </w:p>
    <w:p w14:paraId="64BB009A" w14:textId="77777777" w:rsidR="00760E89" w:rsidRDefault="00750A02">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75130336" w14:textId="77777777" w:rsidR="00760E89" w:rsidRDefault="00750A02">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756F24B4" w14:textId="77777777" w:rsidR="00760E89" w:rsidRDefault="00750A02">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43DFF16C" w14:textId="77777777" w:rsidR="00760E89" w:rsidRDefault="00750A02">
      <w:pPr>
        <w:pStyle w:val="Standard"/>
        <w:spacing w:after="129" w:line="240" w:lineRule="auto"/>
        <w:ind w:left="1838" w:right="14" w:hanging="720"/>
      </w:pPr>
      <w:r>
        <w:t xml:space="preserve">7.1 </w:t>
      </w:r>
      <w:r>
        <w:tab/>
        <w:t>The Buyer must pay the Charges following clauses 7.2 to 7.11 for the Supplier’s delivery of the Services.</w:t>
      </w:r>
    </w:p>
    <w:p w14:paraId="013D8299" w14:textId="77777777" w:rsidR="00760E89" w:rsidRDefault="00750A02">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2FC7CA33" w14:textId="77777777" w:rsidR="00760E89" w:rsidRDefault="00750A02">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EA4DD39" w14:textId="77777777" w:rsidR="00760E89" w:rsidRDefault="00750A02">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5C798C1" w14:textId="77777777" w:rsidR="00760E89" w:rsidRDefault="00750A02">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453BF96B" w14:textId="77777777" w:rsidR="00760E89" w:rsidRDefault="00750A02">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28DC632D" w14:textId="77777777" w:rsidR="00760E89" w:rsidRDefault="00750A02">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29D57F01" w14:textId="77777777" w:rsidR="00760E89" w:rsidRDefault="00750A02">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7E76120A" w14:textId="77777777" w:rsidR="00760E89" w:rsidRDefault="00760E89">
      <w:pPr>
        <w:pStyle w:val="Standard"/>
        <w:spacing w:after="126" w:line="240" w:lineRule="auto"/>
        <w:ind w:left="1838" w:right="14" w:hanging="720"/>
      </w:pPr>
    </w:p>
    <w:p w14:paraId="129F112E" w14:textId="77777777" w:rsidR="00760E89" w:rsidRDefault="00750A02">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B62DBD0" w14:textId="77777777" w:rsidR="00760E89" w:rsidRDefault="00750A02">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A97AD0E" w14:textId="77777777" w:rsidR="00760E89" w:rsidRDefault="00750A02">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7D6BA8B" w14:textId="77777777" w:rsidR="00760E89" w:rsidRDefault="00750A02">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3BF32C7" w14:textId="77777777" w:rsidR="00760E89" w:rsidRDefault="00750A02">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290BAC53" w14:textId="77777777" w:rsidR="00760E89" w:rsidRDefault="00750A02">
      <w:pPr>
        <w:pStyle w:val="Standard"/>
        <w:spacing w:after="980" w:line="240" w:lineRule="auto"/>
        <w:ind w:left="1838" w:right="14" w:hanging="720"/>
      </w:pPr>
      <w:r>
        <w:t xml:space="preserve">8.1 </w:t>
      </w:r>
      <w:r>
        <w:tab/>
        <w:t>If a Supplier owes money to the Buyer, the Buyer may deduct that sum from the Call-Off Contract Charges.</w:t>
      </w:r>
    </w:p>
    <w:p w14:paraId="3FDEB030" w14:textId="77777777" w:rsidR="00760E89" w:rsidRDefault="00750A02">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5D19F894" w14:textId="77777777" w:rsidR="00760E89" w:rsidRDefault="00750A02">
      <w:pPr>
        <w:pStyle w:val="Standard"/>
        <w:spacing w:after="241" w:line="240" w:lineRule="auto"/>
        <w:ind w:left="1778" w:right="14" w:hanging="660"/>
      </w:pPr>
      <w:r>
        <w:t xml:space="preserve">9.1 </w:t>
      </w:r>
      <w:r>
        <w:tab/>
        <w:t>The Supplier will maintain the insurances required by the Buyer including those in this clause.</w:t>
      </w:r>
    </w:p>
    <w:p w14:paraId="4862291F" w14:textId="77777777" w:rsidR="00760E89" w:rsidRDefault="00750A02">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78D05E8E" w14:textId="77777777" w:rsidR="00760E89" w:rsidRDefault="00750A02">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CC854AF" w14:textId="77777777" w:rsidR="00760E89" w:rsidRDefault="00750A02">
      <w:pPr>
        <w:pStyle w:val="Standard"/>
        <w:ind w:left="2573" w:right="14" w:hanging="720"/>
      </w:pPr>
      <w:r>
        <w:t>9.2.2 the third-party public and products liability insurance contains an ‘indemnity to principals’ clause for the Buyer’s benefit</w:t>
      </w:r>
    </w:p>
    <w:p w14:paraId="5C65BB61" w14:textId="77777777" w:rsidR="00760E89" w:rsidRDefault="00750A02">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45D2512E" w14:textId="77777777" w:rsidR="00760E89" w:rsidRDefault="00750A02">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30811C7E" w14:textId="77777777" w:rsidR="00760E89" w:rsidRDefault="00750A02">
      <w:pPr>
        <w:pStyle w:val="Standard"/>
        <w:ind w:left="1838" w:right="14" w:hanging="720"/>
      </w:pPr>
      <w:r>
        <w:t xml:space="preserve">9.3 </w:t>
      </w:r>
      <w:r>
        <w:tab/>
        <w:t>If requested by the Buyer, the Supplier will obtain additional insurance policies, or extend existing policies bought under the Framework Agreement.</w:t>
      </w:r>
    </w:p>
    <w:p w14:paraId="642ECBE3" w14:textId="77777777" w:rsidR="00760E89" w:rsidRDefault="00750A02">
      <w:pPr>
        <w:pStyle w:val="Standard"/>
        <w:ind w:left="1838" w:right="14" w:hanging="720"/>
      </w:pPr>
      <w:r>
        <w:t xml:space="preserve">9.4 </w:t>
      </w:r>
      <w:r>
        <w:tab/>
        <w:t>If requested by the Buyer, the Supplier will provide the following to show compliance with this clause:</w:t>
      </w:r>
    </w:p>
    <w:p w14:paraId="7250B38E" w14:textId="77777777" w:rsidR="00760E89" w:rsidRDefault="00750A02">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D05449A" w14:textId="77777777" w:rsidR="00760E89" w:rsidRDefault="00750A02">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6E257EB7" w14:textId="77777777" w:rsidR="00760E89" w:rsidRDefault="00750A02">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2F7B2A38" w14:textId="77777777" w:rsidR="00760E89" w:rsidRDefault="00750A02">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14:paraId="230F6403" w14:textId="77777777" w:rsidR="00760E89" w:rsidRDefault="00750A02">
      <w:pPr>
        <w:pStyle w:val="Standard"/>
        <w:ind w:left="2573" w:right="14" w:hanging="720"/>
      </w:pPr>
      <w:r>
        <w:t>9.5.1 take all risk control measures using Good Industry Practice, including the investigation and reports of claims to insurers</w:t>
      </w:r>
    </w:p>
    <w:p w14:paraId="207C8D60" w14:textId="77777777" w:rsidR="00760E89" w:rsidRDefault="00750A02">
      <w:pPr>
        <w:pStyle w:val="Standard"/>
        <w:ind w:left="2573" w:right="14" w:hanging="720"/>
      </w:pPr>
      <w:r>
        <w:t>9.5.2 promptly notify the insurers in writing of any relevant material fact under any Insurances</w:t>
      </w:r>
    </w:p>
    <w:p w14:paraId="65485DE3" w14:textId="77777777" w:rsidR="00760E89" w:rsidRDefault="00750A02">
      <w:pPr>
        <w:pStyle w:val="Standard"/>
        <w:ind w:left="2573" w:right="14" w:hanging="720"/>
      </w:pPr>
      <w:r>
        <w:t>9.5.3 hold all insurance policies and require any broker arranging the insurance to hold any insurance slips and other evidence of insurance</w:t>
      </w:r>
    </w:p>
    <w:p w14:paraId="2446A848" w14:textId="77777777" w:rsidR="00760E89" w:rsidRDefault="00750A02">
      <w:pPr>
        <w:pStyle w:val="Standard"/>
        <w:ind w:left="1838" w:right="14" w:hanging="720"/>
      </w:pPr>
      <w:r>
        <w:t xml:space="preserve">9.6 </w:t>
      </w:r>
      <w:r>
        <w:tab/>
        <w:t>The Supplier will not do or omit to do anything, which would destroy or impair the legal validity of the insurance.</w:t>
      </w:r>
    </w:p>
    <w:p w14:paraId="45B28B54" w14:textId="77777777" w:rsidR="00760E89" w:rsidRDefault="00750A02">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6D97DFB1" w14:textId="77777777" w:rsidR="00760E89" w:rsidRDefault="00750A02">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766D82C2" w14:textId="77777777" w:rsidR="00760E89" w:rsidRDefault="00750A02">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623E373F" w14:textId="77777777" w:rsidR="00760E89" w:rsidRDefault="00750A02">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07DA65F3" w14:textId="77777777" w:rsidR="00760E89" w:rsidRDefault="00750A02">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6085CAA1" w14:textId="77777777" w:rsidR="00760E89" w:rsidRDefault="00750A02">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07BB7AE7" w14:textId="77777777" w:rsidR="00760E89" w:rsidRDefault="00750A02">
      <w:pPr>
        <w:pStyle w:val="Standard"/>
        <w:ind w:left="1849" w:right="14" w:firstLine="0"/>
      </w:pPr>
      <w:r>
        <w:t>34. The indemnity doesn’t apply to the extent that the Supplier breach is due to a Buyer’s instruction.</w:t>
      </w:r>
    </w:p>
    <w:p w14:paraId="3E669F6C" w14:textId="77777777" w:rsidR="00760E89" w:rsidRDefault="00750A02">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01FED239" w14:textId="77777777" w:rsidR="00760E89" w:rsidRDefault="00750A02">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27D37BF9" w14:textId="77777777" w:rsidR="00760E89" w:rsidRDefault="00750A02">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7747B9D3" w14:textId="77777777" w:rsidR="00760E89" w:rsidRDefault="00750A02">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15B0D79B" w14:textId="77777777" w:rsidR="00760E89" w:rsidRDefault="00750A02">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3C4C03D7" w14:textId="77777777" w:rsidR="00760E89" w:rsidRDefault="00750A02">
      <w:pPr>
        <w:pStyle w:val="Standard"/>
        <w:spacing w:after="232" w:line="240" w:lineRule="auto"/>
        <w:ind w:left="1843" w:right="14" w:hanging="5"/>
      </w:pPr>
      <w:r>
        <w:lastRenderedPageBreak/>
        <w:t>11.3.1 any relevant Subcontractor has entered into a confidentiality undertaking with the Supplier on substantially the same terms as set out in Framework Agreement clause 34 (Confidentiality); and</w:t>
      </w:r>
    </w:p>
    <w:p w14:paraId="4B3C213A" w14:textId="77777777" w:rsidR="00760E89" w:rsidRDefault="00750A02">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5CD38AE8" w14:textId="77777777" w:rsidR="00760E89" w:rsidRDefault="00750A02">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3A84C225" w14:textId="77777777" w:rsidR="00760E89" w:rsidRDefault="00760E89">
      <w:pPr>
        <w:pStyle w:val="Standard"/>
        <w:spacing w:after="16" w:line="240" w:lineRule="auto"/>
        <w:ind w:left="1843" w:right="14" w:hanging="709"/>
      </w:pPr>
    </w:p>
    <w:p w14:paraId="1218D372" w14:textId="77777777" w:rsidR="00760E89" w:rsidRDefault="00750A02">
      <w:pPr>
        <w:pStyle w:val="Standard"/>
        <w:spacing w:after="237" w:line="240" w:lineRule="auto"/>
        <w:ind w:right="14"/>
      </w:pPr>
      <w:r>
        <w:t>11.5 Subject to the limitation in Clause 24.3, the Buyer shall:</w:t>
      </w:r>
    </w:p>
    <w:p w14:paraId="5D747343" w14:textId="77777777" w:rsidR="00760E89" w:rsidRDefault="00750A02">
      <w:pPr>
        <w:pStyle w:val="Standard"/>
        <w:spacing w:after="0" w:line="240" w:lineRule="auto"/>
        <w:ind w:left="2573" w:right="14" w:hanging="720"/>
      </w:pPr>
      <w:r>
        <w:t>11.5.1 defend the Supplier, its Affiliates and licensors from and against any third-party claim:</w:t>
      </w:r>
    </w:p>
    <w:p w14:paraId="5776A9AE" w14:textId="77777777" w:rsidR="00760E89" w:rsidRDefault="00750A02" w:rsidP="00075C10">
      <w:pPr>
        <w:pStyle w:val="Standard"/>
        <w:numPr>
          <w:ilvl w:val="0"/>
          <w:numId w:val="55"/>
        </w:numPr>
        <w:spacing w:after="0" w:line="240" w:lineRule="auto"/>
        <w:ind w:right="14" w:hanging="330"/>
      </w:pPr>
      <w:r>
        <w:t>alleging that any use of the Services by or on behalf of the Buyer and/or Buyer Users is in breach of applicable Law;</w:t>
      </w:r>
    </w:p>
    <w:p w14:paraId="7E5857F7" w14:textId="77777777" w:rsidR="00760E89" w:rsidRDefault="00750A02">
      <w:pPr>
        <w:pStyle w:val="Standard"/>
        <w:numPr>
          <w:ilvl w:val="0"/>
          <w:numId w:val="9"/>
        </w:numPr>
        <w:spacing w:after="9" w:line="240" w:lineRule="auto"/>
        <w:ind w:right="14" w:hanging="330"/>
      </w:pPr>
      <w:r>
        <w:t>alleging that the Buyer Data violates, infringes or misappropriates any rights of a third party;</w:t>
      </w:r>
    </w:p>
    <w:p w14:paraId="1E33A42E" w14:textId="77777777" w:rsidR="00760E89" w:rsidRDefault="00750A02">
      <w:pPr>
        <w:pStyle w:val="Standard"/>
        <w:numPr>
          <w:ilvl w:val="0"/>
          <w:numId w:val="9"/>
        </w:numPr>
        <w:ind w:right="14" w:hanging="330"/>
      </w:pPr>
      <w:r>
        <w:t>arising from the Supplier’s use of the Buyer Data in accordance with this Call-Off Contract; and</w:t>
      </w:r>
    </w:p>
    <w:p w14:paraId="3E2E3F85" w14:textId="77777777" w:rsidR="00760E89" w:rsidRDefault="00750A02">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0F479DBF" w14:textId="77777777" w:rsidR="00760E89" w:rsidRDefault="00750A02">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497B665A" w14:textId="77777777" w:rsidR="00760E89" w:rsidRDefault="00750A02">
      <w:pPr>
        <w:pStyle w:val="Standard"/>
        <w:numPr>
          <w:ilvl w:val="2"/>
          <w:numId w:val="11"/>
        </w:numPr>
        <w:spacing w:after="344" w:line="240" w:lineRule="auto"/>
        <w:ind w:right="14" w:hanging="720"/>
      </w:pPr>
      <w:r>
        <w:t>rights granted to the Buyer under this Call-Off Contract</w:t>
      </w:r>
    </w:p>
    <w:p w14:paraId="1E126CDB" w14:textId="77777777" w:rsidR="00760E89" w:rsidRDefault="00750A02">
      <w:pPr>
        <w:pStyle w:val="Standard"/>
        <w:numPr>
          <w:ilvl w:val="2"/>
          <w:numId w:val="11"/>
        </w:numPr>
        <w:ind w:right="14" w:hanging="720"/>
      </w:pPr>
      <w:r>
        <w:t>Supplier’s performance of the Services</w:t>
      </w:r>
    </w:p>
    <w:p w14:paraId="43E6BF16" w14:textId="77777777" w:rsidR="00760E89" w:rsidRDefault="00750A02">
      <w:pPr>
        <w:pStyle w:val="Standard"/>
        <w:numPr>
          <w:ilvl w:val="2"/>
          <w:numId w:val="11"/>
        </w:numPr>
        <w:ind w:right="14" w:hanging="720"/>
      </w:pPr>
      <w:r>
        <w:t>use by the Buyer of the Services</w:t>
      </w:r>
    </w:p>
    <w:p w14:paraId="063D8B4F" w14:textId="77777777" w:rsidR="00760E89" w:rsidRDefault="00750A02">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021600C9" w14:textId="77777777" w:rsidR="00760E89" w:rsidRDefault="00750A02">
      <w:pPr>
        <w:pStyle w:val="Standard"/>
        <w:numPr>
          <w:ilvl w:val="2"/>
          <w:numId w:val="33"/>
        </w:numPr>
        <w:ind w:right="14" w:hanging="720"/>
      </w:pPr>
      <w:r>
        <w:t>modify the relevant part of the Services without reducing its functionality or performance</w:t>
      </w:r>
    </w:p>
    <w:p w14:paraId="2128E382" w14:textId="77777777" w:rsidR="00760E89" w:rsidRDefault="00750A02">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38ACA674" w14:textId="77777777" w:rsidR="00760E89" w:rsidRDefault="00750A02">
      <w:pPr>
        <w:pStyle w:val="Standard"/>
        <w:numPr>
          <w:ilvl w:val="2"/>
          <w:numId w:val="33"/>
        </w:numPr>
        <w:ind w:right="14" w:hanging="720"/>
      </w:pPr>
      <w:r>
        <w:lastRenderedPageBreak/>
        <w:t>buy a licence to use and supply the Services which are the subject of the alleged infringement, on terms acceptable to the Buyer</w:t>
      </w:r>
    </w:p>
    <w:p w14:paraId="527A91C5" w14:textId="77777777" w:rsidR="00760E89" w:rsidRDefault="00750A02">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43372668" w14:textId="77777777" w:rsidR="00760E89" w:rsidRDefault="00750A02">
      <w:pPr>
        <w:pStyle w:val="Standard"/>
        <w:numPr>
          <w:ilvl w:val="2"/>
          <w:numId w:val="34"/>
        </w:numPr>
        <w:ind w:right="14" w:hanging="720"/>
      </w:pPr>
      <w:r>
        <w:t>the use of data supplied by the Buyer which the Supplier isn’t required to verify under this Call-Off Contract</w:t>
      </w:r>
    </w:p>
    <w:p w14:paraId="35C93694" w14:textId="77777777" w:rsidR="00760E89" w:rsidRDefault="00750A02">
      <w:pPr>
        <w:pStyle w:val="Standard"/>
        <w:numPr>
          <w:ilvl w:val="2"/>
          <w:numId w:val="34"/>
        </w:numPr>
        <w:ind w:right="14" w:hanging="720"/>
      </w:pPr>
      <w:r>
        <w:t>other material provided by the Buyer necessary for the Services</w:t>
      </w:r>
    </w:p>
    <w:p w14:paraId="033F9A98" w14:textId="77777777" w:rsidR="00760E89" w:rsidRDefault="00750A02">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3A1A6FFE" w14:textId="77777777" w:rsidR="00760E89" w:rsidRDefault="00750A02">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234734A6" w14:textId="77777777" w:rsidR="00760E89" w:rsidRDefault="00750A02">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7DBB98D2" w14:textId="77777777" w:rsidR="00760E89" w:rsidRDefault="00750A02">
      <w:pPr>
        <w:pStyle w:val="Standard"/>
        <w:ind w:left="2573" w:right="14" w:hanging="720"/>
      </w:pPr>
      <w:r>
        <w:t>12.1.1 comply with the Buyer’s written instructions and this Call-Off Contract when Processing Buyer Personal Data</w:t>
      </w:r>
    </w:p>
    <w:p w14:paraId="20E2AC4C" w14:textId="77777777" w:rsidR="00760E89" w:rsidRDefault="00750A02">
      <w:pPr>
        <w:pStyle w:val="Standard"/>
        <w:ind w:left="2573" w:right="14" w:hanging="720"/>
      </w:pPr>
      <w:r>
        <w:t>12.1.2 only Process the Buyer Personal Data as necessary for the provision of the G-Cloud   Services or as required by Law or any Regulatory Body</w:t>
      </w:r>
    </w:p>
    <w:p w14:paraId="32F8AAC3" w14:textId="77777777" w:rsidR="00760E89" w:rsidRDefault="00750A02">
      <w:pPr>
        <w:pStyle w:val="Standard"/>
        <w:ind w:left="2573" w:right="14" w:hanging="720"/>
      </w:pPr>
      <w:r>
        <w:t>12.1.3 take reasonable steps to ensure that any Supplier Staff who have access to Buyer Personal Data act in compliance with Supplier's security processes</w:t>
      </w:r>
    </w:p>
    <w:p w14:paraId="08BBDBCD" w14:textId="77777777" w:rsidR="00760E89" w:rsidRDefault="00750A02">
      <w:pPr>
        <w:pStyle w:val="Standard"/>
        <w:ind w:left="1838" w:right="14" w:hanging="720"/>
      </w:pPr>
      <w:r>
        <w:t>12.2 The Supplier must fully assist with any complaint or request for Buyer Personal Data including by:</w:t>
      </w:r>
    </w:p>
    <w:p w14:paraId="29EBFC99" w14:textId="77777777" w:rsidR="00760E89" w:rsidRDefault="00750A02">
      <w:pPr>
        <w:pStyle w:val="Standard"/>
        <w:ind w:left="1526" w:right="14" w:firstLine="311"/>
      </w:pPr>
      <w:r>
        <w:t>12.2.1 providing the Buyer with full details of the complaint or request</w:t>
      </w:r>
    </w:p>
    <w:p w14:paraId="5D464B1A" w14:textId="77777777" w:rsidR="00760E89" w:rsidRDefault="00750A02">
      <w:pPr>
        <w:pStyle w:val="Standard"/>
        <w:ind w:left="2573" w:right="14" w:hanging="720"/>
      </w:pPr>
      <w:r>
        <w:t>12.2.2 complying with a data access request within the timescales in the Data Protection Legislation and following the Buyer’s instructions</w:t>
      </w:r>
    </w:p>
    <w:p w14:paraId="6CBC1642" w14:textId="77777777" w:rsidR="00760E89" w:rsidRDefault="00750A02">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06AEDED0" w14:textId="77777777" w:rsidR="00760E89" w:rsidRDefault="00750A02">
      <w:pPr>
        <w:pStyle w:val="Standard"/>
        <w:ind w:left="1526" w:right="14" w:firstLine="311"/>
      </w:pPr>
      <w:r>
        <w:t>12.2.4 providing the Buyer with any information requested by the Data Subject</w:t>
      </w:r>
    </w:p>
    <w:p w14:paraId="7DA67659" w14:textId="77777777" w:rsidR="00760E89" w:rsidRDefault="00750A02">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76173BA6" w14:textId="77777777" w:rsidR="00760E89" w:rsidRDefault="00750A02">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7458514D" w14:textId="77777777" w:rsidR="00760E89" w:rsidRDefault="00750A02">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7B33FCDE" w14:textId="77777777" w:rsidR="00760E89" w:rsidRDefault="00750A02">
      <w:pPr>
        <w:pStyle w:val="Standard"/>
        <w:ind w:left="1838" w:right="471" w:hanging="720"/>
      </w:pPr>
      <w:r>
        <w:t xml:space="preserve">13.2 </w:t>
      </w:r>
      <w:r>
        <w:tab/>
        <w:t>The Supplier will not store or use Buyer Data except if necessary to fulfil its obligations.</w:t>
      </w:r>
    </w:p>
    <w:p w14:paraId="1478C145" w14:textId="77777777" w:rsidR="00760E89" w:rsidRDefault="00750A02">
      <w:pPr>
        <w:pStyle w:val="Standard"/>
        <w:ind w:left="1838" w:right="14" w:hanging="720"/>
      </w:pPr>
      <w:r>
        <w:t xml:space="preserve">13.3 </w:t>
      </w:r>
      <w:r>
        <w:tab/>
        <w:t>If Buyer Data is processed by the Supplier, the Supplier will supply the data to the Buyer as requested.</w:t>
      </w:r>
    </w:p>
    <w:p w14:paraId="779B27D7" w14:textId="77777777" w:rsidR="00760E89" w:rsidRDefault="00750A02">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165450A7" w14:textId="77777777" w:rsidR="00760E89" w:rsidRDefault="00750A02">
      <w:pPr>
        <w:pStyle w:val="Standard"/>
        <w:ind w:left="1838" w:right="14" w:hanging="720"/>
      </w:pPr>
      <w:r>
        <w:t xml:space="preserve">13.5 </w:t>
      </w:r>
      <w:r>
        <w:tab/>
        <w:t>The Supplier will preserve the integrity of Buyer Data processed by the Supplier and prevent its corruption and loss.</w:t>
      </w:r>
    </w:p>
    <w:p w14:paraId="3BA6DFB9" w14:textId="77777777" w:rsidR="00760E89" w:rsidRDefault="00750A02">
      <w:pPr>
        <w:pStyle w:val="Standard"/>
        <w:ind w:left="1838" w:right="14" w:hanging="720"/>
      </w:pPr>
      <w:r>
        <w:t xml:space="preserve">13.6 </w:t>
      </w:r>
      <w:r>
        <w:tab/>
        <w:t>The Supplier will ensure that any Supplier system which holds any protectively marked Buyer Data or other government data will comply with:</w:t>
      </w:r>
    </w:p>
    <w:p w14:paraId="0BE199DF" w14:textId="77777777" w:rsidR="00760E89" w:rsidRDefault="00750A02">
      <w:pPr>
        <w:pStyle w:val="Standard"/>
        <w:spacing w:after="21" w:line="240" w:lineRule="auto"/>
        <w:ind w:right="14" w:firstLine="312"/>
      </w:pPr>
      <w:r>
        <w:t xml:space="preserve">       13.6.1 the principles in the Security Policy Framework:</w:t>
      </w:r>
    </w:p>
    <w:bookmarkStart w:id="19" w:name="_heading=h.30j0zll1"/>
    <w:bookmarkEnd w:id="19"/>
    <w:p w14:paraId="68D8B56F" w14:textId="77777777" w:rsidR="00760E89" w:rsidRDefault="00750A02">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5CB550B8" w14:textId="77777777" w:rsidR="00760E89" w:rsidRDefault="00760E89">
      <w:pPr>
        <w:pStyle w:val="Standard"/>
        <w:spacing w:after="27" w:line="254" w:lineRule="auto"/>
        <w:ind w:left="2583" w:right="469" w:firstLine="0"/>
      </w:pPr>
    </w:p>
    <w:p w14:paraId="32E6842D" w14:textId="77777777" w:rsidR="00760E89" w:rsidRDefault="00750A02">
      <w:pPr>
        <w:pStyle w:val="Standard"/>
        <w:ind w:left="2556" w:right="642" w:hanging="702"/>
      </w:pPr>
      <w:r>
        <w:t>13.6.2 guidance issued by the Centre for Protection of National Infrastructure on Risk Management</w:t>
      </w:r>
      <w:hyperlink r:id="rId14" w:history="1">
        <w:r>
          <w:rPr>
            <w:color w:val="1155CC"/>
            <w:u w:val="single"/>
          </w:rPr>
          <w:t xml:space="preserve">: https://www.npsa.gov.uk/content/adopt-risk-management-approach </w:t>
        </w:r>
      </w:hyperlink>
      <w:r>
        <w:t xml:space="preserve">and Protection of Sensitive Information and Assets: </w:t>
      </w:r>
      <w:hyperlink r:id="rId15" w:history="1">
        <w:r>
          <w:rPr>
            <w:color w:val="1155CC"/>
            <w:u w:val="single"/>
          </w:rPr>
          <w:t>https://www.npsa.gov.uk/sensitive-information-assets</w:t>
        </w:r>
      </w:hyperlink>
    </w:p>
    <w:p w14:paraId="50698A50" w14:textId="77777777" w:rsidR="00760E89" w:rsidRDefault="00750A02">
      <w:pPr>
        <w:pStyle w:val="Standard"/>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7BEC0257" w14:textId="77777777" w:rsidR="00760E89" w:rsidRDefault="00750A02">
      <w:pPr>
        <w:pStyle w:val="Standard"/>
        <w:ind w:left="2573" w:right="14" w:hanging="720"/>
      </w:pPr>
      <w:bookmarkStart w:id="20" w:name="_heading=h.1fob9te1"/>
      <w:bookmarkEnd w:id="20"/>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2822B74C" w14:textId="77777777" w:rsidR="00760E89" w:rsidRDefault="00750A02">
      <w:pPr>
        <w:pStyle w:val="Standard"/>
        <w:spacing w:after="0" w:line="240" w:lineRule="auto"/>
        <w:ind w:left="2573" w:right="14" w:hanging="720"/>
      </w:pPr>
      <w:r>
        <w:t>13.6.5 the security requirements of cloud services using the NCSC Cloud Security Principles and accompanying guidance:</w:t>
      </w:r>
    </w:p>
    <w:bookmarkStart w:id="21" w:name="_heading=h.3znysh7"/>
    <w:bookmarkEnd w:id="21"/>
    <w:p w14:paraId="56DEA378" w14:textId="77777777" w:rsidR="00760E89" w:rsidRDefault="00750A02">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0" w:history="1">
        <w:r>
          <w:t xml:space="preserve"> </w:t>
        </w:r>
      </w:hyperlink>
    </w:p>
    <w:p w14:paraId="363209A9" w14:textId="77777777" w:rsidR="00760E89" w:rsidRDefault="00750A02">
      <w:pPr>
        <w:pStyle w:val="Standard"/>
        <w:spacing w:after="323" w:line="254" w:lineRule="auto"/>
        <w:ind w:left="1853" w:firstLine="0"/>
      </w:pPr>
      <w:r>
        <w:rPr>
          <w:color w:val="222222"/>
        </w:rPr>
        <w:t>13.6.6 Buyer requirements in respect of AI ethical standards.</w:t>
      </w:r>
    </w:p>
    <w:p w14:paraId="38A974C8" w14:textId="77777777" w:rsidR="00760E89" w:rsidRDefault="00750A02">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57F1F512" w14:textId="77777777" w:rsidR="00760E89" w:rsidRDefault="00750A02">
      <w:pPr>
        <w:pStyle w:val="Standard"/>
        <w:ind w:left="1838" w:right="14" w:hanging="720"/>
      </w:pPr>
      <w:r>
        <w:lastRenderedPageBreak/>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8539A43" w14:textId="77777777" w:rsidR="00760E89" w:rsidRDefault="00750A02">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3A51FDAB" w14:textId="77777777" w:rsidR="00760E89" w:rsidRDefault="00750A02">
      <w:pPr>
        <w:pStyle w:val="Standard"/>
        <w:spacing w:after="974" w:line="240" w:lineRule="auto"/>
        <w:ind w:left="1838" w:right="14" w:hanging="720"/>
      </w:pPr>
      <w:r>
        <w:t>13.10 The provisions of this clause 13 will apply during the term of this Call-Off Contract and for as long as the Supplier holds the Buyer’s Data.</w:t>
      </w:r>
    </w:p>
    <w:p w14:paraId="767D5060" w14:textId="77777777" w:rsidR="00760E89" w:rsidRDefault="00750A02">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4081691D" w14:textId="77777777" w:rsidR="00760E89" w:rsidRDefault="00750A02">
      <w:pPr>
        <w:pStyle w:val="Standard"/>
        <w:ind w:left="1838" w:right="14" w:hanging="720"/>
      </w:pPr>
      <w:r>
        <w:t xml:space="preserve">14.1 </w:t>
      </w:r>
      <w:r>
        <w:tab/>
        <w:t>The Supplier will comply with any standards in this Call-Off Contract, the Order Form and the Framework Agreement.</w:t>
      </w:r>
    </w:p>
    <w:p w14:paraId="3FAA494A" w14:textId="77777777" w:rsidR="00760E89" w:rsidRDefault="00750A02">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1" w:history="1">
        <w:r>
          <w:rPr>
            <w:color w:val="0000FF"/>
            <w:u w:val="single"/>
          </w:rPr>
          <w:t>https://www.gov.uk/government/publications/technologycode-of-practice/technology -code-of-practice</w:t>
        </w:r>
      </w:hyperlink>
    </w:p>
    <w:p w14:paraId="02CA67DD" w14:textId="77777777" w:rsidR="00760E89" w:rsidRDefault="00BD4475">
      <w:pPr>
        <w:pStyle w:val="Standard"/>
        <w:spacing w:after="27" w:line="254" w:lineRule="auto"/>
        <w:ind w:left="1526" w:firstLine="311"/>
      </w:pPr>
      <w:hyperlink r:id="rId22" w:history="1">
        <w:r w:rsidR="00750A02">
          <w:t xml:space="preserve"> </w:t>
        </w:r>
      </w:hyperlink>
    </w:p>
    <w:p w14:paraId="29FF43CE" w14:textId="77777777" w:rsidR="00760E89" w:rsidRDefault="00750A02">
      <w:pPr>
        <w:pStyle w:val="Standard"/>
        <w:ind w:left="1838" w:right="14" w:hanging="720"/>
      </w:pPr>
      <w:r>
        <w:t xml:space="preserve">14.3 </w:t>
      </w:r>
      <w:r>
        <w:tab/>
        <w:t>If requested by the Buyer, the Supplier must, at its own cost, ensure that the G-Cloud Services comply with the requirements in the PSN Code of Practice.</w:t>
      </w:r>
    </w:p>
    <w:p w14:paraId="40D90A5C" w14:textId="77777777" w:rsidR="00760E89" w:rsidRDefault="00750A02">
      <w:pPr>
        <w:pStyle w:val="Standard"/>
        <w:ind w:left="1838" w:right="14" w:hanging="720"/>
      </w:pPr>
      <w:r>
        <w:t xml:space="preserve">14.4 </w:t>
      </w:r>
      <w:r>
        <w:tab/>
        <w:t>If any PSN Services are Subcontracted by the Supplier, the Supplier must ensure that the services have the relevant PSN compliance certification.</w:t>
      </w:r>
    </w:p>
    <w:p w14:paraId="616F31B4" w14:textId="77777777" w:rsidR="00760E89" w:rsidRDefault="00750A02">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01D2AEC5" w14:textId="77777777" w:rsidR="00760E89" w:rsidRDefault="00750A02">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0A877005" w14:textId="77777777" w:rsidR="00760E89" w:rsidRDefault="00750A02">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08E128FE" w14:textId="77777777" w:rsidR="00760E89" w:rsidRDefault="00750A02">
      <w:pPr>
        <w:pStyle w:val="Standard"/>
        <w:ind w:left="1838" w:right="14" w:hanging="720"/>
      </w:pPr>
      <w:r>
        <w:t xml:space="preserve">15.1 </w:t>
      </w:r>
      <w:r>
        <w:tab/>
        <w:t>All software created for the Buyer must be suitable for publication as open source, unless otherwise agreed by the Buyer.</w:t>
      </w:r>
    </w:p>
    <w:p w14:paraId="40EE5315" w14:textId="77777777" w:rsidR="00760E89" w:rsidRDefault="00750A02">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11F62DC4" w14:textId="77777777" w:rsidR="00760E89" w:rsidRDefault="00750A02">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Security</w:t>
      </w:r>
    </w:p>
    <w:p w14:paraId="2C4682AF" w14:textId="77777777" w:rsidR="00760E89" w:rsidRDefault="00750A02">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28103C2E" w14:textId="77777777" w:rsidR="00760E89" w:rsidRDefault="00750A02">
      <w:pPr>
        <w:pStyle w:val="Standard"/>
        <w:spacing w:after="33" w:line="276" w:lineRule="auto"/>
        <w:ind w:left="1789" w:right="166" w:firstLine="49"/>
      </w:pPr>
      <w:r>
        <w:t>Buyer’s written approval of) a Security Management Plan and an Information Security</w:t>
      </w:r>
    </w:p>
    <w:p w14:paraId="11E18AEE" w14:textId="77777777" w:rsidR="00760E89" w:rsidRDefault="00750A02">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49B7440" w14:textId="77777777" w:rsidR="00760E89" w:rsidRDefault="00750A02">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2AC78009" w14:textId="77777777" w:rsidR="00760E89" w:rsidRDefault="00750A02">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4287A95E" w14:textId="77777777" w:rsidR="00760E89" w:rsidRDefault="00750A02">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69795BA7" w14:textId="77777777" w:rsidR="00760E89" w:rsidRDefault="00750A02">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FBE1412" w14:textId="77777777" w:rsidR="00760E89" w:rsidRDefault="00750A02">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6A14E0C9" w14:textId="77777777" w:rsidR="00760E89" w:rsidRDefault="00750A02">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3E006EBD" w14:textId="77777777" w:rsidR="00760E89" w:rsidRDefault="00750A02">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22" w:name="_heading=h.2et92p0"/>
    <w:bookmarkEnd w:id="22"/>
    <w:p w14:paraId="31A51BD5" w14:textId="77777777" w:rsidR="00760E89" w:rsidRDefault="00750A02">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5" w:history="1">
        <w:r>
          <w:t xml:space="preserve"> </w:t>
        </w:r>
      </w:hyperlink>
    </w:p>
    <w:p w14:paraId="262985AF" w14:textId="77777777" w:rsidR="00760E89" w:rsidRDefault="00750A02">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21FA531B" w14:textId="77777777" w:rsidR="00760E89" w:rsidRDefault="00750A02">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1B53060E" w14:textId="77777777" w:rsidR="00760E89" w:rsidRDefault="00750A02">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5B1C195B" w14:textId="77777777" w:rsidR="00760E89" w:rsidRDefault="00750A02">
      <w:pPr>
        <w:pStyle w:val="Standard"/>
        <w:ind w:left="1526" w:right="14" w:firstLine="311"/>
      </w:pPr>
      <w:r>
        <w:t>17.1.1 an executed Guarantee in the form at Schedule 5</w:t>
      </w:r>
    </w:p>
    <w:p w14:paraId="6005A2D4" w14:textId="77777777" w:rsidR="00760E89" w:rsidRDefault="00750A02">
      <w:pPr>
        <w:pStyle w:val="Standard"/>
        <w:spacing w:after="741" w:line="240" w:lineRule="auto"/>
        <w:ind w:left="2573" w:right="14" w:hanging="720"/>
      </w:pPr>
      <w:r>
        <w:lastRenderedPageBreak/>
        <w:t>17.1.2 a certified copy of the passed resolution or board minutes of the guarantor approving the execution of the Guarantee</w:t>
      </w:r>
    </w:p>
    <w:p w14:paraId="534498FF" w14:textId="77777777" w:rsidR="00760E89" w:rsidRDefault="00750A02">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09AE63C1" w14:textId="77777777" w:rsidR="00760E89" w:rsidRDefault="00750A02">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023592EC" w14:textId="77777777" w:rsidR="00760E89" w:rsidRDefault="00750A02">
      <w:pPr>
        <w:pStyle w:val="Standard"/>
        <w:ind w:left="1849" w:right="14" w:firstLine="0"/>
      </w:pPr>
      <w:r>
        <w:t>Supplier, unless a shorter period is specified in the Order Form. The Supplier’s obligation to provide the Services will end on the date in the notice.</w:t>
      </w:r>
    </w:p>
    <w:p w14:paraId="5C5216DD" w14:textId="77777777" w:rsidR="00760E89" w:rsidRDefault="00750A02">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5443FFCB" w14:textId="77777777" w:rsidR="00760E89" w:rsidRDefault="00750A02">
      <w:pPr>
        <w:pStyle w:val="Standard"/>
        <w:ind w:left="2573" w:right="14" w:hanging="720"/>
      </w:pPr>
      <w:r>
        <w:t>18.2.1 Buyer’s right to End the Call-Off Contract under clause 18.1 is reasonable considering the type of cloud Service being provided</w:t>
      </w:r>
    </w:p>
    <w:p w14:paraId="4FB8E19E" w14:textId="77777777" w:rsidR="00760E89" w:rsidRDefault="00750A02">
      <w:pPr>
        <w:pStyle w:val="Standard"/>
        <w:ind w:left="2573" w:right="14" w:hanging="720"/>
      </w:pPr>
      <w:r>
        <w:t>18.2.2 Call-Off Contract Charges paid during the notice period are reasonable compensation and cover all the Supplier’s avoidable costs or Losses</w:t>
      </w:r>
    </w:p>
    <w:p w14:paraId="02B44032" w14:textId="77777777" w:rsidR="00760E89" w:rsidRDefault="00750A02">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80F70D0" w14:textId="77777777" w:rsidR="00760E89" w:rsidRDefault="00750A02">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6367D3AC" w14:textId="77777777" w:rsidR="00760E89" w:rsidRDefault="00750A02">
      <w:pPr>
        <w:pStyle w:val="Standard"/>
        <w:ind w:left="2573" w:right="14" w:hanging="720"/>
      </w:pPr>
      <w:r>
        <w:t>18.4.1 a Supplier Default and if the Supplier Default cannot, in the reasonable opinion of the Buyer, be remedied</w:t>
      </w:r>
    </w:p>
    <w:p w14:paraId="213064D9" w14:textId="77777777" w:rsidR="00760E89" w:rsidRDefault="00750A02">
      <w:pPr>
        <w:pStyle w:val="Standard"/>
        <w:ind w:left="1541" w:right="14" w:firstLine="311"/>
      </w:pPr>
      <w:r>
        <w:t>18.4.2 any fraud</w:t>
      </w:r>
    </w:p>
    <w:p w14:paraId="589999DE" w14:textId="77777777" w:rsidR="00760E89" w:rsidRDefault="00750A02">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17B0CCF7" w14:textId="77777777" w:rsidR="00760E89" w:rsidRDefault="00750A02">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74B3E81C" w14:textId="77777777" w:rsidR="00760E89" w:rsidRDefault="00750A02">
      <w:pPr>
        <w:pStyle w:val="Standard"/>
        <w:ind w:left="1541" w:right="14" w:firstLine="311"/>
      </w:pPr>
      <w:r>
        <w:t>18.5.2 an Insolvency Event of the other Party happens</w:t>
      </w:r>
    </w:p>
    <w:p w14:paraId="34DC65D8" w14:textId="77777777" w:rsidR="00760E89" w:rsidRDefault="00750A02">
      <w:pPr>
        <w:pStyle w:val="Standard"/>
        <w:ind w:left="2573" w:right="14" w:hanging="720"/>
      </w:pPr>
      <w:r>
        <w:t>18.5.3 the other Party ceases or threatens to cease to carry on the whole or any material part of its business</w:t>
      </w:r>
    </w:p>
    <w:p w14:paraId="063BEA10" w14:textId="77777777" w:rsidR="00760E89" w:rsidRDefault="00750A02">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38F0C14" w14:textId="77777777" w:rsidR="00760E89" w:rsidRDefault="00750A02">
      <w:pPr>
        <w:pStyle w:val="Standard"/>
        <w:spacing w:after="741" w:line="240" w:lineRule="auto"/>
        <w:ind w:left="1838" w:right="14" w:hanging="720"/>
      </w:pPr>
      <w:r>
        <w:lastRenderedPageBreak/>
        <w:t xml:space="preserve">18.7 </w:t>
      </w:r>
      <w:r>
        <w:tab/>
        <w:t>A Party who isn’t relying on a Force Majeure event will have the right to End this Call-Off Contract if clause 23.1 applies.</w:t>
      </w:r>
    </w:p>
    <w:p w14:paraId="61CF31CE" w14:textId="77777777" w:rsidR="00760E89" w:rsidRDefault="00750A02">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64B6A42B" w14:textId="77777777" w:rsidR="00760E89" w:rsidRDefault="00750A02">
      <w:pPr>
        <w:pStyle w:val="Standard"/>
        <w:ind w:left="1838" w:right="14" w:hanging="720"/>
      </w:pPr>
      <w:r>
        <w:t xml:space="preserve">19.1 </w:t>
      </w:r>
      <w:r>
        <w:tab/>
        <w:t>If a Buyer has the right to End a Call-Off Contract, it may elect to suspend this Call-Off Contract or any part of it.</w:t>
      </w:r>
    </w:p>
    <w:p w14:paraId="4DC4FAE2" w14:textId="77777777" w:rsidR="00760E89" w:rsidRDefault="00750A02">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18D99435" w14:textId="77777777" w:rsidR="00760E89" w:rsidRDefault="00750A02">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6E178281" w14:textId="77777777" w:rsidR="00760E89" w:rsidRDefault="00750A02">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16F6731F" w14:textId="77777777" w:rsidR="00760E89" w:rsidRDefault="00750A02">
      <w:pPr>
        <w:pStyle w:val="Standard"/>
        <w:ind w:left="1863" w:right="14" w:firstLine="0"/>
      </w:pPr>
      <w:r>
        <w:t>19.4.1 any rights, remedies or obligations accrued before its Ending or expiration</w:t>
      </w:r>
    </w:p>
    <w:p w14:paraId="07AB213D" w14:textId="77777777" w:rsidR="00760E89" w:rsidRDefault="00750A02">
      <w:pPr>
        <w:pStyle w:val="Standard"/>
        <w:ind w:left="2573" w:right="14" w:hanging="720"/>
      </w:pPr>
      <w:r>
        <w:t>19.4.2 the right of either Party to recover any amount outstanding at the time of Ending or expiry</w:t>
      </w:r>
    </w:p>
    <w:p w14:paraId="4B26E4BF" w14:textId="77777777" w:rsidR="00760E89" w:rsidRDefault="00750A02">
      <w:pPr>
        <w:pStyle w:val="Standard"/>
        <w:spacing w:after="8" w:line="240" w:lineRule="auto"/>
        <w:ind w:left="2573" w:right="14" w:hanging="720"/>
      </w:pPr>
      <w:r>
        <w:t>19.4.3 the continuing rights, remedies or obligations of the Buyer or the Supplier under clauses</w:t>
      </w:r>
    </w:p>
    <w:p w14:paraId="2E224715" w14:textId="77777777" w:rsidR="00760E89" w:rsidRDefault="00750A02" w:rsidP="00075C10">
      <w:pPr>
        <w:pStyle w:val="Standard"/>
        <w:numPr>
          <w:ilvl w:val="0"/>
          <w:numId w:val="56"/>
        </w:numPr>
        <w:spacing w:after="22" w:line="240" w:lineRule="auto"/>
        <w:ind w:right="14" w:hanging="360"/>
      </w:pPr>
      <w:r>
        <w:t>7 (Payment, VAT and Call-Off Contract charges)</w:t>
      </w:r>
    </w:p>
    <w:p w14:paraId="740DC658" w14:textId="77777777" w:rsidR="00760E89" w:rsidRDefault="00750A02">
      <w:pPr>
        <w:pStyle w:val="Standard"/>
        <w:numPr>
          <w:ilvl w:val="0"/>
          <w:numId w:val="35"/>
        </w:numPr>
        <w:spacing w:after="25" w:line="240" w:lineRule="auto"/>
        <w:ind w:right="14" w:hanging="360"/>
      </w:pPr>
      <w:r>
        <w:t>8 (Recovery of sums due and right of set-off)</w:t>
      </w:r>
    </w:p>
    <w:p w14:paraId="4F7F1661" w14:textId="77777777" w:rsidR="00760E89" w:rsidRDefault="00750A02">
      <w:pPr>
        <w:pStyle w:val="Standard"/>
        <w:numPr>
          <w:ilvl w:val="0"/>
          <w:numId w:val="35"/>
        </w:numPr>
        <w:spacing w:after="24" w:line="240" w:lineRule="auto"/>
        <w:ind w:right="14" w:hanging="360"/>
      </w:pPr>
      <w:r>
        <w:t>9 (Insurance)</w:t>
      </w:r>
    </w:p>
    <w:p w14:paraId="598A5D2E" w14:textId="77777777" w:rsidR="00760E89" w:rsidRDefault="00750A02">
      <w:pPr>
        <w:pStyle w:val="Standard"/>
        <w:numPr>
          <w:ilvl w:val="0"/>
          <w:numId w:val="35"/>
        </w:numPr>
        <w:spacing w:after="23" w:line="240" w:lineRule="auto"/>
        <w:ind w:right="14" w:hanging="360"/>
      </w:pPr>
      <w:r>
        <w:t>10 (Confidentiality)</w:t>
      </w:r>
    </w:p>
    <w:p w14:paraId="2C2594AA" w14:textId="77777777" w:rsidR="00760E89" w:rsidRDefault="00750A02">
      <w:pPr>
        <w:pStyle w:val="Standard"/>
        <w:numPr>
          <w:ilvl w:val="0"/>
          <w:numId w:val="35"/>
        </w:numPr>
        <w:spacing w:after="23" w:line="240" w:lineRule="auto"/>
        <w:ind w:right="14" w:hanging="360"/>
      </w:pPr>
      <w:r>
        <w:t>11 (Intellectual property rights)</w:t>
      </w:r>
    </w:p>
    <w:p w14:paraId="38C50743" w14:textId="77777777" w:rsidR="00760E89" w:rsidRDefault="00750A02">
      <w:pPr>
        <w:pStyle w:val="Standard"/>
        <w:numPr>
          <w:ilvl w:val="0"/>
          <w:numId w:val="35"/>
        </w:numPr>
        <w:spacing w:after="24" w:line="240" w:lineRule="auto"/>
        <w:ind w:right="14" w:hanging="360"/>
      </w:pPr>
      <w:r>
        <w:t>12 (Protection of information)</w:t>
      </w:r>
    </w:p>
    <w:p w14:paraId="79B47672" w14:textId="77777777" w:rsidR="00760E89" w:rsidRDefault="00750A02">
      <w:pPr>
        <w:pStyle w:val="Standard"/>
        <w:numPr>
          <w:ilvl w:val="0"/>
          <w:numId w:val="35"/>
        </w:numPr>
        <w:spacing w:after="0" w:line="240" w:lineRule="auto"/>
        <w:ind w:right="14" w:hanging="360"/>
      </w:pPr>
      <w:r>
        <w:t>13 (Buyer data)</w:t>
      </w:r>
    </w:p>
    <w:p w14:paraId="1B30DCD7" w14:textId="77777777" w:rsidR="00760E89" w:rsidRDefault="00750A02">
      <w:pPr>
        <w:pStyle w:val="Standard"/>
        <w:numPr>
          <w:ilvl w:val="0"/>
          <w:numId w:val="35"/>
        </w:numPr>
        <w:spacing w:after="0" w:line="240" w:lineRule="auto"/>
        <w:ind w:right="14" w:hanging="360"/>
      </w:pPr>
      <w:r>
        <w:t>19 (Consequences of suspension, ending and expiry)</w:t>
      </w:r>
    </w:p>
    <w:p w14:paraId="3C94ED76" w14:textId="77777777" w:rsidR="00760E89" w:rsidRDefault="00750A02">
      <w:pPr>
        <w:pStyle w:val="Standard"/>
        <w:numPr>
          <w:ilvl w:val="0"/>
          <w:numId w:val="35"/>
        </w:numPr>
        <w:spacing w:after="0" w:line="240" w:lineRule="auto"/>
        <w:ind w:right="14" w:hanging="360"/>
      </w:pPr>
      <w:r>
        <w:t>24 (Liability); and incorporated Framework Agreement clauses: 4.1 to 4.6, (Liability),</w:t>
      </w:r>
    </w:p>
    <w:p w14:paraId="38669B0A" w14:textId="77777777" w:rsidR="00760E89" w:rsidRDefault="00750A02">
      <w:pPr>
        <w:pStyle w:val="Standard"/>
        <w:spacing w:after="0" w:line="240" w:lineRule="auto"/>
        <w:ind w:left="2583" w:right="14" w:firstLine="0"/>
      </w:pPr>
      <w:r>
        <w:t>24 (Conflicts of interest and ethical walls), 35 (Waiver and cumulative remedies)</w:t>
      </w:r>
    </w:p>
    <w:p w14:paraId="535699EF" w14:textId="77777777" w:rsidR="00760E89" w:rsidRDefault="00760E89">
      <w:pPr>
        <w:pStyle w:val="Standard"/>
        <w:ind w:left="2573" w:right="14" w:hanging="720"/>
      </w:pPr>
    </w:p>
    <w:p w14:paraId="3C5C54B8" w14:textId="77777777" w:rsidR="00760E89" w:rsidRDefault="00750A02">
      <w:pPr>
        <w:pStyle w:val="Standard"/>
        <w:ind w:left="2573" w:right="14" w:hanging="720"/>
      </w:pPr>
      <w:r>
        <w:t>19.4.4 any other provision of the Framework Agreement or this Call-Off Contract which expressly or by implication is in force even if it Ends or expires.</w:t>
      </w:r>
    </w:p>
    <w:p w14:paraId="3D2AEA17" w14:textId="77777777" w:rsidR="00760E89" w:rsidRDefault="00750A02">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326346A1" w14:textId="77777777" w:rsidR="00760E89" w:rsidRDefault="00750A02">
      <w:pPr>
        <w:pStyle w:val="Standard"/>
        <w:numPr>
          <w:ilvl w:val="2"/>
          <w:numId w:val="36"/>
        </w:numPr>
        <w:ind w:right="14" w:hanging="720"/>
      </w:pPr>
      <w:r>
        <w:t>return all Buyer Data including all copies of Buyer software, code and any other software licensed by the Buyer to the Supplier under it</w:t>
      </w:r>
    </w:p>
    <w:p w14:paraId="259952E6" w14:textId="77777777" w:rsidR="00760E89" w:rsidRDefault="00750A02">
      <w:pPr>
        <w:pStyle w:val="Standard"/>
        <w:numPr>
          <w:ilvl w:val="2"/>
          <w:numId w:val="36"/>
        </w:numPr>
        <w:ind w:right="14" w:hanging="720"/>
      </w:pPr>
      <w:r>
        <w:t>return any materials created by the Supplier under this Call-Off Contract if the IPRs are owned by the Buyer</w:t>
      </w:r>
    </w:p>
    <w:p w14:paraId="060E152E" w14:textId="77777777" w:rsidR="00760E89" w:rsidRDefault="00750A02">
      <w:pPr>
        <w:pStyle w:val="Standard"/>
        <w:numPr>
          <w:ilvl w:val="2"/>
          <w:numId w:val="36"/>
        </w:numPr>
        <w:spacing w:after="345" w:line="240" w:lineRule="auto"/>
        <w:ind w:right="14" w:hanging="720"/>
      </w:pPr>
      <w:r>
        <w:lastRenderedPageBreak/>
        <w:t>stop using the Buyer Data and, at the direction of the Buyer, provide the Buyer with a complete and uncorrupted version in electronic form in the formats and on media agreed with the Buyer</w:t>
      </w:r>
    </w:p>
    <w:p w14:paraId="654F2E18" w14:textId="77777777" w:rsidR="00760E89" w:rsidRDefault="00750A02">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9A84B40" w14:textId="77777777" w:rsidR="00760E89" w:rsidRDefault="00750A02">
      <w:pPr>
        <w:pStyle w:val="Standard"/>
        <w:numPr>
          <w:ilvl w:val="2"/>
          <w:numId w:val="36"/>
        </w:numPr>
        <w:ind w:right="14" w:hanging="720"/>
      </w:pPr>
      <w:r>
        <w:t>work with the Buyer on any ongoing work</w:t>
      </w:r>
    </w:p>
    <w:p w14:paraId="385BABBE" w14:textId="77777777" w:rsidR="00760E89" w:rsidRDefault="00750A02">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2FD87B88" w14:textId="77777777" w:rsidR="00760E89" w:rsidRDefault="00750A02">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14:paraId="1F07CC47" w14:textId="77777777" w:rsidR="00760E89" w:rsidRDefault="00750A02">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0934784B" w14:textId="77777777" w:rsidR="00760E89" w:rsidRDefault="00750A02">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3CF78713" w14:textId="77777777" w:rsidR="00760E89" w:rsidRDefault="00750A02">
      <w:pPr>
        <w:pStyle w:val="Standard"/>
        <w:ind w:left="1838" w:right="14" w:hanging="720"/>
      </w:pPr>
      <w:r>
        <w:t xml:space="preserve">20.1 </w:t>
      </w:r>
      <w:r>
        <w:tab/>
        <w:t>Any notices sent must be in writing. For the purpose of this clause, an email is accepted as being 'in writing'.</w:t>
      </w:r>
    </w:p>
    <w:p w14:paraId="7F05B5B8" w14:textId="77777777" w:rsidR="00760E89" w:rsidRDefault="00750A02" w:rsidP="00075C10">
      <w:pPr>
        <w:pStyle w:val="Standard"/>
        <w:numPr>
          <w:ilvl w:val="0"/>
          <w:numId w:val="57"/>
        </w:numPr>
        <w:spacing w:after="0" w:line="240" w:lineRule="auto"/>
        <w:ind w:right="14" w:hanging="360"/>
      </w:pPr>
      <w:r>
        <w:t>Manner of delivery: email</w:t>
      </w:r>
    </w:p>
    <w:p w14:paraId="19196189" w14:textId="77777777" w:rsidR="00760E89" w:rsidRDefault="00750A02">
      <w:pPr>
        <w:pStyle w:val="Standard"/>
        <w:numPr>
          <w:ilvl w:val="0"/>
          <w:numId w:val="47"/>
        </w:numPr>
        <w:spacing w:after="0" w:line="240" w:lineRule="auto"/>
        <w:ind w:right="14" w:hanging="360"/>
      </w:pPr>
      <w:r>
        <w:t>Deemed time of delivery: 9am on the first Working Day after sending</w:t>
      </w:r>
    </w:p>
    <w:p w14:paraId="7DBF8AD3" w14:textId="77777777" w:rsidR="00760E89" w:rsidRDefault="00750A02">
      <w:pPr>
        <w:pStyle w:val="Standard"/>
        <w:numPr>
          <w:ilvl w:val="0"/>
          <w:numId w:val="47"/>
        </w:numPr>
        <w:spacing w:after="0" w:line="240" w:lineRule="auto"/>
        <w:ind w:right="14" w:hanging="360"/>
      </w:pPr>
      <w:r>
        <w:t>Proof of service: Sent in an emailed letter in PDF format to the correct email address without any error message</w:t>
      </w:r>
    </w:p>
    <w:p w14:paraId="383DBA7D" w14:textId="77777777" w:rsidR="00760E89" w:rsidRDefault="00760E89">
      <w:pPr>
        <w:pStyle w:val="Standard"/>
        <w:spacing w:after="0" w:line="240" w:lineRule="auto"/>
        <w:ind w:left="2213" w:right="14" w:firstLine="0"/>
      </w:pPr>
    </w:p>
    <w:p w14:paraId="33280E60" w14:textId="77777777" w:rsidR="00760E89" w:rsidRDefault="00750A02">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22BC3EDC" w14:textId="77777777" w:rsidR="00760E89" w:rsidRDefault="00750A02">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2AC44A6D" w14:textId="77777777" w:rsidR="00760E89" w:rsidRDefault="00750A02">
      <w:pPr>
        <w:pStyle w:val="Standard"/>
        <w:ind w:left="1838" w:right="14" w:hanging="720"/>
      </w:pPr>
      <w:r>
        <w:t xml:space="preserve">21.1 </w:t>
      </w:r>
      <w:r>
        <w:tab/>
        <w:t>The Supplier must provide an exit plan in its Application which ensures continuity of service and the Supplier will follow it.</w:t>
      </w:r>
    </w:p>
    <w:p w14:paraId="4767FC88" w14:textId="77777777" w:rsidR="00760E89" w:rsidRDefault="00750A02">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7B4FCB70" w14:textId="77777777" w:rsidR="00760E89" w:rsidRDefault="00750A02">
      <w:pPr>
        <w:pStyle w:val="Standard"/>
        <w:spacing w:after="333" w:line="240" w:lineRule="auto"/>
        <w:ind w:left="1838" w:right="14" w:hanging="720"/>
      </w:pPr>
      <w:r>
        <w:lastRenderedPageBreak/>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3F3C8651" w14:textId="77777777" w:rsidR="00760E89" w:rsidRDefault="00750A02">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FF9AA5E" w14:textId="77777777" w:rsidR="00760E89" w:rsidRDefault="00760E89">
      <w:pPr>
        <w:pStyle w:val="Standard"/>
        <w:ind w:left="1838" w:right="14" w:hanging="720"/>
      </w:pPr>
    </w:p>
    <w:p w14:paraId="7809A2EC" w14:textId="77777777" w:rsidR="00760E89" w:rsidRDefault="00750A02">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24BC4294" w14:textId="77777777" w:rsidR="00760E89" w:rsidRDefault="00750A02">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552F191" w14:textId="77777777" w:rsidR="00760E89" w:rsidRDefault="00750A02">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3A0A44A8" w14:textId="77777777" w:rsidR="00760E89" w:rsidRDefault="00750A02">
      <w:pPr>
        <w:pStyle w:val="Standard"/>
        <w:spacing w:after="332" w:line="240" w:lineRule="auto"/>
        <w:ind w:left="1541" w:right="14" w:firstLine="311"/>
      </w:pPr>
      <w:r>
        <w:t>21.6.2 there will be no adverse impact on service continuity</w:t>
      </w:r>
    </w:p>
    <w:p w14:paraId="36F8B9F9" w14:textId="77777777" w:rsidR="00760E89" w:rsidRDefault="00750A02">
      <w:pPr>
        <w:pStyle w:val="Standard"/>
        <w:ind w:left="1541" w:right="14" w:firstLine="311"/>
      </w:pPr>
      <w:r>
        <w:t>21.6.3 there is no vendor lock-in to the Supplier’s Service at exit</w:t>
      </w:r>
    </w:p>
    <w:p w14:paraId="7F03503B" w14:textId="77777777" w:rsidR="00760E89" w:rsidRDefault="00750A02">
      <w:pPr>
        <w:pStyle w:val="Standard"/>
        <w:ind w:left="1863" w:right="14" w:firstLine="0"/>
      </w:pPr>
      <w:r>
        <w:t>21.6.4 it enables the Buyer to meet its obligations under the Technology Code of Practice</w:t>
      </w:r>
    </w:p>
    <w:p w14:paraId="3D29F247" w14:textId="77777777" w:rsidR="00760E89" w:rsidRDefault="00750A02">
      <w:pPr>
        <w:pStyle w:val="Standard"/>
        <w:ind w:left="1838" w:right="14" w:hanging="720"/>
      </w:pPr>
      <w:r>
        <w:t xml:space="preserve">21.7 </w:t>
      </w:r>
      <w:r>
        <w:tab/>
        <w:t>If approval is obtained by the Buyer to extend the Term, then the Supplier will comply with its obligations in the additional exit plan.</w:t>
      </w:r>
    </w:p>
    <w:p w14:paraId="0D40579A" w14:textId="77777777" w:rsidR="00760E89" w:rsidRDefault="00750A02">
      <w:pPr>
        <w:pStyle w:val="Standard"/>
        <w:ind w:left="1838" w:right="14" w:hanging="720"/>
      </w:pPr>
      <w:r>
        <w:t xml:space="preserve">21.8 </w:t>
      </w:r>
      <w:r>
        <w:tab/>
        <w:t>The additional exit plan must set out full details of timescales, activities and roles and responsibilities of the Parties for:</w:t>
      </w:r>
    </w:p>
    <w:p w14:paraId="786D5F32" w14:textId="77777777" w:rsidR="00760E89" w:rsidRDefault="00750A02">
      <w:pPr>
        <w:pStyle w:val="Standard"/>
        <w:ind w:left="2573" w:right="14" w:hanging="720"/>
      </w:pPr>
      <w:r>
        <w:t>21.8.1 the transfer to the Buyer of any technical information, instructions, manuals and code reasonably required by the Buyer to enable a smooth migration from the Supplier</w:t>
      </w:r>
    </w:p>
    <w:p w14:paraId="16EA0078" w14:textId="77777777" w:rsidR="00760E89" w:rsidRDefault="00750A02">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2A20C673" w14:textId="77777777" w:rsidR="00760E89" w:rsidRDefault="00750A02">
      <w:pPr>
        <w:pStyle w:val="Standard"/>
        <w:ind w:left="2573" w:right="14" w:hanging="720"/>
      </w:pPr>
      <w:r>
        <w:t>21.8.3 the transfer of Project Specific IPR items and other Buyer customisations, configurations and databases to the Buyer or a replacement supplier</w:t>
      </w:r>
    </w:p>
    <w:p w14:paraId="4669EEDC" w14:textId="77777777" w:rsidR="00760E89" w:rsidRDefault="00750A02">
      <w:pPr>
        <w:pStyle w:val="Standard"/>
        <w:ind w:left="1541" w:right="14" w:firstLine="311"/>
      </w:pPr>
      <w:r>
        <w:lastRenderedPageBreak/>
        <w:t>21.8.4 the testing and assurance strategy for exported Buyer Data</w:t>
      </w:r>
    </w:p>
    <w:p w14:paraId="68FD59E4" w14:textId="77777777" w:rsidR="00760E89" w:rsidRDefault="00750A02">
      <w:pPr>
        <w:pStyle w:val="Standard"/>
        <w:ind w:left="1541" w:right="14" w:firstLine="311"/>
      </w:pPr>
      <w:r>
        <w:t>21.8.5 if relevant, TUPE-related activity to comply with the TUPE regulations</w:t>
      </w:r>
    </w:p>
    <w:p w14:paraId="5A6E7637" w14:textId="77777777" w:rsidR="00760E89" w:rsidRDefault="00750A02">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5AB9F585" w14:textId="77777777" w:rsidR="00760E89" w:rsidRDefault="00750A02">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2B0CCB7B" w14:textId="77777777" w:rsidR="00760E89" w:rsidRDefault="00750A02">
      <w:pPr>
        <w:pStyle w:val="Standard"/>
        <w:ind w:left="1838" w:right="14" w:hanging="720"/>
      </w:pPr>
      <w:r>
        <w:t xml:space="preserve">22.1 </w:t>
      </w:r>
      <w:r>
        <w:tab/>
        <w:t>At least 10 Working Days before the Expiry Date or End Date, the Supplier must provide any:</w:t>
      </w:r>
    </w:p>
    <w:p w14:paraId="24E6F132" w14:textId="77777777" w:rsidR="00760E89" w:rsidRDefault="00750A02">
      <w:pPr>
        <w:pStyle w:val="Standard"/>
        <w:ind w:left="2573" w:right="14" w:hanging="720"/>
      </w:pPr>
      <w:r>
        <w:t>22.1.1 data (including Buyer Data), Buyer Personal Data and Buyer Confidential Information in the Supplier’s possession, power or control</w:t>
      </w:r>
    </w:p>
    <w:p w14:paraId="4ABFD7E4" w14:textId="77777777" w:rsidR="00760E89" w:rsidRDefault="00750A02">
      <w:pPr>
        <w:pStyle w:val="Standard"/>
        <w:ind w:left="1526" w:right="14" w:firstLine="311"/>
      </w:pPr>
      <w:r>
        <w:t>22.1.2 other information reasonably requested by the Buyer</w:t>
      </w:r>
    </w:p>
    <w:p w14:paraId="3CCA1FAB" w14:textId="77777777" w:rsidR="00760E89" w:rsidRDefault="00750A02">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12DB4CB" w14:textId="77777777" w:rsidR="00760E89" w:rsidRDefault="00750A02">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17DA923" w14:textId="77777777" w:rsidR="00760E89" w:rsidRDefault="00750A02">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0CCE71F2" w14:textId="77777777" w:rsidR="00760E89" w:rsidRDefault="00750A02">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66F5F64D" w14:textId="77777777" w:rsidR="00760E89" w:rsidRDefault="00750A02">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04F6DA51" w14:textId="77777777" w:rsidR="00760E89" w:rsidRDefault="00750A02">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0D220FF3" w14:textId="77777777" w:rsidR="00760E89" w:rsidRDefault="00750A02">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6ECA8B6E" w14:textId="77777777" w:rsidR="00760E89" w:rsidRDefault="00750A02">
      <w:pPr>
        <w:pStyle w:val="Standard"/>
        <w:ind w:left="1537" w:right="14" w:firstLine="311"/>
      </w:pPr>
      <w:r>
        <w:t>Supplier's liability:</w:t>
      </w:r>
    </w:p>
    <w:p w14:paraId="6B53F6F7" w14:textId="77777777" w:rsidR="00760E89" w:rsidRDefault="00750A02">
      <w:pPr>
        <w:pStyle w:val="Standard"/>
        <w:spacing w:after="170" w:line="240" w:lineRule="auto"/>
        <w:ind w:left="1849" w:right="14" w:firstLine="0"/>
      </w:pPr>
      <w:r>
        <w:t>24.2.1 pursuant to the indemnities in Clauses 7, 10, 11 and 29 shall be unlimited; and</w:t>
      </w:r>
    </w:p>
    <w:p w14:paraId="0F365340" w14:textId="77777777" w:rsidR="00760E89" w:rsidRDefault="00750A02">
      <w:pPr>
        <w:pStyle w:val="Standard"/>
        <w:spacing w:after="255" w:line="240" w:lineRule="auto"/>
        <w:ind w:left="2407" w:right="14" w:hanging="554"/>
      </w:pPr>
      <w:r>
        <w:lastRenderedPageBreak/>
        <w:t>24.2.2 in respect of Losses arising from breach of the Data Protection Legislation shall be as set out in Framework Agreement clause 28.</w:t>
      </w:r>
    </w:p>
    <w:p w14:paraId="322478EC" w14:textId="77777777" w:rsidR="00760E89" w:rsidRDefault="00750A02">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3C3FB1D4" w14:textId="77777777" w:rsidR="00760E89" w:rsidRDefault="00750A02">
      <w:pPr>
        <w:pStyle w:val="Standard"/>
        <w:spacing w:after="274" w:line="240" w:lineRule="auto"/>
        <w:ind w:left="1834" w:right="14" w:firstLine="0"/>
      </w:pPr>
      <w:r>
        <w:t>Buyer’s liability pursuant to Clause 11.5.2 shall in no event exceed in aggregate five million pounds (£5,000,000).</w:t>
      </w:r>
    </w:p>
    <w:p w14:paraId="7295DF6A" w14:textId="77777777" w:rsidR="00760E89" w:rsidRDefault="00750A02">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7AA8D7B2" w14:textId="77777777" w:rsidR="00760E89" w:rsidRDefault="00750A02">
      <w:pPr>
        <w:pStyle w:val="Standard"/>
        <w:spacing w:after="988" w:line="240" w:lineRule="auto"/>
        <w:ind w:left="1848" w:right="14" w:firstLine="0"/>
      </w:pPr>
      <w:r>
        <w:t>24.2 will not be taken into consideration.</w:t>
      </w:r>
    </w:p>
    <w:p w14:paraId="3A67C0F9" w14:textId="77777777" w:rsidR="00760E89" w:rsidRDefault="00750A02">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3962ED4B" w14:textId="77777777" w:rsidR="00760E89" w:rsidRDefault="00750A02">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2336321C" w14:textId="77777777" w:rsidR="00760E89" w:rsidRDefault="00750A02">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712D2A2B" w14:textId="77777777" w:rsidR="00760E89" w:rsidRDefault="00750A02">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6CB7B731" w14:textId="77777777" w:rsidR="00760E89" w:rsidRDefault="00750A02">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5EFBD181" w14:textId="77777777" w:rsidR="00760E89" w:rsidRDefault="00750A02">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7DA121B1" w14:textId="77777777" w:rsidR="00760E89" w:rsidRDefault="00750A02">
      <w:pPr>
        <w:pStyle w:val="Standard"/>
        <w:ind w:left="2573" w:right="14" w:hanging="720"/>
      </w:pPr>
      <w:r>
        <w:t>25.5.1 comply with any security requirements at the premises and not do anything to weaken the security of the premises</w:t>
      </w:r>
    </w:p>
    <w:p w14:paraId="29968FB8" w14:textId="77777777" w:rsidR="00760E89" w:rsidRDefault="00750A02">
      <w:pPr>
        <w:pStyle w:val="Standard"/>
        <w:ind w:left="1541" w:right="14" w:firstLine="311"/>
      </w:pPr>
      <w:r>
        <w:t>25.5.2 comply with Buyer requirements for the conduct of personnel</w:t>
      </w:r>
    </w:p>
    <w:p w14:paraId="1014489C" w14:textId="77777777" w:rsidR="00760E89" w:rsidRDefault="00750A02">
      <w:pPr>
        <w:pStyle w:val="Standard"/>
        <w:ind w:left="1541" w:right="14" w:firstLine="311"/>
      </w:pPr>
      <w:r>
        <w:t>25.5.3 comply with any health and safety measures implemented by the Buyer</w:t>
      </w:r>
    </w:p>
    <w:p w14:paraId="75323613" w14:textId="77777777" w:rsidR="00760E89" w:rsidRDefault="00750A02">
      <w:pPr>
        <w:pStyle w:val="Standard"/>
        <w:ind w:left="2573" w:right="14" w:hanging="720"/>
      </w:pPr>
      <w:r>
        <w:t>25.5.4 immediately notify the Buyer of any incident on the premises that causes any damage to Property which could cause personal injury</w:t>
      </w:r>
    </w:p>
    <w:p w14:paraId="225179F4" w14:textId="77777777" w:rsidR="00760E89" w:rsidRDefault="00750A02">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2AC053A5" w14:textId="77777777" w:rsidR="00760E89" w:rsidRDefault="00750A02">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2F5597CA" w14:textId="77777777" w:rsidR="00760E89" w:rsidRDefault="00750A02">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01ACF8BA" w14:textId="77777777" w:rsidR="00760E89" w:rsidRDefault="00750A02">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63CEB0F7" w14:textId="77777777" w:rsidR="00760E89" w:rsidRDefault="00750A02">
      <w:pPr>
        <w:pStyle w:val="Standard"/>
        <w:spacing w:after="743" w:line="240" w:lineRule="auto"/>
        <w:ind w:left="1838" w:right="14" w:hanging="720"/>
      </w:pPr>
      <w:r>
        <w:lastRenderedPageBreak/>
        <w:t xml:space="preserve">26.3 </w:t>
      </w:r>
      <w:r>
        <w:tab/>
        <w:t>When the Call-Off Contract Ends or expires, the Supplier will remove the Equipment and any other materials leaving the premises in a safe and clean condition.</w:t>
      </w:r>
    </w:p>
    <w:p w14:paraId="0B67D2D2" w14:textId="77777777" w:rsidR="00760E89" w:rsidRDefault="00750A02">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290F79AA" w14:textId="77777777" w:rsidR="00760E89" w:rsidRDefault="00750A02">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1BB2B26" w14:textId="77777777" w:rsidR="00760E89" w:rsidRDefault="00750A02">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14733A15" w14:textId="77777777" w:rsidR="00760E89" w:rsidRDefault="00750A02">
      <w:pPr>
        <w:pStyle w:val="Standard"/>
        <w:ind w:left="1838" w:right="14" w:hanging="720"/>
      </w:pPr>
      <w:r>
        <w:t xml:space="preserve">28.1 </w:t>
      </w:r>
      <w:r>
        <w:tab/>
        <w:t>The Buyer will provide a copy of its environmental policy to the Supplier on request, which the Supplier will comply with.</w:t>
      </w:r>
    </w:p>
    <w:p w14:paraId="2387F2F9" w14:textId="77777777" w:rsidR="00760E89" w:rsidRDefault="00750A02">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31810EE7" w14:textId="77777777" w:rsidR="00760E89" w:rsidRDefault="00750A02">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3F258298" w14:textId="77777777" w:rsidR="00760E89" w:rsidRDefault="00750A02">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D0FD06C" w14:textId="77777777" w:rsidR="00760E89" w:rsidRDefault="00750A02">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02BB727D" w14:textId="77777777" w:rsidR="00760E89" w:rsidRDefault="00750A02">
      <w:pPr>
        <w:pStyle w:val="Standard"/>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6C23E22D" w14:textId="77777777" w:rsidR="00760E89" w:rsidRDefault="00750A02">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37A8BE1A" w14:textId="77777777" w:rsidR="00760E89" w:rsidRDefault="00750A02">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5F91CF9F" w14:textId="77777777" w:rsidR="00760E89" w:rsidRDefault="00750A02">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77D70157" w14:textId="77777777" w:rsidR="00760E89" w:rsidRDefault="00750A02">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0E5B6D1B" w14:textId="77777777" w:rsidR="00760E89" w:rsidRDefault="00750A02">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64755A15" w14:textId="77777777" w:rsidR="00760E89" w:rsidRDefault="00750A02">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050DB717" w14:textId="77777777" w:rsidR="00760E89" w:rsidRDefault="00750A02">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7A35B090" w14:textId="77777777" w:rsidR="00760E89" w:rsidRDefault="00750A02">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78C381E4" w14:textId="77777777" w:rsidR="00760E89" w:rsidRDefault="00750A02">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7F5AF226" w14:textId="77777777" w:rsidR="00760E89" w:rsidRDefault="00750A02">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5F08926A" w14:textId="77777777" w:rsidR="00760E89" w:rsidRDefault="00750A02" w:rsidP="00075C10">
      <w:pPr>
        <w:pStyle w:val="Standard"/>
        <w:numPr>
          <w:ilvl w:val="0"/>
          <w:numId w:val="58"/>
        </w:numPr>
        <w:spacing w:after="20" w:line="240" w:lineRule="auto"/>
        <w:ind w:right="14" w:hanging="305"/>
      </w:pPr>
      <w:r>
        <w:t>2.11</w:t>
      </w:r>
      <w:r>
        <w:tab/>
        <w:t xml:space="preserve">       outstanding liabilities</w:t>
      </w:r>
    </w:p>
    <w:p w14:paraId="66E5DB06" w14:textId="77777777" w:rsidR="00760E89" w:rsidRDefault="00750A02">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1B107250" w14:textId="77777777" w:rsidR="00760E89" w:rsidRDefault="00750A02">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60FE2793" w14:textId="77777777" w:rsidR="00760E89" w:rsidRDefault="00750A02">
      <w:pPr>
        <w:pStyle w:val="Standard"/>
        <w:ind w:left="3293" w:right="14" w:hanging="1440"/>
      </w:pPr>
      <w:r>
        <w:t>29.2.14            all information required under regulation 11 of TUPE or as reasonably   requested by the Buyer</w:t>
      </w:r>
    </w:p>
    <w:p w14:paraId="11411B4E" w14:textId="77777777" w:rsidR="00760E89" w:rsidRDefault="00750A02">
      <w:pPr>
        <w:pStyle w:val="Standard"/>
        <w:ind w:left="1701" w:right="14" w:firstLine="0"/>
      </w:pPr>
      <w: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9C13E34" w14:textId="77777777" w:rsidR="00760E89" w:rsidRDefault="00750A02">
      <w:pPr>
        <w:pStyle w:val="Standard"/>
        <w:numPr>
          <w:ilvl w:val="1"/>
          <w:numId w:val="48"/>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557C1393" w14:textId="77777777" w:rsidR="00760E89" w:rsidRDefault="00750A02">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407E192" w14:textId="77777777" w:rsidR="00760E89" w:rsidRDefault="00750A02">
      <w:pPr>
        <w:pStyle w:val="Standard"/>
        <w:numPr>
          <w:ilvl w:val="1"/>
          <w:numId w:val="48"/>
        </w:numPr>
        <w:tabs>
          <w:tab w:val="left" w:pos="5387"/>
        </w:tabs>
        <w:ind w:left="1701" w:right="14" w:hanging="567"/>
      </w:pPr>
      <w:r>
        <w:t>The Supplier will indemnify the Buyer or any Replacement Supplier for all Loss arising from both:</w:t>
      </w:r>
    </w:p>
    <w:p w14:paraId="0D65587D" w14:textId="77777777" w:rsidR="00760E89" w:rsidRDefault="00750A02">
      <w:pPr>
        <w:pStyle w:val="Standard"/>
        <w:numPr>
          <w:ilvl w:val="2"/>
          <w:numId w:val="48"/>
        </w:numPr>
        <w:tabs>
          <w:tab w:val="left" w:pos="6096"/>
        </w:tabs>
        <w:ind w:left="2410" w:right="14" w:hanging="721"/>
      </w:pPr>
      <w:r>
        <w:t>its failure to comply with the provisions of this clause</w:t>
      </w:r>
    </w:p>
    <w:p w14:paraId="04005A9A" w14:textId="77777777" w:rsidR="00760E89" w:rsidRDefault="00750A02">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1CA07959" w14:textId="77777777" w:rsidR="00760E89" w:rsidRDefault="00750A02">
      <w:pPr>
        <w:pStyle w:val="Standard"/>
        <w:numPr>
          <w:ilvl w:val="1"/>
          <w:numId w:val="48"/>
        </w:numPr>
        <w:ind w:left="1701" w:right="14" w:hanging="567"/>
      </w:pPr>
      <w:r>
        <w:t>The provisions of this clause apply during the Term of this Call-Off Contract and indefinitely after it Ends or expires.</w:t>
      </w:r>
    </w:p>
    <w:p w14:paraId="535C1609" w14:textId="77777777" w:rsidR="00760E89" w:rsidRDefault="00750A02">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0EC634C9" w14:textId="77777777" w:rsidR="00760E89" w:rsidRDefault="00750A02">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64E3AA81" w14:textId="77777777" w:rsidR="00760E89" w:rsidRDefault="00750A02">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0D110C81" w14:textId="77777777" w:rsidR="00760E89" w:rsidRDefault="00750A02">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62196B15" w14:textId="77777777" w:rsidR="00760E89" w:rsidRDefault="00750A02">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042DE3A4" w14:textId="77777777" w:rsidR="00760E89" w:rsidRDefault="00750A02">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6F82CA57" w14:textId="77777777" w:rsidR="00760E89" w:rsidRDefault="00750A02">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07995B8D" w14:textId="77777777" w:rsidR="00760E89" w:rsidRDefault="00750A02">
      <w:pPr>
        <w:pStyle w:val="Standard"/>
        <w:ind w:left="1541" w:right="14" w:firstLine="311"/>
      </w:pPr>
      <w:r>
        <w:lastRenderedPageBreak/>
        <w:t>31.2.1 work proactively and in good faith with each of the Buyer’s contractors</w:t>
      </w:r>
    </w:p>
    <w:p w14:paraId="2159F216" w14:textId="77777777" w:rsidR="00760E89" w:rsidRDefault="00750A02">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12A902DF" w14:textId="77777777" w:rsidR="00760E89" w:rsidRDefault="00750A02">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78DFE66C" w14:textId="77777777" w:rsidR="00760E89" w:rsidRDefault="00750A02">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4097AD07" w14:textId="77777777" w:rsidR="00760E89" w:rsidRDefault="00750A02">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5D5BFAF" w14:textId="77777777" w:rsidR="00760E89" w:rsidRDefault="00750A02">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442763C2" w14:textId="77777777" w:rsidR="00760E89" w:rsidRDefault="00750A02">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362AD262" w14:textId="77777777" w:rsidR="00760E89" w:rsidRDefault="00750A02">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23D5C954" w14:textId="77777777" w:rsidR="00760E89" w:rsidRDefault="00750A02">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5B99592E" w14:textId="77777777" w:rsidR="00760E89" w:rsidRDefault="00750A02">
      <w:pPr>
        <w:pStyle w:val="Heading1"/>
        <w:pageBreakBefore/>
        <w:spacing w:after="81" w:line="240" w:lineRule="auto"/>
        <w:ind w:left="1113" w:firstLine="1118"/>
      </w:pPr>
      <w:bookmarkStart w:id="23" w:name="_heading=h.tyjcwt"/>
      <w:bookmarkEnd w:id="23"/>
      <w:r>
        <w:lastRenderedPageBreak/>
        <w:t>Schedule 1: Services</w:t>
      </w:r>
    </w:p>
    <w:p w14:paraId="24FF265C" w14:textId="77777777" w:rsidR="009A0E1A" w:rsidRDefault="009A0E1A" w:rsidP="009A0E1A">
      <w:pPr>
        <w:pStyle w:val="Heading1"/>
        <w:keepLines w:val="0"/>
        <w:numPr>
          <w:ilvl w:val="0"/>
          <w:numId w:val="92"/>
        </w:numPr>
        <w:suppressAutoHyphens w:val="0"/>
        <w:autoSpaceDN/>
        <w:spacing w:after="120" w:line="240" w:lineRule="auto"/>
        <w:jc w:val="both"/>
        <w:textAlignment w:val="auto"/>
        <w:rPr>
          <w:b/>
        </w:rPr>
      </w:pPr>
      <w:r>
        <w:rPr>
          <w:b/>
        </w:rPr>
        <w:t>PURPOSE</w:t>
      </w:r>
    </w:p>
    <w:p w14:paraId="6B6F596E"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24" w:name="_quknx0s6s7h9" w:colFirst="0" w:colLast="0"/>
      <w:bookmarkEnd w:id="24"/>
      <w:r>
        <w:rPr>
          <w:sz w:val="24"/>
          <w:szCs w:val="24"/>
        </w:rPr>
        <w:t>The Infrastructure and Projects Authority (IPA) has developed the Benchmarking Data Service (BDS), a cloud-based data management platform that will be accessible across His Majesty’s Government (HMG).  The purpose of the BDS is to inform government projects with data driven insights, leading to higher confidence in projected outcomes.</w:t>
      </w:r>
    </w:p>
    <w:p w14:paraId="29C6D224"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25" w:name="_gx5l6qljjnwn" w:colFirst="0" w:colLast="0"/>
      <w:bookmarkEnd w:id="25"/>
      <w:r>
        <w:rPr>
          <w:sz w:val="24"/>
          <w:szCs w:val="24"/>
        </w:rPr>
        <w:t>This procurement is to establish a Support and Maintenance Call-Off Contract for the BDS that will ensure its availability to the end users across HMG.  It will also maintain relevant compliance with Cabinet Office Digital (CO-D), Discovery, Science and Insights (DSI) and Government Digital Service (GDS) IT service requirements.</w:t>
      </w:r>
    </w:p>
    <w:p w14:paraId="4B78683F" w14:textId="77777777" w:rsidR="009A0E1A" w:rsidRDefault="009A0E1A" w:rsidP="009A0E1A">
      <w:pPr>
        <w:pStyle w:val="Heading1"/>
        <w:keepLines w:val="0"/>
        <w:numPr>
          <w:ilvl w:val="0"/>
          <w:numId w:val="92"/>
        </w:numPr>
        <w:suppressAutoHyphens w:val="0"/>
        <w:autoSpaceDN/>
        <w:spacing w:after="120" w:line="240" w:lineRule="auto"/>
        <w:jc w:val="both"/>
        <w:textAlignment w:val="auto"/>
        <w:rPr>
          <w:b/>
        </w:rPr>
      </w:pPr>
      <w:bookmarkStart w:id="26" w:name="_3dy6vkm" w:colFirst="0" w:colLast="0"/>
      <w:bookmarkEnd w:id="26"/>
      <w:r>
        <w:rPr>
          <w:b/>
          <w:smallCaps/>
        </w:rPr>
        <w:t>BACKGROUND TO THE CONTRACTING AUTHORITY</w:t>
      </w:r>
    </w:p>
    <w:p w14:paraId="6544296D"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IPA is the government’s centre of expertise for infrastructure and major projects, supporting the successful delivery of all types of major projects.  The IPA sits at the heart of government, reporting to the Cabinet Office and HM Treasury.</w:t>
      </w:r>
    </w:p>
    <w:p w14:paraId="02F6340F" w14:textId="77777777" w:rsidR="009A0E1A" w:rsidRDefault="009A0E1A" w:rsidP="009A0E1A">
      <w:pPr>
        <w:pStyle w:val="Heading1"/>
        <w:keepLines w:val="0"/>
        <w:numPr>
          <w:ilvl w:val="0"/>
          <w:numId w:val="92"/>
        </w:numPr>
        <w:suppressAutoHyphens w:val="0"/>
        <w:autoSpaceDN/>
        <w:spacing w:after="120" w:line="240" w:lineRule="auto"/>
        <w:jc w:val="both"/>
        <w:textAlignment w:val="auto"/>
        <w:rPr>
          <w:b/>
        </w:rPr>
      </w:pPr>
      <w:bookmarkStart w:id="27" w:name="_1t3h5sf" w:colFirst="0" w:colLast="0"/>
      <w:bookmarkEnd w:id="27"/>
      <w:r>
        <w:rPr>
          <w:b/>
          <w:smallCaps/>
        </w:rPr>
        <w:t>Background to requirement/OVERVIEW of requirement</w:t>
      </w:r>
    </w:p>
    <w:p w14:paraId="3A37E7C9"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28" w:name="_dmwq2ythctfe" w:colFirst="0" w:colLast="0"/>
      <w:bookmarkEnd w:id="28"/>
      <w:r>
        <w:rPr>
          <w:sz w:val="24"/>
          <w:szCs w:val="24"/>
        </w:rPr>
        <w:t>The IPA has ambitious plans to make a step change and transform how UK Government projects estimate costs, leveraging data from previously completed government projects through benchmarking to deliver better investment decisions for the UK.  Too often, we have seen project costs increased during their lifecycle significantly and benefits eroded as projects progress to construction and throughout their lifecycle.</w:t>
      </w:r>
    </w:p>
    <w:p w14:paraId="0DC3D6AD"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29" w:name="_2vuhxghmnttz" w:colFirst="0" w:colLast="0"/>
      <w:bookmarkEnd w:id="29"/>
      <w:r>
        <w:rPr>
          <w:sz w:val="24"/>
          <w:szCs w:val="24"/>
        </w:rPr>
        <w:t>Part of the solution to improve project outcomes (value for taxpayers) is to ensure realistic projections are developed, which is where the BDS can offer considerable insights.  It will provide all government departments access to a growing number of realised and completed project data/information, enabling more informed decisions, estimates, with increased confidence in outcomes.</w:t>
      </w:r>
    </w:p>
    <w:p w14:paraId="2D0F6E5C"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30" w:name="_u0mkwlrabz8a" w:colFirst="0" w:colLast="0"/>
      <w:bookmarkEnd w:id="30"/>
      <w:r>
        <w:rPr>
          <w:sz w:val="24"/>
          <w:szCs w:val="24"/>
        </w:rPr>
        <w:t>Benchmarks expected from the BDS are not restricted to costs and time but metrics beyond these, such as carbon, social value and benefits.  As data maturity increases in the BDS, the benefits increase exponentially, particularly with the data being shared across HMG.</w:t>
      </w:r>
    </w:p>
    <w:p w14:paraId="44098C26" w14:textId="77777777" w:rsidR="009A0E1A" w:rsidRDefault="009A0E1A" w:rsidP="009A0E1A">
      <w:pPr>
        <w:pStyle w:val="Heading1"/>
        <w:keepLines w:val="0"/>
        <w:numPr>
          <w:ilvl w:val="0"/>
          <w:numId w:val="92"/>
        </w:numPr>
        <w:suppressAutoHyphens w:val="0"/>
        <w:autoSpaceDN/>
        <w:spacing w:after="120" w:line="240" w:lineRule="auto"/>
        <w:jc w:val="both"/>
        <w:textAlignment w:val="auto"/>
        <w:rPr>
          <w:b/>
        </w:rPr>
      </w:pPr>
      <w:bookmarkStart w:id="31" w:name="_57ciycmyctnr" w:colFirst="0" w:colLast="0"/>
      <w:bookmarkEnd w:id="31"/>
      <w:r>
        <w:rPr>
          <w:b/>
          <w:smallCaps/>
        </w:rPr>
        <w:t xml:space="preserve">definitions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9A0E1A" w14:paraId="5F27BE6C" w14:textId="77777777" w:rsidTr="006365DA">
        <w:trPr>
          <w:tblHeader/>
        </w:trPr>
        <w:tc>
          <w:tcPr>
            <w:tcW w:w="2048" w:type="dxa"/>
            <w:shd w:val="clear" w:color="auto" w:fill="B8CCE4"/>
          </w:tcPr>
          <w:p w14:paraId="3D5267A5" w14:textId="77777777" w:rsidR="009A0E1A" w:rsidRDefault="009A0E1A" w:rsidP="006365DA">
            <w:pPr>
              <w:pStyle w:val="Heading2"/>
              <w:keepNext w:val="0"/>
              <w:keepLines w:val="0"/>
              <w:spacing w:after="120" w:line="240" w:lineRule="auto"/>
              <w:ind w:left="18"/>
              <w:rPr>
                <w:sz w:val="24"/>
                <w:szCs w:val="24"/>
                <w:highlight w:val="yellow"/>
              </w:rPr>
            </w:pPr>
            <w:r>
              <w:rPr>
                <w:sz w:val="24"/>
                <w:szCs w:val="24"/>
              </w:rPr>
              <w:t>Expression or Acronym</w:t>
            </w:r>
          </w:p>
        </w:tc>
        <w:tc>
          <w:tcPr>
            <w:tcW w:w="6251" w:type="dxa"/>
            <w:shd w:val="clear" w:color="auto" w:fill="B8CCE4"/>
          </w:tcPr>
          <w:p w14:paraId="1D5EF69E" w14:textId="77777777" w:rsidR="009A0E1A" w:rsidRDefault="009A0E1A" w:rsidP="006365DA">
            <w:pPr>
              <w:pStyle w:val="Heading2"/>
              <w:keepNext w:val="0"/>
              <w:keepLines w:val="0"/>
              <w:spacing w:after="120" w:line="240" w:lineRule="auto"/>
              <w:ind w:left="720"/>
              <w:rPr>
                <w:sz w:val="24"/>
                <w:szCs w:val="24"/>
                <w:highlight w:val="yellow"/>
              </w:rPr>
            </w:pPr>
            <w:r>
              <w:rPr>
                <w:sz w:val="24"/>
                <w:szCs w:val="24"/>
              </w:rPr>
              <w:t>Definition</w:t>
            </w:r>
          </w:p>
        </w:tc>
      </w:tr>
      <w:tr w:rsidR="009A0E1A" w14:paraId="7DE914C1" w14:textId="77777777" w:rsidTr="006365DA">
        <w:tc>
          <w:tcPr>
            <w:tcW w:w="2048" w:type="dxa"/>
          </w:tcPr>
          <w:p w14:paraId="12C129D3" w14:textId="77777777" w:rsidR="009A0E1A" w:rsidRDefault="009A0E1A" w:rsidP="006365DA">
            <w:pPr>
              <w:pStyle w:val="Heading2"/>
              <w:keepNext w:val="0"/>
              <w:keepLines w:val="0"/>
              <w:spacing w:after="120" w:line="240" w:lineRule="auto"/>
              <w:ind w:left="720"/>
              <w:rPr>
                <w:b/>
                <w:sz w:val="24"/>
                <w:szCs w:val="24"/>
              </w:rPr>
            </w:pPr>
            <w:r>
              <w:rPr>
                <w:b/>
                <w:sz w:val="24"/>
                <w:szCs w:val="24"/>
              </w:rPr>
              <w:t>AWS</w:t>
            </w:r>
          </w:p>
        </w:tc>
        <w:tc>
          <w:tcPr>
            <w:tcW w:w="6251" w:type="dxa"/>
          </w:tcPr>
          <w:p w14:paraId="176E4F68" w14:textId="77777777" w:rsidR="009A0E1A" w:rsidRDefault="009A0E1A" w:rsidP="006365DA">
            <w:pPr>
              <w:pStyle w:val="Heading2"/>
              <w:keepNext w:val="0"/>
              <w:keepLines w:val="0"/>
              <w:spacing w:after="120" w:line="240" w:lineRule="auto"/>
              <w:ind w:left="720"/>
              <w:rPr>
                <w:b/>
                <w:sz w:val="24"/>
                <w:szCs w:val="24"/>
              </w:rPr>
            </w:pPr>
            <w:r>
              <w:rPr>
                <w:b/>
                <w:sz w:val="24"/>
                <w:szCs w:val="24"/>
              </w:rPr>
              <w:t>Amazon Web Services</w:t>
            </w:r>
          </w:p>
        </w:tc>
      </w:tr>
      <w:tr w:rsidR="009A0E1A" w14:paraId="09B10B25" w14:textId="77777777" w:rsidTr="006365DA">
        <w:tc>
          <w:tcPr>
            <w:tcW w:w="2048" w:type="dxa"/>
          </w:tcPr>
          <w:p w14:paraId="71CE375B" w14:textId="77777777" w:rsidR="009A0E1A" w:rsidRDefault="009A0E1A" w:rsidP="006365DA">
            <w:pPr>
              <w:pStyle w:val="Heading2"/>
              <w:keepNext w:val="0"/>
              <w:keepLines w:val="0"/>
              <w:spacing w:after="120" w:line="240" w:lineRule="auto"/>
              <w:ind w:left="720"/>
              <w:rPr>
                <w:b/>
                <w:sz w:val="24"/>
                <w:szCs w:val="24"/>
              </w:rPr>
            </w:pPr>
            <w:r>
              <w:rPr>
                <w:b/>
                <w:sz w:val="24"/>
                <w:szCs w:val="24"/>
              </w:rPr>
              <w:t>BDS</w:t>
            </w:r>
          </w:p>
        </w:tc>
        <w:tc>
          <w:tcPr>
            <w:tcW w:w="6251" w:type="dxa"/>
          </w:tcPr>
          <w:p w14:paraId="0F2E9905" w14:textId="77777777" w:rsidR="009A0E1A" w:rsidRDefault="009A0E1A" w:rsidP="006365DA">
            <w:pPr>
              <w:pStyle w:val="Heading2"/>
              <w:keepNext w:val="0"/>
              <w:keepLines w:val="0"/>
              <w:spacing w:after="120" w:line="240" w:lineRule="auto"/>
              <w:ind w:left="720"/>
              <w:rPr>
                <w:b/>
                <w:sz w:val="24"/>
                <w:szCs w:val="24"/>
              </w:rPr>
            </w:pPr>
            <w:bookmarkStart w:id="32" w:name="_9liuqgue9vqf" w:colFirst="0" w:colLast="0"/>
            <w:bookmarkEnd w:id="32"/>
            <w:r>
              <w:rPr>
                <w:b/>
                <w:sz w:val="24"/>
                <w:szCs w:val="24"/>
              </w:rPr>
              <w:t>Benchmarking Data Service (the ‘Service’)</w:t>
            </w:r>
          </w:p>
        </w:tc>
      </w:tr>
      <w:tr w:rsidR="009A0E1A" w14:paraId="2C41E4C6" w14:textId="77777777" w:rsidTr="006365DA">
        <w:tc>
          <w:tcPr>
            <w:tcW w:w="2048" w:type="dxa"/>
          </w:tcPr>
          <w:p w14:paraId="68053200" w14:textId="77777777" w:rsidR="009A0E1A" w:rsidRDefault="009A0E1A" w:rsidP="006365DA">
            <w:pPr>
              <w:pStyle w:val="Heading2"/>
              <w:keepNext w:val="0"/>
              <w:keepLines w:val="0"/>
              <w:spacing w:after="120" w:line="240" w:lineRule="auto"/>
              <w:ind w:left="720"/>
              <w:rPr>
                <w:b/>
                <w:sz w:val="24"/>
                <w:szCs w:val="24"/>
              </w:rPr>
            </w:pPr>
            <w:r>
              <w:rPr>
                <w:b/>
                <w:sz w:val="24"/>
                <w:szCs w:val="24"/>
              </w:rPr>
              <w:t>CO-D</w:t>
            </w:r>
          </w:p>
        </w:tc>
        <w:tc>
          <w:tcPr>
            <w:tcW w:w="6251" w:type="dxa"/>
          </w:tcPr>
          <w:p w14:paraId="2A5C269B" w14:textId="77777777" w:rsidR="009A0E1A" w:rsidRDefault="009A0E1A" w:rsidP="006365DA">
            <w:pPr>
              <w:pStyle w:val="Heading2"/>
              <w:keepNext w:val="0"/>
              <w:keepLines w:val="0"/>
              <w:spacing w:after="120" w:line="240" w:lineRule="auto"/>
              <w:ind w:left="720"/>
              <w:rPr>
                <w:b/>
                <w:sz w:val="24"/>
                <w:szCs w:val="24"/>
              </w:rPr>
            </w:pPr>
            <w:r>
              <w:rPr>
                <w:b/>
                <w:sz w:val="24"/>
                <w:szCs w:val="24"/>
              </w:rPr>
              <w:t>Cabinet Office Digital</w:t>
            </w:r>
          </w:p>
        </w:tc>
      </w:tr>
      <w:tr w:rsidR="009A0E1A" w14:paraId="4CE54D70" w14:textId="77777777" w:rsidTr="006365DA">
        <w:tc>
          <w:tcPr>
            <w:tcW w:w="2048" w:type="dxa"/>
          </w:tcPr>
          <w:p w14:paraId="76F238F2" w14:textId="77777777" w:rsidR="009A0E1A" w:rsidRDefault="009A0E1A" w:rsidP="006365DA">
            <w:pPr>
              <w:pStyle w:val="Heading2"/>
              <w:keepNext w:val="0"/>
              <w:keepLines w:val="0"/>
              <w:spacing w:after="120" w:line="240" w:lineRule="auto"/>
              <w:ind w:left="720"/>
              <w:rPr>
                <w:b/>
                <w:sz w:val="24"/>
                <w:szCs w:val="24"/>
              </w:rPr>
            </w:pPr>
            <w:bookmarkStart w:id="33" w:name="_hl176ncyh7ms" w:colFirst="0" w:colLast="0"/>
            <w:bookmarkEnd w:id="33"/>
            <w:r>
              <w:rPr>
                <w:b/>
                <w:sz w:val="24"/>
                <w:szCs w:val="24"/>
              </w:rPr>
              <w:t>COLA</w:t>
            </w:r>
          </w:p>
        </w:tc>
        <w:tc>
          <w:tcPr>
            <w:tcW w:w="6251" w:type="dxa"/>
          </w:tcPr>
          <w:p w14:paraId="457FA4E2" w14:textId="77777777" w:rsidR="009A0E1A" w:rsidRDefault="009A0E1A" w:rsidP="006365DA">
            <w:pPr>
              <w:pStyle w:val="Heading2"/>
              <w:keepNext w:val="0"/>
              <w:keepLines w:val="0"/>
              <w:spacing w:after="120" w:line="240" w:lineRule="auto"/>
              <w:ind w:left="720"/>
              <w:rPr>
                <w:b/>
                <w:sz w:val="24"/>
                <w:szCs w:val="24"/>
              </w:rPr>
            </w:pPr>
            <w:bookmarkStart w:id="34" w:name="_fg6fa448w4pw" w:colFirst="0" w:colLast="0"/>
            <w:bookmarkEnd w:id="34"/>
            <w:r>
              <w:rPr>
                <w:b/>
                <w:sz w:val="24"/>
                <w:szCs w:val="24"/>
              </w:rPr>
              <w:t>Cabinet Office Login Application</w:t>
            </w:r>
          </w:p>
        </w:tc>
      </w:tr>
      <w:tr w:rsidR="009A0E1A" w14:paraId="1F95435D" w14:textId="77777777" w:rsidTr="006365DA">
        <w:tc>
          <w:tcPr>
            <w:tcW w:w="2048" w:type="dxa"/>
          </w:tcPr>
          <w:p w14:paraId="13D8ABA4" w14:textId="77777777" w:rsidR="009A0E1A" w:rsidRDefault="009A0E1A" w:rsidP="006365DA">
            <w:pPr>
              <w:pStyle w:val="Heading2"/>
              <w:keepNext w:val="0"/>
              <w:keepLines w:val="0"/>
              <w:spacing w:after="120" w:line="240" w:lineRule="auto"/>
              <w:ind w:left="720"/>
              <w:rPr>
                <w:b/>
                <w:sz w:val="24"/>
                <w:szCs w:val="24"/>
              </w:rPr>
            </w:pPr>
            <w:r>
              <w:rPr>
                <w:b/>
                <w:sz w:val="24"/>
                <w:szCs w:val="24"/>
              </w:rPr>
              <w:t>DSI</w:t>
            </w:r>
          </w:p>
        </w:tc>
        <w:tc>
          <w:tcPr>
            <w:tcW w:w="6251" w:type="dxa"/>
          </w:tcPr>
          <w:p w14:paraId="7A3D5FE8" w14:textId="77777777" w:rsidR="009A0E1A" w:rsidRDefault="009A0E1A" w:rsidP="006365DA">
            <w:pPr>
              <w:pStyle w:val="Heading2"/>
              <w:keepNext w:val="0"/>
              <w:keepLines w:val="0"/>
              <w:spacing w:after="120" w:line="240" w:lineRule="auto"/>
              <w:ind w:left="720"/>
              <w:rPr>
                <w:b/>
                <w:sz w:val="24"/>
                <w:szCs w:val="24"/>
                <w:highlight w:val="yellow"/>
              </w:rPr>
            </w:pPr>
            <w:r>
              <w:rPr>
                <w:b/>
                <w:sz w:val="24"/>
                <w:szCs w:val="24"/>
              </w:rPr>
              <w:t>Discovery, Science and Insights</w:t>
            </w:r>
          </w:p>
        </w:tc>
      </w:tr>
      <w:tr w:rsidR="009A0E1A" w14:paraId="19BF45DF" w14:textId="77777777" w:rsidTr="006365DA">
        <w:tc>
          <w:tcPr>
            <w:tcW w:w="2048" w:type="dxa"/>
          </w:tcPr>
          <w:p w14:paraId="3C4618D5" w14:textId="77777777" w:rsidR="009A0E1A" w:rsidRDefault="009A0E1A" w:rsidP="006365DA">
            <w:pPr>
              <w:pStyle w:val="Heading2"/>
              <w:keepNext w:val="0"/>
              <w:keepLines w:val="0"/>
              <w:spacing w:after="120" w:line="240" w:lineRule="auto"/>
              <w:ind w:left="720"/>
              <w:rPr>
                <w:b/>
                <w:sz w:val="24"/>
                <w:szCs w:val="24"/>
              </w:rPr>
            </w:pPr>
            <w:r>
              <w:rPr>
                <w:b/>
                <w:sz w:val="24"/>
                <w:szCs w:val="24"/>
              </w:rPr>
              <w:t>ELT</w:t>
            </w:r>
          </w:p>
        </w:tc>
        <w:tc>
          <w:tcPr>
            <w:tcW w:w="6251" w:type="dxa"/>
          </w:tcPr>
          <w:p w14:paraId="6833793F" w14:textId="77777777" w:rsidR="009A0E1A" w:rsidRDefault="009A0E1A" w:rsidP="006365DA">
            <w:pPr>
              <w:pStyle w:val="Heading2"/>
              <w:keepNext w:val="0"/>
              <w:keepLines w:val="0"/>
              <w:spacing w:after="120" w:line="240" w:lineRule="auto"/>
              <w:ind w:left="720"/>
              <w:rPr>
                <w:b/>
                <w:sz w:val="24"/>
                <w:szCs w:val="24"/>
              </w:rPr>
            </w:pPr>
            <w:r>
              <w:rPr>
                <w:b/>
                <w:sz w:val="24"/>
                <w:szCs w:val="24"/>
              </w:rPr>
              <w:t>Extract Load Transform</w:t>
            </w:r>
          </w:p>
        </w:tc>
      </w:tr>
      <w:tr w:rsidR="009A0E1A" w14:paraId="0D727ADD" w14:textId="77777777" w:rsidTr="006365DA">
        <w:tc>
          <w:tcPr>
            <w:tcW w:w="2048" w:type="dxa"/>
          </w:tcPr>
          <w:p w14:paraId="59E849A3" w14:textId="77777777" w:rsidR="009A0E1A" w:rsidRDefault="009A0E1A" w:rsidP="006365DA">
            <w:pPr>
              <w:pStyle w:val="Heading2"/>
              <w:keepNext w:val="0"/>
              <w:keepLines w:val="0"/>
              <w:spacing w:after="120" w:line="240" w:lineRule="auto"/>
              <w:ind w:left="720"/>
              <w:rPr>
                <w:b/>
                <w:sz w:val="24"/>
                <w:szCs w:val="24"/>
              </w:rPr>
            </w:pPr>
            <w:r>
              <w:rPr>
                <w:b/>
                <w:sz w:val="24"/>
                <w:szCs w:val="24"/>
              </w:rPr>
              <w:lastRenderedPageBreak/>
              <w:t>ETL</w:t>
            </w:r>
          </w:p>
        </w:tc>
        <w:tc>
          <w:tcPr>
            <w:tcW w:w="6251" w:type="dxa"/>
          </w:tcPr>
          <w:p w14:paraId="3F5DD2F3" w14:textId="77777777" w:rsidR="009A0E1A" w:rsidRDefault="009A0E1A" w:rsidP="006365DA">
            <w:pPr>
              <w:pStyle w:val="Heading2"/>
              <w:keepNext w:val="0"/>
              <w:keepLines w:val="0"/>
              <w:spacing w:after="120" w:line="240" w:lineRule="auto"/>
              <w:ind w:left="720"/>
              <w:rPr>
                <w:b/>
                <w:sz w:val="24"/>
                <w:szCs w:val="24"/>
              </w:rPr>
            </w:pPr>
            <w:r>
              <w:rPr>
                <w:b/>
                <w:sz w:val="24"/>
                <w:szCs w:val="24"/>
              </w:rPr>
              <w:t>Extract Transform Load</w:t>
            </w:r>
          </w:p>
        </w:tc>
      </w:tr>
      <w:tr w:rsidR="009A0E1A" w14:paraId="538EEE13" w14:textId="77777777" w:rsidTr="006365DA">
        <w:tc>
          <w:tcPr>
            <w:tcW w:w="2048" w:type="dxa"/>
          </w:tcPr>
          <w:p w14:paraId="7BE027CE" w14:textId="77777777" w:rsidR="009A0E1A" w:rsidRDefault="009A0E1A" w:rsidP="006365DA">
            <w:pPr>
              <w:pStyle w:val="Heading2"/>
              <w:keepNext w:val="0"/>
              <w:keepLines w:val="0"/>
              <w:spacing w:after="120" w:line="240" w:lineRule="auto"/>
              <w:ind w:left="720"/>
              <w:rPr>
                <w:b/>
                <w:sz w:val="24"/>
                <w:szCs w:val="24"/>
              </w:rPr>
            </w:pPr>
            <w:r>
              <w:rPr>
                <w:b/>
                <w:sz w:val="24"/>
                <w:szCs w:val="24"/>
              </w:rPr>
              <w:t>IPA</w:t>
            </w:r>
          </w:p>
        </w:tc>
        <w:tc>
          <w:tcPr>
            <w:tcW w:w="6251" w:type="dxa"/>
          </w:tcPr>
          <w:p w14:paraId="6163FA87" w14:textId="77777777" w:rsidR="009A0E1A" w:rsidRDefault="009A0E1A" w:rsidP="006365DA">
            <w:pPr>
              <w:pStyle w:val="Heading2"/>
              <w:keepNext w:val="0"/>
              <w:keepLines w:val="0"/>
              <w:spacing w:after="120" w:line="240" w:lineRule="auto"/>
              <w:ind w:left="720"/>
              <w:rPr>
                <w:b/>
                <w:sz w:val="24"/>
                <w:szCs w:val="24"/>
              </w:rPr>
            </w:pPr>
            <w:r>
              <w:rPr>
                <w:b/>
                <w:sz w:val="24"/>
                <w:szCs w:val="24"/>
              </w:rPr>
              <w:t>Infrastructure and Projects Authority</w:t>
            </w:r>
          </w:p>
        </w:tc>
      </w:tr>
      <w:tr w:rsidR="009A0E1A" w14:paraId="3D3C617B" w14:textId="77777777" w:rsidTr="006365DA">
        <w:tc>
          <w:tcPr>
            <w:tcW w:w="2048" w:type="dxa"/>
            <w:tcBorders>
              <w:bottom w:val="single" w:sz="24" w:space="0" w:color="000000"/>
            </w:tcBorders>
          </w:tcPr>
          <w:p w14:paraId="2D50315C" w14:textId="77777777" w:rsidR="009A0E1A" w:rsidRDefault="009A0E1A" w:rsidP="006365DA">
            <w:pPr>
              <w:pStyle w:val="Heading2"/>
              <w:keepNext w:val="0"/>
              <w:keepLines w:val="0"/>
              <w:spacing w:after="120" w:line="240" w:lineRule="auto"/>
              <w:ind w:left="720"/>
              <w:rPr>
                <w:b/>
                <w:sz w:val="24"/>
                <w:szCs w:val="24"/>
              </w:rPr>
            </w:pPr>
            <w:bookmarkStart w:id="35" w:name="_l72wfxkaqsbi" w:colFirst="0" w:colLast="0"/>
            <w:bookmarkEnd w:id="35"/>
            <w:r>
              <w:rPr>
                <w:b/>
                <w:sz w:val="24"/>
                <w:szCs w:val="24"/>
              </w:rPr>
              <w:t>GDS</w:t>
            </w:r>
          </w:p>
        </w:tc>
        <w:tc>
          <w:tcPr>
            <w:tcW w:w="6251" w:type="dxa"/>
            <w:tcBorders>
              <w:bottom w:val="single" w:sz="24" w:space="0" w:color="000000"/>
            </w:tcBorders>
          </w:tcPr>
          <w:p w14:paraId="788263D2" w14:textId="77777777" w:rsidR="009A0E1A" w:rsidRDefault="009A0E1A" w:rsidP="006365DA">
            <w:pPr>
              <w:pStyle w:val="Heading2"/>
              <w:keepNext w:val="0"/>
              <w:keepLines w:val="0"/>
              <w:spacing w:after="120" w:line="240" w:lineRule="auto"/>
              <w:ind w:left="720"/>
              <w:rPr>
                <w:b/>
                <w:sz w:val="24"/>
                <w:szCs w:val="24"/>
              </w:rPr>
            </w:pPr>
            <w:bookmarkStart w:id="36" w:name="_x80bvifycndv" w:colFirst="0" w:colLast="0"/>
            <w:bookmarkEnd w:id="36"/>
            <w:r>
              <w:rPr>
                <w:b/>
                <w:sz w:val="24"/>
                <w:szCs w:val="24"/>
              </w:rPr>
              <w:t>Government Digital Service</w:t>
            </w:r>
          </w:p>
        </w:tc>
      </w:tr>
    </w:tbl>
    <w:p w14:paraId="50747EA1" w14:textId="77777777" w:rsidR="009A0E1A" w:rsidRDefault="009A0E1A" w:rsidP="009A0E1A">
      <w:pPr>
        <w:pStyle w:val="Heading1"/>
        <w:keepLines w:val="0"/>
        <w:numPr>
          <w:ilvl w:val="0"/>
          <w:numId w:val="92"/>
        </w:numPr>
        <w:suppressAutoHyphens w:val="0"/>
        <w:autoSpaceDN/>
        <w:spacing w:before="240" w:after="120" w:line="240" w:lineRule="auto"/>
        <w:jc w:val="both"/>
        <w:textAlignment w:val="auto"/>
        <w:rPr>
          <w:b/>
        </w:rPr>
      </w:pPr>
      <w:bookmarkStart w:id="37" w:name="_qfhdcwlbcomz" w:colFirst="0" w:colLast="0"/>
      <w:bookmarkEnd w:id="37"/>
      <w:r>
        <w:rPr>
          <w:b/>
          <w:smallCaps/>
        </w:rPr>
        <w:t xml:space="preserve">scope of requirement </w:t>
      </w:r>
    </w:p>
    <w:p w14:paraId="202AC340"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38" w:name="_wtjh54a9s7sh" w:colFirst="0" w:colLast="0"/>
      <w:bookmarkEnd w:id="38"/>
      <w:r>
        <w:rPr>
          <w:sz w:val="24"/>
          <w:szCs w:val="24"/>
        </w:rPr>
        <w:t>Outline of Scope for the Support and Maintenance Call-Off Contract:</w:t>
      </w:r>
    </w:p>
    <w:p w14:paraId="23914325"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39" w:name="_yhgqou5jx2y5" w:colFirst="0" w:colLast="0"/>
      <w:bookmarkEnd w:id="39"/>
      <w:r>
        <w:rPr>
          <w:color w:val="000000"/>
          <w:sz w:val="24"/>
          <w:szCs w:val="24"/>
        </w:rPr>
        <w:t>The Service is currently on AWS within the Cabinet Office IT infrastructure, with the capability to be accessed by all government departments.</w:t>
      </w:r>
    </w:p>
    <w:p w14:paraId="16C9B491"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40" w:name="_mfvryyaqo4kj" w:colFirst="0" w:colLast="0"/>
      <w:bookmarkEnd w:id="40"/>
      <w:r>
        <w:rPr>
          <w:color w:val="000000"/>
          <w:sz w:val="24"/>
          <w:szCs w:val="24"/>
        </w:rPr>
        <w:t>The Supplier shall deliver support, maintenance and incident resolution to ensure the platform's availability, security and optimal performance.  Covering all components and services related to the platform, including but not limited to data storage, backups, security configurations, networking, and access controls.</w:t>
      </w:r>
    </w:p>
    <w:p w14:paraId="5320D526" w14:textId="77777777" w:rsidR="009A0E1A" w:rsidRDefault="009A0E1A" w:rsidP="009A0E1A">
      <w:pPr>
        <w:pStyle w:val="Heading2"/>
        <w:keepNext w:val="0"/>
        <w:keepLines w:val="0"/>
        <w:numPr>
          <w:ilvl w:val="2"/>
          <w:numId w:val="92"/>
        </w:numPr>
        <w:suppressAutoHyphens w:val="0"/>
        <w:autoSpaceDN/>
        <w:spacing w:after="240" w:line="240" w:lineRule="auto"/>
        <w:jc w:val="both"/>
        <w:textAlignment w:val="auto"/>
        <w:rPr>
          <w:sz w:val="24"/>
          <w:szCs w:val="24"/>
        </w:rPr>
      </w:pPr>
      <w:bookmarkStart w:id="41" w:name="_mp2dh3a1jwzu" w:colFirst="0" w:colLast="0"/>
      <w:bookmarkEnd w:id="41"/>
      <w:r>
        <w:rPr>
          <w:sz w:val="24"/>
          <w:szCs w:val="24"/>
        </w:rPr>
        <w:t>Focus shall be placed on incident management, performance optimisation, security, disruption management, platform related updates and up to date support documentation.  The Service Level Agreement (SLA) includes availability, response time, resolution time and remediation/response outcome.</w:t>
      </w:r>
    </w:p>
    <w:p w14:paraId="2D9DEEAB" w14:textId="77777777" w:rsidR="009A0E1A" w:rsidRDefault="009A0E1A" w:rsidP="009A0E1A">
      <w:pPr>
        <w:pStyle w:val="Heading2"/>
        <w:keepNext w:val="0"/>
        <w:keepLines w:val="0"/>
        <w:numPr>
          <w:ilvl w:val="2"/>
          <w:numId w:val="92"/>
        </w:numPr>
        <w:suppressAutoHyphens w:val="0"/>
        <w:autoSpaceDN/>
        <w:spacing w:after="240" w:line="240" w:lineRule="auto"/>
        <w:jc w:val="both"/>
        <w:textAlignment w:val="auto"/>
        <w:rPr>
          <w:sz w:val="24"/>
          <w:szCs w:val="24"/>
        </w:rPr>
      </w:pPr>
      <w:bookmarkStart w:id="42" w:name="_e643gdula0w" w:colFirst="0" w:colLast="0"/>
      <w:bookmarkEnd w:id="42"/>
      <w:r>
        <w:rPr>
          <w:sz w:val="24"/>
          <w:szCs w:val="24"/>
        </w:rPr>
        <w:t>Whilst the Service has been developed, any suggestions, guidance and upgrades are optional, and welcomed.</w:t>
      </w:r>
    </w:p>
    <w:p w14:paraId="1ED9E420" w14:textId="77777777" w:rsidR="009A0E1A" w:rsidRDefault="009A0E1A" w:rsidP="009A0E1A">
      <w:pPr>
        <w:pStyle w:val="Heading2"/>
        <w:keepNext w:val="0"/>
        <w:keepLines w:val="0"/>
        <w:numPr>
          <w:ilvl w:val="2"/>
          <w:numId w:val="92"/>
        </w:numPr>
        <w:suppressAutoHyphens w:val="0"/>
        <w:autoSpaceDN/>
        <w:spacing w:after="240" w:line="240" w:lineRule="auto"/>
        <w:jc w:val="both"/>
        <w:textAlignment w:val="auto"/>
        <w:rPr>
          <w:sz w:val="24"/>
          <w:szCs w:val="24"/>
        </w:rPr>
      </w:pPr>
      <w:bookmarkStart w:id="43" w:name="_3m0k7iy6f87z" w:colFirst="0" w:colLast="0"/>
      <w:bookmarkEnd w:id="43"/>
      <w:r>
        <w:rPr>
          <w:sz w:val="24"/>
          <w:szCs w:val="24"/>
        </w:rPr>
        <w:t>Exclusions in this Call-Off Contract include:</w:t>
      </w:r>
    </w:p>
    <w:p w14:paraId="28115679" w14:textId="77777777" w:rsidR="009A0E1A" w:rsidRDefault="009A0E1A" w:rsidP="009A0E1A">
      <w:pPr>
        <w:pStyle w:val="Heading2"/>
        <w:keepNext w:val="0"/>
        <w:keepLines w:val="0"/>
        <w:numPr>
          <w:ilvl w:val="3"/>
          <w:numId w:val="92"/>
        </w:numPr>
        <w:suppressAutoHyphens w:val="0"/>
        <w:autoSpaceDN/>
        <w:spacing w:after="240" w:line="240" w:lineRule="auto"/>
        <w:jc w:val="both"/>
        <w:textAlignment w:val="auto"/>
        <w:rPr>
          <w:sz w:val="24"/>
          <w:szCs w:val="24"/>
        </w:rPr>
      </w:pPr>
      <w:bookmarkStart w:id="44" w:name="_kl099h9lkej" w:colFirst="0" w:colLast="0"/>
      <w:bookmarkEnd w:id="44"/>
      <w:r>
        <w:rPr>
          <w:sz w:val="24"/>
          <w:szCs w:val="24"/>
        </w:rPr>
        <w:t>Collecting, amending or assessing the project data itself that will be housed in the Service;</w:t>
      </w:r>
    </w:p>
    <w:p w14:paraId="3C2F384C" w14:textId="77777777" w:rsidR="009A0E1A" w:rsidRDefault="009A0E1A" w:rsidP="009A0E1A">
      <w:pPr>
        <w:pStyle w:val="Heading2"/>
        <w:keepNext w:val="0"/>
        <w:keepLines w:val="0"/>
        <w:numPr>
          <w:ilvl w:val="3"/>
          <w:numId w:val="92"/>
        </w:numPr>
        <w:suppressAutoHyphens w:val="0"/>
        <w:autoSpaceDN/>
        <w:spacing w:after="240" w:line="240" w:lineRule="auto"/>
        <w:jc w:val="both"/>
        <w:textAlignment w:val="auto"/>
        <w:rPr>
          <w:sz w:val="24"/>
          <w:szCs w:val="24"/>
        </w:rPr>
      </w:pPr>
      <w:bookmarkStart w:id="45" w:name="_nzuvqdiud2nh" w:colFirst="0" w:colLast="0"/>
      <w:bookmarkEnd w:id="45"/>
      <w:r>
        <w:rPr>
          <w:sz w:val="24"/>
          <w:szCs w:val="24"/>
        </w:rPr>
        <w:t xml:space="preserve">The IPA’s IT infrastructure provisions, however, feedback and suggestions to assist and/or raise any issues identified or improvements; and </w:t>
      </w:r>
    </w:p>
    <w:p w14:paraId="7A8F9B5D" w14:textId="77777777" w:rsidR="009A0E1A" w:rsidRDefault="009A0E1A" w:rsidP="009A0E1A">
      <w:pPr>
        <w:pStyle w:val="Heading2"/>
        <w:keepNext w:val="0"/>
        <w:keepLines w:val="0"/>
        <w:numPr>
          <w:ilvl w:val="3"/>
          <w:numId w:val="92"/>
        </w:numPr>
        <w:suppressAutoHyphens w:val="0"/>
        <w:autoSpaceDN/>
        <w:spacing w:after="240" w:line="240" w:lineRule="auto"/>
        <w:jc w:val="both"/>
        <w:textAlignment w:val="auto"/>
        <w:rPr>
          <w:sz w:val="24"/>
          <w:szCs w:val="24"/>
        </w:rPr>
      </w:pPr>
      <w:bookmarkStart w:id="46" w:name="_as48lzyhs4i1" w:colFirst="0" w:colLast="0"/>
      <w:bookmarkEnd w:id="46"/>
      <w:r>
        <w:rPr>
          <w:sz w:val="24"/>
          <w:szCs w:val="24"/>
        </w:rPr>
        <w:t>Any third-party software support used alongside but external to the Service.</w:t>
      </w:r>
    </w:p>
    <w:p w14:paraId="7248443B" w14:textId="77777777" w:rsidR="009A0E1A" w:rsidRDefault="009A0E1A" w:rsidP="009A0E1A">
      <w:pPr>
        <w:pStyle w:val="Heading1"/>
        <w:keepLines w:val="0"/>
        <w:numPr>
          <w:ilvl w:val="0"/>
          <w:numId w:val="92"/>
        </w:numPr>
        <w:suppressAutoHyphens w:val="0"/>
        <w:autoSpaceDN/>
        <w:spacing w:after="120" w:line="240" w:lineRule="auto"/>
        <w:jc w:val="both"/>
        <w:textAlignment w:val="auto"/>
        <w:rPr>
          <w:b/>
        </w:rPr>
      </w:pPr>
      <w:r>
        <w:rPr>
          <w:b/>
          <w:smallCaps/>
        </w:rPr>
        <w:t>The requirement</w:t>
      </w:r>
    </w:p>
    <w:p w14:paraId="596E789A"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47" w:name="_78282xi2roiu" w:colFirst="0" w:colLast="0"/>
      <w:bookmarkEnd w:id="47"/>
      <w:r>
        <w:rPr>
          <w:sz w:val="24"/>
          <w:szCs w:val="24"/>
        </w:rPr>
        <w:t>The Service, via the IPA, will collect project data and provide access across HMG that will support project investment decisions by presenting historic project cost and other metrics for better estimation and benchmarking.  Key elements of the Service include:</w:t>
      </w:r>
    </w:p>
    <w:p w14:paraId="7E159ECF" w14:textId="77777777" w:rsidR="009A0E1A" w:rsidRDefault="009A0E1A" w:rsidP="009A0E1A">
      <w:pPr>
        <w:ind w:left="720"/>
        <w:jc w:val="both"/>
        <w:rPr>
          <w:sz w:val="24"/>
          <w:szCs w:val="24"/>
        </w:rPr>
      </w:pPr>
    </w:p>
    <w:p w14:paraId="1E7A5680"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48" w:name="_2cfnqfqb010y" w:colFirst="0" w:colLast="0"/>
      <w:bookmarkEnd w:id="48"/>
      <w:r>
        <w:rPr>
          <w:color w:val="000000"/>
          <w:sz w:val="24"/>
          <w:szCs w:val="24"/>
        </w:rPr>
        <w:t xml:space="preserve">Leveraging the UK Government’s project portfolio data and also giving access to other industry data sourced by the IPA; </w:t>
      </w:r>
    </w:p>
    <w:p w14:paraId="5655242C"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49" w:name="_c5iwwtaqt474" w:colFirst="0" w:colLast="0"/>
      <w:bookmarkEnd w:id="49"/>
      <w:r>
        <w:rPr>
          <w:color w:val="000000"/>
          <w:sz w:val="24"/>
          <w:szCs w:val="24"/>
        </w:rPr>
        <w:lastRenderedPageBreak/>
        <w:t xml:space="preserve">The IPA to house a core set of features in the Service derived from user research and ongoing feedback from key stakeholders; </w:t>
      </w:r>
    </w:p>
    <w:p w14:paraId="1B598441"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50" w:name="_978iprsp14be" w:colFirst="0" w:colLast="0"/>
      <w:bookmarkEnd w:id="50"/>
      <w:r>
        <w:rPr>
          <w:color w:val="000000"/>
          <w:sz w:val="24"/>
          <w:szCs w:val="24"/>
        </w:rPr>
        <w:t>Uploading project data across HMG, meaning multiple types of assets, and thereby structures, taxonomies and detail.  All this shall be captured and stored for access to ensure valuable insights can be achieved with adequate detail.  Data granularity will increase over time and thus needs to be accommodated in the Service;</w:t>
      </w:r>
    </w:p>
    <w:p w14:paraId="5433640A"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51" w:name="_gzm2ohhwf7xq" w:colFirst="0" w:colLast="0"/>
      <w:bookmarkEnd w:id="51"/>
      <w:r>
        <w:rPr>
          <w:color w:val="000000"/>
          <w:sz w:val="24"/>
          <w:szCs w:val="24"/>
        </w:rPr>
        <w:t>Users need to access the Service through onboarding (hence the Supplier will need to provide login and associated guidance documents), find data available in the service that meets their requirements, filter (if needed) and download onto their local system;</w:t>
      </w:r>
    </w:p>
    <w:p w14:paraId="5291B6D6"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52" w:name="_k497ylda7b89" w:colFirst="0" w:colLast="0"/>
      <w:bookmarkEnd w:id="52"/>
      <w:r>
        <w:rPr>
          <w:color w:val="000000"/>
          <w:sz w:val="24"/>
          <w:szCs w:val="24"/>
        </w:rPr>
        <w:t>Supplier to train the trainer, i.e., IPA’s Benchmarking Team.  Users will provide their data to the Service from their local systems, which will be a manual process initially, involving data sent to the IPA. The Supplier will assist the IPA upload this data into the Service, but is not expected for every upload;</w:t>
      </w:r>
    </w:p>
    <w:p w14:paraId="3B201C77"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53" w:name="_v6tubtthb7p9" w:colFirst="0" w:colLast="0"/>
      <w:bookmarkEnd w:id="53"/>
      <w:r>
        <w:rPr>
          <w:color w:val="000000"/>
          <w:sz w:val="24"/>
          <w:szCs w:val="24"/>
        </w:rPr>
        <w:t>The Supplier shall allocate appropriately skilled personnel to handle support requests promptly, in accord with the deliverables, SLAs and the platform digital infrastructure;</w:t>
      </w:r>
    </w:p>
    <w:p w14:paraId="59F0CA36"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54" w:name="_1zs2jhqxrf0v" w:colFirst="0" w:colLast="0"/>
      <w:bookmarkEnd w:id="54"/>
      <w:r>
        <w:rPr>
          <w:color w:val="000000"/>
          <w:sz w:val="24"/>
          <w:szCs w:val="24"/>
        </w:rPr>
        <w:t xml:space="preserve">The IPA and/or end users will report incidents, issues and/or risks through an agreed method of communication; </w:t>
      </w:r>
    </w:p>
    <w:p w14:paraId="058A5050"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55" w:name="_wdtj9ewxuz2p" w:colFirst="0" w:colLast="0"/>
      <w:bookmarkEnd w:id="55"/>
      <w:r>
        <w:rPr>
          <w:color w:val="000000"/>
          <w:sz w:val="24"/>
          <w:szCs w:val="24"/>
        </w:rPr>
        <w:t>The Supplier shall expertly manage the data processing and transformation technologies in AWS, including, but not limited to, COLA, ETL, ELT, AWS Glue and AWS Lambda.  Due diligence shall be placed on data source connectivity, data transformation scripts, data destination connectivity, data security and encryption (where applicable).  Taking attributable responsibility for monitoring, reporting/recording that’s scalable, with resilience to increasing data volume and number of users;</w:t>
      </w:r>
    </w:p>
    <w:p w14:paraId="2637C69C"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56" w:name="_4gxstrmgwxv" w:colFirst="0" w:colLast="0"/>
      <w:bookmarkEnd w:id="56"/>
      <w:r>
        <w:rPr>
          <w:color w:val="000000"/>
          <w:sz w:val="24"/>
          <w:szCs w:val="24"/>
        </w:rPr>
        <w:t xml:space="preserve">Periodic and appropriately timed Service system testing; and </w:t>
      </w:r>
    </w:p>
    <w:p w14:paraId="44CB1554"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57" w:name="_603yg2cwic5u" w:colFirst="0" w:colLast="0"/>
      <w:bookmarkEnd w:id="57"/>
      <w:r>
        <w:rPr>
          <w:color w:val="000000"/>
          <w:sz w:val="24"/>
          <w:szCs w:val="24"/>
        </w:rPr>
        <w:t>Where required/pertinent to the Service, the Supplier shall respond to the Client and the IT technology host regarding compliance to meet new or changes in host IT architecture.  Reasonable updates to the Service should be implemented accordingly.</w:t>
      </w:r>
    </w:p>
    <w:p w14:paraId="3DFE1C5F" w14:textId="77777777" w:rsidR="009A0E1A" w:rsidRDefault="009A0E1A" w:rsidP="009A0E1A">
      <w:pPr>
        <w:pStyle w:val="Heading1"/>
        <w:keepLines w:val="0"/>
        <w:numPr>
          <w:ilvl w:val="0"/>
          <w:numId w:val="92"/>
        </w:numPr>
        <w:suppressAutoHyphens w:val="0"/>
        <w:autoSpaceDN/>
        <w:spacing w:after="120" w:line="240" w:lineRule="auto"/>
        <w:jc w:val="both"/>
        <w:textAlignment w:val="auto"/>
        <w:rPr>
          <w:b/>
        </w:rPr>
      </w:pPr>
      <w:r>
        <w:rPr>
          <w:b/>
          <w:smallCaps/>
        </w:rPr>
        <w:t>key milestones and Deliverables</w:t>
      </w:r>
    </w:p>
    <w:p w14:paraId="58932EB8" w14:textId="77777777" w:rsidR="009A0E1A" w:rsidRDefault="009A0E1A" w:rsidP="009A0E1A">
      <w:pPr>
        <w:pStyle w:val="Heading2"/>
        <w:keepNext w:val="0"/>
        <w:keepLines w:val="0"/>
        <w:numPr>
          <w:ilvl w:val="1"/>
          <w:numId w:val="92"/>
        </w:numPr>
        <w:suppressAutoHyphens w:val="0"/>
        <w:autoSpaceDN/>
        <w:spacing w:after="120" w:line="240" w:lineRule="auto"/>
        <w:ind w:left="709"/>
        <w:jc w:val="both"/>
        <w:textAlignment w:val="auto"/>
        <w:rPr>
          <w:sz w:val="24"/>
          <w:szCs w:val="24"/>
        </w:rPr>
      </w:pPr>
      <w:r>
        <w:rPr>
          <w:sz w:val="24"/>
          <w:szCs w:val="24"/>
        </w:rPr>
        <w:t>The following Call-Off Contract milestones/deliverables shall apply:</w:t>
      </w:r>
    </w:p>
    <w:tbl>
      <w:tblPr>
        <w:tblW w:w="8788" w:type="dxa"/>
        <w:tblInd w:w="821"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26"/>
        <w:gridCol w:w="3827"/>
        <w:gridCol w:w="2835"/>
      </w:tblGrid>
      <w:tr w:rsidR="009A0E1A" w14:paraId="4FE3457F" w14:textId="77777777" w:rsidTr="00BF2D83">
        <w:tc>
          <w:tcPr>
            <w:tcW w:w="2126" w:type="dxa"/>
            <w:shd w:val="clear" w:color="auto" w:fill="B8CCE4"/>
            <w:vAlign w:val="center"/>
          </w:tcPr>
          <w:p w14:paraId="21742A41" w14:textId="77777777" w:rsidR="009A0E1A" w:rsidRDefault="009A0E1A" w:rsidP="00BF2D83">
            <w:pPr>
              <w:pStyle w:val="Heading3"/>
              <w:keepNext w:val="0"/>
              <w:keepLines w:val="0"/>
              <w:spacing w:after="120" w:line="240" w:lineRule="auto"/>
              <w:ind w:left="0" w:firstLine="0"/>
              <w:rPr>
                <w:color w:val="000000"/>
                <w:sz w:val="24"/>
                <w:szCs w:val="24"/>
              </w:rPr>
            </w:pPr>
            <w:r>
              <w:rPr>
                <w:color w:val="000000"/>
                <w:sz w:val="24"/>
                <w:szCs w:val="24"/>
              </w:rPr>
              <w:t>Milestone/ Deliverable</w:t>
            </w:r>
          </w:p>
        </w:tc>
        <w:tc>
          <w:tcPr>
            <w:tcW w:w="3827" w:type="dxa"/>
            <w:shd w:val="clear" w:color="auto" w:fill="B8CCE4"/>
            <w:vAlign w:val="center"/>
          </w:tcPr>
          <w:p w14:paraId="0085B830" w14:textId="77777777" w:rsidR="009A0E1A" w:rsidRDefault="009A0E1A" w:rsidP="00BF2D83">
            <w:pPr>
              <w:pStyle w:val="Heading3"/>
              <w:keepNext w:val="0"/>
              <w:keepLines w:val="0"/>
              <w:spacing w:after="120" w:line="240" w:lineRule="auto"/>
              <w:ind w:left="0" w:firstLine="0"/>
              <w:rPr>
                <w:color w:val="000000"/>
                <w:sz w:val="24"/>
                <w:szCs w:val="24"/>
              </w:rPr>
            </w:pPr>
            <w:r>
              <w:rPr>
                <w:color w:val="000000"/>
                <w:sz w:val="24"/>
                <w:szCs w:val="24"/>
              </w:rPr>
              <w:t>Description</w:t>
            </w:r>
          </w:p>
        </w:tc>
        <w:tc>
          <w:tcPr>
            <w:tcW w:w="2835" w:type="dxa"/>
            <w:shd w:val="clear" w:color="auto" w:fill="B8CCE4"/>
            <w:vAlign w:val="center"/>
          </w:tcPr>
          <w:p w14:paraId="24F7C23C" w14:textId="77777777" w:rsidR="009A0E1A" w:rsidRDefault="009A0E1A" w:rsidP="00BF2D83">
            <w:pPr>
              <w:pStyle w:val="Heading3"/>
              <w:keepNext w:val="0"/>
              <w:keepLines w:val="0"/>
              <w:spacing w:after="120" w:line="240" w:lineRule="auto"/>
              <w:ind w:left="0" w:firstLine="0"/>
              <w:rPr>
                <w:color w:val="000000"/>
                <w:sz w:val="24"/>
                <w:szCs w:val="24"/>
              </w:rPr>
            </w:pPr>
            <w:r>
              <w:rPr>
                <w:color w:val="000000"/>
                <w:sz w:val="24"/>
                <w:szCs w:val="24"/>
              </w:rPr>
              <w:t>Timeframe or Delivery Date</w:t>
            </w:r>
          </w:p>
        </w:tc>
      </w:tr>
      <w:tr w:rsidR="009A0E1A" w14:paraId="6DF9222C" w14:textId="77777777" w:rsidTr="00BF2D83">
        <w:tc>
          <w:tcPr>
            <w:tcW w:w="2126" w:type="dxa"/>
            <w:vAlign w:val="center"/>
          </w:tcPr>
          <w:p w14:paraId="5CEE0C56" w14:textId="77777777" w:rsidR="009A0E1A" w:rsidRDefault="009A0E1A" w:rsidP="006365DA">
            <w:pPr>
              <w:pStyle w:val="Heading3"/>
              <w:keepNext w:val="0"/>
              <w:keepLines w:val="0"/>
              <w:spacing w:after="120" w:line="240" w:lineRule="auto"/>
              <w:ind w:left="1800" w:hanging="1080"/>
              <w:rPr>
                <w:b/>
                <w:color w:val="000000"/>
                <w:sz w:val="24"/>
                <w:szCs w:val="24"/>
              </w:rPr>
            </w:pPr>
            <w:r>
              <w:rPr>
                <w:b/>
                <w:color w:val="000000"/>
                <w:sz w:val="24"/>
                <w:szCs w:val="24"/>
              </w:rPr>
              <w:t>D1</w:t>
            </w:r>
          </w:p>
        </w:tc>
        <w:tc>
          <w:tcPr>
            <w:tcW w:w="3827" w:type="dxa"/>
            <w:vAlign w:val="center"/>
          </w:tcPr>
          <w:p w14:paraId="335C36AE" w14:textId="77777777" w:rsidR="009A0E1A" w:rsidRDefault="009A0E1A" w:rsidP="006365DA">
            <w:pPr>
              <w:pStyle w:val="Heading3"/>
              <w:keepNext w:val="0"/>
              <w:keepLines w:val="0"/>
              <w:spacing w:after="120" w:line="240" w:lineRule="auto"/>
              <w:ind w:left="141"/>
              <w:rPr>
                <w:b/>
                <w:color w:val="000000"/>
                <w:sz w:val="24"/>
                <w:szCs w:val="24"/>
              </w:rPr>
            </w:pPr>
            <w:r>
              <w:rPr>
                <w:b/>
                <w:color w:val="000000"/>
                <w:sz w:val="24"/>
                <w:szCs w:val="24"/>
              </w:rPr>
              <w:t>Mobilise Supplier</w:t>
            </w:r>
          </w:p>
        </w:tc>
        <w:tc>
          <w:tcPr>
            <w:tcW w:w="2835" w:type="dxa"/>
            <w:vAlign w:val="center"/>
          </w:tcPr>
          <w:p w14:paraId="73AA7937" w14:textId="77777777" w:rsidR="009A0E1A" w:rsidRDefault="009A0E1A" w:rsidP="006365DA">
            <w:pPr>
              <w:pStyle w:val="Heading3"/>
              <w:keepNext w:val="0"/>
              <w:keepLines w:val="0"/>
              <w:spacing w:after="120" w:line="240" w:lineRule="auto"/>
              <w:ind w:left="141"/>
              <w:rPr>
                <w:b/>
                <w:color w:val="000000"/>
                <w:sz w:val="24"/>
                <w:szCs w:val="24"/>
              </w:rPr>
            </w:pPr>
            <w:r>
              <w:rPr>
                <w:b/>
                <w:color w:val="000000"/>
                <w:sz w:val="24"/>
                <w:szCs w:val="24"/>
              </w:rPr>
              <w:t>Contract signed and Service mobilised within 4 days of Contract Award</w:t>
            </w:r>
          </w:p>
        </w:tc>
      </w:tr>
      <w:tr w:rsidR="009A0E1A" w14:paraId="1F66725A" w14:textId="77777777" w:rsidTr="00BF2D83">
        <w:tc>
          <w:tcPr>
            <w:tcW w:w="2126" w:type="dxa"/>
            <w:vAlign w:val="center"/>
          </w:tcPr>
          <w:p w14:paraId="09A0E11B" w14:textId="77777777" w:rsidR="009A0E1A" w:rsidRDefault="009A0E1A" w:rsidP="006365DA">
            <w:pPr>
              <w:pStyle w:val="Heading3"/>
              <w:keepNext w:val="0"/>
              <w:keepLines w:val="0"/>
              <w:spacing w:after="120" w:line="240" w:lineRule="auto"/>
              <w:ind w:left="1800" w:hanging="1080"/>
              <w:rPr>
                <w:b/>
                <w:color w:val="000000"/>
                <w:sz w:val="24"/>
                <w:szCs w:val="24"/>
              </w:rPr>
            </w:pPr>
            <w:r>
              <w:rPr>
                <w:b/>
                <w:color w:val="000000"/>
                <w:sz w:val="24"/>
                <w:szCs w:val="24"/>
              </w:rPr>
              <w:lastRenderedPageBreak/>
              <w:t>D2</w:t>
            </w:r>
          </w:p>
        </w:tc>
        <w:tc>
          <w:tcPr>
            <w:tcW w:w="3827" w:type="dxa"/>
            <w:vAlign w:val="center"/>
          </w:tcPr>
          <w:p w14:paraId="7BE88AAB" w14:textId="77777777" w:rsidR="009A0E1A" w:rsidRDefault="009A0E1A" w:rsidP="006365DA">
            <w:pPr>
              <w:pStyle w:val="Heading3"/>
              <w:keepNext w:val="0"/>
              <w:keepLines w:val="0"/>
              <w:spacing w:after="120" w:line="240" w:lineRule="auto"/>
              <w:ind w:left="141"/>
              <w:rPr>
                <w:b/>
                <w:color w:val="000000"/>
                <w:sz w:val="24"/>
                <w:szCs w:val="24"/>
              </w:rPr>
            </w:pPr>
            <w:bookmarkStart w:id="58" w:name="_bu301kgqefdq" w:colFirst="0" w:colLast="0"/>
            <w:bookmarkEnd w:id="58"/>
            <w:r>
              <w:rPr>
                <w:b/>
                <w:color w:val="000000"/>
                <w:sz w:val="24"/>
                <w:szCs w:val="24"/>
              </w:rPr>
              <w:t>Upload the Service with first tranche of data</w:t>
            </w:r>
          </w:p>
        </w:tc>
        <w:tc>
          <w:tcPr>
            <w:tcW w:w="2835" w:type="dxa"/>
            <w:vAlign w:val="center"/>
          </w:tcPr>
          <w:p w14:paraId="231CB55D" w14:textId="77777777" w:rsidR="009A0E1A" w:rsidRDefault="009A0E1A" w:rsidP="006365DA">
            <w:pPr>
              <w:pStyle w:val="Heading3"/>
              <w:keepNext w:val="0"/>
              <w:keepLines w:val="0"/>
              <w:spacing w:after="120" w:line="240" w:lineRule="auto"/>
              <w:ind w:left="141"/>
              <w:rPr>
                <w:b/>
                <w:color w:val="000000"/>
                <w:sz w:val="24"/>
                <w:szCs w:val="24"/>
              </w:rPr>
            </w:pPr>
            <w:bookmarkStart w:id="59" w:name="_s9a7ufsj458c" w:colFirst="0" w:colLast="0"/>
            <w:bookmarkEnd w:id="59"/>
            <w:r>
              <w:rPr>
                <w:b/>
                <w:color w:val="000000"/>
                <w:sz w:val="24"/>
                <w:szCs w:val="24"/>
              </w:rPr>
              <w:t>Within 2 weeks of Contract Award and no later than 3 months</w:t>
            </w:r>
          </w:p>
        </w:tc>
      </w:tr>
      <w:tr w:rsidR="009A0E1A" w14:paraId="454147C5" w14:textId="77777777" w:rsidTr="00BF2D83">
        <w:tc>
          <w:tcPr>
            <w:tcW w:w="2126" w:type="dxa"/>
            <w:vAlign w:val="center"/>
          </w:tcPr>
          <w:p w14:paraId="383D97B3" w14:textId="77777777" w:rsidR="009A0E1A" w:rsidRDefault="009A0E1A" w:rsidP="006365DA">
            <w:pPr>
              <w:pStyle w:val="Heading3"/>
              <w:keepNext w:val="0"/>
              <w:keepLines w:val="0"/>
              <w:spacing w:after="120" w:line="240" w:lineRule="auto"/>
              <w:ind w:left="1800" w:hanging="1080"/>
              <w:rPr>
                <w:b/>
                <w:color w:val="000000"/>
                <w:sz w:val="24"/>
                <w:szCs w:val="24"/>
              </w:rPr>
            </w:pPr>
            <w:r>
              <w:rPr>
                <w:b/>
                <w:color w:val="000000"/>
                <w:sz w:val="24"/>
                <w:szCs w:val="24"/>
              </w:rPr>
              <w:t>D3</w:t>
            </w:r>
          </w:p>
        </w:tc>
        <w:tc>
          <w:tcPr>
            <w:tcW w:w="3827" w:type="dxa"/>
            <w:vAlign w:val="center"/>
          </w:tcPr>
          <w:p w14:paraId="2DF17FED" w14:textId="77777777" w:rsidR="009A0E1A" w:rsidRDefault="009A0E1A" w:rsidP="006365DA">
            <w:pPr>
              <w:pStyle w:val="Heading3"/>
              <w:keepNext w:val="0"/>
              <w:keepLines w:val="0"/>
              <w:spacing w:after="120" w:line="240" w:lineRule="auto"/>
              <w:ind w:left="141"/>
              <w:rPr>
                <w:b/>
                <w:color w:val="000000"/>
                <w:sz w:val="22"/>
              </w:rPr>
            </w:pPr>
            <w:r>
              <w:rPr>
                <w:b/>
                <w:color w:val="000000"/>
                <w:sz w:val="24"/>
                <w:szCs w:val="24"/>
              </w:rPr>
              <w:t>Train the Trainer: Data Upload.  The Supplier shall provide instruction to transfer data from a system (e.g., MS Excel) to the Service, accessible to end users</w:t>
            </w:r>
          </w:p>
        </w:tc>
        <w:tc>
          <w:tcPr>
            <w:tcW w:w="2835" w:type="dxa"/>
            <w:vAlign w:val="center"/>
          </w:tcPr>
          <w:p w14:paraId="24C56F08" w14:textId="77777777" w:rsidR="009A0E1A" w:rsidRDefault="009A0E1A" w:rsidP="006365DA">
            <w:pPr>
              <w:pStyle w:val="Heading3"/>
              <w:keepNext w:val="0"/>
              <w:keepLines w:val="0"/>
              <w:spacing w:after="120" w:line="240" w:lineRule="auto"/>
              <w:ind w:left="141"/>
              <w:rPr>
                <w:b/>
                <w:color w:val="000000"/>
                <w:sz w:val="24"/>
                <w:szCs w:val="24"/>
              </w:rPr>
            </w:pPr>
            <w:r>
              <w:rPr>
                <w:b/>
                <w:color w:val="000000"/>
                <w:sz w:val="24"/>
                <w:szCs w:val="24"/>
              </w:rPr>
              <w:t>Within 6 months of Contract Award</w:t>
            </w:r>
          </w:p>
        </w:tc>
      </w:tr>
    </w:tbl>
    <w:p w14:paraId="746B1D71" w14:textId="77777777" w:rsidR="009A0E1A" w:rsidRDefault="009A0E1A" w:rsidP="009A0E1A">
      <w:pPr>
        <w:pStyle w:val="Heading1"/>
        <w:keepLines w:val="0"/>
        <w:spacing w:after="120" w:line="240" w:lineRule="auto"/>
        <w:ind w:left="720"/>
        <w:jc w:val="both"/>
        <w:rPr>
          <w:b/>
          <w:smallCaps/>
          <w:sz w:val="22"/>
        </w:rPr>
      </w:pPr>
      <w:bookmarkStart w:id="60" w:name="_lnxbz9" w:colFirst="0" w:colLast="0"/>
      <w:bookmarkEnd w:id="60"/>
    </w:p>
    <w:p w14:paraId="4C555FD3" w14:textId="77777777" w:rsidR="009A0E1A" w:rsidRPr="00BF2D83" w:rsidRDefault="009A0E1A" w:rsidP="00BF2D83">
      <w:pPr>
        <w:pStyle w:val="Heading1"/>
        <w:keepLines w:val="0"/>
        <w:numPr>
          <w:ilvl w:val="0"/>
          <w:numId w:val="92"/>
        </w:numPr>
        <w:suppressAutoHyphens w:val="0"/>
        <w:autoSpaceDN/>
        <w:spacing w:after="240" w:line="240" w:lineRule="auto"/>
        <w:jc w:val="both"/>
        <w:textAlignment w:val="auto"/>
        <w:rPr>
          <w:b/>
          <w:smallCaps/>
        </w:rPr>
      </w:pPr>
      <w:bookmarkStart w:id="61" w:name="_35nkun2" w:colFirst="0" w:colLast="0"/>
      <w:bookmarkEnd w:id="61"/>
      <w:r>
        <w:rPr>
          <w:b/>
          <w:smallCaps/>
        </w:rPr>
        <w:t>MANAGEMENT INFORMATION/reporting</w:t>
      </w:r>
    </w:p>
    <w:p w14:paraId="024A1186"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62" w:name="_546d2pntybj" w:colFirst="0" w:colLast="0"/>
      <w:bookmarkEnd w:id="62"/>
      <w:r>
        <w:rPr>
          <w:sz w:val="24"/>
          <w:szCs w:val="24"/>
        </w:rPr>
        <w:t>Monthly reporting on BDS status, including Key Performance Indicators (KPIs) (overview), issues and risks (raised and addressed), number of users, system usage and details on the Service data (e.g., number by category).  Reporting format to be agreed by the IPA and Supplier, that can include, but not limited to:</w:t>
      </w:r>
    </w:p>
    <w:p w14:paraId="6E8EFC6C"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63" w:name="_3agpwdlthhxl" w:colFirst="0" w:colLast="0"/>
      <w:bookmarkEnd w:id="63"/>
      <w:r>
        <w:rPr>
          <w:color w:val="000000"/>
          <w:sz w:val="24"/>
          <w:szCs w:val="24"/>
        </w:rPr>
        <w:t>Dashboard to track the Service status, including dataset information, users onboarded, SLAs and KPIs</w:t>
      </w:r>
    </w:p>
    <w:p w14:paraId="7E76A4A8"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64" w:name="_fwte48cy4c3d" w:colFirst="0" w:colLast="0"/>
      <w:bookmarkEnd w:id="64"/>
      <w:r>
        <w:rPr>
          <w:color w:val="000000"/>
          <w:sz w:val="24"/>
          <w:szCs w:val="24"/>
        </w:rPr>
        <w:t>Key risks, issues and opportunities</w:t>
      </w:r>
    </w:p>
    <w:p w14:paraId="2897C7AE"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65" w:name="_wkyxs57ktr7w" w:colFirst="0" w:colLast="0"/>
      <w:bookmarkEnd w:id="65"/>
      <w:r>
        <w:rPr>
          <w:color w:val="000000"/>
          <w:sz w:val="24"/>
          <w:szCs w:val="24"/>
        </w:rPr>
        <w:t>Recording updates to the service</w:t>
      </w:r>
    </w:p>
    <w:p w14:paraId="61D4216B" w14:textId="77777777" w:rsidR="009A0E1A" w:rsidRDefault="009A0E1A" w:rsidP="009A0E1A">
      <w:pPr>
        <w:jc w:val="both"/>
      </w:pPr>
    </w:p>
    <w:p w14:paraId="22130374" w14:textId="77777777" w:rsidR="009A0E1A" w:rsidRPr="00BF2D83" w:rsidRDefault="009A0E1A" w:rsidP="00BF2D83">
      <w:pPr>
        <w:pStyle w:val="Heading1"/>
        <w:keepLines w:val="0"/>
        <w:numPr>
          <w:ilvl w:val="0"/>
          <w:numId w:val="92"/>
        </w:numPr>
        <w:suppressAutoHyphens w:val="0"/>
        <w:autoSpaceDN/>
        <w:spacing w:after="240" w:line="240" w:lineRule="auto"/>
        <w:jc w:val="both"/>
        <w:textAlignment w:val="auto"/>
        <w:rPr>
          <w:b/>
          <w:smallCaps/>
        </w:rPr>
      </w:pPr>
      <w:bookmarkStart w:id="66" w:name="_1ksv4uv" w:colFirst="0" w:colLast="0"/>
      <w:bookmarkEnd w:id="66"/>
      <w:r>
        <w:rPr>
          <w:b/>
          <w:smallCaps/>
        </w:rPr>
        <w:t>volumes</w:t>
      </w:r>
    </w:p>
    <w:p w14:paraId="4E783D1A"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Not applicable.</w:t>
      </w:r>
    </w:p>
    <w:p w14:paraId="75CCDE9E" w14:textId="77777777" w:rsidR="009A0E1A" w:rsidRPr="00BF2D83" w:rsidRDefault="009A0E1A" w:rsidP="00BF2D83">
      <w:pPr>
        <w:pStyle w:val="Heading1"/>
        <w:keepLines w:val="0"/>
        <w:numPr>
          <w:ilvl w:val="0"/>
          <w:numId w:val="92"/>
        </w:numPr>
        <w:suppressAutoHyphens w:val="0"/>
        <w:autoSpaceDN/>
        <w:spacing w:after="240" w:line="240" w:lineRule="auto"/>
        <w:jc w:val="both"/>
        <w:textAlignment w:val="auto"/>
        <w:rPr>
          <w:b/>
          <w:smallCaps/>
        </w:rPr>
      </w:pPr>
      <w:bookmarkStart w:id="67" w:name="_44sinio" w:colFirst="0" w:colLast="0"/>
      <w:bookmarkEnd w:id="67"/>
      <w:r>
        <w:rPr>
          <w:b/>
          <w:smallCaps/>
        </w:rPr>
        <w:t>continuous improvement</w:t>
      </w:r>
    </w:p>
    <w:p w14:paraId="4F853AE0" w14:textId="77777777" w:rsidR="009A0E1A" w:rsidRDefault="009A0E1A" w:rsidP="00BF2D83">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The Supplier will be expected to continually improve the way in which the required Service is delivered throughout the Call-Off Contract duration.</w:t>
      </w:r>
    </w:p>
    <w:p w14:paraId="4530775F" w14:textId="77777777" w:rsidR="009A0E1A" w:rsidRDefault="009A0E1A" w:rsidP="00BF2D83">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The Supplier should present new ways of working to the IPA during monthly Call-Off Contract review meetings.</w:t>
      </w:r>
    </w:p>
    <w:p w14:paraId="6F6042BD" w14:textId="77777777" w:rsidR="009A0E1A" w:rsidRDefault="009A0E1A" w:rsidP="00BF2D83">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Changes to the way in which the Service is delivered must be brought to the IPA’s attention and agreed prior to any changes being implemented.</w:t>
      </w:r>
    </w:p>
    <w:p w14:paraId="5AED3496" w14:textId="77777777" w:rsidR="009A0E1A" w:rsidRDefault="009A0E1A" w:rsidP="009A0E1A">
      <w:pPr>
        <w:pStyle w:val="Heading1"/>
        <w:keepLines w:val="0"/>
        <w:numPr>
          <w:ilvl w:val="0"/>
          <w:numId w:val="92"/>
        </w:numPr>
        <w:suppressAutoHyphens w:val="0"/>
        <w:autoSpaceDN/>
        <w:spacing w:after="240" w:line="240" w:lineRule="auto"/>
        <w:jc w:val="both"/>
        <w:textAlignment w:val="auto"/>
        <w:rPr>
          <w:b/>
        </w:rPr>
      </w:pPr>
      <w:bookmarkStart w:id="68" w:name="_2jxsxqh" w:colFirst="0" w:colLast="0"/>
      <w:bookmarkEnd w:id="68"/>
      <w:r>
        <w:rPr>
          <w:b/>
          <w:smallCaps/>
        </w:rPr>
        <w:t>Sustainability</w:t>
      </w:r>
    </w:p>
    <w:p w14:paraId="590735EF"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The Supplier should consider environmental sustainability across all aspects of contract implementation and include examples of how they deliver sustainably and are working towards a ‘Net Zero’ target.</w:t>
      </w:r>
    </w:p>
    <w:p w14:paraId="04ACEAB1" w14:textId="77777777" w:rsidR="009A0E1A" w:rsidRPr="00BF2D83" w:rsidRDefault="009A0E1A" w:rsidP="00BF2D83">
      <w:pPr>
        <w:pStyle w:val="Heading1"/>
        <w:keepLines w:val="0"/>
        <w:numPr>
          <w:ilvl w:val="0"/>
          <w:numId w:val="92"/>
        </w:numPr>
        <w:suppressAutoHyphens w:val="0"/>
        <w:autoSpaceDN/>
        <w:spacing w:after="240" w:line="240" w:lineRule="auto"/>
        <w:jc w:val="both"/>
        <w:textAlignment w:val="auto"/>
        <w:rPr>
          <w:b/>
          <w:smallCaps/>
        </w:rPr>
      </w:pPr>
      <w:bookmarkStart w:id="69" w:name="_z337ya" w:colFirst="0" w:colLast="0"/>
      <w:bookmarkEnd w:id="69"/>
      <w:r>
        <w:rPr>
          <w:b/>
          <w:smallCaps/>
        </w:rPr>
        <w:lastRenderedPageBreak/>
        <w:t>quality</w:t>
      </w:r>
    </w:p>
    <w:p w14:paraId="78B44C1C" w14:textId="77777777" w:rsidR="009A0E1A" w:rsidRDefault="009A0E1A" w:rsidP="00BF2D83">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The quality of the outputs from the Supplier, including deliverables, SLAs, reporting and any changes to the Service will be complete, consistent, timely, validated and accurate as practicable.</w:t>
      </w:r>
    </w:p>
    <w:p w14:paraId="37D8B6C6" w14:textId="77777777" w:rsidR="009A0E1A" w:rsidRPr="00BF2D83" w:rsidRDefault="009A0E1A" w:rsidP="00BF2D83">
      <w:pPr>
        <w:pStyle w:val="Heading1"/>
        <w:keepLines w:val="0"/>
        <w:numPr>
          <w:ilvl w:val="0"/>
          <w:numId w:val="92"/>
        </w:numPr>
        <w:suppressAutoHyphens w:val="0"/>
        <w:autoSpaceDN/>
        <w:spacing w:after="240" w:line="240" w:lineRule="auto"/>
        <w:jc w:val="both"/>
        <w:textAlignment w:val="auto"/>
        <w:rPr>
          <w:b/>
          <w:smallCaps/>
        </w:rPr>
      </w:pPr>
      <w:bookmarkStart w:id="70" w:name="_3j2qqm3" w:colFirst="0" w:colLast="0"/>
      <w:bookmarkEnd w:id="70"/>
      <w:r>
        <w:rPr>
          <w:b/>
          <w:smallCaps/>
        </w:rPr>
        <w:t>PRICE</w:t>
      </w:r>
    </w:p>
    <w:p w14:paraId="0FE8934A"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71" w:name="_qlsyxuf4aaur" w:colFirst="0" w:colLast="0"/>
      <w:bookmarkEnd w:id="71"/>
      <w:r>
        <w:rPr>
          <w:sz w:val="24"/>
          <w:szCs w:val="24"/>
        </w:rPr>
        <w:t>The payment profile is as follows:</w:t>
      </w:r>
    </w:p>
    <w:p w14:paraId="68672AB0"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72" w:name="_p632eod2wkfl" w:colFirst="0" w:colLast="0"/>
      <w:bookmarkEnd w:id="72"/>
      <w:r>
        <w:rPr>
          <w:color w:val="000000"/>
          <w:sz w:val="24"/>
          <w:szCs w:val="24"/>
        </w:rPr>
        <w:t>Provision of Supplier labour (Clause 16.1) to maintain service availability in accordance with SLAs (Section 15) paid monthly, in arrears, at 42% of the £100,000 Call-Off Contract value, per year.</w:t>
      </w:r>
    </w:p>
    <w:p w14:paraId="58DD939A" w14:textId="77777777" w:rsidR="009A0E1A" w:rsidRDefault="009A0E1A" w:rsidP="009A0E1A">
      <w:pPr>
        <w:pStyle w:val="Heading3"/>
        <w:keepNext w:val="0"/>
        <w:keepLines w:val="0"/>
        <w:numPr>
          <w:ilvl w:val="2"/>
          <w:numId w:val="92"/>
        </w:numPr>
        <w:suppressAutoHyphens w:val="0"/>
        <w:autoSpaceDN/>
        <w:spacing w:after="240" w:line="240" w:lineRule="auto"/>
        <w:jc w:val="both"/>
        <w:textAlignment w:val="auto"/>
        <w:rPr>
          <w:sz w:val="24"/>
          <w:szCs w:val="24"/>
        </w:rPr>
      </w:pPr>
      <w:bookmarkStart w:id="73" w:name="_12gd6dvrq6z2" w:colFirst="0" w:colLast="0"/>
      <w:bookmarkEnd w:id="73"/>
      <w:r>
        <w:rPr>
          <w:color w:val="000000"/>
          <w:sz w:val="24"/>
          <w:szCs w:val="24"/>
        </w:rPr>
        <w:t xml:space="preserve">Additional works carried out by the Supplier, in agreement with the IPA, within contract scope and beyond 13.1.1 shall be invoiced separately. </w:t>
      </w:r>
    </w:p>
    <w:p w14:paraId="477469D7" w14:textId="77777777" w:rsidR="009A0E1A" w:rsidRDefault="009A0E1A" w:rsidP="009A0E1A">
      <w:pPr>
        <w:numPr>
          <w:ilvl w:val="2"/>
          <w:numId w:val="92"/>
        </w:numPr>
        <w:suppressAutoHyphens w:val="0"/>
        <w:autoSpaceDN/>
        <w:jc w:val="both"/>
        <w:textAlignment w:val="auto"/>
      </w:pPr>
      <w:r>
        <w:t>The total Call-Off Contract value is £200,000 excluding VAT over two years, with the possibility of an extension by one additional year at £100,000 excluding VAT.</w:t>
      </w:r>
    </w:p>
    <w:p w14:paraId="580D305A" w14:textId="77777777" w:rsidR="009A0E1A" w:rsidRDefault="009A0E1A" w:rsidP="009A0E1A">
      <w:pPr>
        <w:jc w:val="both"/>
        <w:rPr>
          <w:sz w:val="24"/>
          <w:szCs w:val="24"/>
        </w:rPr>
      </w:pPr>
    </w:p>
    <w:p w14:paraId="0D04BEF8" w14:textId="77777777" w:rsidR="009A0E1A" w:rsidRPr="00BF2D83" w:rsidRDefault="009A0E1A" w:rsidP="00BF2D83">
      <w:pPr>
        <w:pStyle w:val="Heading1"/>
        <w:keepLines w:val="0"/>
        <w:numPr>
          <w:ilvl w:val="0"/>
          <w:numId w:val="92"/>
        </w:numPr>
        <w:suppressAutoHyphens w:val="0"/>
        <w:autoSpaceDN/>
        <w:spacing w:after="240" w:line="240" w:lineRule="auto"/>
        <w:jc w:val="both"/>
        <w:textAlignment w:val="auto"/>
        <w:rPr>
          <w:b/>
          <w:smallCaps/>
        </w:rPr>
      </w:pPr>
      <w:bookmarkStart w:id="74" w:name="_1y810tw" w:colFirst="0" w:colLast="0"/>
      <w:bookmarkEnd w:id="74"/>
      <w:r>
        <w:rPr>
          <w:b/>
          <w:smallCaps/>
        </w:rPr>
        <w:t>STAFF AND CUSTOMER SERVICE</w:t>
      </w:r>
    </w:p>
    <w:p w14:paraId="0A1EF482" w14:textId="77777777" w:rsidR="009A0E1A" w:rsidRDefault="009A0E1A" w:rsidP="00BF2D83">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The Supplier shall provide a sufficient level of resource throughout the duration of the Call-Off Contract in order to consistently deliver a quality service.</w:t>
      </w:r>
    </w:p>
    <w:p w14:paraId="6096CC7B" w14:textId="77777777" w:rsidR="009A0E1A" w:rsidRDefault="009A0E1A" w:rsidP="00BF2D83">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 xml:space="preserve">The Supplier’s staff assigned to the Call-Off Contract shall have the relevant qualifications and experience to deliver the Contract to the required standard. </w:t>
      </w:r>
    </w:p>
    <w:p w14:paraId="142F7FCD" w14:textId="77777777" w:rsidR="009A0E1A" w:rsidRDefault="009A0E1A" w:rsidP="00BF2D83">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 xml:space="preserve">The Supplier shall ensure that staff understand the IPA’s vision and objectives and will provide excellent customer service to the IPA throughout the duration of the Call-Off Contract.  </w:t>
      </w:r>
    </w:p>
    <w:p w14:paraId="7D468B46" w14:textId="77777777" w:rsidR="009A0E1A" w:rsidRPr="00BF2D83" w:rsidRDefault="009A0E1A" w:rsidP="00BF2D83">
      <w:pPr>
        <w:pStyle w:val="Heading1"/>
        <w:keepLines w:val="0"/>
        <w:numPr>
          <w:ilvl w:val="0"/>
          <w:numId w:val="92"/>
        </w:numPr>
        <w:suppressAutoHyphens w:val="0"/>
        <w:autoSpaceDN/>
        <w:spacing w:after="240" w:line="240" w:lineRule="auto"/>
        <w:jc w:val="both"/>
        <w:textAlignment w:val="auto"/>
        <w:rPr>
          <w:b/>
          <w:smallCaps/>
        </w:rPr>
      </w:pPr>
      <w:bookmarkStart w:id="75" w:name="_4i7ojhp" w:colFirst="0" w:colLast="0"/>
      <w:bookmarkEnd w:id="75"/>
      <w:r>
        <w:rPr>
          <w:b/>
          <w:smallCaps/>
        </w:rPr>
        <w:t>service levels and performance</w:t>
      </w:r>
    </w:p>
    <w:p w14:paraId="1659F84A" w14:textId="77777777" w:rsidR="009A0E1A" w:rsidRDefault="009A0E1A" w:rsidP="00BF2D83">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The IPA will measure the quality of the Supplier’s delivery by:</w:t>
      </w:r>
    </w:p>
    <w:p w14:paraId="1496EC1A" w14:textId="77777777" w:rsidR="009A0E1A" w:rsidRDefault="009A0E1A" w:rsidP="009A0E1A">
      <w:pPr>
        <w:jc w:val="both"/>
      </w:pPr>
    </w:p>
    <w:tbl>
      <w:tblPr>
        <w:tblW w:w="8463"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35"/>
        <w:gridCol w:w="1843"/>
        <w:gridCol w:w="3675"/>
        <w:gridCol w:w="1710"/>
      </w:tblGrid>
      <w:tr w:rsidR="009A0E1A" w14:paraId="240377E8" w14:textId="77777777" w:rsidTr="00BF2D83">
        <w:trPr>
          <w:tblHeader/>
        </w:trPr>
        <w:tc>
          <w:tcPr>
            <w:tcW w:w="1235" w:type="dxa"/>
            <w:shd w:val="clear" w:color="auto" w:fill="B8CCE4"/>
          </w:tcPr>
          <w:p w14:paraId="7CEC6447" w14:textId="77777777" w:rsidR="009A0E1A" w:rsidRDefault="009A0E1A" w:rsidP="00BF2D83">
            <w:pPr>
              <w:pStyle w:val="Heading2"/>
              <w:keepNext w:val="0"/>
              <w:keepLines w:val="0"/>
              <w:spacing w:after="240" w:line="240" w:lineRule="auto"/>
              <w:ind w:left="-9" w:right="-62"/>
              <w:rPr>
                <w:sz w:val="24"/>
                <w:szCs w:val="24"/>
              </w:rPr>
            </w:pPr>
            <w:r>
              <w:rPr>
                <w:sz w:val="24"/>
                <w:szCs w:val="24"/>
              </w:rPr>
              <w:t>SLA</w:t>
            </w:r>
          </w:p>
        </w:tc>
        <w:tc>
          <w:tcPr>
            <w:tcW w:w="1843" w:type="dxa"/>
            <w:shd w:val="clear" w:color="auto" w:fill="B8CCE4"/>
          </w:tcPr>
          <w:p w14:paraId="13CFF8E6" w14:textId="77777777" w:rsidR="009A0E1A" w:rsidRDefault="009A0E1A" w:rsidP="00BF2D83">
            <w:pPr>
              <w:pStyle w:val="Heading2"/>
              <w:keepNext w:val="0"/>
              <w:keepLines w:val="0"/>
              <w:spacing w:after="240" w:line="240" w:lineRule="auto"/>
              <w:ind w:left="0" w:right="-62"/>
              <w:rPr>
                <w:sz w:val="24"/>
                <w:szCs w:val="24"/>
              </w:rPr>
            </w:pPr>
            <w:r>
              <w:rPr>
                <w:sz w:val="24"/>
                <w:szCs w:val="24"/>
              </w:rPr>
              <w:t>Service Area</w:t>
            </w:r>
          </w:p>
        </w:tc>
        <w:tc>
          <w:tcPr>
            <w:tcW w:w="3675" w:type="dxa"/>
            <w:shd w:val="clear" w:color="auto" w:fill="B8CCE4"/>
          </w:tcPr>
          <w:p w14:paraId="2C8C41D5" w14:textId="77777777" w:rsidR="009A0E1A" w:rsidRDefault="009A0E1A" w:rsidP="00BF2D83">
            <w:pPr>
              <w:pStyle w:val="Heading2"/>
              <w:keepNext w:val="0"/>
              <w:keepLines w:val="0"/>
              <w:spacing w:after="240" w:line="240" w:lineRule="auto"/>
              <w:ind w:left="29" w:right="-62" w:firstLine="0"/>
              <w:rPr>
                <w:sz w:val="24"/>
                <w:szCs w:val="24"/>
              </w:rPr>
            </w:pPr>
            <w:r>
              <w:rPr>
                <w:sz w:val="24"/>
                <w:szCs w:val="24"/>
              </w:rPr>
              <w:t>KPI Description</w:t>
            </w:r>
          </w:p>
        </w:tc>
        <w:tc>
          <w:tcPr>
            <w:tcW w:w="1710" w:type="dxa"/>
            <w:shd w:val="clear" w:color="auto" w:fill="B8CCE4"/>
          </w:tcPr>
          <w:p w14:paraId="1BC65DA6" w14:textId="77777777" w:rsidR="009A0E1A" w:rsidRDefault="009A0E1A" w:rsidP="00BF2D83">
            <w:pPr>
              <w:pStyle w:val="Heading2"/>
              <w:keepNext w:val="0"/>
              <w:keepLines w:val="0"/>
              <w:spacing w:after="240" w:line="240" w:lineRule="auto"/>
              <w:ind w:left="0" w:right="-62" w:firstLine="0"/>
              <w:rPr>
                <w:sz w:val="24"/>
                <w:szCs w:val="24"/>
              </w:rPr>
            </w:pPr>
            <w:r>
              <w:rPr>
                <w:sz w:val="24"/>
                <w:szCs w:val="24"/>
              </w:rPr>
              <w:t>Target</w:t>
            </w:r>
          </w:p>
        </w:tc>
      </w:tr>
      <w:tr w:rsidR="009A0E1A" w14:paraId="0AC94FB2" w14:textId="77777777" w:rsidTr="00BF2D83">
        <w:tc>
          <w:tcPr>
            <w:tcW w:w="1235" w:type="dxa"/>
          </w:tcPr>
          <w:p w14:paraId="341BC783" w14:textId="77777777" w:rsidR="009A0E1A" w:rsidRDefault="009A0E1A" w:rsidP="00BF2D83">
            <w:pPr>
              <w:pStyle w:val="Heading2"/>
              <w:keepNext w:val="0"/>
              <w:keepLines w:val="0"/>
              <w:spacing w:after="240" w:line="240" w:lineRule="auto"/>
              <w:ind w:left="0"/>
              <w:rPr>
                <w:b/>
                <w:sz w:val="24"/>
                <w:szCs w:val="24"/>
              </w:rPr>
            </w:pPr>
            <w:r>
              <w:rPr>
                <w:b/>
                <w:sz w:val="24"/>
                <w:szCs w:val="24"/>
              </w:rPr>
              <w:t>SLA1</w:t>
            </w:r>
          </w:p>
        </w:tc>
        <w:tc>
          <w:tcPr>
            <w:tcW w:w="1843" w:type="dxa"/>
          </w:tcPr>
          <w:p w14:paraId="28C1CA54" w14:textId="77777777" w:rsidR="009A0E1A" w:rsidRDefault="009A0E1A" w:rsidP="00BF2D83">
            <w:pPr>
              <w:pStyle w:val="Heading2"/>
              <w:keepNext w:val="0"/>
              <w:keepLines w:val="0"/>
              <w:spacing w:after="240" w:line="240" w:lineRule="auto"/>
              <w:ind w:left="0"/>
              <w:rPr>
                <w:b/>
                <w:sz w:val="24"/>
                <w:szCs w:val="24"/>
              </w:rPr>
            </w:pPr>
            <w:r>
              <w:rPr>
                <w:b/>
                <w:sz w:val="24"/>
                <w:szCs w:val="24"/>
              </w:rPr>
              <w:t>Availability</w:t>
            </w:r>
          </w:p>
        </w:tc>
        <w:tc>
          <w:tcPr>
            <w:tcW w:w="3675" w:type="dxa"/>
          </w:tcPr>
          <w:p w14:paraId="2D7BB4E9" w14:textId="77777777" w:rsidR="009A0E1A" w:rsidRDefault="009A0E1A" w:rsidP="00BF2D83">
            <w:pPr>
              <w:pStyle w:val="Heading2"/>
              <w:keepNext w:val="0"/>
              <w:keepLines w:val="0"/>
              <w:spacing w:after="240" w:line="240" w:lineRule="auto"/>
              <w:ind w:left="0"/>
              <w:rPr>
                <w:b/>
                <w:sz w:val="24"/>
                <w:szCs w:val="24"/>
              </w:rPr>
            </w:pPr>
            <w:r>
              <w:rPr>
                <w:b/>
                <w:sz w:val="24"/>
                <w:szCs w:val="24"/>
              </w:rPr>
              <w:t>Service availability for end users and the IPA to perform administrative tasks, including data upload.</w:t>
            </w:r>
          </w:p>
        </w:tc>
        <w:tc>
          <w:tcPr>
            <w:tcW w:w="1710" w:type="dxa"/>
          </w:tcPr>
          <w:p w14:paraId="7DD8118D" w14:textId="77777777" w:rsidR="009A0E1A" w:rsidRDefault="009A0E1A" w:rsidP="00BF2D83">
            <w:pPr>
              <w:pStyle w:val="Heading2"/>
              <w:keepNext w:val="0"/>
              <w:keepLines w:val="0"/>
              <w:spacing w:after="240" w:line="240" w:lineRule="auto"/>
              <w:ind w:left="45" w:hanging="1"/>
              <w:rPr>
                <w:b/>
                <w:sz w:val="24"/>
                <w:szCs w:val="24"/>
              </w:rPr>
            </w:pPr>
            <w:r>
              <w:rPr>
                <w:b/>
                <w:sz w:val="24"/>
                <w:szCs w:val="24"/>
              </w:rPr>
              <w:t>99% (monthly)</w:t>
            </w:r>
          </w:p>
          <w:p w14:paraId="6526564A" w14:textId="77777777" w:rsidR="009A0E1A" w:rsidRDefault="009A0E1A" w:rsidP="00BF2D83">
            <w:pPr>
              <w:ind w:left="45" w:hanging="1"/>
            </w:pPr>
          </w:p>
        </w:tc>
      </w:tr>
      <w:tr w:rsidR="009A0E1A" w14:paraId="6D362C45" w14:textId="77777777" w:rsidTr="00BF2D83">
        <w:trPr>
          <w:trHeight w:val="1326"/>
        </w:trPr>
        <w:tc>
          <w:tcPr>
            <w:tcW w:w="1235" w:type="dxa"/>
          </w:tcPr>
          <w:p w14:paraId="680307F9" w14:textId="77777777" w:rsidR="009A0E1A" w:rsidRDefault="009A0E1A" w:rsidP="00BF2D83">
            <w:pPr>
              <w:pStyle w:val="Heading2"/>
              <w:keepNext w:val="0"/>
              <w:keepLines w:val="0"/>
              <w:spacing w:after="240" w:line="240" w:lineRule="auto"/>
              <w:ind w:left="0"/>
              <w:rPr>
                <w:b/>
                <w:sz w:val="24"/>
                <w:szCs w:val="24"/>
              </w:rPr>
            </w:pPr>
            <w:r>
              <w:rPr>
                <w:b/>
                <w:sz w:val="24"/>
                <w:szCs w:val="24"/>
              </w:rPr>
              <w:t>SLA2</w:t>
            </w:r>
            <w:r>
              <w:rPr>
                <w:b/>
                <w:sz w:val="24"/>
                <w:szCs w:val="24"/>
                <w:vertAlign w:val="superscript"/>
              </w:rPr>
              <w:footnoteReference w:id="1"/>
            </w:r>
          </w:p>
        </w:tc>
        <w:tc>
          <w:tcPr>
            <w:tcW w:w="1843" w:type="dxa"/>
          </w:tcPr>
          <w:p w14:paraId="5755D105" w14:textId="77777777" w:rsidR="009A0E1A" w:rsidRDefault="009A0E1A" w:rsidP="00BF2D83">
            <w:pPr>
              <w:pStyle w:val="Heading2"/>
              <w:keepNext w:val="0"/>
              <w:keepLines w:val="0"/>
              <w:spacing w:after="240" w:line="240" w:lineRule="auto"/>
              <w:ind w:left="0"/>
              <w:rPr>
                <w:b/>
                <w:sz w:val="24"/>
                <w:szCs w:val="24"/>
              </w:rPr>
            </w:pPr>
            <w:r>
              <w:rPr>
                <w:b/>
                <w:sz w:val="24"/>
                <w:szCs w:val="24"/>
              </w:rPr>
              <w:t>Response Time</w:t>
            </w:r>
            <w:r>
              <w:rPr>
                <w:b/>
                <w:sz w:val="24"/>
                <w:szCs w:val="24"/>
                <w:vertAlign w:val="superscript"/>
              </w:rPr>
              <w:footnoteReference w:id="2"/>
            </w:r>
          </w:p>
        </w:tc>
        <w:tc>
          <w:tcPr>
            <w:tcW w:w="3675" w:type="dxa"/>
          </w:tcPr>
          <w:p w14:paraId="1240866F" w14:textId="77777777" w:rsidR="009A0E1A" w:rsidRDefault="009A0E1A" w:rsidP="00BF2D83">
            <w:pPr>
              <w:pStyle w:val="Heading2"/>
              <w:keepNext w:val="0"/>
              <w:keepLines w:val="0"/>
              <w:spacing w:after="240" w:line="240" w:lineRule="auto"/>
              <w:ind w:left="0"/>
              <w:rPr>
                <w:b/>
                <w:sz w:val="24"/>
                <w:szCs w:val="24"/>
              </w:rPr>
            </w:pPr>
            <w:r>
              <w:rPr>
                <w:b/>
                <w:sz w:val="24"/>
                <w:szCs w:val="24"/>
              </w:rPr>
              <w:t xml:space="preserve">Time to acknowledge and commence activities to address the incident. This includes the IPA and Supplier </w:t>
            </w:r>
            <w:r>
              <w:rPr>
                <w:b/>
                <w:sz w:val="24"/>
                <w:szCs w:val="24"/>
              </w:rPr>
              <w:lastRenderedPageBreak/>
              <w:t>agreement on incident priority level.</w:t>
            </w:r>
          </w:p>
        </w:tc>
        <w:tc>
          <w:tcPr>
            <w:tcW w:w="1710" w:type="dxa"/>
          </w:tcPr>
          <w:p w14:paraId="50720D17" w14:textId="77777777" w:rsidR="009A0E1A" w:rsidRDefault="009A0E1A" w:rsidP="00BF2D83">
            <w:pPr>
              <w:pStyle w:val="Heading2"/>
              <w:keepNext w:val="0"/>
              <w:keepLines w:val="0"/>
              <w:spacing w:after="240" w:line="240" w:lineRule="auto"/>
              <w:ind w:left="45" w:hanging="1"/>
              <w:rPr>
                <w:b/>
                <w:sz w:val="24"/>
                <w:szCs w:val="24"/>
              </w:rPr>
            </w:pPr>
            <w:r>
              <w:rPr>
                <w:b/>
                <w:sz w:val="24"/>
                <w:szCs w:val="24"/>
              </w:rPr>
              <w:lastRenderedPageBreak/>
              <w:t>See priority table</w:t>
            </w:r>
          </w:p>
          <w:p w14:paraId="426D111C" w14:textId="77777777" w:rsidR="009A0E1A" w:rsidRDefault="009A0E1A" w:rsidP="00BF2D83">
            <w:pPr>
              <w:ind w:left="45" w:hanging="1"/>
            </w:pPr>
          </w:p>
        </w:tc>
      </w:tr>
      <w:tr w:rsidR="009A0E1A" w14:paraId="3994426E" w14:textId="77777777" w:rsidTr="00BF2D83">
        <w:tc>
          <w:tcPr>
            <w:tcW w:w="1235" w:type="dxa"/>
          </w:tcPr>
          <w:p w14:paraId="524D4FBF" w14:textId="77777777" w:rsidR="009A0E1A" w:rsidRDefault="009A0E1A" w:rsidP="00BF2D83">
            <w:pPr>
              <w:pStyle w:val="Heading2"/>
              <w:keepNext w:val="0"/>
              <w:keepLines w:val="0"/>
              <w:spacing w:after="240" w:line="240" w:lineRule="auto"/>
              <w:ind w:left="0"/>
              <w:rPr>
                <w:b/>
                <w:sz w:val="24"/>
                <w:szCs w:val="24"/>
                <w:vertAlign w:val="superscript"/>
              </w:rPr>
            </w:pPr>
            <w:r>
              <w:rPr>
                <w:b/>
                <w:sz w:val="24"/>
                <w:szCs w:val="24"/>
              </w:rPr>
              <w:t>SLA3</w:t>
            </w:r>
            <w:r>
              <w:rPr>
                <w:b/>
                <w:sz w:val="24"/>
                <w:szCs w:val="24"/>
                <w:vertAlign w:val="superscript"/>
              </w:rPr>
              <w:t>1</w:t>
            </w:r>
          </w:p>
        </w:tc>
        <w:tc>
          <w:tcPr>
            <w:tcW w:w="1843" w:type="dxa"/>
          </w:tcPr>
          <w:p w14:paraId="7AF935D0" w14:textId="77777777" w:rsidR="009A0E1A" w:rsidRDefault="009A0E1A" w:rsidP="00BF2D83">
            <w:pPr>
              <w:pStyle w:val="Heading2"/>
              <w:keepNext w:val="0"/>
              <w:keepLines w:val="0"/>
              <w:spacing w:after="240" w:line="240" w:lineRule="auto"/>
              <w:ind w:left="0"/>
              <w:rPr>
                <w:b/>
                <w:sz w:val="24"/>
                <w:szCs w:val="24"/>
              </w:rPr>
            </w:pPr>
            <w:r>
              <w:rPr>
                <w:b/>
                <w:sz w:val="24"/>
                <w:szCs w:val="24"/>
              </w:rPr>
              <w:t>Resolution Time</w:t>
            </w:r>
          </w:p>
        </w:tc>
        <w:tc>
          <w:tcPr>
            <w:tcW w:w="3675" w:type="dxa"/>
          </w:tcPr>
          <w:p w14:paraId="45926E30" w14:textId="77777777" w:rsidR="009A0E1A" w:rsidRDefault="009A0E1A" w:rsidP="00BF2D83">
            <w:pPr>
              <w:pStyle w:val="Heading2"/>
              <w:keepNext w:val="0"/>
              <w:keepLines w:val="0"/>
              <w:spacing w:after="240" w:line="240" w:lineRule="auto"/>
              <w:ind w:left="0"/>
              <w:rPr>
                <w:b/>
                <w:sz w:val="24"/>
                <w:szCs w:val="24"/>
              </w:rPr>
            </w:pPr>
            <w:r>
              <w:rPr>
                <w:b/>
                <w:sz w:val="24"/>
                <w:szCs w:val="24"/>
              </w:rPr>
              <w:t>Time to resolve incidents</w:t>
            </w:r>
          </w:p>
        </w:tc>
        <w:tc>
          <w:tcPr>
            <w:tcW w:w="1710" w:type="dxa"/>
          </w:tcPr>
          <w:p w14:paraId="1D9A0A92" w14:textId="77777777" w:rsidR="009A0E1A" w:rsidRDefault="009A0E1A" w:rsidP="00BF2D83">
            <w:pPr>
              <w:pStyle w:val="Heading2"/>
              <w:keepNext w:val="0"/>
              <w:keepLines w:val="0"/>
              <w:spacing w:after="240" w:line="240" w:lineRule="auto"/>
              <w:ind w:left="45" w:hanging="1"/>
              <w:rPr>
                <w:b/>
                <w:sz w:val="24"/>
                <w:szCs w:val="24"/>
              </w:rPr>
            </w:pPr>
            <w:r>
              <w:rPr>
                <w:b/>
                <w:sz w:val="24"/>
                <w:szCs w:val="24"/>
              </w:rPr>
              <w:t>See priority table</w:t>
            </w:r>
          </w:p>
        </w:tc>
      </w:tr>
      <w:tr w:rsidR="009A0E1A" w14:paraId="0CD6EB7C" w14:textId="77777777" w:rsidTr="00BF2D83">
        <w:tc>
          <w:tcPr>
            <w:tcW w:w="1235" w:type="dxa"/>
          </w:tcPr>
          <w:p w14:paraId="07C54311" w14:textId="77777777" w:rsidR="009A0E1A" w:rsidRDefault="009A0E1A" w:rsidP="00BF2D83">
            <w:pPr>
              <w:pStyle w:val="Heading2"/>
              <w:keepNext w:val="0"/>
              <w:keepLines w:val="0"/>
              <w:spacing w:after="240" w:line="240" w:lineRule="auto"/>
              <w:ind w:left="0"/>
              <w:rPr>
                <w:b/>
                <w:sz w:val="24"/>
                <w:szCs w:val="24"/>
              </w:rPr>
            </w:pPr>
            <w:r>
              <w:rPr>
                <w:b/>
                <w:sz w:val="24"/>
                <w:szCs w:val="24"/>
              </w:rPr>
              <w:t>KPI1</w:t>
            </w:r>
          </w:p>
        </w:tc>
        <w:tc>
          <w:tcPr>
            <w:tcW w:w="1843" w:type="dxa"/>
          </w:tcPr>
          <w:p w14:paraId="35AA9321" w14:textId="77777777" w:rsidR="009A0E1A" w:rsidRDefault="009A0E1A" w:rsidP="00BF2D83">
            <w:pPr>
              <w:pStyle w:val="Heading2"/>
              <w:keepNext w:val="0"/>
              <w:keepLines w:val="0"/>
              <w:spacing w:after="240" w:line="240" w:lineRule="auto"/>
              <w:ind w:left="0"/>
              <w:rPr>
                <w:b/>
                <w:sz w:val="24"/>
                <w:szCs w:val="24"/>
              </w:rPr>
            </w:pPr>
            <w:r>
              <w:rPr>
                <w:b/>
                <w:sz w:val="24"/>
                <w:szCs w:val="24"/>
              </w:rPr>
              <w:t>Mean Time to Respond</w:t>
            </w:r>
          </w:p>
        </w:tc>
        <w:tc>
          <w:tcPr>
            <w:tcW w:w="3675" w:type="dxa"/>
          </w:tcPr>
          <w:p w14:paraId="6BDB3C6A" w14:textId="77777777" w:rsidR="009A0E1A" w:rsidRDefault="009A0E1A" w:rsidP="00BF2D83">
            <w:pPr>
              <w:pStyle w:val="Heading2"/>
              <w:keepNext w:val="0"/>
              <w:keepLines w:val="0"/>
              <w:spacing w:after="240" w:line="240" w:lineRule="auto"/>
              <w:ind w:left="0"/>
              <w:rPr>
                <w:b/>
                <w:sz w:val="24"/>
                <w:szCs w:val="24"/>
              </w:rPr>
            </w:pPr>
            <w:r>
              <w:rPr>
                <w:b/>
                <w:sz w:val="24"/>
                <w:szCs w:val="24"/>
              </w:rPr>
              <w:t>Average time to respond to incidents</w:t>
            </w:r>
          </w:p>
        </w:tc>
        <w:tc>
          <w:tcPr>
            <w:tcW w:w="1710" w:type="dxa"/>
          </w:tcPr>
          <w:p w14:paraId="54A9B022" w14:textId="77777777" w:rsidR="009A0E1A" w:rsidRDefault="009A0E1A" w:rsidP="00BF2D83">
            <w:pPr>
              <w:pStyle w:val="Heading2"/>
              <w:keepNext w:val="0"/>
              <w:keepLines w:val="0"/>
              <w:spacing w:after="240" w:line="240" w:lineRule="auto"/>
              <w:ind w:left="45" w:hanging="1"/>
              <w:rPr>
                <w:b/>
                <w:sz w:val="24"/>
                <w:szCs w:val="24"/>
              </w:rPr>
            </w:pPr>
            <w:r>
              <w:rPr>
                <w:b/>
                <w:sz w:val="24"/>
                <w:szCs w:val="24"/>
              </w:rPr>
              <w:t>24 hours</w:t>
            </w:r>
          </w:p>
        </w:tc>
      </w:tr>
      <w:tr w:rsidR="009A0E1A" w14:paraId="4E3DC0C4" w14:textId="77777777" w:rsidTr="00BF2D83">
        <w:tc>
          <w:tcPr>
            <w:tcW w:w="1235" w:type="dxa"/>
          </w:tcPr>
          <w:p w14:paraId="2C14B370" w14:textId="77777777" w:rsidR="009A0E1A" w:rsidRDefault="009A0E1A" w:rsidP="00BF2D83">
            <w:pPr>
              <w:pStyle w:val="Heading2"/>
              <w:keepNext w:val="0"/>
              <w:keepLines w:val="0"/>
              <w:spacing w:after="240" w:line="240" w:lineRule="auto"/>
              <w:ind w:left="0"/>
              <w:rPr>
                <w:b/>
                <w:sz w:val="24"/>
                <w:szCs w:val="24"/>
              </w:rPr>
            </w:pPr>
            <w:r>
              <w:rPr>
                <w:b/>
                <w:sz w:val="24"/>
                <w:szCs w:val="24"/>
              </w:rPr>
              <w:t>KPI2</w:t>
            </w:r>
          </w:p>
        </w:tc>
        <w:tc>
          <w:tcPr>
            <w:tcW w:w="1843" w:type="dxa"/>
          </w:tcPr>
          <w:p w14:paraId="31349CCA" w14:textId="77777777" w:rsidR="009A0E1A" w:rsidRDefault="009A0E1A" w:rsidP="00BF2D83">
            <w:pPr>
              <w:pStyle w:val="Heading2"/>
              <w:keepNext w:val="0"/>
              <w:keepLines w:val="0"/>
              <w:spacing w:after="240" w:line="240" w:lineRule="auto"/>
              <w:ind w:left="0"/>
              <w:rPr>
                <w:b/>
                <w:sz w:val="24"/>
                <w:szCs w:val="24"/>
              </w:rPr>
            </w:pPr>
            <w:r>
              <w:rPr>
                <w:b/>
                <w:sz w:val="24"/>
                <w:szCs w:val="24"/>
              </w:rPr>
              <w:t>Mean Time to Resolve</w:t>
            </w:r>
          </w:p>
        </w:tc>
        <w:tc>
          <w:tcPr>
            <w:tcW w:w="3675" w:type="dxa"/>
          </w:tcPr>
          <w:p w14:paraId="4A6FC7B3" w14:textId="77777777" w:rsidR="009A0E1A" w:rsidRDefault="009A0E1A" w:rsidP="00BF2D83">
            <w:pPr>
              <w:pStyle w:val="Heading2"/>
              <w:keepNext w:val="0"/>
              <w:keepLines w:val="0"/>
              <w:spacing w:after="240" w:line="240" w:lineRule="auto"/>
              <w:ind w:left="0"/>
              <w:rPr>
                <w:b/>
                <w:sz w:val="24"/>
                <w:szCs w:val="24"/>
              </w:rPr>
            </w:pPr>
            <w:r>
              <w:rPr>
                <w:b/>
                <w:sz w:val="24"/>
                <w:szCs w:val="24"/>
              </w:rPr>
              <w:t>Average time to resolve incidents</w:t>
            </w:r>
          </w:p>
        </w:tc>
        <w:tc>
          <w:tcPr>
            <w:tcW w:w="1710" w:type="dxa"/>
          </w:tcPr>
          <w:p w14:paraId="3D4D0175" w14:textId="77777777" w:rsidR="009A0E1A" w:rsidRDefault="009A0E1A" w:rsidP="00BF2D83">
            <w:pPr>
              <w:pStyle w:val="Heading2"/>
              <w:keepNext w:val="0"/>
              <w:keepLines w:val="0"/>
              <w:spacing w:after="240" w:line="240" w:lineRule="auto"/>
              <w:ind w:left="45" w:hanging="1"/>
              <w:rPr>
                <w:b/>
                <w:sz w:val="24"/>
                <w:szCs w:val="24"/>
              </w:rPr>
            </w:pPr>
            <w:r>
              <w:rPr>
                <w:b/>
                <w:sz w:val="24"/>
                <w:szCs w:val="24"/>
              </w:rPr>
              <w:t>5 days</w:t>
            </w:r>
          </w:p>
        </w:tc>
      </w:tr>
      <w:tr w:rsidR="009A0E1A" w14:paraId="6A71B0B2" w14:textId="77777777" w:rsidTr="00BF2D83">
        <w:tc>
          <w:tcPr>
            <w:tcW w:w="1235" w:type="dxa"/>
          </w:tcPr>
          <w:p w14:paraId="3219022F" w14:textId="77777777" w:rsidR="009A0E1A" w:rsidRDefault="009A0E1A" w:rsidP="00BF2D83">
            <w:pPr>
              <w:pStyle w:val="Heading2"/>
              <w:keepNext w:val="0"/>
              <w:keepLines w:val="0"/>
              <w:spacing w:after="240" w:line="240" w:lineRule="auto"/>
              <w:ind w:left="0"/>
              <w:rPr>
                <w:b/>
                <w:sz w:val="24"/>
                <w:szCs w:val="24"/>
              </w:rPr>
            </w:pPr>
            <w:r>
              <w:rPr>
                <w:b/>
                <w:sz w:val="24"/>
                <w:szCs w:val="24"/>
              </w:rPr>
              <w:t>KPI3</w:t>
            </w:r>
          </w:p>
        </w:tc>
        <w:tc>
          <w:tcPr>
            <w:tcW w:w="1843" w:type="dxa"/>
          </w:tcPr>
          <w:p w14:paraId="04759CE5" w14:textId="77777777" w:rsidR="009A0E1A" w:rsidRDefault="009A0E1A" w:rsidP="00BF2D83">
            <w:pPr>
              <w:pStyle w:val="Heading2"/>
              <w:keepNext w:val="0"/>
              <w:keepLines w:val="0"/>
              <w:spacing w:after="240" w:line="240" w:lineRule="auto"/>
              <w:ind w:left="0"/>
              <w:rPr>
                <w:b/>
                <w:sz w:val="24"/>
                <w:szCs w:val="24"/>
              </w:rPr>
            </w:pPr>
            <w:r>
              <w:rPr>
                <w:b/>
                <w:sz w:val="24"/>
                <w:szCs w:val="24"/>
              </w:rPr>
              <w:t>Incident Resolution Rate</w:t>
            </w:r>
          </w:p>
        </w:tc>
        <w:tc>
          <w:tcPr>
            <w:tcW w:w="3675" w:type="dxa"/>
          </w:tcPr>
          <w:p w14:paraId="2F10AC2C" w14:textId="77777777" w:rsidR="009A0E1A" w:rsidRDefault="009A0E1A" w:rsidP="00BF2D83">
            <w:pPr>
              <w:pStyle w:val="Heading2"/>
              <w:keepNext w:val="0"/>
              <w:keepLines w:val="0"/>
              <w:spacing w:after="240" w:line="240" w:lineRule="auto"/>
              <w:ind w:left="0" w:hanging="15"/>
              <w:rPr>
                <w:b/>
                <w:sz w:val="24"/>
                <w:szCs w:val="24"/>
              </w:rPr>
            </w:pPr>
            <w:r>
              <w:rPr>
                <w:b/>
                <w:sz w:val="24"/>
                <w:szCs w:val="24"/>
              </w:rPr>
              <w:t>Percentage of incidents resolved first time by supplier within relevant SLA(s) target(s)</w:t>
            </w:r>
          </w:p>
        </w:tc>
        <w:tc>
          <w:tcPr>
            <w:tcW w:w="1710" w:type="dxa"/>
          </w:tcPr>
          <w:p w14:paraId="2DA9E98E" w14:textId="77777777" w:rsidR="009A0E1A" w:rsidRDefault="009A0E1A" w:rsidP="00BF2D83">
            <w:pPr>
              <w:pStyle w:val="Heading2"/>
              <w:keepNext w:val="0"/>
              <w:keepLines w:val="0"/>
              <w:spacing w:after="240" w:line="240" w:lineRule="auto"/>
              <w:ind w:left="45" w:hanging="1"/>
              <w:rPr>
                <w:b/>
                <w:sz w:val="24"/>
                <w:szCs w:val="24"/>
              </w:rPr>
            </w:pPr>
            <w:r>
              <w:rPr>
                <w:b/>
                <w:sz w:val="24"/>
                <w:szCs w:val="24"/>
              </w:rPr>
              <w:t>95%</w:t>
            </w:r>
          </w:p>
        </w:tc>
      </w:tr>
      <w:tr w:rsidR="009A0E1A" w14:paraId="7DA6E90B" w14:textId="77777777" w:rsidTr="00BF2D83">
        <w:tc>
          <w:tcPr>
            <w:tcW w:w="1235" w:type="dxa"/>
          </w:tcPr>
          <w:p w14:paraId="26947AC7" w14:textId="77777777" w:rsidR="009A0E1A" w:rsidRDefault="009A0E1A" w:rsidP="00BF2D83">
            <w:pPr>
              <w:pStyle w:val="Heading2"/>
              <w:keepNext w:val="0"/>
              <w:keepLines w:val="0"/>
              <w:spacing w:after="240" w:line="240" w:lineRule="auto"/>
              <w:ind w:left="0"/>
              <w:rPr>
                <w:b/>
                <w:sz w:val="24"/>
                <w:szCs w:val="24"/>
              </w:rPr>
            </w:pPr>
            <w:r>
              <w:rPr>
                <w:b/>
                <w:sz w:val="24"/>
                <w:szCs w:val="24"/>
              </w:rPr>
              <w:t>KPI4</w:t>
            </w:r>
          </w:p>
        </w:tc>
        <w:tc>
          <w:tcPr>
            <w:tcW w:w="1843" w:type="dxa"/>
          </w:tcPr>
          <w:p w14:paraId="2936DD2A" w14:textId="77777777" w:rsidR="009A0E1A" w:rsidRDefault="009A0E1A" w:rsidP="00BF2D83">
            <w:pPr>
              <w:pStyle w:val="Heading2"/>
              <w:keepNext w:val="0"/>
              <w:keepLines w:val="0"/>
              <w:spacing w:after="240" w:line="240" w:lineRule="auto"/>
              <w:ind w:left="0"/>
              <w:rPr>
                <w:b/>
                <w:sz w:val="24"/>
                <w:szCs w:val="24"/>
              </w:rPr>
            </w:pPr>
            <w:r>
              <w:rPr>
                <w:b/>
                <w:sz w:val="24"/>
                <w:szCs w:val="24"/>
              </w:rPr>
              <w:t>Customer Satisfaction</w:t>
            </w:r>
          </w:p>
        </w:tc>
        <w:tc>
          <w:tcPr>
            <w:tcW w:w="3675" w:type="dxa"/>
          </w:tcPr>
          <w:p w14:paraId="38CF68ED" w14:textId="77777777" w:rsidR="009A0E1A" w:rsidRDefault="009A0E1A" w:rsidP="00BF2D83">
            <w:pPr>
              <w:pStyle w:val="Heading2"/>
              <w:keepNext w:val="0"/>
              <w:keepLines w:val="0"/>
              <w:spacing w:after="240" w:line="240" w:lineRule="auto"/>
              <w:ind w:left="0" w:hanging="15"/>
              <w:rPr>
                <w:b/>
                <w:sz w:val="24"/>
                <w:szCs w:val="24"/>
              </w:rPr>
            </w:pPr>
            <w:r>
              <w:rPr>
                <w:b/>
                <w:sz w:val="24"/>
                <w:szCs w:val="24"/>
              </w:rPr>
              <w:t>IPA survey results on Supplier perceived performance and identify areas for potential improvement. Questions and format to be agreed between IPA and Supplier.</w:t>
            </w:r>
          </w:p>
        </w:tc>
        <w:tc>
          <w:tcPr>
            <w:tcW w:w="1710" w:type="dxa"/>
          </w:tcPr>
          <w:p w14:paraId="07F92FAE" w14:textId="77777777" w:rsidR="009A0E1A" w:rsidRDefault="009A0E1A" w:rsidP="00BF2D83">
            <w:pPr>
              <w:pStyle w:val="Heading2"/>
              <w:keepNext w:val="0"/>
              <w:keepLines w:val="0"/>
              <w:spacing w:after="240" w:line="240" w:lineRule="auto"/>
              <w:ind w:left="45" w:hanging="1"/>
              <w:rPr>
                <w:b/>
                <w:sz w:val="24"/>
                <w:szCs w:val="24"/>
              </w:rPr>
            </w:pPr>
            <w:r>
              <w:rPr>
                <w:b/>
                <w:sz w:val="24"/>
                <w:szCs w:val="24"/>
              </w:rPr>
              <w:t>80%</w:t>
            </w:r>
          </w:p>
        </w:tc>
      </w:tr>
      <w:tr w:rsidR="009A0E1A" w14:paraId="5B80A10A" w14:textId="77777777" w:rsidTr="00BF2D83">
        <w:tc>
          <w:tcPr>
            <w:tcW w:w="1235" w:type="dxa"/>
          </w:tcPr>
          <w:p w14:paraId="07474C1A" w14:textId="77777777" w:rsidR="009A0E1A" w:rsidRDefault="009A0E1A" w:rsidP="00BF2D83">
            <w:pPr>
              <w:pStyle w:val="Heading2"/>
              <w:keepNext w:val="0"/>
              <w:keepLines w:val="0"/>
              <w:spacing w:after="240" w:line="240" w:lineRule="auto"/>
              <w:ind w:left="0"/>
              <w:rPr>
                <w:b/>
                <w:sz w:val="24"/>
                <w:szCs w:val="24"/>
              </w:rPr>
            </w:pPr>
            <w:r>
              <w:rPr>
                <w:b/>
                <w:sz w:val="24"/>
                <w:szCs w:val="24"/>
              </w:rPr>
              <w:t>KPI5</w:t>
            </w:r>
          </w:p>
        </w:tc>
        <w:tc>
          <w:tcPr>
            <w:tcW w:w="1843" w:type="dxa"/>
          </w:tcPr>
          <w:p w14:paraId="553F33B9" w14:textId="77777777" w:rsidR="009A0E1A" w:rsidRDefault="009A0E1A" w:rsidP="00BF2D83">
            <w:pPr>
              <w:pStyle w:val="Heading2"/>
              <w:keepNext w:val="0"/>
              <w:keepLines w:val="0"/>
              <w:spacing w:after="240" w:line="240" w:lineRule="auto"/>
              <w:ind w:left="0"/>
              <w:rPr>
                <w:b/>
                <w:sz w:val="24"/>
                <w:szCs w:val="24"/>
              </w:rPr>
            </w:pPr>
            <w:r>
              <w:rPr>
                <w:b/>
                <w:sz w:val="24"/>
                <w:szCs w:val="24"/>
              </w:rPr>
              <w:t>Compliance with SLAs</w:t>
            </w:r>
          </w:p>
        </w:tc>
        <w:tc>
          <w:tcPr>
            <w:tcW w:w="3675" w:type="dxa"/>
          </w:tcPr>
          <w:p w14:paraId="74B01579" w14:textId="77777777" w:rsidR="009A0E1A" w:rsidRDefault="009A0E1A" w:rsidP="00BF2D83">
            <w:pPr>
              <w:pStyle w:val="Heading2"/>
              <w:keepNext w:val="0"/>
              <w:keepLines w:val="0"/>
              <w:spacing w:after="240" w:line="240" w:lineRule="auto"/>
              <w:ind w:left="0" w:hanging="15"/>
              <w:rPr>
                <w:b/>
                <w:sz w:val="24"/>
                <w:szCs w:val="24"/>
              </w:rPr>
            </w:pPr>
            <w:r>
              <w:rPr>
                <w:b/>
                <w:sz w:val="24"/>
                <w:szCs w:val="24"/>
              </w:rPr>
              <w:t>Measure of Supplier adherence to defined SLAs</w:t>
            </w:r>
          </w:p>
        </w:tc>
        <w:tc>
          <w:tcPr>
            <w:tcW w:w="1710" w:type="dxa"/>
          </w:tcPr>
          <w:p w14:paraId="2234B7EC" w14:textId="77777777" w:rsidR="009A0E1A" w:rsidRDefault="009A0E1A" w:rsidP="00BF2D83">
            <w:pPr>
              <w:pStyle w:val="Heading2"/>
              <w:keepNext w:val="0"/>
              <w:keepLines w:val="0"/>
              <w:spacing w:after="240" w:line="240" w:lineRule="auto"/>
              <w:ind w:left="45" w:hanging="1"/>
              <w:rPr>
                <w:b/>
                <w:sz w:val="24"/>
                <w:szCs w:val="24"/>
              </w:rPr>
            </w:pPr>
            <w:r>
              <w:rPr>
                <w:b/>
                <w:sz w:val="24"/>
                <w:szCs w:val="24"/>
              </w:rPr>
              <w:t>95%</w:t>
            </w:r>
          </w:p>
        </w:tc>
      </w:tr>
    </w:tbl>
    <w:p w14:paraId="70AEE155" w14:textId="77777777" w:rsidR="009A0E1A" w:rsidRDefault="009A0E1A" w:rsidP="009A0E1A">
      <w:pPr>
        <w:pStyle w:val="Heading2"/>
        <w:keepNext w:val="0"/>
        <w:keepLines w:val="0"/>
        <w:spacing w:after="240" w:line="240" w:lineRule="auto"/>
        <w:ind w:left="720"/>
        <w:jc w:val="both"/>
        <w:rPr>
          <w:sz w:val="22"/>
        </w:rPr>
      </w:pPr>
    </w:p>
    <w:p w14:paraId="00077EE1"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76" w:name="_m7r4f3vgdaa8" w:colFirst="0" w:colLast="0"/>
      <w:bookmarkEnd w:id="76"/>
      <w:r>
        <w:rPr>
          <w:sz w:val="24"/>
          <w:szCs w:val="24"/>
        </w:rPr>
        <w:t>Priority definitions and targets for SLA2 and SLA3 are shown in the table below.</w:t>
      </w:r>
    </w:p>
    <w:p w14:paraId="3A9B4119" w14:textId="77777777" w:rsidR="009A0E1A" w:rsidRDefault="009A0E1A" w:rsidP="009A0E1A">
      <w:pPr>
        <w:jc w:val="both"/>
      </w:pPr>
    </w:p>
    <w:tbl>
      <w:tblPr>
        <w:tblpPr w:leftFromText="180" w:rightFromText="180" w:vertAnchor="text" w:tblpX="720" w:tblpY="1"/>
        <w:tblOverlap w:val="never"/>
        <w:tblW w:w="856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22"/>
        <w:gridCol w:w="2551"/>
        <w:gridCol w:w="3495"/>
      </w:tblGrid>
      <w:tr w:rsidR="009A0E1A" w14:paraId="37791FCD" w14:textId="77777777" w:rsidTr="00BF2D83">
        <w:trPr>
          <w:tblHeader/>
        </w:trPr>
        <w:tc>
          <w:tcPr>
            <w:tcW w:w="2522" w:type="dxa"/>
            <w:shd w:val="clear" w:color="auto" w:fill="B8CCE4"/>
          </w:tcPr>
          <w:p w14:paraId="711D413C" w14:textId="77777777" w:rsidR="009A0E1A" w:rsidRDefault="009A0E1A" w:rsidP="00BF2D83">
            <w:pPr>
              <w:pStyle w:val="Heading2"/>
              <w:keepNext w:val="0"/>
              <w:keepLines w:val="0"/>
              <w:spacing w:after="240" w:line="240" w:lineRule="auto"/>
              <w:ind w:left="2" w:right="-62"/>
              <w:rPr>
                <w:sz w:val="24"/>
                <w:szCs w:val="24"/>
              </w:rPr>
            </w:pPr>
            <w:r>
              <w:rPr>
                <w:sz w:val="24"/>
                <w:szCs w:val="24"/>
              </w:rPr>
              <w:t>Priority Level</w:t>
            </w:r>
          </w:p>
        </w:tc>
        <w:tc>
          <w:tcPr>
            <w:tcW w:w="2551" w:type="dxa"/>
            <w:shd w:val="clear" w:color="auto" w:fill="B8CCE4"/>
          </w:tcPr>
          <w:p w14:paraId="0A5C8A85" w14:textId="77777777" w:rsidR="009A0E1A" w:rsidRDefault="009A0E1A" w:rsidP="00BF2D83">
            <w:pPr>
              <w:pStyle w:val="Heading2"/>
              <w:keepNext w:val="0"/>
              <w:keepLines w:val="0"/>
              <w:spacing w:after="240" w:line="240" w:lineRule="auto"/>
              <w:ind w:left="0" w:right="-62"/>
              <w:rPr>
                <w:sz w:val="24"/>
                <w:szCs w:val="24"/>
              </w:rPr>
            </w:pPr>
            <w:r>
              <w:rPr>
                <w:sz w:val="24"/>
                <w:szCs w:val="24"/>
              </w:rPr>
              <w:t>Definition</w:t>
            </w:r>
          </w:p>
        </w:tc>
        <w:tc>
          <w:tcPr>
            <w:tcW w:w="3495" w:type="dxa"/>
            <w:shd w:val="clear" w:color="auto" w:fill="B8CCE4"/>
          </w:tcPr>
          <w:p w14:paraId="1B3ABD33" w14:textId="77777777" w:rsidR="009A0E1A" w:rsidRDefault="009A0E1A" w:rsidP="00BF2D83">
            <w:pPr>
              <w:pStyle w:val="Heading2"/>
              <w:keepNext w:val="0"/>
              <w:keepLines w:val="0"/>
              <w:spacing w:after="240" w:line="240" w:lineRule="auto"/>
              <w:ind w:left="0" w:right="-62"/>
              <w:rPr>
                <w:sz w:val="24"/>
                <w:szCs w:val="24"/>
              </w:rPr>
            </w:pPr>
            <w:r>
              <w:rPr>
                <w:sz w:val="24"/>
                <w:szCs w:val="24"/>
              </w:rPr>
              <w:t>Resolution Target</w:t>
            </w:r>
          </w:p>
        </w:tc>
      </w:tr>
      <w:tr w:rsidR="009A0E1A" w14:paraId="40FA097A" w14:textId="77777777" w:rsidTr="00BF2D83">
        <w:tc>
          <w:tcPr>
            <w:tcW w:w="2522" w:type="dxa"/>
          </w:tcPr>
          <w:p w14:paraId="3CC5BFE2" w14:textId="77777777" w:rsidR="009A0E1A" w:rsidRDefault="009A0E1A" w:rsidP="00BF2D83">
            <w:pPr>
              <w:pStyle w:val="Heading2"/>
              <w:keepNext w:val="0"/>
              <w:keepLines w:val="0"/>
              <w:spacing w:after="240" w:line="240" w:lineRule="auto"/>
              <w:ind w:left="2"/>
              <w:rPr>
                <w:b/>
                <w:sz w:val="24"/>
                <w:szCs w:val="24"/>
              </w:rPr>
            </w:pPr>
            <w:r>
              <w:rPr>
                <w:b/>
                <w:sz w:val="24"/>
                <w:szCs w:val="24"/>
              </w:rPr>
              <w:t>Critical</w:t>
            </w:r>
          </w:p>
        </w:tc>
        <w:tc>
          <w:tcPr>
            <w:tcW w:w="2551" w:type="dxa"/>
          </w:tcPr>
          <w:p w14:paraId="095F14BA" w14:textId="77777777" w:rsidR="009A0E1A" w:rsidRDefault="009A0E1A" w:rsidP="00BF2D83">
            <w:pPr>
              <w:pStyle w:val="Heading2"/>
              <w:keepNext w:val="0"/>
              <w:keepLines w:val="0"/>
              <w:spacing w:after="240" w:line="240" w:lineRule="auto"/>
              <w:ind w:left="2"/>
              <w:rPr>
                <w:b/>
                <w:sz w:val="24"/>
                <w:szCs w:val="24"/>
              </w:rPr>
            </w:pPr>
            <w:r>
              <w:rPr>
                <w:b/>
                <w:sz w:val="24"/>
                <w:szCs w:val="24"/>
              </w:rPr>
              <w:t>Complete service interruption or significantly impact user experience</w:t>
            </w:r>
          </w:p>
        </w:tc>
        <w:tc>
          <w:tcPr>
            <w:tcW w:w="3495" w:type="dxa"/>
          </w:tcPr>
          <w:p w14:paraId="1FAACBF5" w14:textId="77777777" w:rsidR="009A0E1A" w:rsidRDefault="009A0E1A" w:rsidP="00BF2D83">
            <w:pPr>
              <w:pStyle w:val="Heading2"/>
              <w:keepNext w:val="0"/>
              <w:keepLines w:val="0"/>
              <w:spacing w:after="240" w:line="240" w:lineRule="auto"/>
              <w:ind w:left="2"/>
              <w:rPr>
                <w:b/>
                <w:sz w:val="24"/>
                <w:szCs w:val="24"/>
              </w:rPr>
            </w:pPr>
            <w:r>
              <w:rPr>
                <w:b/>
                <w:sz w:val="24"/>
                <w:szCs w:val="24"/>
              </w:rPr>
              <w:t>1 hour</w:t>
            </w:r>
          </w:p>
          <w:p w14:paraId="765F4C2B" w14:textId="77777777" w:rsidR="009A0E1A" w:rsidRDefault="009A0E1A" w:rsidP="00BF2D83">
            <w:pPr>
              <w:ind w:left="2"/>
            </w:pPr>
          </w:p>
        </w:tc>
      </w:tr>
      <w:tr w:rsidR="009A0E1A" w14:paraId="3EE1644A" w14:textId="77777777" w:rsidTr="00BF2D83">
        <w:trPr>
          <w:trHeight w:val="1326"/>
        </w:trPr>
        <w:tc>
          <w:tcPr>
            <w:tcW w:w="2522" w:type="dxa"/>
          </w:tcPr>
          <w:p w14:paraId="534A70E6" w14:textId="77777777" w:rsidR="009A0E1A" w:rsidRDefault="009A0E1A" w:rsidP="00BF2D83">
            <w:pPr>
              <w:pStyle w:val="Heading2"/>
              <w:keepNext w:val="0"/>
              <w:keepLines w:val="0"/>
              <w:spacing w:after="240" w:line="240" w:lineRule="auto"/>
              <w:ind w:left="2"/>
              <w:rPr>
                <w:b/>
                <w:sz w:val="24"/>
                <w:szCs w:val="24"/>
              </w:rPr>
            </w:pPr>
            <w:r>
              <w:rPr>
                <w:b/>
                <w:sz w:val="24"/>
                <w:szCs w:val="24"/>
              </w:rPr>
              <w:t>High</w:t>
            </w:r>
          </w:p>
        </w:tc>
        <w:tc>
          <w:tcPr>
            <w:tcW w:w="2551" w:type="dxa"/>
          </w:tcPr>
          <w:p w14:paraId="69DA10C0" w14:textId="77777777" w:rsidR="009A0E1A" w:rsidRDefault="009A0E1A" w:rsidP="00BF2D83">
            <w:pPr>
              <w:pStyle w:val="Heading2"/>
              <w:keepNext w:val="0"/>
              <w:keepLines w:val="0"/>
              <w:spacing w:after="240" w:line="240" w:lineRule="auto"/>
              <w:ind w:left="2"/>
              <w:rPr>
                <w:b/>
                <w:sz w:val="24"/>
                <w:szCs w:val="24"/>
              </w:rPr>
            </w:pPr>
            <w:r>
              <w:rPr>
                <w:b/>
                <w:sz w:val="24"/>
                <w:szCs w:val="24"/>
              </w:rPr>
              <w:t>Substantial impact to functionality or performance but not complete service outage (e.g., service wide user login issue)</w:t>
            </w:r>
          </w:p>
        </w:tc>
        <w:tc>
          <w:tcPr>
            <w:tcW w:w="3495" w:type="dxa"/>
          </w:tcPr>
          <w:p w14:paraId="6DC196D9" w14:textId="77777777" w:rsidR="009A0E1A" w:rsidRDefault="009A0E1A" w:rsidP="00BF2D83">
            <w:pPr>
              <w:pStyle w:val="Heading2"/>
              <w:keepNext w:val="0"/>
              <w:keepLines w:val="0"/>
              <w:spacing w:after="240" w:line="240" w:lineRule="auto"/>
              <w:ind w:left="2"/>
              <w:rPr>
                <w:b/>
                <w:sz w:val="24"/>
                <w:szCs w:val="24"/>
              </w:rPr>
            </w:pPr>
            <w:r>
              <w:rPr>
                <w:b/>
                <w:sz w:val="24"/>
                <w:szCs w:val="24"/>
              </w:rPr>
              <w:t>4 hours</w:t>
            </w:r>
          </w:p>
          <w:p w14:paraId="36C501C3" w14:textId="77777777" w:rsidR="009A0E1A" w:rsidRDefault="009A0E1A" w:rsidP="00BF2D83">
            <w:pPr>
              <w:ind w:left="2"/>
            </w:pPr>
          </w:p>
        </w:tc>
      </w:tr>
      <w:tr w:rsidR="009A0E1A" w14:paraId="578F9DAA" w14:textId="77777777" w:rsidTr="00BF2D83">
        <w:tc>
          <w:tcPr>
            <w:tcW w:w="2522" w:type="dxa"/>
          </w:tcPr>
          <w:p w14:paraId="67D14B8A" w14:textId="77777777" w:rsidR="009A0E1A" w:rsidRDefault="009A0E1A" w:rsidP="00BF2D83">
            <w:pPr>
              <w:pStyle w:val="Heading2"/>
              <w:keepNext w:val="0"/>
              <w:keepLines w:val="0"/>
              <w:spacing w:after="240" w:line="240" w:lineRule="auto"/>
              <w:ind w:left="2"/>
              <w:rPr>
                <w:b/>
                <w:sz w:val="24"/>
                <w:szCs w:val="24"/>
                <w:vertAlign w:val="superscript"/>
              </w:rPr>
            </w:pPr>
            <w:r>
              <w:rPr>
                <w:b/>
                <w:sz w:val="24"/>
                <w:szCs w:val="24"/>
              </w:rPr>
              <w:lastRenderedPageBreak/>
              <w:t>Medium</w:t>
            </w:r>
          </w:p>
        </w:tc>
        <w:tc>
          <w:tcPr>
            <w:tcW w:w="2551" w:type="dxa"/>
          </w:tcPr>
          <w:p w14:paraId="634BD31C" w14:textId="77777777" w:rsidR="009A0E1A" w:rsidRDefault="009A0E1A" w:rsidP="00BF2D83">
            <w:pPr>
              <w:pStyle w:val="Heading2"/>
              <w:keepNext w:val="0"/>
              <w:keepLines w:val="0"/>
              <w:spacing w:after="240" w:line="240" w:lineRule="auto"/>
              <w:ind w:left="2"/>
              <w:rPr>
                <w:b/>
                <w:sz w:val="24"/>
                <w:szCs w:val="24"/>
              </w:rPr>
            </w:pPr>
            <w:r>
              <w:rPr>
                <w:b/>
                <w:sz w:val="24"/>
                <w:szCs w:val="24"/>
              </w:rPr>
              <w:t>Moderate impact to functionality or performance but not require immediate intervention (e.g., a single user has login issue)</w:t>
            </w:r>
          </w:p>
        </w:tc>
        <w:tc>
          <w:tcPr>
            <w:tcW w:w="3495" w:type="dxa"/>
          </w:tcPr>
          <w:p w14:paraId="6EEEBB2D" w14:textId="77777777" w:rsidR="009A0E1A" w:rsidRDefault="009A0E1A" w:rsidP="00BF2D83">
            <w:pPr>
              <w:pStyle w:val="Heading2"/>
              <w:keepNext w:val="0"/>
              <w:keepLines w:val="0"/>
              <w:spacing w:after="240" w:line="240" w:lineRule="auto"/>
              <w:ind w:left="2"/>
              <w:rPr>
                <w:b/>
                <w:sz w:val="24"/>
                <w:szCs w:val="24"/>
              </w:rPr>
            </w:pPr>
            <w:r>
              <w:rPr>
                <w:b/>
                <w:sz w:val="24"/>
                <w:szCs w:val="24"/>
              </w:rPr>
              <w:t>8 hours</w:t>
            </w:r>
          </w:p>
        </w:tc>
      </w:tr>
      <w:tr w:rsidR="009A0E1A" w14:paraId="21AEAFCA" w14:textId="77777777" w:rsidTr="00BF2D83">
        <w:tc>
          <w:tcPr>
            <w:tcW w:w="2522" w:type="dxa"/>
          </w:tcPr>
          <w:p w14:paraId="3BA06763" w14:textId="77777777" w:rsidR="009A0E1A" w:rsidRDefault="009A0E1A" w:rsidP="00BF2D83">
            <w:pPr>
              <w:pStyle w:val="Heading2"/>
              <w:keepNext w:val="0"/>
              <w:keepLines w:val="0"/>
              <w:spacing w:after="240" w:line="240" w:lineRule="auto"/>
              <w:ind w:left="2"/>
              <w:rPr>
                <w:b/>
                <w:sz w:val="24"/>
                <w:szCs w:val="24"/>
              </w:rPr>
            </w:pPr>
            <w:r>
              <w:rPr>
                <w:b/>
                <w:sz w:val="24"/>
                <w:szCs w:val="24"/>
              </w:rPr>
              <w:t>Low</w:t>
            </w:r>
          </w:p>
        </w:tc>
        <w:tc>
          <w:tcPr>
            <w:tcW w:w="2551" w:type="dxa"/>
          </w:tcPr>
          <w:p w14:paraId="13AB18A2" w14:textId="77777777" w:rsidR="009A0E1A" w:rsidRDefault="009A0E1A" w:rsidP="00BF2D83">
            <w:pPr>
              <w:pStyle w:val="Heading2"/>
              <w:keepNext w:val="0"/>
              <w:keepLines w:val="0"/>
              <w:spacing w:after="240" w:line="240" w:lineRule="auto"/>
              <w:ind w:left="2"/>
              <w:rPr>
                <w:b/>
                <w:sz w:val="24"/>
                <w:szCs w:val="24"/>
              </w:rPr>
            </w:pPr>
            <w:r>
              <w:rPr>
                <w:b/>
                <w:sz w:val="24"/>
                <w:szCs w:val="24"/>
              </w:rPr>
              <w:t>Minor issues or feature requests that have minimal impact on functionality or performance (e.g., data update required)</w:t>
            </w:r>
          </w:p>
        </w:tc>
        <w:tc>
          <w:tcPr>
            <w:tcW w:w="3495" w:type="dxa"/>
          </w:tcPr>
          <w:p w14:paraId="25DCC643" w14:textId="77777777" w:rsidR="009A0E1A" w:rsidRDefault="009A0E1A" w:rsidP="00BF2D83">
            <w:pPr>
              <w:pStyle w:val="Heading2"/>
              <w:keepNext w:val="0"/>
              <w:keepLines w:val="0"/>
              <w:spacing w:after="240" w:line="240" w:lineRule="auto"/>
              <w:ind w:left="2"/>
              <w:rPr>
                <w:b/>
                <w:sz w:val="24"/>
                <w:szCs w:val="24"/>
              </w:rPr>
            </w:pPr>
            <w:r>
              <w:rPr>
                <w:b/>
                <w:sz w:val="24"/>
                <w:szCs w:val="24"/>
              </w:rPr>
              <w:t>24 hours</w:t>
            </w:r>
          </w:p>
        </w:tc>
      </w:tr>
    </w:tbl>
    <w:p w14:paraId="459A9BBE" w14:textId="77777777" w:rsidR="009A0E1A" w:rsidRDefault="00BF2D83" w:rsidP="009A0E1A">
      <w:pPr>
        <w:pStyle w:val="Heading2"/>
        <w:keepNext w:val="0"/>
        <w:keepLines w:val="0"/>
        <w:spacing w:after="240" w:line="240" w:lineRule="auto"/>
        <w:ind w:left="720"/>
        <w:jc w:val="both"/>
        <w:rPr>
          <w:sz w:val="22"/>
        </w:rPr>
      </w:pPr>
      <w:bookmarkStart w:id="77" w:name="_or28n3nywda6" w:colFirst="0" w:colLast="0"/>
      <w:bookmarkEnd w:id="77"/>
      <w:r>
        <w:rPr>
          <w:sz w:val="22"/>
        </w:rPr>
        <w:br w:type="textWrapping" w:clear="all"/>
      </w:r>
    </w:p>
    <w:p w14:paraId="5755AD2D"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78" w:name="_hb9i6bhgrohe" w:colFirst="0" w:colLast="0"/>
      <w:bookmarkEnd w:id="78"/>
      <w:r>
        <w:rPr>
          <w:sz w:val="24"/>
          <w:szCs w:val="24"/>
        </w:rPr>
        <w:t>Continued non-compliance (three or more consecutive months) with SLAs and/or below target KPIs shall initiate a performance review by the IPA with the Supplier and can lead to early termination of the Contract.</w:t>
      </w:r>
    </w:p>
    <w:p w14:paraId="0CE1796F" w14:textId="77777777" w:rsidR="009A0E1A" w:rsidRDefault="009A0E1A" w:rsidP="009A0E1A">
      <w:pPr>
        <w:pStyle w:val="Heading1"/>
        <w:keepLines w:val="0"/>
        <w:numPr>
          <w:ilvl w:val="0"/>
          <w:numId w:val="92"/>
        </w:numPr>
        <w:suppressAutoHyphens w:val="0"/>
        <w:autoSpaceDN/>
        <w:spacing w:after="120" w:line="240" w:lineRule="auto"/>
        <w:jc w:val="both"/>
        <w:textAlignment w:val="auto"/>
        <w:rPr>
          <w:b/>
        </w:rPr>
      </w:pPr>
      <w:bookmarkStart w:id="79" w:name="_1ci93xb" w:colFirst="0" w:colLast="0"/>
      <w:bookmarkEnd w:id="79"/>
      <w:r>
        <w:rPr>
          <w:b/>
          <w:smallCaps/>
        </w:rPr>
        <w:t>Security and CONFIDENTIALITY requirements</w:t>
      </w:r>
    </w:p>
    <w:p w14:paraId="40FC41E2"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highlight w:val="white"/>
        </w:rPr>
        <w:t>The Supplier shall provide a sufficient level of resource throughout the duration of the Call-Off Contract in order to consistently deliver a quality service.</w:t>
      </w:r>
    </w:p>
    <w:p w14:paraId="28785B89"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highlight w:val="white"/>
        </w:rPr>
        <w:t>The Supplier’s staff assigned to the Contract shall have the relevant qualifications and experience to deliver the Call-Off Contract to the required standard. </w:t>
      </w:r>
    </w:p>
    <w:p w14:paraId="2C5C67D8"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highlight w:val="white"/>
        </w:rPr>
        <w:t>A Supplier Team shall, should be Baseline Personnel Security Standard (BPSS) cleared, which must be dated within three months of the date of signing the Contract.</w:t>
      </w:r>
    </w:p>
    <w:p w14:paraId="70089179"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The Supplier shall have relevant experience working within complex multi-supplier technical ecosystems.</w:t>
      </w:r>
    </w:p>
    <w:p w14:paraId="13C1BE27"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The Supplier shall have relevant experience of procurement activity, preferably in the public sector.</w:t>
      </w:r>
    </w:p>
    <w:p w14:paraId="0AA8A6ED"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rPr>
        <w:t>The Supplier will be expected to be conversant with real estate data knowledge in order to interpret the underlying conceptual data model and therefore the validation rules and system design being applied.</w:t>
      </w:r>
    </w:p>
    <w:p w14:paraId="031893E4"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80" w:name="_ixv9wtqgi0dr" w:colFirst="0" w:colLast="0"/>
      <w:bookmarkEnd w:id="80"/>
      <w:r>
        <w:rPr>
          <w:sz w:val="24"/>
          <w:szCs w:val="24"/>
        </w:rPr>
        <w:t>Experience in complex solutions architecture is essential. This includes cloud-based solutions including deployment, design and management of AWS environments, understanding of database technologies, API design and integration, COTS integration, user licensing models, government security principles, User Acceptance Testing and single sign-on approaches for integrating solutions. Experience in UI and accessibility would ideally include government specific GDS service assessment. Experience working within the government Service Standard would be beneficial.</w:t>
      </w:r>
    </w:p>
    <w:p w14:paraId="60EE315F"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bookmarkStart w:id="81" w:name="_rw7baiye35yd" w:colFirst="0" w:colLast="0"/>
      <w:bookmarkEnd w:id="81"/>
      <w:r>
        <w:rPr>
          <w:sz w:val="24"/>
          <w:szCs w:val="24"/>
        </w:rPr>
        <w:lastRenderedPageBreak/>
        <w:t>All data accessible by the Supplier shall be protected in the host environment and not used for any other purpose than its intent, as determined by the IPA. Whilst handling the Service data, the Supplier shall ensure the data is secure, ensuring it is not amended, duplicated and/or used outside of the Service architecture. The Supplier shall notify the IPA when the data integrity/security is at risk or breached.</w:t>
      </w:r>
    </w:p>
    <w:p w14:paraId="2CE8F56A" w14:textId="77777777" w:rsidR="009A0E1A" w:rsidRPr="00BF2D83" w:rsidRDefault="009A0E1A" w:rsidP="00BF2D83">
      <w:pPr>
        <w:pStyle w:val="Heading1"/>
        <w:keepLines w:val="0"/>
        <w:numPr>
          <w:ilvl w:val="0"/>
          <w:numId w:val="92"/>
        </w:numPr>
        <w:suppressAutoHyphens w:val="0"/>
        <w:autoSpaceDN/>
        <w:spacing w:after="120" w:line="240" w:lineRule="auto"/>
        <w:jc w:val="both"/>
        <w:textAlignment w:val="auto"/>
        <w:rPr>
          <w:b/>
          <w:smallCaps/>
        </w:rPr>
      </w:pPr>
      <w:bookmarkStart w:id="82" w:name="_3whwml4" w:colFirst="0" w:colLast="0"/>
      <w:bookmarkEnd w:id="82"/>
      <w:r>
        <w:rPr>
          <w:b/>
          <w:smallCaps/>
        </w:rPr>
        <w:t xml:space="preserve">payment AND INVOICING </w:t>
      </w:r>
    </w:p>
    <w:p w14:paraId="001B9D35"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highlight w:val="white"/>
        </w:rPr>
        <w:t xml:space="preserve">Payment can only be made following satisfactory delivery of pre-agreed certified products and deliverables. </w:t>
      </w:r>
    </w:p>
    <w:p w14:paraId="3E6AA87C" w14:textId="77777777" w:rsidR="009A0E1A"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Pr>
          <w:sz w:val="24"/>
          <w:szCs w:val="24"/>
          <w:highlight w:val="white"/>
        </w:rPr>
        <w:t xml:space="preserve">Before payment can be considered, each invoice must include a detailed elemental breakdown of work completed and the associated costs. </w:t>
      </w:r>
    </w:p>
    <w:p w14:paraId="1BC6A0CD" w14:textId="77777777" w:rsidR="00E8493E" w:rsidRPr="00E8493E" w:rsidRDefault="009A0E1A" w:rsidP="009A0E1A">
      <w:pPr>
        <w:pStyle w:val="Heading2"/>
        <w:keepNext w:val="0"/>
        <w:keepLines w:val="0"/>
        <w:numPr>
          <w:ilvl w:val="1"/>
          <w:numId w:val="92"/>
        </w:numPr>
        <w:suppressAutoHyphens w:val="0"/>
        <w:autoSpaceDN/>
        <w:spacing w:after="240" w:line="240" w:lineRule="auto"/>
        <w:jc w:val="both"/>
        <w:textAlignment w:val="auto"/>
        <w:rPr>
          <w:b/>
          <w:color w:val="FF0000"/>
          <w:sz w:val="24"/>
          <w:szCs w:val="24"/>
          <w:highlight w:val="white"/>
        </w:rPr>
      </w:pPr>
      <w:r w:rsidRPr="00E8493E">
        <w:rPr>
          <w:sz w:val="24"/>
          <w:szCs w:val="24"/>
          <w:highlight w:val="white"/>
        </w:rPr>
        <w:t xml:space="preserve">Invoices should be submitted to: </w:t>
      </w:r>
      <w:r w:rsidR="00E8493E" w:rsidRPr="00E8493E">
        <w:rPr>
          <w:b/>
          <w:color w:val="FF0000"/>
          <w:sz w:val="24"/>
          <w:szCs w:val="24"/>
          <w:highlight w:val="white"/>
        </w:rPr>
        <w:t xml:space="preserve">REDACTED TEXT under FOIA Section 40, Personal Information </w:t>
      </w:r>
    </w:p>
    <w:p w14:paraId="381E1DBD" w14:textId="347C333E" w:rsidR="009A0E1A" w:rsidRPr="00E8493E" w:rsidRDefault="009A0E1A" w:rsidP="009A0E1A">
      <w:pPr>
        <w:pStyle w:val="Heading2"/>
        <w:keepNext w:val="0"/>
        <w:keepLines w:val="0"/>
        <w:numPr>
          <w:ilvl w:val="1"/>
          <w:numId w:val="92"/>
        </w:numPr>
        <w:suppressAutoHyphens w:val="0"/>
        <w:autoSpaceDN/>
        <w:spacing w:after="240" w:line="240" w:lineRule="auto"/>
        <w:jc w:val="both"/>
        <w:textAlignment w:val="auto"/>
        <w:rPr>
          <w:sz w:val="24"/>
          <w:szCs w:val="24"/>
        </w:rPr>
      </w:pPr>
      <w:r w:rsidRPr="00E8493E">
        <w:rPr>
          <w:sz w:val="24"/>
          <w:szCs w:val="24"/>
          <w:highlight w:val="white"/>
        </w:rPr>
        <w:t xml:space="preserve">The Contracting Authority will issue a Purchase Order (PO) at the start of the Call-Off Contract and the Purchase Order number must be added to each invoice prior to processing.  </w:t>
      </w:r>
      <w:r w:rsidRPr="00E8493E">
        <w:rPr>
          <w:sz w:val="24"/>
          <w:szCs w:val="24"/>
        </w:rPr>
        <w:t>POs should be provided within five working days upon request from the Supplier to enable the Supplier to issue said invoices.</w:t>
      </w:r>
    </w:p>
    <w:p w14:paraId="7667B13A" w14:textId="77777777" w:rsidR="009A0E1A" w:rsidRPr="00BF2D83" w:rsidRDefault="009A0E1A" w:rsidP="00BF2D83">
      <w:pPr>
        <w:pStyle w:val="Heading1"/>
        <w:keepLines w:val="0"/>
        <w:numPr>
          <w:ilvl w:val="0"/>
          <w:numId w:val="92"/>
        </w:numPr>
        <w:suppressAutoHyphens w:val="0"/>
        <w:autoSpaceDN/>
        <w:spacing w:after="120" w:line="240" w:lineRule="auto"/>
        <w:jc w:val="both"/>
        <w:textAlignment w:val="auto"/>
        <w:rPr>
          <w:b/>
          <w:smallCaps/>
        </w:rPr>
      </w:pPr>
      <w:bookmarkStart w:id="83" w:name="_2bn6wsx" w:colFirst="0" w:colLast="0"/>
      <w:bookmarkEnd w:id="83"/>
      <w:r>
        <w:rPr>
          <w:b/>
          <w:smallCaps/>
        </w:rPr>
        <w:t xml:space="preserve">CONTRACT MANAGEMENT </w:t>
      </w:r>
    </w:p>
    <w:p w14:paraId="0306E88C" w14:textId="77777777" w:rsidR="009A0E1A" w:rsidRDefault="009A0E1A" w:rsidP="00BF2D83">
      <w:pPr>
        <w:pStyle w:val="Heading2"/>
        <w:keepNext w:val="0"/>
        <w:keepLines w:val="0"/>
        <w:numPr>
          <w:ilvl w:val="1"/>
          <w:numId w:val="92"/>
        </w:numPr>
        <w:suppressAutoHyphens w:val="0"/>
        <w:autoSpaceDN/>
        <w:spacing w:after="120" w:line="240" w:lineRule="auto"/>
        <w:jc w:val="both"/>
        <w:textAlignment w:val="auto"/>
        <w:rPr>
          <w:sz w:val="24"/>
          <w:szCs w:val="24"/>
        </w:rPr>
      </w:pPr>
      <w:r>
        <w:rPr>
          <w:sz w:val="24"/>
          <w:szCs w:val="24"/>
        </w:rPr>
        <w:t>Weekly stand-up review meetings with Service Product Owner and/or their delegate to provide service status, updates, help required, risks, issues and opportunities.  Whilst not required exclusively, the dashboard (Section 8) should be used where possible as a means of consistent reporting.</w:t>
      </w:r>
    </w:p>
    <w:p w14:paraId="3B13FAAE" w14:textId="77777777" w:rsidR="009A0E1A" w:rsidRDefault="009A0E1A" w:rsidP="00BF2D83">
      <w:pPr>
        <w:pStyle w:val="Heading2"/>
        <w:keepNext w:val="0"/>
        <w:keepLines w:val="0"/>
        <w:numPr>
          <w:ilvl w:val="1"/>
          <w:numId w:val="92"/>
        </w:numPr>
        <w:suppressAutoHyphens w:val="0"/>
        <w:autoSpaceDN/>
        <w:spacing w:after="120" w:line="240" w:lineRule="auto"/>
        <w:jc w:val="both"/>
        <w:textAlignment w:val="auto"/>
        <w:rPr>
          <w:sz w:val="24"/>
          <w:szCs w:val="24"/>
        </w:rPr>
      </w:pPr>
      <w:bookmarkStart w:id="84" w:name="_5ckqw5le08ob" w:colFirst="0" w:colLast="0"/>
      <w:bookmarkEnd w:id="84"/>
      <w:r>
        <w:rPr>
          <w:sz w:val="24"/>
          <w:szCs w:val="24"/>
        </w:rPr>
        <w:t>Update and status of Service Deliverables, KPIs and SLAs provided monthly as a minimum and can be included as part of 18.2.</w:t>
      </w:r>
    </w:p>
    <w:p w14:paraId="0884CB6B" w14:textId="77777777" w:rsidR="009A0E1A" w:rsidRDefault="009A0E1A" w:rsidP="00BF2D83">
      <w:pPr>
        <w:pStyle w:val="Heading2"/>
        <w:keepNext w:val="0"/>
        <w:keepLines w:val="0"/>
        <w:numPr>
          <w:ilvl w:val="1"/>
          <w:numId w:val="92"/>
        </w:numPr>
        <w:suppressAutoHyphens w:val="0"/>
        <w:autoSpaceDN/>
        <w:spacing w:after="120" w:line="240" w:lineRule="auto"/>
        <w:jc w:val="both"/>
        <w:textAlignment w:val="auto"/>
        <w:rPr>
          <w:sz w:val="24"/>
          <w:szCs w:val="24"/>
        </w:rPr>
      </w:pPr>
      <w:bookmarkStart w:id="85" w:name="_qdcwltrjq7ii" w:colFirst="0" w:colLast="0"/>
      <w:bookmarkEnd w:id="85"/>
      <w:r>
        <w:rPr>
          <w:sz w:val="24"/>
          <w:szCs w:val="24"/>
        </w:rPr>
        <w:t>Provide technical input into governance forums and presentations where needed.</w:t>
      </w:r>
    </w:p>
    <w:p w14:paraId="697C890E" w14:textId="77777777" w:rsidR="009A0E1A" w:rsidRDefault="009A0E1A" w:rsidP="00BF2D83">
      <w:pPr>
        <w:pStyle w:val="Heading2"/>
        <w:keepNext w:val="0"/>
        <w:keepLines w:val="0"/>
        <w:numPr>
          <w:ilvl w:val="1"/>
          <w:numId w:val="92"/>
        </w:numPr>
        <w:suppressAutoHyphens w:val="0"/>
        <w:autoSpaceDN/>
        <w:spacing w:after="120" w:line="240" w:lineRule="auto"/>
        <w:jc w:val="both"/>
        <w:textAlignment w:val="auto"/>
        <w:rPr>
          <w:sz w:val="24"/>
          <w:szCs w:val="24"/>
        </w:rPr>
      </w:pPr>
      <w:bookmarkStart w:id="86" w:name="_dkofvl5r4fgm" w:colFirst="0" w:colLast="0"/>
      <w:bookmarkEnd w:id="86"/>
      <w:r>
        <w:rPr>
          <w:sz w:val="24"/>
          <w:szCs w:val="24"/>
        </w:rPr>
        <w:t>Attendance at Contract Review meetings shall be at the Supplier’s own expense.</w:t>
      </w:r>
    </w:p>
    <w:p w14:paraId="69A2DF56" w14:textId="77777777" w:rsidR="009A0E1A" w:rsidRDefault="009A0E1A" w:rsidP="009A0E1A">
      <w:pPr>
        <w:pStyle w:val="Heading1"/>
        <w:keepLines w:val="0"/>
        <w:numPr>
          <w:ilvl w:val="0"/>
          <w:numId w:val="92"/>
        </w:numPr>
        <w:suppressAutoHyphens w:val="0"/>
        <w:autoSpaceDN/>
        <w:spacing w:after="120" w:line="240" w:lineRule="auto"/>
        <w:jc w:val="both"/>
        <w:textAlignment w:val="auto"/>
        <w:rPr>
          <w:b/>
        </w:rPr>
      </w:pPr>
      <w:bookmarkStart w:id="87" w:name="_qsh70q" w:colFirst="0" w:colLast="0"/>
      <w:bookmarkEnd w:id="87"/>
      <w:r>
        <w:rPr>
          <w:b/>
          <w:smallCaps/>
        </w:rPr>
        <w:t xml:space="preserve">Location </w:t>
      </w:r>
    </w:p>
    <w:p w14:paraId="285ECCBF" w14:textId="77777777" w:rsidR="009A0E1A" w:rsidRDefault="009A0E1A" w:rsidP="009A0E1A">
      <w:pPr>
        <w:pStyle w:val="Heading2"/>
        <w:keepNext w:val="0"/>
        <w:keepLines w:val="0"/>
        <w:numPr>
          <w:ilvl w:val="1"/>
          <w:numId w:val="92"/>
        </w:numPr>
        <w:suppressAutoHyphens w:val="0"/>
        <w:autoSpaceDN/>
        <w:spacing w:after="120" w:line="240" w:lineRule="auto"/>
        <w:jc w:val="both"/>
        <w:textAlignment w:val="auto"/>
        <w:rPr>
          <w:sz w:val="24"/>
          <w:szCs w:val="24"/>
        </w:rPr>
      </w:pPr>
      <w:bookmarkStart w:id="88" w:name="_e4nr865bg731" w:colFirst="0" w:colLast="0"/>
      <w:bookmarkEnd w:id="88"/>
      <w:r>
        <w:rPr>
          <w:sz w:val="24"/>
          <w:szCs w:val="24"/>
        </w:rPr>
        <w:t>The base location of the Services will be carried out based on what is the most efficient delivery method, but will primarily be remote.  Review sessions will primarily be scheduled virtually, however advance notice shall be provided where attendance in person is required.</w:t>
      </w:r>
    </w:p>
    <w:p w14:paraId="57E18172" w14:textId="77777777" w:rsidR="009A0E1A" w:rsidRDefault="009A0E1A" w:rsidP="009A0E1A">
      <w:pPr>
        <w:pStyle w:val="Heading2"/>
        <w:keepNext w:val="0"/>
        <w:keepLines w:val="0"/>
        <w:numPr>
          <w:ilvl w:val="1"/>
          <w:numId w:val="92"/>
        </w:numPr>
        <w:suppressAutoHyphens w:val="0"/>
        <w:autoSpaceDN/>
        <w:spacing w:after="120" w:line="240" w:lineRule="auto"/>
        <w:jc w:val="both"/>
        <w:textAlignment w:val="auto"/>
        <w:rPr>
          <w:sz w:val="24"/>
          <w:szCs w:val="24"/>
        </w:rPr>
      </w:pPr>
      <w:bookmarkStart w:id="89" w:name="_t7tbyo48bexe" w:colFirst="0" w:colLast="0"/>
      <w:bookmarkEnd w:id="89"/>
      <w:r>
        <w:rPr>
          <w:sz w:val="24"/>
          <w:szCs w:val="24"/>
        </w:rPr>
        <w:t>The IPA uses Google Meet for remote collaboration in support of this approach and expects the Supplier to be able to access this tool.</w:t>
      </w:r>
    </w:p>
    <w:p w14:paraId="012FC5E3" w14:textId="77777777" w:rsidR="009A0E1A" w:rsidRDefault="009A0E1A" w:rsidP="009A0E1A">
      <w:pPr>
        <w:pStyle w:val="Heading2"/>
        <w:keepNext w:val="0"/>
        <w:keepLines w:val="0"/>
        <w:numPr>
          <w:ilvl w:val="1"/>
          <w:numId w:val="92"/>
        </w:numPr>
        <w:suppressAutoHyphens w:val="0"/>
        <w:autoSpaceDN/>
        <w:spacing w:after="120" w:line="240" w:lineRule="auto"/>
        <w:jc w:val="both"/>
        <w:textAlignment w:val="auto"/>
        <w:rPr>
          <w:sz w:val="24"/>
          <w:szCs w:val="24"/>
        </w:rPr>
      </w:pPr>
      <w:bookmarkStart w:id="90" w:name="_21inbqv05n44" w:colFirst="0" w:colLast="0"/>
      <w:bookmarkEnd w:id="90"/>
      <w:r>
        <w:rPr>
          <w:sz w:val="24"/>
          <w:szCs w:val="24"/>
        </w:rPr>
        <w:t xml:space="preserve">IPA meetings should take place in person or virtually depending on what is the most efficient delivery method.  This can be at the IPA or Supplier chosen location based on what is the most efficient delivery method.  Travel, mileage and subsistence cannot be claimed for within the M25 and must be absorbed by the Supplier within the cost of service.  Travel, mileage and subsistence expenses that apply for visits outside of the M25 must be first approved by the Buyer.  </w:t>
      </w:r>
    </w:p>
    <w:p w14:paraId="20C75648" w14:textId="77777777" w:rsidR="009A0E1A" w:rsidRPr="00907108" w:rsidRDefault="009A0E1A" w:rsidP="009A0E1A">
      <w:pPr>
        <w:pStyle w:val="Standard"/>
        <w:spacing w:after="33" w:line="240" w:lineRule="auto"/>
        <w:ind w:right="14"/>
        <w:rPr>
          <w:b/>
        </w:rPr>
      </w:pPr>
    </w:p>
    <w:p w14:paraId="1A45C035" w14:textId="77777777" w:rsidR="009A0E1A" w:rsidRDefault="009A0E1A" w:rsidP="009A0E1A">
      <w:pPr>
        <w:pStyle w:val="Standard"/>
        <w:spacing w:after="233" w:line="240" w:lineRule="auto"/>
        <w:ind w:right="14"/>
      </w:pPr>
    </w:p>
    <w:p w14:paraId="00EB6B24" w14:textId="77777777" w:rsidR="00760E89" w:rsidRDefault="00750A02">
      <w:pPr>
        <w:pStyle w:val="Standard"/>
        <w:tabs>
          <w:tab w:val="center" w:pos="1688"/>
          <w:tab w:val="center" w:pos="5137"/>
        </w:tabs>
        <w:spacing w:after="250" w:line="259" w:lineRule="auto"/>
        <w:ind w:left="0" w:firstLine="0"/>
      </w:pPr>
      <w:r>
        <w:tab/>
      </w:r>
    </w:p>
    <w:p w14:paraId="6279F08C" w14:textId="77777777" w:rsidR="00760E89" w:rsidRDefault="00750A02">
      <w:pPr>
        <w:pStyle w:val="Heading1"/>
        <w:pageBreakBefore/>
        <w:spacing w:after="81" w:line="240" w:lineRule="auto"/>
        <w:ind w:left="1113" w:firstLine="1118"/>
      </w:pPr>
      <w:bookmarkStart w:id="91" w:name="_heading=h.3dy6vkm"/>
      <w:bookmarkEnd w:id="91"/>
      <w:r>
        <w:lastRenderedPageBreak/>
        <w:t>Schedule 2: Call-Off Contract charges</w:t>
      </w:r>
    </w:p>
    <w:p w14:paraId="7B0E1059" w14:textId="77777777" w:rsidR="00B50C3B" w:rsidRDefault="00B50C3B" w:rsidP="00B50C3B">
      <w:pPr>
        <w:pStyle w:val="Standard"/>
      </w:pPr>
    </w:p>
    <w:p w14:paraId="65962017" w14:textId="77777777" w:rsidR="00B50C3B" w:rsidRDefault="00B50C3B" w:rsidP="00B50C3B">
      <w:pPr>
        <w:spacing w:before="240"/>
        <w:ind w:left="393" w:firstLine="720"/>
        <w:rPr>
          <w:b/>
        </w:rPr>
      </w:pPr>
      <w:r>
        <w:rPr>
          <w:b/>
          <w:bCs/>
          <w:color w:val="FF0000"/>
        </w:rPr>
        <w:t>REDACTED TEXT under FOIA Section 43 Commercial Interests</w:t>
      </w:r>
    </w:p>
    <w:p w14:paraId="4B59F2A3" w14:textId="77777777" w:rsidR="00B50C3B" w:rsidRPr="00B50C3B" w:rsidRDefault="00B50C3B" w:rsidP="00B50C3B">
      <w:pPr>
        <w:pStyle w:val="Standard"/>
      </w:pPr>
    </w:p>
    <w:p w14:paraId="54BE40B7" w14:textId="77777777" w:rsidR="00760E89" w:rsidRDefault="00750A02">
      <w:pPr>
        <w:pStyle w:val="Heading1"/>
        <w:pageBreakBefore/>
        <w:ind w:left="1113" w:firstLine="1118"/>
      </w:pPr>
      <w:bookmarkStart w:id="92" w:name="_heading=h.1t3h5sf"/>
      <w:bookmarkEnd w:id="92"/>
      <w:r>
        <w:lastRenderedPageBreak/>
        <w:t>Schedule 3: Collaboration agreement</w:t>
      </w:r>
    </w:p>
    <w:p w14:paraId="21C57CBB" w14:textId="77777777" w:rsidR="00DC5390" w:rsidRPr="00DC5390" w:rsidRDefault="00DC5390" w:rsidP="00DC5390">
      <w:pPr>
        <w:pStyle w:val="Standard"/>
      </w:pPr>
      <w:r>
        <w:t>N</w:t>
      </w:r>
      <w:r w:rsidR="007E330D">
        <w:t>ot Applicable</w:t>
      </w:r>
    </w:p>
    <w:p w14:paraId="304EDA04" w14:textId="77777777" w:rsidR="00B017FC" w:rsidRDefault="00750A02" w:rsidP="00B017FC">
      <w:pPr>
        <w:pStyle w:val="Heading2"/>
        <w:pageBreakBefore/>
        <w:spacing w:after="299" w:line="240" w:lineRule="auto"/>
        <w:ind w:left="1113" w:firstLine="1118"/>
      </w:pPr>
      <w:r>
        <w:lastRenderedPageBreak/>
        <w:t>Schedule 4: Alternative clauses</w:t>
      </w:r>
      <w:r w:rsidR="00A8741C">
        <w:t xml:space="preserve"> </w:t>
      </w:r>
    </w:p>
    <w:p w14:paraId="5C0E9B40" w14:textId="77777777" w:rsidR="00B017FC" w:rsidRPr="00B017FC" w:rsidRDefault="00B017FC" w:rsidP="00B017FC">
      <w:pPr>
        <w:pStyle w:val="Standard"/>
      </w:pPr>
      <w:r>
        <w:t>Not Applicable</w:t>
      </w:r>
    </w:p>
    <w:p w14:paraId="3766D140" w14:textId="77777777" w:rsidR="00760E89" w:rsidRDefault="00760E89">
      <w:pPr>
        <w:pStyle w:val="Standard"/>
        <w:ind w:left="2573" w:right="14" w:hanging="720"/>
      </w:pPr>
    </w:p>
    <w:p w14:paraId="7E764668" w14:textId="77777777" w:rsidR="00760E89" w:rsidRDefault="00750A02" w:rsidP="00B017FC">
      <w:pPr>
        <w:pStyle w:val="Heading2"/>
        <w:pageBreakBefore/>
        <w:ind w:left="1113" w:firstLine="1118"/>
      </w:pPr>
      <w:r>
        <w:lastRenderedPageBreak/>
        <w:t>Schedule 5: Guarantee</w:t>
      </w:r>
      <w:r w:rsidR="00337B44">
        <w:t xml:space="preserve"> </w:t>
      </w:r>
    </w:p>
    <w:p w14:paraId="1A7812E6" w14:textId="77777777" w:rsidR="00B017FC" w:rsidRDefault="00B017FC" w:rsidP="00B017FC">
      <w:pPr>
        <w:pStyle w:val="Standard"/>
      </w:pPr>
    </w:p>
    <w:p w14:paraId="0B79B2A3" w14:textId="77777777" w:rsidR="00B017FC" w:rsidRPr="00B017FC" w:rsidRDefault="00B017FC" w:rsidP="00B017FC">
      <w:pPr>
        <w:pStyle w:val="Standard"/>
      </w:pPr>
      <w:r>
        <w:t>Not Applicable</w:t>
      </w:r>
    </w:p>
    <w:p w14:paraId="56C6C9B7" w14:textId="77777777" w:rsidR="00760E89" w:rsidRDefault="00750A02">
      <w:pPr>
        <w:pStyle w:val="Heading2"/>
        <w:pageBreakBefore/>
        <w:ind w:left="1113" w:firstLine="1118"/>
      </w:pPr>
      <w:r>
        <w:lastRenderedPageBreak/>
        <w:t>Schedule 6: Glossary and interpretations</w:t>
      </w:r>
    </w:p>
    <w:p w14:paraId="23355BA8" w14:textId="77777777" w:rsidR="00760E89" w:rsidRDefault="00750A02">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64A21067"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109FE44" w14:textId="77777777" w:rsidR="00760E89" w:rsidRDefault="00750A02">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76C666D" w14:textId="77777777" w:rsidR="00760E89" w:rsidRDefault="00750A02">
            <w:pPr>
              <w:pStyle w:val="Standard"/>
              <w:spacing w:after="0" w:line="254" w:lineRule="auto"/>
              <w:ind w:left="2" w:firstLine="0"/>
            </w:pPr>
            <w:r>
              <w:rPr>
                <w:b/>
              </w:rPr>
              <w:t>Meaning</w:t>
            </w:r>
          </w:p>
        </w:tc>
      </w:tr>
      <w:tr w:rsidR="00760E89" w14:paraId="327FA4ED"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85C3116" w14:textId="77777777" w:rsidR="00760E89" w:rsidRDefault="00750A02">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3D3E186" w14:textId="77777777" w:rsidR="00760E89" w:rsidRDefault="00750A02">
            <w:pPr>
              <w:pStyle w:val="Standard"/>
              <w:spacing w:after="0" w:line="254" w:lineRule="auto"/>
              <w:ind w:left="2" w:firstLine="0"/>
            </w:pPr>
            <w:r>
              <w:t>Any services ancillary to the G-Cloud Services that are in the scope of Framework Agreement Clause 2 (Services) which a Buyer may request.</w:t>
            </w:r>
          </w:p>
        </w:tc>
      </w:tr>
      <w:tr w:rsidR="00760E89" w14:paraId="090EEB5C"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5E6EA5E" w14:textId="77777777" w:rsidR="00760E89" w:rsidRDefault="00750A02">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6BA02EB" w14:textId="77777777" w:rsidR="00760E89" w:rsidRDefault="00750A02">
            <w:pPr>
              <w:pStyle w:val="Standard"/>
              <w:spacing w:after="0" w:line="254" w:lineRule="auto"/>
              <w:ind w:left="2" w:firstLine="0"/>
            </w:pPr>
            <w:r>
              <w:t>The agreement to be entered into to enable the Supplier to participate in the relevant Civil Service pension scheme(s).</w:t>
            </w:r>
          </w:p>
        </w:tc>
      </w:tr>
      <w:tr w:rsidR="00760E89" w14:paraId="1E9DCAA5"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C67D0D0" w14:textId="77777777" w:rsidR="00760E89" w:rsidRDefault="00750A02">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5C26B5E" w14:textId="77777777" w:rsidR="00760E89" w:rsidRDefault="00750A02">
            <w:pPr>
              <w:pStyle w:val="Standard"/>
              <w:spacing w:after="0" w:line="254" w:lineRule="auto"/>
              <w:ind w:left="2" w:firstLine="0"/>
            </w:pPr>
            <w:r>
              <w:t>The response submitted by the Supplier to the Invitation to Tender (known as the Invitation to Apply on the Platform).</w:t>
            </w:r>
          </w:p>
        </w:tc>
      </w:tr>
      <w:tr w:rsidR="00760E89" w14:paraId="7034C2C7"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73D916" w14:textId="77777777" w:rsidR="00760E89" w:rsidRDefault="00750A02">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5BDCDC" w14:textId="77777777" w:rsidR="00760E89" w:rsidRDefault="00750A02">
            <w:pPr>
              <w:pStyle w:val="Standard"/>
              <w:spacing w:after="0" w:line="254" w:lineRule="auto"/>
              <w:ind w:left="2" w:firstLine="0"/>
            </w:pPr>
            <w:r>
              <w:t>An audit carried out under the incorporated Framework Agreement clauses.</w:t>
            </w:r>
          </w:p>
        </w:tc>
      </w:tr>
      <w:tr w:rsidR="00760E89" w14:paraId="5ED92FF9"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3214AD9" w14:textId="77777777" w:rsidR="00760E89" w:rsidRDefault="00750A02">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4138BB" w14:textId="77777777" w:rsidR="00760E89" w:rsidRDefault="00750A02">
            <w:pPr>
              <w:pStyle w:val="Standard"/>
              <w:spacing w:after="38" w:line="254" w:lineRule="auto"/>
              <w:ind w:left="2" w:firstLine="0"/>
            </w:pPr>
            <w:r>
              <w:t>For each Party, IPRs:</w:t>
            </w:r>
          </w:p>
          <w:p w14:paraId="242A25DE" w14:textId="77777777" w:rsidR="00760E89" w:rsidRDefault="00750A02" w:rsidP="00075C10">
            <w:pPr>
              <w:pStyle w:val="Standard"/>
              <w:numPr>
                <w:ilvl w:val="0"/>
                <w:numId w:val="67"/>
              </w:numPr>
              <w:spacing w:after="8" w:line="254" w:lineRule="auto"/>
              <w:ind w:right="31" w:hanging="360"/>
            </w:pPr>
            <w:r>
              <w:t>owned by that Party before the date of this Call-Off Contract</w:t>
            </w:r>
          </w:p>
          <w:p w14:paraId="7FFB7782" w14:textId="77777777" w:rsidR="00760E89" w:rsidRDefault="00750A02">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6D24A977" w14:textId="77777777" w:rsidR="00760E89" w:rsidRDefault="00750A02">
            <w:pPr>
              <w:pStyle w:val="Standard"/>
              <w:numPr>
                <w:ilvl w:val="0"/>
                <w:numId w:val="20"/>
              </w:numPr>
              <w:spacing w:after="215" w:line="278" w:lineRule="auto"/>
              <w:ind w:right="31" w:hanging="360"/>
            </w:pPr>
            <w:r>
              <w:t>created by the Party independently of this Call-Off Contract, or</w:t>
            </w:r>
          </w:p>
          <w:p w14:paraId="32862228" w14:textId="77777777" w:rsidR="00760E89" w:rsidRDefault="00750A02">
            <w:pPr>
              <w:pStyle w:val="Standard"/>
              <w:spacing w:after="0" w:line="254" w:lineRule="auto"/>
              <w:ind w:left="2" w:firstLine="0"/>
            </w:pPr>
            <w:r>
              <w:t>For the Buyer, Crown Copyright which isn’t available to the Supplier otherwise than under this Call-Off Contract, but excluding IPRs owned by that Party in Buyer software or Supplier software.</w:t>
            </w:r>
          </w:p>
        </w:tc>
      </w:tr>
      <w:tr w:rsidR="00760E89" w14:paraId="6E8868F7"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D123C52" w14:textId="77777777" w:rsidR="00760E89" w:rsidRDefault="00750A02">
            <w:pPr>
              <w:pStyle w:val="Standard"/>
              <w:spacing w:after="0" w:line="254" w:lineRule="auto"/>
              <w:ind w:left="0" w:firstLine="0"/>
            </w:pPr>
            <w:r>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FA0FFF6" w14:textId="77777777" w:rsidR="00760E89" w:rsidRDefault="00750A02">
            <w:pPr>
              <w:pStyle w:val="Standard"/>
              <w:spacing w:after="0" w:line="254" w:lineRule="auto"/>
              <w:ind w:left="2" w:firstLine="0"/>
            </w:pPr>
            <w:r>
              <w:t>The contracting authority ordering services as set out in the Order Form.</w:t>
            </w:r>
          </w:p>
        </w:tc>
      </w:tr>
      <w:tr w:rsidR="00760E89" w14:paraId="64BBFE74"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22FBB74" w14:textId="77777777" w:rsidR="00760E89" w:rsidRDefault="00750A02">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C36FE05" w14:textId="77777777" w:rsidR="00760E89" w:rsidRDefault="00750A02">
            <w:pPr>
              <w:pStyle w:val="Standard"/>
              <w:spacing w:after="0" w:line="254" w:lineRule="auto"/>
              <w:ind w:left="2" w:firstLine="0"/>
            </w:pPr>
            <w:r>
              <w:t>All data supplied by the Buyer to the Supplier including Personal Data and Service Data that is owned and managed by the Buyer.</w:t>
            </w:r>
          </w:p>
        </w:tc>
      </w:tr>
      <w:tr w:rsidR="00760E89" w14:paraId="4448038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1D83A1" w14:textId="77777777" w:rsidR="00760E89" w:rsidRDefault="00750A02">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4F8902" w14:textId="77777777" w:rsidR="00760E89" w:rsidRDefault="00750A02">
            <w:pPr>
              <w:pStyle w:val="Standard"/>
              <w:spacing w:after="0" w:line="254" w:lineRule="auto"/>
              <w:ind w:left="2" w:firstLine="0"/>
            </w:pPr>
            <w:r>
              <w:t>The Personal Data supplied by the Buyer to the Supplier for purposes of, or in connection with, this Call-Off Contract.</w:t>
            </w:r>
          </w:p>
        </w:tc>
      </w:tr>
      <w:tr w:rsidR="00760E89" w14:paraId="6F855E5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9BCC1F7" w14:textId="77777777" w:rsidR="00760E89" w:rsidRDefault="00750A02">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969EBBB" w14:textId="77777777" w:rsidR="00760E89" w:rsidRDefault="00750A02">
            <w:pPr>
              <w:pStyle w:val="Standard"/>
              <w:spacing w:after="0" w:line="254" w:lineRule="auto"/>
              <w:ind w:left="2" w:firstLine="0"/>
            </w:pPr>
            <w:r>
              <w:t>The representative appointed by the Buyer under this Call-Off Contract.</w:t>
            </w:r>
          </w:p>
        </w:tc>
      </w:tr>
    </w:tbl>
    <w:p w14:paraId="6A802D27" w14:textId="77777777" w:rsidR="00760E89" w:rsidRDefault="00750A02">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68E6D095"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512861" w14:textId="77777777" w:rsidR="00760E89" w:rsidRDefault="00750A02">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E86EAB5" w14:textId="77777777" w:rsidR="00760E89" w:rsidRDefault="00750A02">
            <w:pPr>
              <w:pStyle w:val="Standard"/>
              <w:spacing w:after="0" w:line="254" w:lineRule="auto"/>
              <w:ind w:left="2" w:firstLine="0"/>
            </w:pPr>
            <w:r>
              <w:t>Software owned by or licensed to the Buyer (other than under this Agreement), which is or will be used by the Supplier to provide the Services.</w:t>
            </w:r>
          </w:p>
        </w:tc>
      </w:tr>
      <w:tr w:rsidR="00760E89" w14:paraId="5681D7DC"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9DCD21F" w14:textId="77777777" w:rsidR="00760E89" w:rsidRDefault="00750A02">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775E1FB" w14:textId="77777777" w:rsidR="00760E89" w:rsidRDefault="00750A02">
            <w:pPr>
              <w:pStyle w:val="Standard"/>
              <w:spacing w:after="1" w:line="254" w:lineRule="auto"/>
              <w:ind w:left="2" w:firstLine="0"/>
            </w:pPr>
            <w:r>
              <w:t>This call-off contract entered into following the provisions of the</w:t>
            </w:r>
          </w:p>
          <w:p w14:paraId="706B1141" w14:textId="77777777" w:rsidR="00760E89" w:rsidRDefault="00750A02">
            <w:pPr>
              <w:pStyle w:val="Standard"/>
              <w:spacing w:after="0" w:line="25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760E89" w14:paraId="768EAA29"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E42E677" w14:textId="77777777" w:rsidR="00760E89" w:rsidRDefault="00750A02">
            <w:pPr>
              <w:pStyle w:val="Standard"/>
              <w:spacing w:after="0" w:line="254" w:lineRule="auto"/>
              <w:ind w:left="0" w:firstLine="0"/>
            </w:pPr>
            <w:r>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790515F" w14:textId="77777777" w:rsidR="00760E89" w:rsidRDefault="00750A02">
            <w:pPr>
              <w:pStyle w:val="Standard"/>
              <w:spacing w:after="0" w:line="254" w:lineRule="auto"/>
              <w:ind w:left="2" w:firstLine="0"/>
            </w:pPr>
            <w:r>
              <w:t>The prices (excluding any applicable VAT), payable to the Supplier by the Buyer under this Call-Off Contract.</w:t>
            </w:r>
          </w:p>
        </w:tc>
      </w:tr>
      <w:tr w:rsidR="00760E89" w14:paraId="1375AF28"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A22E273" w14:textId="77777777" w:rsidR="00760E89" w:rsidRDefault="00750A02">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5643DA" w14:textId="77777777" w:rsidR="00760E89" w:rsidRDefault="00750A02">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60E89" w14:paraId="5B3CE651"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4CD4469" w14:textId="77777777" w:rsidR="00760E89" w:rsidRDefault="00750A02">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1C6306E" w14:textId="77777777" w:rsidR="00760E89" w:rsidRDefault="00750A02">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760E89" w14:paraId="3835E48E"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A5CA317" w14:textId="77777777" w:rsidR="00760E89" w:rsidRDefault="00750A02">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EE9983F" w14:textId="77777777" w:rsidR="00760E89" w:rsidRDefault="00750A02">
            <w:pPr>
              <w:pStyle w:val="Standard"/>
              <w:spacing w:after="0" w:line="302" w:lineRule="auto"/>
              <w:ind w:left="2" w:firstLine="0"/>
            </w:pPr>
            <w:r>
              <w:t>Data, Personal Data and any information, which may include (but isn’t limited to) any:</w:t>
            </w:r>
          </w:p>
          <w:p w14:paraId="4282A27F" w14:textId="77777777" w:rsidR="00760E89" w:rsidRDefault="00750A02" w:rsidP="00075C10">
            <w:pPr>
              <w:pStyle w:val="Standard"/>
              <w:numPr>
                <w:ilvl w:val="0"/>
                <w:numId w:val="68"/>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28A0B469" w14:textId="77777777" w:rsidR="00760E89" w:rsidRDefault="00750A02">
            <w:pPr>
              <w:pStyle w:val="Standard"/>
              <w:numPr>
                <w:ilvl w:val="0"/>
                <w:numId w:val="21"/>
              </w:numPr>
              <w:spacing w:after="0" w:line="25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760E89" w14:paraId="45FA6388"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8DEF36" w14:textId="77777777" w:rsidR="00760E89" w:rsidRDefault="00750A02">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E1E9302" w14:textId="77777777" w:rsidR="00760E89" w:rsidRDefault="00750A02">
            <w:pPr>
              <w:pStyle w:val="Standard"/>
              <w:spacing w:after="0" w:line="254" w:lineRule="auto"/>
              <w:ind w:left="2" w:firstLine="0"/>
            </w:pPr>
            <w:r>
              <w:t>‘Control’ as defined in section 1124 and 450 of the Corporation Tax Act 2010. 'Controls' and 'Controlled' will be interpreted accordingly.</w:t>
            </w:r>
          </w:p>
        </w:tc>
      </w:tr>
      <w:tr w:rsidR="00760E89" w14:paraId="32F285AE"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1C92DE7" w14:textId="77777777" w:rsidR="00760E89" w:rsidRDefault="00750A02">
            <w:pPr>
              <w:pStyle w:val="Standard"/>
              <w:spacing w:after="0" w:line="254" w:lineRule="auto"/>
              <w:ind w:left="0" w:firstLine="0"/>
            </w:pPr>
            <w:r>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DF2B410" w14:textId="77777777" w:rsidR="00760E89" w:rsidRDefault="00750A02">
            <w:pPr>
              <w:pStyle w:val="Standard"/>
              <w:spacing w:after="0" w:line="254" w:lineRule="auto"/>
              <w:ind w:left="2" w:firstLine="0"/>
            </w:pPr>
            <w:r>
              <w:t>Takes the meaning given in the UK GDPR.</w:t>
            </w:r>
          </w:p>
        </w:tc>
      </w:tr>
      <w:tr w:rsidR="00760E89" w14:paraId="742C94C1"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CFF4313" w14:textId="77777777" w:rsidR="00760E89" w:rsidRDefault="00750A02">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BCE1BC" w14:textId="77777777" w:rsidR="00760E89" w:rsidRDefault="00750A02">
            <w:pPr>
              <w:pStyle w:val="Standard"/>
              <w:spacing w:after="0" w:line="25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D539770" w14:textId="77777777" w:rsidR="00760E89" w:rsidRDefault="00750A02">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20A33BA1"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E5901C" w14:textId="77777777" w:rsidR="00760E89" w:rsidRDefault="00750A02">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3D655B8" w14:textId="77777777" w:rsidR="00760E89" w:rsidRDefault="00750A02">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760E89" w14:paraId="2E73F727"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133436A" w14:textId="77777777" w:rsidR="00760E89" w:rsidRDefault="00750A02">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6AE0EA1" w14:textId="77777777" w:rsidR="00760E89" w:rsidRDefault="00750A02">
            <w:pPr>
              <w:pStyle w:val="Standard"/>
              <w:spacing w:after="0" w:line="254" w:lineRule="auto"/>
              <w:ind w:left="2" w:firstLine="0"/>
            </w:pPr>
            <w:r>
              <w:t>An assessment by the Controller of the impact of the envisaged Processing on the protection of Personal Data.</w:t>
            </w:r>
          </w:p>
        </w:tc>
      </w:tr>
      <w:tr w:rsidR="00760E89" w14:paraId="210CC34C"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1DD63A4" w14:textId="77777777" w:rsidR="00760E89" w:rsidRDefault="00750A02">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5446791" w14:textId="77777777" w:rsidR="00760E89" w:rsidRDefault="00750A02">
            <w:pPr>
              <w:pStyle w:val="Standard"/>
              <w:spacing w:after="2" w:line="254" w:lineRule="auto"/>
              <w:ind w:left="2" w:firstLine="0"/>
            </w:pPr>
            <w:r>
              <w:t>(</w:t>
            </w:r>
            <w:proofErr w:type="spellStart"/>
            <w:r>
              <w:t>i</w:t>
            </w:r>
            <w:proofErr w:type="spellEnd"/>
            <w:r>
              <w:t>) the UK GDPR as amended from time to time; (ii) the DPA 2018 to</w:t>
            </w:r>
          </w:p>
          <w:p w14:paraId="7C45E91C" w14:textId="77777777" w:rsidR="00760E89" w:rsidRDefault="00750A02">
            <w:pPr>
              <w:pStyle w:val="Standard"/>
              <w:spacing w:after="0" w:line="254" w:lineRule="auto"/>
              <w:ind w:left="722" w:firstLine="0"/>
            </w:pPr>
            <w:r>
              <w:t>the extent that it relates to Processing of Personal Data and privacy; (iii) all applicable Law about the Processing of Personal Data and privacy.</w:t>
            </w:r>
          </w:p>
        </w:tc>
      </w:tr>
      <w:tr w:rsidR="00760E89" w14:paraId="0232E408"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ACF249" w14:textId="77777777" w:rsidR="00760E89" w:rsidRDefault="00750A02">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2D78C6C" w14:textId="77777777" w:rsidR="00760E89" w:rsidRDefault="00750A02">
            <w:pPr>
              <w:pStyle w:val="Standard"/>
              <w:spacing w:after="0" w:line="254" w:lineRule="auto"/>
              <w:ind w:left="2" w:firstLine="0"/>
            </w:pPr>
            <w:r>
              <w:t>Takes the meaning given in the UK GDPR</w:t>
            </w:r>
          </w:p>
        </w:tc>
      </w:tr>
      <w:tr w:rsidR="00760E89" w14:paraId="731A0FBD"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562B463" w14:textId="77777777" w:rsidR="00760E89" w:rsidRDefault="00750A02">
            <w:pPr>
              <w:pStyle w:val="Standard"/>
              <w:spacing w:after="0" w:line="254" w:lineRule="auto"/>
              <w:ind w:left="0" w:firstLine="0"/>
            </w:pPr>
            <w:r>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AF1D9F" w14:textId="77777777" w:rsidR="00760E89" w:rsidRDefault="00750A02">
            <w:pPr>
              <w:pStyle w:val="Standard"/>
              <w:spacing w:after="17" w:line="254" w:lineRule="auto"/>
              <w:ind w:left="2" w:firstLine="0"/>
            </w:pPr>
            <w:r>
              <w:t>Default is any:</w:t>
            </w:r>
          </w:p>
          <w:p w14:paraId="67103DA4" w14:textId="77777777" w:rsidR="00760E89" w:rsidRDefault="00750A02" w:rsidP="00075C10">
            <w:pPr>
              <w:pStyle w:val="Standard"/>
              <w:numPr>
                <w:ilvl w:val="0"/>
                <w:numId w:val="69"/>
              </w:numPr>
              <w:spacing w:after="10" w:line="283" w:lineRule="auto"/>
              <w:ind w:right="17" w:hanging="360"/>
            </w:pPr>
            <w:r>
              <w:t>breach of the obligations of the Supplier (including any fundamental breach or breach of a fundamental term)</w:t>
            </w:r>
          </w:p>
          <w:p w14:paraId="7519B775" w14:textId="77777777" w:rsidR="00760E89" w:rsidRDefault="00750A02">
            <w:pPr>
              <w:pStyle w:val="Standard"/>
              <w:numPr>
                <w:ilvl w:val="0"/>
                <w:numId w:val="4"/>
              </w:numPr>
              <w:spacing w:after="215" w:line="280" w:lineRule="auto"/>
              <w:ind w:right="17" w:hanging="360"/>
            </w:pPr>
            <w:bookmarkStart w:id="93" w:name="_heading=h.4d34og8"/>
            <w:bookmarkEnd w:id="93"/>
            <w:r>
              <w:t>other default, negligence or negligent statement of the Supplier, of its Subcontractors or any Supplier Staff (whether by act or omission), in connection with or in relation to this Call-Off Contract</w:t>
            </w:r>
          </w:p>
          <w:p w14:paraId="769FFF82" w14:textId="77777777" w:rsidR="00760E89" w:rsidRDefault="00750A02">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760E89" w14:paraId="21FBA5C5"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9DACD0E" w14:textId="77777777" w:rsidR="00760E89" w:rsidRDefault="00750A02">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9F9749D" w14:textId="77777777" w:rsidR="00760E89" w:rsidRDefault="00750A02">
            <w:pPr>
              <w:pStyle w:val="Standard"/>
              <w:spacing w:after="0" w:line="254" w:lineRule="auto"/>
              <w:ind w:left="2" w:firstLine="0"/>
            </w:pPr>
            <w:r>
              <w:t>Data Protection Act 2018.</w:t>
            </w:r>
          </w:p>
        </w:tc>
      </w:tr>
      <w:tr w:rsidR="00760E89" w14:paraId="2C635CFE"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133E46" w14:textId="77777777" w:rsidR="00760E89" w:rsidRDefault="00750A02">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348D6C0" w14:textId="77777777" w:rsidR="00760E89" w:rsidRDefault="00750A02">
            <w:pPr>
              <w:pStyle w:val="Standard"/>
              <w:spacing w:after="0" w:line="254" w:lineRule="auto"/>
              <w:ind w:left="2" w:firstLine="0"/>
            </w:pPr>
            <w:r>
              <w:t xml:space="preserve">The Transfer of Undertakings (Protection of Employment) Regulations 2006 (SI 2006/246) (‘TUPE’) </w:t>
            </w:r>
            <w:r>
              <w:tab/>
              <w:t>.</w:t>
            </w:r>
          </w:p>
        </w:tc>
      </w:tr>
      <w:tr w:rsidR="00760E89" w14:paraId="724E8600"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AF33C8F" w14:textId="77777777" w:rsidR="00760E89" w:rsidRDefault="00750A02">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067344E" w14:textId="77777777" w:rsidR="00760E89" w:rsidRDefault="00750A02">
            <w:pPr>
              <w:pStyle w:val="Standard"/>
              <w:spacing w:after="0" w:line="254" w:lineRule="auto"/>
              <w:ind w:left="2" w:firstLine="0"/>
            </w:pPr>
            <w:r>
              <w:t>Means to terminate; and Ended and Ending are construed accordingly.</w:t>
            </w:r>
          </w:p>
        </w:tc>
      </w:tr>
      <w:tr w:rsidR="00760E89" w14:paraId="077E1CEB"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9779CE5" w14:textId="77777777" w:rsidR="00760E89" w:rsidRDefault="00750A02">
            <w:pPr>
              <w:pStyle w:val="Standard"/>
              <w:spacing w:after="0" w:line="254" w:lineRule="auto"/>
              <w:ind w:left="0" w:firstLine="0"/>
            </w:pPr>
            <w:r>
              <w:rPr>
                <w:b/>
              </w:rPr>
              <w:t>Environmental</w:t>
            </w:r>
          </w:p>
          <w:p w14:paraId="0CCAD071" w14:textId="77777777" w:rsidR="00760E89" w:rsidRDefault="00750A02">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AB2AF5" w14:textId="77777777" w:rsidR="00760E89" w:rsidRDefault="00750A02">
            <w:pPr>
              <w:pStyle w:val="Standard"/>
              <w:spacing w:after="2" w:line="254" w:lineRule="auto"/>
              <w:ind w:left="2" w:firstLine="0"/>
            </w:pPr>
            <w:r>
              <w:t>The Environmental Information Regulations 2004 together with any guidance or codes of practice issued by the Information</w:t>
            </w:r>
          </w:p>
          <w:p w14:paraId="509BE3C7" w14:textId="77777777" w:rsidR="00760E89" w:rsidRDefault="00750A02">
            <w:pPr>
              <w:pStyle w:val="Standard"/>
              <w:spacing w:after="0" w:line="254" w:lineRule="auto"/>
              <w:ind w:left="2" w:firstLine="0"/>
            </w:pPr>
            <w:r>
              <w:t>Commissioner or relevant government department about the regulations.</w:t>
            </w:r>
          </w:p>
        </w:tc>
      </w:tr>
      <w:tr w:rsidR="00760E89" w14:paraId="025E7A70"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280BC3" w14:textId="77777777" w:rsidR="00760E89" w:rsidRDefault="00750A02">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757E7A4" w14:textId="77777777" w:rsidR="00760E89" w:rsidRDefault="00750A02">
            <w:pPr>
              <w:pStyle w:val="Standard"/>
              <w:spacing w:after="0" w:line="25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7D8BD7E7" w14:textId="77777777" w:rsidR="00760E89" w:rsidRDefault="00750A02">
      <w:pPr>
        <w:pStyle w:val="Standard"/>
        <w:spacing w:after="0" w:line="254" w:lineRule="auto"/>
        <w:ind w:left="0" w:firstLine="0"/>
        <w:jc w:val="both"/>
      </w:pPr>
      <w:r>
        <w:t xml:space="preserve"> </w:t>
      </w:r>
    </w:p>
    <w:p w14:paraId="78E6A21E" w14:textId="77777777" w:rsidR="00760E89" w:rsidRDefault="00760E89">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34122927"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2E64AB7" w14:textId="77777777" w:rsidR="00760E89" w:rsidRDefault="00750A02">
            <w:pPr>
              <w:pStyle w:val="Standard"/>
              <w:spacing w:after="0" w:line="254" w:lineRule="auto"/>
              <w:ind w:left="0" w:firstLine="0"/>
            </w:pPr>
            <w:r>
              <w:rPr>
                <w:b/>
              </w:rPr>
              <w:lastRenderedPageBreak/>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CD2507" w14:textId="77777777" w:rsidR="00760E89" w:rsidRDefault="00750A02">
            <w:pPr>
              <w:pStyle w:val="Standard"/>
              <w:spacing w:after="0" w:line="254" w:lineRule="auto"/>
              <w:ind w:left="2" w:right="6" w:firstLine="0"/>
            </w:pPr>
            <w:r>
              <w:t xml:space="preserve">The </w:t>
            </w:r>
            <w:proofErr w:type="gramStart"/>
            <w:r>
              <w:t>14 digit</w:t>
            </w:r>
            <w:proofErr w:type="gramEnd"/>
            <w:r>
              <w:t xml:space="preserve"> ESI reference number from the summary of the outcome screen of the ESI tool.</w:t>
            </w:r>
          </w:p>
        </w:tc>
      </w:tr>
      <w:tr w:rsidR="00760E89" w14:paraId="580F0109"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C18C11" w14:textId="77777777" w:rsidR="00760E89" w:rsidRDefault="00750A02">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274C48" w14:textId="77777777" w:rsidR="00760E89" w:rsidRDefault="00750A02">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94" w:name="_heading=h.2s8eyo1"/>
          <w:bookmarkEnd w:id="94"/>
          <w:p w14:paraId="59A63368" w14:textId="77777777" w:rsidR="00760E89" w:rsidRDefault="00750A02">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6" w:history="1">
              <w:r>
                <w:t xml:space="preserve"> </w:t>
              </w:r>
            </w:hyperlink>
          </w:p>
        </w:tc>
      </w:tr>
      <w:tr w:rsidR="00760E89" w14:paraId="42A0D0E4"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2A79175" w14:textId="77777777" w:rsidR="00760E89" w:rsidRDefault="00750A02">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1841185" w14:textId="77777777" w:rsidR="00760E89" w:rsidRDefault="00750A02">
            <w:pPr>
              <w:pStyle w:val="Standard"/>
              <w:spacing w:after="0" w:line="254" w:lineRule="auto"/>
              <w:ind w:left="2" w:firstLine="0"/>
            </w:pPr>
            <w:r>
              <w:t>The expiry date of this Call-Off Contract in the Order Form.</w:t>
            </w:r>
          </w:p>
        </w:tc>
      </w:tr>
      <w:tr w:rsidR="00760E89" w14:paraId="52AD0435"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E7A8FCD" w14:textId="77777777" w:rsidR="00760E89" w:rsidRDefault="00750A02">
            <w:pPr>
              <w:pStyle w:val="Standard"/>
              <w:spacing w:after="0" w:line="254" w:lineRule="auto"/>
              <w:ind w:left="0" w:firstLine="0"/>
            </w:pPr>
            <w:r>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EEB69AA" w14:textId="77777777" w:rsidR="00760E89" w:rsidRDefault="00750A02">
            <w:pPr>
              <w:pStyle w:val="Standard"/>
              <w:spacing w:after="5" w:line="271" w:lineRule="auto"/>
              <w:ind w:left="2" w:firstLine="0"/>
            </w:pPr>
            <w:r>
              <w:t>A force Majeure event means anything affecting either Party's performance of their obligations arising from any:</w:t>
            </w:r>
          </w:p>
          <w:p w14:paraId="18416F75" w14:textId="77777777" w:rsidR="00760E89" w:rsidRDefault="00750A02" w:rsidP="00075C10">
            <w:pPr>
              <w:pStyle w:val="Standard"/>
              <w:numPr>
                <w:ilvl w:val="0"/>
                <w:numId w:val="70"/>
              </w:numPr>
              <w:spacing w:after="0" w:line="280" w:lineRule="auto"/>
              <w:ind w:hanging="360"/>
            </w:pPr>
            <w:r>
              <w:t>acts, events or omissions beyond the reasonable control of the affected Party</w:t>
            </w:r>
          </w:p>
          <w:p w14:paraId="215DA709" w14:textId="77777777" w:rsidR="00760E89" w:rsidRDefault="00750A02">
            <w:pPr>
              <w:pStyle w:val="Standard"/>
              <w:numPr>
                <w:ilvl w:val="0"/>
                <w:numId w:val="6"/>
              </w:numPr>
              <w:spacing w:after="16" w:line="280" w:lineRule="auto"/>
              <w:ind w:hanging="360"/>
            </w:pPr>
            <w:r>
              <w:t>riots, war or armed conflict, acts of terrorism, nuclear, biological or chemical warfare</w:t>
            </w:r>
          </w:p>
          <w:p w14:paraId="20DDBB58" w14:textId="77777777" w:rsidR="00760E89" w:rsidRDefault="00750A02">
            <w:pPr>
              <w:pStyle w:val="Standard"/>
              <w:numPr>
                <w:ilvl w:val="0"/>
                <w:numId w:val="6"/>
              </w:numPr>
              <w:spacing w:after="26" w:line="264" w:lineRule="auto"/>
              <w:ind w:hanging="360"/>
            </w:pPr>
            <w:r>
              <w:t>acts of government, local government or Regulatory Bodies</w:t>
            </w:r>
          </w:p>
          <w:p w14:paraId="7568E5D9" w14:textId="77777777" w:rsidR="00760E89" w:rsidRDefault="00750A02">
            <w:pPr>
              <w:pStyle w:val="Standard"/>
              <w:numPr>
                <w:ilvl w:val="0"/>
                <w:numId w:val="6"/>
              </w:numPr>
              <w:spacing w:after="21" w:line="254" w:lineRule="auto"/>
              <w:ind w:hanging="360"/>
            </w:pPr>
            <w:r>
              <w:t>fire, flood or disaster and any failure or shortage of power or fuel</w:t>
            </w:r>
          </w:p>
          <w:p w14:paraId="5446AF97" w14:textId="77777777" w:rsidR="00760E89" w:rsidRDefault="00750A02">
            <w:pPr>
              <w:pStyle w:val="Standard"/>
              <w:numPr>
                <w:ilvl w:val="0"/>
                <w:numId w:val="6"/>
              </w:numPr>
              <w:spacing w:after="196" w:line="314" w:lineRule="auto"/>
              <w:ind w:hanging="360"/>
            </w:pPr>
            <w:r>
              <w:t>industrial dispute affecting a third party for which a substitute third party isn’t reasonably available</w:t>
            </w:r>
          </w:p>
          <w:p w14:paraId="36CB1424" w14:textId="77777777" w:rsidR="00760E89" w:rsidRDefault="00750A02">
            <w:pPr>
              <w:pStyle w:val="Standard"/>
              <w:spacing w:after="19" w:line="254" w:lineRule="auto"/>
              <w:ind w:left="2" w:firstLine="0"/>
            </w:pPr>
            <w:r>
              <w:t>The following do not constitute a Force Majeure event:</w:t>
            </w:r>
          </w:p>
          <w:p w14:paraId="27D06C37" w14:textId="77777777" w:rsidR="00760E89" w:rsidRDefault="00750A02">
            <w:pPr>
              <w:pStyle w:val="Standard"/>
              <w:numPr>
                <w:ilvl w:val="0"/>
                <w:numId w:val="6"/>
              </w:numPr>
              <w:spacing w:after="0" w:line="314" w:lineRule="auto"/>
              <w:ind w:hanging="360"/>
            </w:pPr>
            <w:r>
              <w:t>any industrial dispute about the Supplier, its staff, or failure in the Supplier’s (or a Subcontractor's) supply chain</w:t>
            </w:r>
          </w:p>
          <w:p w14:paraId="01D44A3C" w14:textId="77777777" w:rsidR="00760E89" w:rsidRDefault="00750A02">
            <w:pPr>
              <w:pStyle w:val="Standard"/>
              <w:numPr>
                <w:ilvl w:val="0"/>
                <w:numId w:val="6"/>
              </w:numPr>
              <w:spacing w:after="11" w:line="280" w:lineRule="auto"/>
              <w:ind w:hanging="360"/>
            </w:pPr>
            <w:r>
              <w:t>any event which is attributable to the wilful act, neglect or failure to take reasonable precautions by the Party seeking to rely on Force Majeure</w:t>
            </w:r>
          </w:p>
          <w:p w14:paraId="48308184" w14:textId="77777777" w:rsidR="00760E89" w:rsidRDefault="00750A02">
            <w:pPr>
              <w:pStyle w:val="Standard"/>
              <w:numPr>
                <w:ilvl w:val="0"/>
                <w:numId w:val="6"/>
              </w:numPr>
              <w:spacing w:after="28" w:line="254" w:lineRule="auto"/>
              <w:ind w:hanging="360"/>
            </w:pPr>
            <w:r>
              <w:t>the event was foreseeable by the Party seeking to rely on Force</w:t>
            </w:r>
          </w:p>
          <w:p w14:paraId="07E574C2" w14:textId="77777777" w:rsidR="00760E89" w:rsidRDefault="00750A02">
            <w:pPr>
              <w:pStyle w:val="Standard"/>
              <w:spacing w:after="17" w:line="254" w:lineRule="auto"/>
              <w:ind w:left="0" w:right="239" w:firstLine="0"/>
              <w:jc w:val="center"/>
            </w:pPr>
            <w:r>
              <w:t>Majeure at the time this Call-Off Contract was entered into</w:t>
            </w:r>
          </w:p>
          <w:p w14:paraId="08BCEBC1" w14:textId="77777777" w:rsidR="00760E89" w:rsidRDefault="00750A02">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760E89" w14:paraId="7C44ABC1"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2874ED4" w14:textId="77777777" w:rsidR="00760E89" w:rsidRDefault="00750A02">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BE7F23C" w14:textId="77777777" w:rsidR="00760E89" w:rsidRDefault="00750A02">
            <w:pPr>
              <w:pStyle w:val="Standard"/>
              <w:spacing w:after="0" w:line="25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760E89" w14:paraId="751FA06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17E01A6" w14:textId="77777777" w:rsidR="00760E89" w:rsidRDefault="00750A02">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A1224EF" w14:textId="77777777" w:rsidR="00760E89" w:rsidRDefault="00750A02">
            <w:pPr>
              <w:pStyle w:val="Standard"/>
              <w:spacing w:after="0" w:line="254" w:lineRule="auto"/>
              <w:ind w:left="2" w:firstLine="0"/>
              <w:jc w:val="both"/>
            </w:pPr>
            <w:r>
              <w:t>The clauses of framework agreement RM1557.13 together with the Framework Schedules.</w:t>
            </w:r>
          </w:p>
        </w:tc>
      </w:tr>
      <w:tr w:rsidR="00760E89" w14:paraId="5675F2B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95905AD" w14:textId="77777777" w:rsidR="00760E89" w:rsidRDefault="00750A02">
            <w:pPr>
              <w:pStyle w:val="Standard"/>
              <w:spacing w:after="0" w:line="254" w:lineRule="auto"/>
              <w:ind w:left="0" w:firstLine="0"/>
            </w:pPr>
            <w:r>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73BA6AC" w14:textId="77777777" w:rsidR="00760E89" w:rsidRDefault="00750A02">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05EE5033" w14:textId="77777777" w:rsidR="00760E89" w:rsidRDefault="00750A02">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6C70E83A"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875A98" w14:textId="77777777" w:rsidR="00760E89" w:rsidRDefault="00750A02">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DAB372F" w14:textId="77777777" w:rsidR="00760E89" w:rsidRDefault="00750A02">
            <w:pPr>
              <w:pStyle w:val="Standard"/>
              <w:spacing w:after="0" w:line="254" w:lineRule="auto"/>
              <w:ind w:left="2" w:firstLine="0"/>
            </w:pPr>
            <w:r>
              <w:t>defrauding or attempting to defraud or conspiring to defraud the Crown.</w:t>
            </w:r>
          </w:p>
        </w:tc>
      </w:tr>
      <w:tr w:rsidR="00760E89" w14:paraId="1748118D"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289F753" w14:textId="77777777" w:rsidR="00760E89" w:rsidRDefault="00750A02">
            <w:pPr>
              <w:pStyle w:val="Standard"/>
              <w:spacing w:after="0" w:line="254" w:lineRule="auto"/>
              <w:ind w:left="0" w:firstLine="0"/>
            </w:pPr>
            <w:r>
              <w:rPr>
                <w:b/>
              </w:rPr>
              <w:t>Freedom of Information</w:t>
            </w:r>
            <w:r>
              <w:t xml:space="preserve"> </w:t>
            </w:r>
            <w:r>
              <w:rPr>
                <w:b/>
              </w:rPr>
              <w:t>Act or FoIA</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E2078A" w14:textId="77777777" w:rsidR="00760E89" w:rsidRDefault="00750A02">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760E89" w14:paraId="29F92E9D"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2D60E96" w14:textId="77777777" w:rsidR="00760E89" w:rsidRDefault="00750A02">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8FA6B75" w14:textId="77777777" w:rsidR="00760E89" w:rsidRDefault="00750A02">
            <w:pPr>
              <w:pStyle w:val="Standard"/>
              <w:spacing w:after="0" w:line="25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760E89" w14:paraId="2619EFA1"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77DFEF9" w14:textId="77777777" w:rsidR="00760E89" w:rsidRDefault="00750A02">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7AB6A4E" w14:textId="77777777" w:rsidR="00760E89" w:rsidRDefault="00750A02">
            <w:pPr>
              <w:pStyle w:val="Standard"/>
              <w:spacing w:after="0" w:line="254" w:lineRule="auto"/>
              <w:ind w:left="2" w:firstLine="0"/>
            </w:pPr>
            <w:r>
              <w:t>The retained EU law version of the General Data Protection Regulation (Regulation (EU) 2016/679).</w:t>
            </w:r>
          </w:p>
        </w:tc>
      </w:tr>
      <w:tr w:rsidR="00760E89" w14:paraId="2AB6433A"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C0ABD4B" w14:textId="77777777" w:rsidR="00760E89" w:rsidRDefault="00750A02">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0CBCDD" w14:textId="77777777" w:rsidR="00760E89" w:rsidRDefault="00750A02">
            <w:pPr>
              <w:pStyle w:val="Standard"/>
              <w:spacing w:after="0" w:line="25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60E89" w14:paraId="1900B466"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D3DD2DA" w14:textId="77777777" w:rsidR="00760E89" w:rsidRDefault="00750A02">
            <w:pPr>
              <w:pStyle w:val="Standard"/>
              <w:spacing w:after="20" w:line="254" w:lineRule="auto"/>
              <w:ind w:left="0" w:firstLine="0"/>
            </w:pPr>
            <w:r>
              <w:rPr>
                <w:b/>
              </w:rPr>
              <w:lastRenderedPageBreak/>
              <w:t>Government</w:t>
            </w:r>
          </w:p>
          <w:p w14:paraId="37CEB350" w14:textId="77777777" w:rsidR="00760E89" w:rsidRDefault="00750A02">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C1CDCC" w14:textId="77777777" w:rsidR="00760E89" w:rsidRDefault="00750A02">
            <w:pPr>
              <w:pStyle w:val="Standard"/>
              <w:spacing w:after="0" w:line="254" w:lineRule="auto"/>
              <w:ind w:left="2" w:firstLine="0"/>
            </w:pPr>
            <w:r>
              <w:t>The government’s preferred method of purchasing and payment for low value goods or services.</w:t>
            </w:r>
          </w:p>
        </w:tc>
      </w:tr>
      <w:tr w:rsidR="00760E89" w14:paraId="452D88F4"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B1563C1" w14:textId="77777777" w:rsidR="00760E89" w:rsidRDefault="00750A02">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EA0AD85" w14:textId="77777777" w:rsidR="00760E89" w:rsidRDefault="00750A02">
            <w:pPr>
              <w:pStyle w:val="Standard"/>
              <w:spacing w:after="0" w:line="254" w:lineRule="auto"/>
              <w:ind w:left="2" w:firstLine="0"/>
            </w:pPr>
            <w:r>
              <w:t>The guarantee described in Schedule 5.</w:t>
            </w:r>
          </w:p>
        </w:tc>
      </w:tr>
      <w:tr w:rsidR="00760E89" w14:paraId="60A77009"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EEBD6F9" w14:textId="77777777" w:rsidR="00760E89" w:rsidRDefault="00750A02">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8A30299" w14:textId="77777777" w:rsidR="00760E89" w:rsidRDefault="00750A02">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760E89" w14:paraId="556A73AB"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281FBEA" w14:textId="77777777" w:rsidR="00760E89" w:rsidRDefault="00750A02">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A9F00A" w14:textId="77777777" w:rsidR="00760E89" w:rsidRDefault="00750A02">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760E89" w14:paraId="77A4481B"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FE43E43" w14:textId="77777777" w:rsidR="00760E89" w:rsidRDefault="00750A02">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3573B2" w14:textId="77777777" w:rsidR="00760E89" w:rsidRDefault="00750A02">
            <w:pPr>
              <w:pStyle w:val="Standard"/>
              <w:spacing w:after="0" w:line="254" w:lineRule="auto"/>
              <w:ind w:left="2" w:firstLine="0"/>
            </w:pPr>
            <w:r>
              <w:t>ESI tool completed by contractors on their own behalf at the request of CCS or the Buyer (as applicable) under clause 4.6.</w:t>
            </w:r>
          </w:p>
        </w:tc>
      </w:tr>
      <w:tr w:rsidR="00760E89" w14:paraId="08D1B857"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6F28D8" w14:textId="77777777" w:rsidR="00760E89" w:rsidRDefault="00750A02">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77EDC2E" w14:textId="77777777" w:rsidR="00760E89" w:rsidRDefault="00750A02">
            <w:pPr>
              <w:pStyle w:val="Standard"/>
              <w:spacing w:after="0" w:line="254" w:lineRule="auto"/>
              <w:ind w:left="2" w:firstLine="0"/>
            </w:pPr>
            <w:r>
              <w:t xml:space="preserve">Has the meaning given under section 84 of the Freedom of Information Act </w:t>
            </w:r>
            <w:proofErr w:type="gramStart"/>
            <w:r>
              <w:t>2000.</w:t>
            </w:r>
            <w:proofErr w:type="gramEnd"/>
          </w:p>
        </w:tc>
      </w:tr>
    </w:tbl>
    <w:p w14:paraId="70999D19" w14:textId="77777777" w:rsidR="00760E89" w:rsidRDefault="00750A02">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42DCF294"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02CAA76" w14:textId="77777777" w:rsidR="00760E89" w:rsidRDefault="00750A02">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C945DBD" w14:textId="77777777" w:rsidR="00760E89" w:rsidRDefault="00750A02">
            <w:pPr>
              <w:pStyle w:val="Standard"/>
              <w:spacing w:after="0" w:line="254" w:lineRule="auto"/>
              <w:ind w:left="2" w:firstLine="0"/>
            </w:pPr>
            <w:r>
              <w:t>The information security management system and process developed by the Supplier in accordance with clause 16.1.</w:t>
            </w:r>
          </w:p>
        </w:tc>
      </w:tr>
      <w:tr w:rsidR="00760E89" w14:paraId="1C29CF32"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152E637" w14:textId="77777777" w:rsidR="00760E89" w:rsidRDefault="00750A02">
            <w:pPr>
              <w:pStyle w:val="Standard"/>
              <w:spacing w:after="0" w:line="254" w:lineRule="auto"/>
              <w:ind w:left="0" w:firstLine="0"/>
            </w:pPr>
            <w:r>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456ACA3" w14:textId="77777777" w:rsidR="00760E89" w:rsidRDefault="00750A02">
            <w:pPr>
              <w:pStyle w:val="Standard"/>
              <w:spacing w:after="0" w:line="254" w:lineRule="auto"/>
              <w:ind w:left="2" w:firstLine="0"/>
            </w:pPr>
            <w:r>
              <w:t>Contractual engagements which would be determined to be within the scope of the IR35 Intermediaries legislation if assessed using the ESI tool.</w:t>
            </w:r>
          </w:p>
        </w:tc>
      </w:tr>
    </w:tbl>
    <w:p w14:paraId="0AFE6CD0" w14:textId="77777777" w:rsidR="00760E89" w:rsidRDefault="00760E89">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2EB8E893"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DA10B27" w14:textId="77777777" w:rsidR="00760E89" w:rsidRDefault="00750A02">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635BBBA" w14:textId="77777777" w:rsidR="00760E89" w:rsidRDefault="00750A02">
            <w:pPr>
              <w:pStyle w:val="Standard"/>
              <w:spacing w:after="39" w:line="254" w:lineRule="auto"/>
              <w:ind w:left="2" w:firstLine="0"/>
            </w:pPr>
            <w:r>
              <w:t>Can be:</w:t>
            </w:r>
          </w:p>
          <w:p w14:paraId="566F78E7" w14:textId="77777777" w:rsidR="00760E89" w:rsidRDefault="00750A02" w:rsidP="00075C10">
            <w:pPr>
              <w:pStyle w:val="Standard"/>
              <w:numPr>
                <w:ilvl w:val="0"/>
                <w:numId w:val="71"/>
              </w:numPr>
              <w:spacing w:after="46" w:line="254" w:lineRule="auto"/>
              <w:ind w:left="400" w:hanging="398"/>
            </w:pPr>
            <w:r>
              <w:t>a voluntary arrangement</w:t>
            </w:r>
          </w:p>
          <w:p w14:paraId="0D7E27D0" w14:textId="77777777" w:rsidR="00760E89" w:rsidRDefault="00750A02">
            <w:pPr>
              <w:pStyle w:val="Standard"/>
              <w:numPr>
                <w:ilvl w:val="0"/>
                <w:numId w:val="8"/>
              </w:numPr>
              <w:spacing w:after="45" w:line="254" w:lineRule="auto"/>
              <w:ind w:left="400" w:hanging="398"/>
            </w:pPr>
            <w:r>
              <w:t>a winding-up petition</w:t>
            </w:r>
          </w:p>
          <w:p w14:paraId="3BCA0DA3" w14:textId="77777777" w:rsidR="00760E89" w:rsidRDefault="00750A02">
            <w:pPr>
              <w:pStyle w:val="Standard"/>
              <w:numPr>
                <w:ilvl w:val="0"/>
                <w:numId w:val="8"/>
              </w:numPr>
              <w:spacing w:after="48" w:line="254" w:lineRule="auto"/>
              <w:ind w:left="400" w:hanging="398"/>
            </w:pPr>
            <w:r>
              <w:t>the appointment of a receiver or administrator</w:t>
            </w:r>
          </w:p>
          <w:p w14:paraId="5179ED19" w14:textId="77777777" w:rsidR="00760E89" w:rsidRDefault="00750A02">
            <w:pPr>
              <w:pStyle w:val="Standard"/>
              <w:numPr>
                <w:ilvl w:val="0"/>
                <w:numId w:val="8"/>
              </w:numPr>
              <w:spacing w:after="82" w:line="254" w:lineRule="auto"/>
              <w:ind w:left="400" w:hanging="398"/>
            </w:pPr>
            <w:r>
              <w:t>an unresolved statutory demand</w:t>
            </w:r>
          </w:p>
          <w:p w14:paraId="4D89AB7A" w14:textId="77777777" w:rsidR="00760E89" w:rsidRDefault="00750A02">
            <w:pPr>
              <w:pStyle w:val="Standard"/>
              <w:numPr>
                <w:ilvl w:val="0"/>
                <w:numId w:val="8"/>
              </w:numPr>
              <w:spacing w:after="35" w:line="254" w:lineRule="auto"/>
              <w:ind w:left="400" w:hanging="398"/>
            </w:pPr>
            <w:r>
              <w:t>a Schedule A1 moratorium</w:t>
            </w:r>
          </w:p>
          <w:p w14:paraId="35844787" w14:textId="77777777" w:rsidR="00760E89" w:rsidRDefault="00750A02">
            <w:pPr>
              <w:pStyle w:val="Standard"/>
              <w:numPr>
                <w:ilvl w:val="0"/>
                <w:numId w:val="8"/>
              </w:numPr>
              <w:spacing w:after="0" w:line="254" w:lineRule="auto"/>
              <w:ind w:left="400" w:hanging="398"/>
            </w:pPr>
            <w:r>
              <w:t>a Dun &amp; Bradstreet rating of 10 or less</w:t>
            </w:r>
          </w:p>
        </w:tc>
      </w:tr>
      <w:tr w:rsidR="00760E89" w14:paraId="1F99973C"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6BF23C7" w14:textId="77777777" w:rsidR="00760E89" w:rsidRDefault="00750A02">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DCC2AA2" w14:textId="77777777" w:rsidR="00760E89" w:rsidRDefault="00750A02">
            <w:pPr>
              <w:pStyle w:val="Standard"/>
              <w:spacing w:after="19" w:line="254" w:lineRule="auto"/>
              <w:ind w:left="2" w:firstLine="0"/>
            </w:pPr>
            <w:r>
              <w:t>Intellectual Property Rights are:</w:t>
            </w:r>
          </w:p>
          <w:p w14:paraId="4C8C8289" w14:textId="77777777" w:rsidR="00760E89" w:rsidRDefault="00750A02" w:rsidP="00075C10">
            <w:pPr>
              <w:pStyle w:val="Standard"/>
              <w:numPr>
                <w:ilvl w:val="0"/>
                <w:numId w:val="72"/>
              </w:numPr>
              <w:spacing w:after="0" w:line="280"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5789B02" w14:textId="77777777" w:rsidR="00760E89" w:rsidRDefault="00750A02">
            <w:pPr>
              <w:pStyle w:val="Standard"/>
              <w:numPr>
                <w:ilvl w:val="0"/>
                <w:numId w:val="10"/>
              </w:numPr>
              <w:spacing w:after="0" w:line="280" w:lineRule="auto"/>
              <w:ind w:hanging="360"/>
            </w:pPr>
            <w:r>
              <w:t>applications for registration, and the right to apply for registration, for any of the rights listed at (a) that are capable of being registered in any country or jurisdiction</w:t>
            </w:r>
          </w:p>
          <w:p w14:paraId="3EDF8261" w14:textId="77777777" w:rsidR="00760E89" w:rsidRDefault="00750A02">
            <w:pPr>
              <w:pStyle w:val="Standard"/>
              <w:numPr>
                <w:ilvl w:val="0"/>
                <w:numId w:val="10"/>
              </w:numPr>
              <w:spacing w:after="0" w:line="254" w:lineRule="auto"/>
              <w:ind w:hanging="360"/>
            </w:pPr>
            <w:r>
              <w:t>all other rights having equivalent or similar effect in any country or jurisdiction</w:t>
            </w:r>
          </w:p>
        </w:tc>
      </w:tr>
      <w:tr w:rsidR="00760E89" w14:paraId="383C8C0C"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24BA406" w14:textId="77777777" w:rsidR="00760E89" w:rsidRDefault="00750A02">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AE0621C" w14:textId="77777777" w:rsidR="00760E89" w:rsidRDefault="00750A02">
            <w:pPr>
              <w:pStyle w:val="Standard"/>
              <w:spacing w:after="36" w:line="254" w:lineRule="auto"/>
              <w:ind w:left="2" w:firstLine="0"/>
            </w:pPr>
            <w:r>
              <w:t>For the purposes of the IR35 rules an intermediary can be:</w:t>
            </w:r>
          </w:p>
          <w:p w14:paraId="5D207D2C" w14:textId="77777777" w:rsidR="00760E89" w:rsidRDefault="00750A02" w:rsidP="00075C10">
            <w:pPr>
              <w:pStyle w:val="Standard"/>
              <w:numPr>
                <w:ilvl w:val="0"/>
                <w:numId w:val="73"/>
              </w:numPr>
              <w:spacing w:after="0" w:line="254" w:lineRule="auto"/>
              <w:ind w:right="752" w:firstLine="0"/>
            </w:pPr>
            <w:r>
              <w:t>the supplier's own limited company</w:t>
            </w:r>
          </w:p>
          <w:p w14:paraId="426EF93F" w14:textId="77777777" w:rsidR="00760E89" w:rsidRDefault="00750A02">
            <w:pPr>
              <w:pStyle w:val="Standard"/>
              <w:numPr>
                <w:ilvl w:val="0"/>
                <w:numId w:val="12"/>
              </w:numPr>
              <w:spacing w:after="0" w:line="300" w:lineRule="auto"/>
              <w:ind w:right="752" w:firstLine="0"/>
            </w:pPr>
            <w:r>
              <w:t>a service or a personal service company</w:t>
            </w:r>
          </w:p>
          <w:p w14:paraId="365CADD2" w14:textId="77777777" w:rsidR="00760E89" w:rsidRDefault="00750A02">
            <w:pPr>
              <w:pStyle w:val="Standard"/>
              <w:numPr>
                <w:ilvl w:val="0"/>
                <w:numId w:val="12"/>
              </w:numPr>
              <w:spacing w:after="0" w:line="300" w:lineRule="auto"/>
              <w:ind w:right="752" w:firstLine="0"/>
            </w:pPr>
            <w:r>
              <w:t>a partnership</w:t>
            </w:r>
          </w:p>
          <w:p w14:paraId="1C851327" w14:textId="77777777" w:rsidR="00760E89" w:rsidRDefault="00750A02">
            <w:pPr>
              <w:pStyle w:val="Standard"/>
              <w:spacing w:after="0" w:line="254" w:lineRule="auto"/>
              <w:ind w:left="2" w:firstLine="0"/>
            </w:pPr>
            <w:r>
              <w:t>It does not apply if you work for a client through a Managed Service Company (MSC) or agency (for example, an employment agency).</w:t>
            </w:r>
          </w:p>
        </w:tc>
      </w:tr>
      <w:tr w:rsidR="00760E89" w14:paraId="40F99590"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5D569C7" w14:textId="77777777" w:rsidR="00760E89" w:rsidRDefault="00750A02">
            <w:pPr>
              <w:pStyle w:val="Standard"/>
              <w:spacing w:after="0" w:line="254" w:lineRule="auto"/>
              <w:ind w:left="0" w:firstLine="0"/>
            </w:pPr>
            <w:r>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479A5B" w14:textId="77777777" w:rsidR="00760E89" w:rsidRDefault="00750A02">
            <w:pPr>
              <w:pStyle w:val="Standard"/>
              <w:spacing w:after="0" w:line="254" w:lineRule="auto"/>
              <w:ind w:left="2" w:firstLine="0"/>
            </w:pPr>
            <w:r>
              <w:t>As set out in clause 11.5.</w:t>
            </w:r>
          </w:p>
        </w:tc>
      </w:tr>
      <w:tr w:rsidR="00760E89" w14:paraId="4F13BEB8"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1EB7C7F" w14:textId="77777777" w:rsidR="00760E89" w:rsidRDefault="00750A02">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213DD0C" w14:textId="77777777" w:rsidR="00760E89" w:rsidRDefault="00750A02">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760E89" w14:paraId="2D0D84B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3887CE0" w14:textId="77777777" w:rsidR="00760E89" w:rsidRDefault="00750A02">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62B7AA9" w14:textId="77777777" w:rsidR="00760E89" w:rsidRDefault="00750A02">
            <w:pPr>
              <w:pStyle w:val="Standard"/>
              <w:spacing w:after="0" w:line="254" w:lineRule="auto"/>
              <w:ind w:left="2" w:firstLine="0"/>
            </w:pPr>
            <w:r>
              <w:t>Assessment of employment status using the ESI tool to determine if engagement is Inside or Outside IR35.</w:t>
            </w:r>
          </w:p>
        </w:tc>
      </w:tr>
    </w:tbl>
    <w:p w14:paraId="7AA8C906" w14:textId="77777777" w:rsidR="00760E89" w:rsidRDefault="00750A02">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5FED7C5C"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834F101" w14:textId="77777777" w:rsidR="00760E89" w:rsidRDefault="00750A02">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20E76B9" w14:textId="77777777" w:rsidR="00760E89" w:rsidRDefault="00750A02">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760E89" w14:paraId="65091F73"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4C8B781" w14:textId="77777777" w:rsidR="00760E89" w:rsidRDefault="00750A02">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334A0CA" w14:textId="77777777" w:rsidR="00760E89" w:rsidRDefault="00750A02">
            <w:pPr>
              <w:pStyle w:val="Standard"/>
              <w:spacing w:after="0" w:line="25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760E89" w14:paraId="5A5629BD"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087637" w14:textId="77777777" w:rsidR="00760E89" w:rsidRDefault="00750A02">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1ABE3FD" w14:textId="77777777" w:rsidR="00760E89" w:rsidRDefault="00750A02">
            <w:pPr>
              <w:pStyle w:val="Standard"/>
              <w:spacing w:after="0" w:line="25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760E89" w14:paraId="77574352"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68C26C8" w14:textId="77777777" w:rsidR="00760E89" w:rsidRDefault="00750A02">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88872" w14:textId="77777777" w:rsidR="00760E89" w:rsidRDefault="00750A02">
            <w:pPr>
              <w:pStyle w:val="Standard"/>
              <w:spacing w:after="0" w:line="254" w:lineRule="auto"/>
              <w:ind w:left="2" w:firstLine="0"/>
            </w:pPr>
            <w:r>
              <w:t>Any of the 3 Lots specified in the ITT and Lots will be construed accordingly.</w:t>
            </w:r>
          </w:p>
        </w:tc>
      </w:tr>
      <w:tr w:rsidR="00760E89" w14:paraId="705461EE"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9BE8CAF" w14:textId="77777777" w:rsidR="00760E89" w:rsidRDefault="00750A02">
            <w:pPr>
              <w:pStyle w:val="Standard"/>
              <w:spacing w:after="0" w:line="254" w:lineRule="auto"/>
              <w:ind w:left="0" w:firstLine="0"/>
            </w:pPr>
            <w:r>
              <w:rPr>
                <w:b/>
              </w:rPr>
              <w:lastRenderedPageBreak/>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E2804FE" w14:textId="77777777" w:rsidR="00760E89" w:rsidRDefault="00750A02">
            <w:pPr>
              <w:pStyle w:val="Standard"/>
              <w:spacing w:after="0" w:line="25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60E89" w14:paraId="07779475"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03DE99C" w14:textId="77777777" w:rsidR="00760E89" w:rsidRDefault="00750A02">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237F325" w14:textId="77777777" w:rsidR="00760E89" w:rsidRDefault="00750A02">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60E89" w14:paraId="40A83887"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18700F5" w14:textId="77777777" w:rsidR="00760E89" w:rsidRDefault="00750A02">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3C702E" w14:textId="77777777" w:rsidR="00760E89" w:rsidRDefault="00750A02">
            <w:pPr>
              <w:pStyle w:val="Standard"/>
              <w:spacing w:after="0" w:line="254" w:lineRule="auto"/>
              <w:ind w:left="2" w:firstLine="0"/>
            </w:pPr>
            <w:r>
              <w:t>The management information specified in Framework Agreement Schedule 6.</w:t>
            </w:r>
          </w:p>
        </w:tc>
      </w:tr>
      <w:tr w:rsidR="00760E89" w14:paraId="23912275"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08D6625" w14:textId="77777777" w:rsidR="00760E89" w:rsidRDefault="00750A02">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B944E6B" w14:textId="77777777" w:rsidR="00760E89" w:rsidRDefault="00750A02">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760E89" w14:paraId="6ECA7AEE"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1E3B634" w14:textId="77777777" w:rsidR="00760E89" w:rsidRDefault="00750A02">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7D1983E" w14:textId="77777777" w:rsidR="00760E89" w:rsidRDefault="00750A02">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68DAF8B1" w14:textId="77777777" w:rsidR="00760E89" w:rsidRDefault="00750A02">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5DB733F4"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3837E6F" w14:textId="77777777" w:rsidR="00760E89" w:rsidRDefault="00750A02">
            <w:pPr>
              <w:pStyle w:val="Standard"/>
              <w:spacing w:after="0" w:line="254" w:lineRule="auto"/>
              <w:ind w:left="0" w:firstLine="0"/>
            </w:pPr>
            <w:r>
              <w:rPr>
                <w:b/>
              </w:rPr>
              <w:t>New Fair Deal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9643E3" w14:textId="77777777" w:rsidR="00760E89" w:rsidRDefault="00750A02">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760E89" w14:paraId="2852927A"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8510556" w14:textId="77777777" w:rsidR="00760E89" w:rsidRDefault="00750A02">
            <w:pPr>
              <w:pStyle w:val="Standard"/>
              <w:spacing w:after="0" w:line="254" w:lineRule="auto"/>
              <w:ind w:left="0" w:firstLine="0"/>
            </w:pPr>
            <w:r>
              <w:rPr>
                <w:b/>
              </w:rPr>
              <w:lastRenderedPageBreak/>
              <w:t>Order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7468B16" w14:textId="77777777" w:rsidR="00760E89" w:rsidRDefault="00750A02">
            <w:pPr>
              <w:pStyle w:val="Standard"/>
              <w:spacing w:after="0" w:line="254" w:lineRule="auto"/>
              <w:ind w:left="2" w:right="37" w:firstLine="0"/>
            </w:pPr>
            <w:r>
              <w:t>An order for G-Cloud Services placed by a contracting body with the Supplier in accordance with the ordering processes.</w:t>
            </w:r>
          </w:p>
        </w:tc>
      </w:tr>
      <w:tr w:rsidR="00760E89" w14:paraId="60171A15"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2CA10BD" w14:textId="77777777" w:rsidR="00760E89" w:rsidRDefault="00750A02">
            <w:pPr>
              <w:pStyle w:val="Standard"/>
              <w:spacing w:after="0" w:line="254" w:lineRule="auto"/>
              <w:ind w:left="0" w:firstLine="0"/>
            </w:pPr>
            <w:r>
              <w:rPr>
                <w:b/>
              </w:rPr>
              <w:t>Order 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0E1E7" w14:textId="77777777" w:rsidR="00760E89" w:rsidRDefault="00750A02">
            <w:pPr>
              <w:pStyle w:val="Standard"/>
              <w:spacing w:after="0" w:line="254" w:lineRule="auto"/>
              <w:ind w:left="2" w:firstLine="0"/>
            </w:pPr>
            <w:r>
              <w:t>The order form set out in Part A of the Call-Off Contract to be used by a Buyer to order G-Cloud Services.</w:t>
            </w:r>
          </w:p>
        </w:tc>
      </w:tr>
      <w:tr w:rsidR="00760E89" w14:paraId="141047A4"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508D30" w14:textId="77777777" w:rsidR="00760E89" w:rsidRDefault="00750A02">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456A6A" w14:textId="77777777" w:rsidR="00760E89" w:rsidRDefault="00750A02">
            <w:pPr>
              <w:pStyle w:val="Standard"/>
              <w:spacing w:after="0" w:line="254" w:lineRule="auto"/>
              <w:ind w:left="2" w:firstLine="0"/>
            </w:pPr>
            <w:r>
              <w:t>G-Cloud Services which are the subject of an order by the Buyer.</w:t>
            </w:r>
          </w:p>
        </w:tc>
      </w:tr>
      <w:tr w:rsidR="00760E89" w14:paraId="1385D47C"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F991DF8" w14:textId="77777777" w:rsidR="00760E89" w:rsidRDefault="00750A02">
            <w:pPr>
              <w:pStyle w:val="Standard"/>
              <w:spacing w:after="0" w:line="254" w:lineRule="auto"/>
              <w:ind w:left="0" w:firstLine="0"/>
            </w:pPr>
            <w:r>
              <w:rPr>
                <w:b/>
              </w:rPr>
              <w:t>Outside IR35</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01F8032" w14:textId="77777777" w:rsidR="00760E89" w:rsidRDefault="00750A02">
            <w:pPr>
              <w:pStyle w:val="Standard"/>
              <w:spacing w:after="0" w:line="25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760E89" w14:paraId="425B82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035561E" w14:textId="77777777" w:rsidR="00760E89" w:rsidRDefault="00750A02">
            <w:pPr>
              <w:pStyle w:val="Standard"/>
              <w:spacing w:after="0" w:line="254" w:lineRule="auto"/>
              <w:ind w:left="0" w:firstLine="0"/>
            </w:pPr>
            <w:r>
              <w:rPr>
                <w:b/>
              </w:rPr>
              <w:t>Party</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93571CC" w14:textId="77777777" w:rsidR="00760E89" w:rsidRDefault="00750A02">
            <w:pPr>
              <w:pStyle w:val="Standard"/>
              <w:spacing w:after="0" w:line="254" w:lineRule="auto"/>
              <w:ind w:left="2" w:firstLine="0"/>
            </w:pPr>
            <w:r>
              <w:t>The Buyer or the Supplier and ‘Parties’ will be interpreted accordingly.</w:t>
            </w:r>
          </w:p>
        </w:tc>
      </w:tr>
      <w:tr w:rsidR="00760E89" w14:paraId="3F1BA916"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9A842C" w14:textId="77777777" w:rsidR="00760E89" w:rsidRDefault="00750A02">
            <w:pPr>
              <w:pStyle w:val="Standard"/>
              <w:spacing w:after="0" w:line="254" w:lineRule="auto"/>
              <w:ind w:left="0" w:firstLine="0"/>
            </w:pPr>
            <w:r>
              <w:rPr>
                <w:b/>
              </w:rPr>
              <w:t>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1CD6155" w14:textId="77777777" w:rsidR="00760E89" w:rsidRDefault="00750A02">
            <w:pPr>
              <w:pStyle w:val="Standard"/>
              <w:spacing w:after="0" w:line="254" w:lineRule="auto"/>
              <w:ind w:left="2" w:firstLine="0"/>
            </w:pPr>
            <w:r>
              <w:t>Takes the meaning given in the UK GDPR.</w:t>
            </w:r>
          </w:p>
        </w:tc>
      </w:tr>
      <w:tr w:rsidR="00760E89" w14:paraId="1E9C531E"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32751B" w14:textId="77777777" w:rsidR="00760E89" w:rsidRDefault="00750A02">
            <w:pPr>
              <w:pStyle w:val="Standard"/>
              <w:spacing w:after="0" w:line="254" w:lineRule="auto"/>
              <w:ind w:left="0" w:firstLine="0"/>
            </w:pPr>
            <w:r>
              <w:rPr>
                <w:b/>
              </w:rPr>
              <w:lastRenderedPageBreak/>
              <w:t>Personal Data Breach</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C35B8E" w14:textId="77777777" w:rsidR="00760E89" w:rsidRDefault="00750A02">
            <w:pPr>
              <w:pStyle w:val="Standard"/>
              <w:spacing w:after="0" w:line="254" w:lineRule="auto"/>
              <w:ind w:left="2" w:firstLine="0"/>
            </w:pPr>
            <w:r>
              <w:t>Takes the meaning given in the UK GDPR.</w:t>
            </w:r>
          </w:p>
        </w:tc>
      </w:tr>
      <w:tr w:rsidR="00760E89" w14:paraId="71EB639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D7B64" w14:textId="77777777" w:rsidR="00760E89" w:rsidRDefault="00750A02">
            <w:pPr>
              <w:pStyle w:val="Standard"/>
              <w:spacing w:after="0" w:line="254" w:lineRule="auto"/>
              <w:ind w:left="0" w:firstLine="0"/>
            </w:pPr>
            <w:r>
              <w:rPr>
                <w:b/>
              </w:rPr>
              <w:t>Platform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E38ED5" w14:textId="77777777" w:rsidR="00760E89" w:rsidRDefault="00750A02">
            <w:pPr>
              <w:pStyle w:val="Standard"/>
              <w:spacing w:after="0" w:line="254" w:lineRule="auto"/>
              <w:ind w:left="2" w:firstLine="0"/>
            </w:pPr>
            <w:r>
              <w:t>The government marketplace where Services are available for Buyers to buy.</w:t>
            </w:r>
          </w:p>
        </w:tc>
      </w:tr>
      <w:tr w:rsidR="00760E89" w14:paraId="2F9A9A39" w14:textId="77777777">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593687" w14:textId="77777777" w:rsidR="00760E89" w:rsidRDefault="00750A02">
            <w:pPr>
              <w:pStyle w:val="Standard"/>
              <w:spacing w:after="0" w:line="254" w:lineRule="auto"/>
              <w:ind w:left="0" w:firstLine="0"/>
            </w:pPr>
            <w:r>
              <w:rPr>
                <w:b/>
              </w:rPr>
              <w:t>Processing</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F8DD7BE" w14:textId="77777777" w:rsidR="00760E89" w:rsidRDefault="00750A02">
            <w:pPr>
              <w:pStyle w:val="Standard"/>
              <w:spacing w:after="0" w:line="254" w:lineRule="auto"/>
              <w:ind w:left="2" w:firstLine="0"/>
            </w:pPr>
            <w:r>
              <w:t>Takes the meaning given in the UK GDPR.</w:t>
            </w:r>
          </w:p>
        </w:tc>
      </w:tr>
      <w:tr w:rsidR="00760E89" w14:paraId="61ECEAD8"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91B3C78" w14:textId="77777777" w:rsidR="00760E89" w:rsidRDefault="00750A02">
            <w:pPr>
              <w:pStyle w:val="Standard"/>
              <w:spacing w:after="0" w:line="254" w:lineRule="auto"/>
              <w:ind w:left="0" w:firstLine="0"/>
            </w:pPr>
            <w:r>
              <w:rPr>
                <w:b/>
              </w:rPr>
              <w:t>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4EBB78A" w14:textId="77777777" w:rsidR="00760E89" w:rsidRDefault="00750A02">
            <w:pPr>
              <w:pStyle w:val="Standard"/>
              <w:spacing w:after="0" w:line="254" w:lineRule="auto"/>
              <w:ind w:left="2" w:firstLine="0"/>
            </w:pPr>
            <w:r>
              <w:t>Takes the meaning given in the UK GDPR.</w:t>
            </w:r>
          </w:p>
        </w:tc>
      </w:tr>
      <w:tr w:rsidR="00760E89" w14:paraId="517D9DA4"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8FA45C5" w14:textId="77777777" w:rsidR="00760E89" w:rsidRDefault="00750A02">
            <w:pPr>
              <w:pStyle w:val="Standard"/>
              <w:spacing w:after="0" w:line="254" w:lineRule="auto"/>
              <w:ind w:left="0" w:firstLine="0"/>
            </w:pPr>
            <w:r>
              <w:rPr>
                <w:b/>
              </w:rPr>
              <w:t>Prohibited 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538696" w14:textId="77777777" w:rsidR="00760E89" w:rsidRDefault="00750A02">
            <w:pPr>
              <w:pStyle w:val="Standard"/>
              <w:spacing w:after="5" w:line="242" w:lineRule="auto"/>
              <w:ind w:left="2" w:firstLine="0"/>
            </w:pPr>
            <w:r>
              <w:t>To directly or indirectly offer, promise or give any person working for or engaged by a Buyer or CCS a financial or other advantage to:</w:t>
            </w:r>
          </w:p>
          <w:p w14:paraId="635EF12C" w14:textId="77777777" w:rsidR="00760E89" w:rsidRDefault="00750A02" w:rsidP="00075C10">
            <w:pPr>
              <w:pStyle w:val="Standard"/>
              <w:numPr>
                <w:ilvl w:val="0"/>
                <w:numId w:val="74"/>
              </w:numPr>
              <w:spacing w:after="0" w:line="280" w:lineRule="auto"/>
              <w:ind w:hanging="360"/>
            </w:pPr>
            <w:r>
              <w:t>induce that person to perform improperly a relevant function or activity</w:t>
            </w:r>
          </w:p>
          <w:p w14:paraId="4C57062A" w14:textId="77777777" w:rsidR="00760E89" w:rsidRDefault="00750A02">
            <w:pPr>
              <w:pStyle w:val="Standard"/>
              <w:numPr>
                <w:ilvl w:val="0"/>
                <w:numId w:val="13"/>
              </w:numPr>
              <w:spacing w:after="23" w:line="276" w:lineRule="auto"/>
              <w:ind w:hanging="360"/>
            </w:pPr>
            <w:r>
              <w:t>reward that person for improper performance of a relevant function or activity</w:t>
            </w:r>
          </w:p>
          <w:p w14:paraId="419469A7" w14:textId="77777777" w:rsidR="00760E89" w:rsidRDefault="00750A02">
            <w:pPr>
              <w:pStyle w:val="Standard"/>
              <w:numPr>
                <w:ilvl w:val="0"/>
                <w:numId w:val="13"/>
              </w:numPr>
              <w:spacing w:after="64" w:line="254" w:lineRule="auto"/>
              <w:ind w:hanging="360"/>
            </w:pPr>
            <w:r>
              <w:t>commit any offence:</w:t>
            </w:r>
          </w:p>
          <w:p w14:paraId="75A5F0D3" w14:textId="77777777" w:rsidR="00760E89" w:rsidRDefault="00750A02">
            <w:pPr>
              <w:pStyle w:val="Standard"/>
              <w:numPr>
                <w:ilvl w:val="1"/>
                <w:numId w:val="13"/>
              </w:numPr>
              <w:spacing w:after="64" w:line="254" w:lineRule="auto"/>
              <w:ind w:hanging="247"/>
            </w:pPr>
            <w:r>
              <w:t>under the Bribery Act 2010</w:t>
            </w:r>
          </w:p>
          <w:p w14:paraId="7A14C197" w14:textId="77777777" w:rsidR="00760E89" w:rsidRDefault="00750A02">
            <w:pPr>
              <w:pStyle w:val="Standard"/>
              <w:numPr>
                <w:ilvl w:val="1"/>
                <w:numId w:val="13"/>
              </w:numPr>
              <w:spacing w:after="64" w:line="254" w:lineRule="auto"/>
              <w:ind w:hanging="247"/>
            </w:pPr>
            <w:r>
              <w:t>under legislation creating offences concerning Fraud</w:t>
            </w:r>
          </w:p>
          <w:p w14:paraId="0953B046" w14:textId="77777777" w:rsidR="00760E89" w:rsidRDefault="00750A02">
            <w:pPr>
              <w:pStyle w:val="Standard"/>
              <w:numPr>
                <w:ilvl w:val="1"/>
                <w:numId w:val="13"/>
              </w:numPr>
              <w:spacing w:after="64" w:line="254" w:lineRule="auto"/>
              <w:ind w:hanging="247"/>
            </w:pPr>
            <w:r>
              <w:t>at common Law concerning Fraud</w:t>
            </w:r>
          </w:p>
          <w:p w14:paraId="6A9E2EFD" w14:textId="77777777" w:rsidR="00760E89" w:rsidRDefault="00750A02">
            <w:pPr>
              <w:pStyle w:val="Standard"/>
              <w:numPr>
                <w:ilvl w:val="1"/>
                <w:numId w:val="13"/>
              </w:numPr>
              <w:spacing w:after="64" w:line="254" w:lineRule="auto"/>
              <w:ind w:hanging="247"/>
            </w:pPr>
            <w:r>
              <w:t>committing or attempting or conspiring to commit Fraud</w:t>
            </w:r>
          </w:p>
        </w:tc>
      </w:tr>
    </w:tbl>
    <w:p w14:paraId="5B156E79" w14:textId="77777777" w:rsidR="00760E89" w:rsidRDefault="00750A02">
      <w:pPr>
        <w:pStyle w:val="Standard"/>
        <w:spacing w:after="0" w:line="254" w:lineRule="auto"/>
        <w:ind w:left="0" w:firstLine="0"/>
        <w:jc w:val="both"/>
      </w:pPr>
      <w:r>
        <w:t xml:space="preserve"> </w:t>
      </w:r>
    </w:p>
    <w:p w14:paraId="603C0640" w14:textId="77777777" w:rsidR="00760E89" w:rsidRDefault="00760E89">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6BC5DC16"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9C8AD79" w14:textId="77777777" w:rsidR="00760E89" w:rsidRDefault="00750A02">
            <w:pPr>
              <w:pStyle w:val="Standard"/>
              <w:spacing w:after="0" w:line="254" w:lineRule="auto"/>
              <w:ind w:left="0" w:firstLine="0"/>
            </w:pPr>
            <w:r>
              <w:rPr>
                <w:b/>
              </w:rPr>
              <w:lastRenderedPageBreak/>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B3EE33" w14:textId="77777777" w:rsidR="00760E89" w:rsidRDefault="00750A02">
            <w:pPr>
              <w:pStyle w:val="Standard"/>
              <w:spacing w:after="0" w:line="25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60E89" w14:paraId="3CDEAF7B"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09935B9" w14:textId="77777777" w:rsidR="00760E89" w:rsidRDefault="00750A02">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0AECC41" w14:textId="77777777" w:rsidR="00760E89" w:rsidRDefault="00750A02">
            <w:pPr>
              <w:pStyle w:val="Standard"/>
              <w:spacing w:after="0" w:line="254" w:lineRule="auto"/>
              <w:ind w:left="2" w:firstLine="0"/>
            </w:pPr>
            <w:r>
              <w:t>Assets and property including technical infrastructure, IPRs and equipment.</w:t>
            </w:r>
          </w:p>
        </w:tc>
      </w:tr>
      <w:tr w:rsidR="00760E89" w14:paraId="2C88C21F"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5FEE1AB" w14:textId="77777777" w:rsidR="00760E89" w:rsidRDefault="00750A02">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E242ABF" w14:textId="77777777" w:rsidR="00760E89" w:rsidRDefault="00750A02">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60E89" w14:paraId="3F590663"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8BE5D9" w14:textId="77777777" w:rsidR="00760E89" w:rsidRDefault="00750A02">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FD6D5B" w14:textId="77777777" w:rsidR="00760E89" w:rsidRDefault="00750A02">
            <w:pPr>
              <w:pStyle w:val="Standard"/>
              <w:spacing w:after="0" w:line="25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760E89" w14:paraId="55E37F1E"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556E4FF" w14:textId="77777777" w:rsidR="00760E89" w:rsidRDefault="00750A02">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19BED19" w14:textId="77777777" w:rsidR="00760E89" w:rsidRDefault="00750A02">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760E89" w14:paraId="61BF77F2"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3909418" w14:textId="77777777" w:rsidR="00760E89" w:rsidRDefault="00750A02">
            <w:pPr>
              <w:pStyle w:val="Standard"/>
              <w:spacing w:after="0" w:line="254" w:lineRule="auto"/>
              <w:ind w:left="0" w:firstLine="0"/>
            </w:pPr>
            <w:r>
              <w:rPr>
                <w:b/>
              </w:rPr>
              <w:lastRenderedPageBreak/>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C8E14C4" w14:textId="77777777" w:rsidR="00760E89" w:rsidRDefault="00750A02">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760E89" w14:paraId="0C66F70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696977" w14:textId="77777777" w:rsidR="00760E89" w:rsidRDefault="00750A02">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BFFB8F2" w14:textId="77777777" w:rsidR="00760E89" w:rsidRDefault="00750A02">
            <w:pPr>
              <w:pStyle w:val="Standard"/>
              <w:spacing w:after="0" w:line="254" w:lineRule="auto"/>
              <w:ind w:left="2" w:firstLine="0"/>
            </w:pPr>
            <w:r>
              <w:t>A transfer of employment to which the employment regulations applies.</w:t>
            </w:r>
          </w:p>
        </w:tc>
      </w:tr>
      <w:tr w:rsidR="00760E89" w14:paraId="4E91E589"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51F9C96" w14:textId="77777777" w:rsidR="00760E89" w:rsidRDefault="00750A02">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8C7068E" w14:textId="77777777" w:rsidR="00760E89" w:rsidRDefault="00750A02">
            <w:pPr>
              <w:pStyle w:val="Standard"/>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565323D1" w14:textId="77777777" w:rsidR="00760E89" w:rsidRDefault="00750A02">
            <w:pPr>
              <w:pStyle w:val="Standard"/>
              <w:spacing w:after="0" w:line="254" w:lineRule="auto"/>
              <w:ind w:left="2" w:firstLine="0"/>
            </w:pPr>
            <w:r>
              <w:t>Off Contract, whether those services are provided by the Buyer or a third party.</w:t>
            </w:r>
          </w:p>
        </w:tc>
      </w:tr>
      <w:tr w:rsidR="00760E89" w14:paraId="69C360EE"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1FA617" w14:textId="77777777" w:rsidR="00760E89" w:rsidRDefault="00750A02">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339AB8" w14:textId="77777777" w:rsidR="00760E89" w:rsidRDefault="00750A02">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760E89" w14:paraId="2A25331A"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76A6D5F" w14:textId="77777777" w:rsidR="00760E89" w:rsidRDefault="00750A02">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8F28000" w14:textId="77777777" w:rsidR="00760E89" w:rsidRDefault="00750A02">
            <w:pPr>
              <w:pStyle w:val="Standard"/>
              <w:spacing w:after="0" w:line="254" w:lineRule="auto"/>
              <w:ind w:left="2" w:firstLine="0"/>
            </w:pPr>
            <w:r>
              <w:t>The Supplier's security management plan developed by the Supplier in accordance with clause 16.1.</w:t>
            </w:r>
          </w:p>
        </w:tc>
      </w:tr>
    </w:tbl>
    <w:p w14:paraId="702641A3" w14:textId="77777777" w:rsidR="00760E89" w:rsidRDefault="00750A02">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7B85367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6B0F837" w14:textId="77777777" w:rsidR="00760E89" w:rsidRDefault="00750A02">
            <w:pPr>
              <w:pStyle w:val="Standard"/>
              <w:spacing w:after="0" w:line="254" w:lineRule="auto"/>
              <w:ind w:left="0" w:firstLine="0"/>
            </w:pPr>
            <w:r>
              <w:rPr>
                <w:b/>
              </w:rPr>
              <w:lastRenderedPageBreak/>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2EFBF8" w14:textId="77777777" w:rsidR="00760E89" w:rsidRDefault="00750A02">
            <w:pPr>
              <w:pStyle w:val="Standard"/>
              <w:spacing w:after="0" w:line="254" w:lineRule="auto"/>
              <w:ind w:left="2" w:firstLine="0"/>
            </w:pPr>
            <w:r>
              <w:t>The services ordered by the Buyer as set out in the Order Form.</w:t>
            </w:r>
          </w:p>
        </w:tc>
      </w:tr>
      <w:tr w:rsidR="00760E89" w14:paraId="19948BAC"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086E66B" w14:textId="77777777" w:rsidR="00760E89" w:rsidRDefault="00750A02">
            <w:pPr>
              <w:pStyle w:val="Standard"/>
              <w:spacing w:after="0" w:line="254" w:lineRule="auto"/>
              <w:ind w:left="0" w:firstLine="0"/>
            </w:pPr>
            <w:r>
              <w:rPr>
                <w:b/>
              </w:rPr>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2426E77" w14:textId="77777777" w:rsidR="00760E89" w:rsidRDefault="00750A02">
            <w:pPr>
              <w:pStyle w:val="Standard"/>
              <w:spacing w:after="0" w:line="254" w:lineRule="auto"/>
              <w:ind w:left="2" w:firstLine="0"/>
            </w:pPr>
            <w:r>
              <w:t>Data that is owned or managed by the Buyer and used for the G-Cloud Services, including backup data.</w:t>
            </w:r>
          </w:p>
        </w:tc>
      </w:tr>
      <w:tr w:rsidR="00760E89" w14:paraId="7ED2505C"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2BF010D" w14:textId="77777777" w:rsidR="00760E89" w:rsidRDefault="00750A02">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4983913" w14:textId="77777777" w:rsidR="00760E89" w:rsidRDefault="00750A02">
            <w:pPr>
              <w:pStyle w:val="Standard"/>
              <w:spacing w:after="0" w:line="254" w:lineRule="auto"/>
              <w:ind w:left="2" w:firstLine="0"/>
            </w:pPr>
            <w:r>
              <w:t>The definition of the Supplier's G-Cloud Services provided as part of their Application that includes, but isn’t limited to, those items listed in Clause 2 (Services) of the Framework Agreement.</w:t>
            </w:r>
          </w:p>
        </w:tc>
      </w:tr>
      <w:tr w:rsidR="00760E89" w14:paraId="15F3B2CB"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561DE0B" w14:textId="77777777" w:rsidR="00760E89" w:rsidRDefault="00750A02">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6903950" w14:textId="77777777" w:rsidR="00760E89" w:rsidRDefault="00750A02">
            <w:pPr>
              <w:pStyle w:val="Standard"/>
              <w:spacing w:after="0" w:line="254" w:lineRule="auto"/>
              <w:ind w:left="2" w:firstLine="0"/>
            </w:pPr>
            <w:r>
              <w:t>The description of the Supplier service offering as published on the Platform.</w:t>
            </w:r>
          </w:p>
        </w:tc>
      </w:tr>
      <w:tr w:rsidR="00760E89" w14:paraId="38E3DC21"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1ECB9F" w14:textId="77777777" w:rsidR="00760E89" w:rsidRDefault="00750A02">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5765D3D" w14:textId="77777777" w:rsidR="00760E89" w:rsidRDefault="00750A02">
            <w:pPr>
              <w:pStyle w:val="Standard"/>
              <w:spacing w:after="0" w:line="254" w:lineRule="auto"/>
              <w:ind w:left="2" w:firstLine="0"/>
            </w:pPr>
            <w:r>
              <w:t>The Personal Data supplied by a Buyer to the Supplier in the course of the use of the G-Cloud Services for purposes of or in connection with this Call-Off Contract.</w:t>
            </w:r>
          </w:p>
        </w:tc>
      </w:tr>
      <w:tr w:rsidR="00760E89" w14:paraId="0D2877C9"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880B834" w14:textId="77777777" w:rsidR="00760E89" w:rsidRDefault="00750A02">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27710B" w14:textId="77777777" w:rsidR="00760E89" w:rsidRDefault="00750A02">
            <w:pPr>
              <w:pStyle w:val="Standard"/>
              <w:spacing w:after="0" w:line="254" w:lineRule="auto"/>
              <w:ind w:left="2" w:firstLine="0"/>
            </w:pPr>
            <w:r>
              <w:t xml:space="preserve">The approval process used by a central government Buyer if it needs to spend money on certain digital or technology services, see </w:t>
            </w:r>
            <w:hyperlink r:id="rId27" w:history="1">
              <w:r>
                <w:rPr>
                  <w:u w:val="single"/>
                </w:rPr>
                <w:t>https://www.gov.uk/service-manual/agile-delivery/spend-controlsche ck-if-you-need-approval-to-spend-money-on-a-service</w:t>
              </w:r>
            </w:hyperlink>
            <w:hyperlink r:id="rId28" w:history="1">
              <w:r>
                <w:t xml:space="preserve"> </w:t>
              </w:r>
            </w:hyperlink>
          </w:p>
        </w:tc>
      </w:tr>
      <w:tr w:rsidR="00760E89" w14:paraId="439D22CD"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48803C1" w14:textId="77777777" w:rsidR="00760E89" w:rsidRDefault="00750A02">
            <w:pPr>
              <w:pStyle w:val="Standard"/>
              <w:spacing w:after="0" w:line="254" w:lineRule="auto"/>
              <w:ind w:left="0" w:firstLine="0"/>
            </w:pPr>
            <w:r>
              <w:rPr>
                <w:b/>
              </w:rPr>
              <w:lastRenderedPageBreak/>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104E39F" w14:textId="77777777" w:rsidR="00760E89" w:rsidRDefault="00750A02">
            <w:pPr>
              <w:pStyle w:val="Standard"/>
              <w:spacing w:after="0" w:line="254" w:lineRule="auto"/>
              <w:ind w:left="2" w:firstLine="0"/>
            </w:pPr>
            <w:r>
              <w:t>The Start date of this Call-Off Contract as set out in the Order Form.</w:t>
            </w:r>
          </w:p>
        </w:tc>
      </w:tr>
      <w:tr w:rsidR="00760E89" w14:paraId="009DBDD2"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E4CFCB8" w14:textId="77777777" w:rsidR="00760E89" w:rsidRDefault="00750A02">
            <w:pPr>
              <w:pStyle w:val="Standard"/>
              <w:spacing w:after="0" w:line="254" w:lineRule="auto"/>
              <w:ind w:left="0" w:firstLine="0"/>
            </w:pPr>
            <w:r>
              <w:rPr>
                <w:b/>
              </w:rPr>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A880E69" w14:textId="77777777" w:rsidR="00760E89" w:rsidRDefault="00750A02">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60E89" w14:paraId="52139A2D"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E87D571" w14:textId="77777777" w:rsidR="00760E89" w:rsidRDefault="00750A02">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C1413B5" w14:textId="77777777" w:rsidR="00760E89" w:rsidRDefault="00750A02">
            <w:pPr>
              <w:pStyle w:val="Standard"/>
              <w:spacing w:after="18" w:line="254" w:lineRule="auto"/>
              <w:ind w:left="2" w:firstLine="0"/>
            </w:pPr>
            <w:r>
              <w:t>Any third party engaged by the Supplier under a subcontract</w:t>
            </w:r>
          </w:p>
          <w:p w14:paraId="2945133F" w14:textId="77777777" w:rsidR="00760E89" w:rsidRDefault="00750A02">
            <w:pPr>
              <w:pStyle w:val="Standard"/>
              <w:spacing w:after="2" w:line="254" w:lineRule="auto"/>
              <w:ind w:left="2" w:firstLine="0"/>
            </w:pPr>
            <w:r>
              <w:t>(permitted under the Framework Agreement and the Call-Off</w:t>
            </w:r>
          </w:p>
          <w:p w14:paraId="5A00218A" w14:textId="77777777" w:rsidR="00760E89" w:rsidRDefault="00750A02">
            <w:pPr>
              <w:pStyle w:val="Standard"/>
              <w:spacing w:after="0" w:line="254" w:lineRule="auto"/>
              <w:ind w:left="2" w:firstLine="0"/>
            </w:pPr>
            <w:r>
              <w:t>Contract) and its servants or agents in connection with the provision of G-Cloud Services.</w:t>
            </w:r>
          </w:p>
        </w:tc>
      </w:tr>
      <w:tr w:rsidR="00760E89" w14:paraId="1B0905D9"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50E9187" w14:textId="77777777" w:rsidR="00760E89" w:rsidRDefault="00750A02">
            <w:pPr>
              <w:pStyle w:val="Standard"/>
              <w:spacing w:after="0" w:line="254" w:lineRule="auto"/>
              <w:ind w:left="0" w:firstLine="0"/>
            </w:pPr>
            <w:proofErr w:type="spellStart"/>
            <w:r>
              <w:rPr>
                <w:b/>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F1D870" w14:textId="77777777" w:rsidR="00760E89" w:rsidRDefault="00750A02">
            <w:pPr>
              <w:pStyle w:val="Standard"/>
              <w:spacing w:after="0" w:line="254" w:lineRule="auto"/>
              <w:ind w:left="2" w:firstLine="0"/>
            </w:pPr>
            <w:r>
              <w:t>Any third party appointed to process Personal Data on behalf of the Supplier under this Call-Off Contract.</w:t>
            </w:r>
          </w:p>
        </w:tc>
      </w:tr>
      <w:tr w:rsidR="00760E89" w14:paraId="1D12C047"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4322269" w14:textId="77777777" w:rsidR="00760E89" w:rsidRDefault="00750A02">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25EE20C" w14:textId="77777777" w:rsidR="00760E89" w:rsidRDefault="00750A02">
            <w:pPr>
              <w:pStyle w:val="Standard"/>
              <w:spacing w:after="0" w:line="254" w:lineRule="auto"/>
              <w:ind w:left="2" w:firstLine="0"/>
            </w:pPr>
            <w:r>
              <w:t>The person, firm or company identified in the Order Form.</w:t>
            </w:r>
          </w:p>
        </w:tc>
      </w:tr>
      <w:tr w:rsidR="00760E89" w14:paraId="5F0824F3"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3671611" w14:textId="77777777" w:rsidR="00760E89" w:rsidRDefault="00750A02">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C685CE" w14:textId="77777777" w:rsidR="00760E89" w:rsidRDefault="00750A02">
            <w:pPr>
              <w:pStyle w:val="Standard"/>
              <w:spacing w:after="0" w:line="254" w:lineRule="auto"/>
              <w:ind w:left="2" w:firstLine="0"/>
            </w:pPr>
            <w:r>
              <w:t>The representative appointed by the Supplier from time to time in relation to the Call-Off Contract.</w:t>
            </w:r>
          </w:p>
        </w:tc>
      </w:tr>
    </w:tbl>
    <w:p w14:paraId="567E5472" w14:textId="77777777" w:rsidR="00760E89" w:rsidRDefault="00750A02">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760E89" w14:paraId="229B0A41"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77A6EE8" w14:textId="77777777" w:rsidR="00760E89" w:rsidRDefault="00750A02">
            <w:pPr>
              <w:pStyle w:val="Standard"/>
              <w:spacing w:after="0" w:line="254" w:lineRule="auto"/>
              <w:ind w:left="0" w:firstLine="0"/>
            </w:pPr>
            <w:r>
              <w:rPr>
                <w:b/>
              </w:rPr>
              <w:lastRenderedPageBreak/>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EFD9DC9" w14:textId="77777777" w:rsidR="00760E89" w:rsidRDefault="00750A02">
            <w:pPr>
              <w:pStyle w:val="Standard"/>
              <w:spacing w:after="0" w:line="254" w:lineRule="auto"/>
              <w:ind w:left="2" w:firstLine="0"/>
            </w:pPr>
            <w:r>
              <w:t>All persons employed by the Supplier together with the Supplier’s servants, agents, suppliers and subcontractors used in the performance of its obligations under this Call-Off Contract.</w:t>
            </w:r>
          </w:p>
        </w:tc>
      </w:tr>
      <w:tr w:rsidR="00760E89" w14:paraId="665F3B9B"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0E5181C" w14:textId="77777777" w:rsidR="00760E89" w:rsidRDefault="00750A02">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FDAC25C" w14:textId="77777777" w:rsidR="00760E89" w:rsidRDefault="00750A02">
            <w:pPr>
              <w:pStyle w:val="Standard"/>
              <w:spacing w:after="0" w:line="254" w:lineRule="auto"/>
              <w:ind w:left="2" w:firstLine="0"/>
            </w:pPr>
            <w:r>
              <w:t>The relevant G-Cloud Service terms and conditions as set out in the Terms and Conditions document supplied as part of the Supplier’s Application.</w:t>
            </w:r>
          </w:p>
        </w:tc>
      </w:tr>
      <w:tr w:rsidR="00760E89" w14:paraId="1ED9082E"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7E90A2" w14:textId="77777777" w:rsidR="00760E89" w:rsidRDefault="00750A02">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87F8334" w14:textId="77777777" w:rsidR="00760E89" w:rsidRDefault="00750A02">
            <w:pPr>
              <w:pStyle w:val="Standard"/>
              <w:spacing w:after="0" w:line="254" w:lineRule="auto"/>
              <w:ind w:left="2" w:firstLine="0"/>
            </w:pPr>
            <w:r>
              <w:t>The term of this Call-Off Contract as set out in the Order Form.</w:t>
            </w:r>
          </w:p>
        </w:tc>
      </w:tr>
      <w:tr w:rsidR="00760E89" w14:paraId="491EF2C0"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71B9F96" w14:textId="77777777" w:rsidR="00760E89" w:rsidRDefault="00750A02">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9C5ECEC" w14:textId="77777777" w:rsidR="00760E89" w:rsidRDefault="00750A02">
            <w:pPr>
              <w:pStyle w:val="Standard"/>
              <w:spacing w:after="0" w:line="254" w:lineRule="auto"/>
              <w:ind w:left="2" w:firstLine="0"/>
            </w:pPr>
            <w:r>
              <w:t>This has the meaning given to it in clause 32 (Variation process).</w:t>
            </w:r>
          </w:p>
        </w:tc>
      </w:tr>
      <w:tr w:rsidR="00760E89" w14:paraId="73F4633D"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353817F" w14:textId="77777777" w:rsidR="00760E89" w:rsidRDefault="00750A02">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59BC57E" w14:textId="77777777" w:rsidR="00760E89" w:rsidRDefault="00750A02">
            <w:pPr>
              <w:pStyle w:val="Standard"/>
              <w:spacing w:after="0" w:line="254" w:lineRule="auto"/>
              <w:ind w:left="2" w:firstLine="0"/>
            </w:pPr>
            <w:r>
              <w:t>Any day other than a Saturday, Sunday or public holiday in England and Wales.</w:t>
            </w:r>
          </w:p>
        </w:tc>
      </w:tr>
      <w:tr w:rsidR="00760E89" w14:paraId="498449AA"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1900DBB" w14:textId="77777777" w:rsidR="00760E89" w:rsidRDefault="00750A02">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E6B6813" w14:textId="77777777" w:rsidR="00760E89" w:rsidRDefault="00750A02">
            <w:pPr>
              <w:pStyle w:val="Standard"/>
              <w:spacing w:after="0" w:line="254" w:lineRule="auto"/>
              <w:ind w:left="2" w:firstLine="0"/>
            </w:pPr>
            <w:r>
              <w:t>A contract year.</w:t>
            </w:r>
          </w:p>
        </w:tc>
      </w:tr>
    </w:tbl>
    <w:p w14:paraId="730ADCE7" w14:textId="77777777" w:rsidR="00760E89" w:rsidRDefault="00750A02">
      <w:pPr>
        <w:pStyle w:val="Standard"/>
        <w:spacing w:after="0" w:line="254" w:lineRule="auto"/>
        <w:ind w:left="1142" w:firstLine="0"/>
        <w:jc w:val="both"/>
      </w:pPr>
      <w:r>
        <w:t xml:space="preserve"> </w:t>
      </w:r>
      <w:r>
        <w:tab/>
      </w:r>
    </w:p>
    <w:p w14:paraId="02C97FDC" w14:textId="77777777" w:rsidR="00C633DD" w:rsidRDefault="00C633DD">
      <w:pPr>
        <w:pStyle w:val="Heading2"/>
        <w:ind w:left="1113" w:firstLine="1118"/>
      </w:pPr>
    </w:p>
    <w:p w14:paraId="073ACACE" w14:textId="77777777" w:rsidR="00760E89" w:rsidRDefault="00750A02">
      <w:pPr>
        <w:pStyle w:val="Heading2"/>
        <w:ind w:left="1113" w:firstLine="1118"/>
      </w:pPr>
      <w:r>
        <w:t>Schedule 7: UK GDPR Information</w:t>
      </w:r>
    </w:p>
    <w:p w14:paraId="7582F6EF" w14:textId="77777777" w:rsidR="00760E89" w:rsidRDefault="00750A02">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3C482534" w14:textId="77777777" w:rsidR="00760E89" w:rsidRDefault="00750A02">
      <w:pPr>
        <w:pStyle w:val="Heading2"/>
        <w:spacing w:after="260" w:line="240" w:lineRule="auto"/>
        <w:ind w:left="1113" w:firstLine="1118"/>
      </w:pPr>
      <w:r>
        <w:t>Annex 1: Processing Personal Data</w:t>
      </w:r>
    </w:p>
    <w:p w14:paraId="36C8064C" w14:textId="77777777" w:rsidR="00760E89" w:rsidRDefault="00750A02">
      <w:pPr>
        <w:pStyle w:val="Standard"/>
        <w:spacing w:after="0" w:line="240" w:lineRule="auto"/>
        <w:ind w:right="14"/>
      </w:pPr>
      <w:r>
        <w:t>This Annex shall be completed by the Controller, who may take account of the view of the</w:t>
      </w:r>
    </w:p>
    <w:p w14:paraId="32A6533F" w14:textId="77777777" w:rsidR="00760E89" w:rsidRDefault="00750A02">
      <w:pPr>
        <w:pStyle w:val="Standard"/>
        <w:spacing w:after="345" w:line="240" w:lineRule="auto"/>
        <w:ind w:right="14"/>
      </w:pPr>
      <w:r>
        <w:t>Processors, however the final decision as to the content of this Annex shall be with the Buyer at its absolute discretion.</w:t>
      </w:r>
    </w:p>
    <w:p w14:paraId="31D47639" w14:textId="77777777" w:rsidR="00760E89" w:rsidRDefault="00750A02" w:rsidP="006365DA">
      <w:pPr>
        <w:pStyle w:val="Standard"/>
        <w:tabs>
          <w:tab w:val="center" w:pos="1272"/>
          <w:tab w:val="center" w:pos="5964"/>
        </w:tabs>
        <w:spacing w:after="355" w:line="240" w:lineRule="auto"/>
        <w:ind w:left="1118" w:hanging="1118"/>
      </w:pPr>
      <w:r>
        <w:rPr>
          <w:rFonts w:ascii="Calibri" w:eastAsia="Calibri" w:hAnsi="Calibri" w:cs="Calibri"/>
        </w:rPr>
        <w:tab/>
      </w:r>
      <w:r>
        <w:t xml:space="preserve">1.1 </w:t>
      </w:r>
      <w:r>
        <w:tab/>
        <w:t xml:space="preserve">The contact details of the Buyer’s Data Protection Officer are: </w:t>
      </w:r>
      <w:r w:rsidR="006365DA">
        <w:rPr>
          <w:b/>
          <w:color w:val="FF0000"/>
        </w:rPr>
        <w:t>REDACTED TEXT under FOIA Section 40, Personal Information</w:t>
      </w:r>
    </w:p>
    <w:p w14:paraId="3EC8367C" w14:textId="77777777" w:rsidR="00760E89" w:rsidRDefault="00750A02" w:rsidP="00BF2D83">
      <w:pPr>
        <w:pStyle w:val="Standard"/>
        <w:tabs>
          <w:tab w:val="center" w:pos="1272"/>
          <w:tab w:val="center" w:pos="6081"/>
        </w:tabs>
        <w:ind w:left="1134" w:firstLine="0"/>
      </w:pPr>
      <w:r>
        <w:rPr>
          <w:rFonts w:ascii="Calibri" w:eastAsia="Calibri" w:hAnsi="Calibri" w:cs="Calibri"/>
        </w:rPr>
        <w:tab/>
      </w:r>
      <w:r>
        <w:t xml:space="preserve">1.2 </w:t>
      </w:r>
      <w:r w:rsidR="00BF2D83">
        <w:t xml:space="preserve">   T</w:t>
      </w:r>
      <w:r>
        <w:t xml:space="preserve">he contact details of the Supplier’s Data Protection Officer are: </w:t>
      </w:r>
      <w:r w:rsidR="00881F44">
        <w:rPr>
          <w:b/>
          <w:color w:val="FF0000"/>
        </w:rPr>
        <w:t>REDACTED TEXT under FOIA Section 40, Personal Information</w:t>
      </w:r>
    </w:p>
    <w:p w14:paraId="21DEFB5B" w14:textId="77777777" w:rsidR="00760E89" w:rsidRDefault="00750A02">
      <w:pPr>
        <w:pStyle w:val="Standard"/>
        <w:ind w:left="1838" w:right="14" w:hanging="720"/>
      </w:pPr>
      <w:r>
        <w:t xml:space="preserve">1.3 </w:t>
      </w:r>
      <w:r>
        <w:tab/>
        <w:t>The Processor shall comply with any further written instructions with respect to Processing by the Controller.</w:t>
      </w:r>
    </w:p>
    <w:p w14:paraId="025D9067" w14:textId="77777777" w:rsidR="00760E89" w:rsidRDefault="00750A02">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000" w:firstRow="0" w:lastRow="0" w:firstColumn="0" w:lastColumn="0" w:noHBand="0" w:noVBand="0"/>
      </w:tblPr>
      <w:tblGrid>
        <w:gridCol w:w="4519"/>
        <w:gridCol w:w="4499"/>
      </w:tblGrid>
      <w:tr w:rsidR="00760E89" w14:paraId="4C7863AE"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A7977B0" w14:textId="77777777" w:rsidR="00760E89" w:rsidRDefault="00760E89">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F18498" w14:textId="77777777" w:rsidR="00760E89" w:rsidRDefault="00760E89">
            <w:pPr>
              <w:pStyle w:val="Standard"/>
              <w:spacing w:after="160" w:line="254" w:lineRule="auto"/>
              <w:ind w:left="0" w:firstLine="0"/>
            </w:pPr>
          </w:p>
        </w:tc>
      </w:tr>
      <w:tr w:rsidR="00760E89" w14:paraId="1C9E337C"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194E759" w14:textId="77777777" w:rsidR="00760E89" w:rsidRDefault="00750A02">
            <w:pPr>
              <w:pStyle w:val="Standard"/>
              <w:spacing w:after="0" w:line="25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87C1E2C" w14:textId="77777777" w:rsidR="00760E89" w:rsidRDefault="00750A02">
            <w:pPr>
              <w:pStyle w:val="Standard"/>
              <w:spacing w:after="0" w:line="254" w:lineRule="auto"/>
              <w:ind w:left="0" w:firstLine="0"/>
            </w:pPr>
            <w:r>
              <w:rPr>
                <w:b/>
              </w:rPr>
              <w:t>Details</w:t>
            </w:r>
          </w:p>
        </w:tc>
      </w:tr>
      <w:tr w:rsidR="00760E89" w14:paraId="13213337" w14:textId="77777777">
        <w:trPr>
          <w:trHeight w:val="6089"/>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7C29EA0B" w14:textId="77777777" w:rsidR="00760E89" w:rsidRDefault="00750A02">
            <w:pPr>
              <w:pStyle w:val="Standard"/>
              <w:spacing w:after="0" w:line="254" w:lineRule="auto"/>
              <w:ind w:left="2" w:firstLine="0"/>
            </w:pPr>
            <w:r>
              <w:lastRenderedPageBreak/>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6F04AB91" w14:textId="77777777" w:rsidR="00760E89" w:rsidRDefault="00750A02">
            <w:pPr>
              <w:pStyle w:val="Standard"/>
              <w:spacing w:after="300" w:line="280" w:lineRule="auto"/>
              <w:ind w:left="0" w:firstLine="0"/>
            </w:pPr>
            <w:r>
              <w:rPr>
                <w:b/>
              </w:rPr>
              <w:t>The Buyer is Controller and the Supplier is Processor</w:t>
            </w:r>
          </w:p>
          <w:p w14:paraId="2136D862" w14:textId="77777777" w:rsidR="003D6385" w:rsidRDefault="00750A02" w:rsidP="003D6385">
            <w:pPr>
              <w:pStyle w:val="Standard"/>
              <w:spacing w:after="660" w:line="283" w:lineRule="auto"/>
              <w:ind w:left="0" w:right="33" w:firstLine="0"/>
              <w:rPr>
                <w:b/>
                <w:i/>
                <w:shd w:val="clear" w:color="auto" w:fill="FFFF00"/>
              </w:rPr>
            </w:pPr>
            <w:r>
              <w:t>The Parties acknowledge that in accordance with paragraphs 2 to paragraph 15 of Schedule 7 and for the purposes of the Data Protection Legislation, Buyer is the Controller and the Supplier is the Processor of the Personal Data recorded below</w:t>
            </w:r>
            <w:r w:rsidR="003D6385">
              <w:t>:</w:t>
            </w:r>
            <w:r>
              <w:t xml:space="preserve"> </w:t>
            </w:r>
          </w:p>
          <w:p w14:paraId="5017E112" w14:textId="77777777" w:rsidR="003D6385" w:rsidRDefault="003D6385" w:rsidP="003D6385">
            <w:pPr>
              <w:pBdr>
                <w:top w:val="nil"/>
                <w:left w:val="nil"/>
                <w:bottom w:val="nil"/>
                <w:right w:val="nil"/>
                <w:between w:val="nil"/>
              </w:pBdr>
              <w:spacing w:after="660" w:line="280" w:lineRule="auto"/>
              <w:ind w:right="33"/>
              <w:jc w:val="both"/>
            </w:pPr>
            <w:r>
              <w:t>Cabinet Office employee names and official email addresses to enable them to login to the IPA benchmarking service provided by the Supplier.</w:t>
            </w:r>
          </w:p>
          <w:p w14:paraId="3F225597" w14:textId="77777777" w:rsidR="003D6385" w:rsidRDefault="003D6385" w:rsidP="003D6385">
            <w:pPr>
              <w:pStyle w:val="Standard"/>
              <w:spacing w:after="660" w:line="283" w:lineRule="auto"/>
              <w:ind w:left="0" w:right="33" w:firstLine="0"/>
            </w:pPr>
          </w:p>
          <w:p w14:paraId="233A6AD5" w14:textId="77777777" w:rsidR="00760E89" w:rsidRDefault="00760E89">
            <w:pPr>
              <w:pStyle w:val="Standard"/>
              <w:spacing w:after="0" w:line="254" w:lineRule="auto"/>
              <w:ind w:left="0" w:firstLine="0"/>
            </w:pPr>
          </w:p>
        </w:tc>
      </w:tr>
    </w:tbl>
    <w:p w14:paraId="7BB6838B" w14:textId="77777777" w:rsidR="00760E89" w:rsidRDefault="00750A02">
      <w:pPr>
        <w:pStyle w:val="Standard"/>
        <w:spacing w:after="0" w:line="254" w:lineRule="auto"/>
        <w:ind w:left="0" w:firstLine="0"/>
      </w:pPr>
      <w:r>
        <w:t xml:space="preserve"> </w:t>
      </w:r>
    </w:p>
    <w:p w14:paraId="23E15F0A" w14:textId="77777777" w:rsidR="00760E89" w:rsidRDefault="00760E89">
      <w:pPr>
        <w:pStyle w:val="Standard"/>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267452" w14:paraId="7D6D0F9B" w14:textId="77777777" w:rsidTr="00267452">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1807B9B5" w14:textId="77777777" w:rsidR="00267452" w:rsidRDefault="00267452" w:rsidP="00267452">
            <w:pPr>
              <w:pStyle w:val="Standard"/>
              <w:spacing w:after="0" w:line="25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B6C1BA2" w14:textId="77777777" w:rsidR="00267452" w:rsidRDefault="00267452" w:rsidP="00267452">
            <w:pPr>
              <w:spacing w:line="252" w:lineRule="auto"/>
              <w:jc w:val="both"/>
            </w:pPr>
            <w:r>
              <w:t>For as long as individuals need access to the benchmarking system and/or the duration of the Call-Off Contract.  Personal details and accounts will be deleted from the system if accounts are not used for a period of 12 months.</w:t>
            </w:r>
          </w:p>
        </w:tc>
      </w:tr>
      <w:tr w:rsidR="00372E90" w14:paraId="3A8D527D" w14:textId="77777777" w:rsidTr="00267452">
        <w:trPr>
          <w:trHeight w:val="40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BFCB3F4" w14:textId="77777777" w:rsidR="00372E90" w:rsidRDefault="00372E90" w:rsidP="00372E90">
            <w:pPr>
              <w:pStyle w:val="Standard"/>
              <w:spacing w:after="0" w:line="254"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08908138" w14:textId="77777777" w:rsidR="00372E90" w:rsidRDefault="00372E90" w:rsidP="00372E90">
            <w:pPr>
              <w:jc w:val="both"/>
            </w:pPr>
            <w:r>
              <w:t>The only personal data processed as part of this Call-Off Contract are the names and official email addresses of employees who need login access to the platform provided by the Supplier.</w:t>
            </w:r>
          </w:p>
          <w:p w14:paraId="2AB9F233" w14:textId="77777777" w:rsidR="00372E90" w:rsidRDefault="00372E90" w:rsidP="00372E90">
            <w:pPr>
              <w:spacing w:line="252" w:lineRule="auto"/>
              <w:jc w:val="both"/>
            </w:pPr>
          </w:p>
        </w:tc>
      </w:tr>
      <w:tr w:rsidR="00B27476" w14:paraId="1EE83A3B" w14:textId="77777777" w:rsidTr="00267452">
        <w:trPr>
          <w:trHeight w:val="190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AA25595" w14:textId="77777777" w:rsidR="00B27476" w:rsidRDefault="00B27476" w:rsidP="00B27476">
            <w:pPr>
              <w:pStyle w:val="Standard"/>
              <w:spacing w:after="0" w:line="254" w:lineRule="auto"/>
              <w:ind w:left="5" w:firstLine="0"/>
            </w:pPr>
            <w:r>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20BA1C9B" w14:textId="77777777" w:rsidR="00B27476" w:rsidRDefault="00B27476" w:rsidP="00B27476">
            <w:pPr>
              <w:spacing w:line="252" w:lineRule="auto"/>
              <w:jc w:val="both"/>
            </w:pPr>
            <w:r>
              <w:t>Name and official email address</w:t>
            </w:r>
          </w:p>
        </w:tc>
      </w:tr>
    </w:tbl>
    <w:p w14:paraId="4E0EADB1" w14:textId="77777777" w:rsidR="00760E89" w:rsidRDefault="00750A02">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B27476" w14:paraId="69DD8192" w14:textId="77777777" w:rsidTr="00B27476">
        <w:trPr>
          <w:trHeight w:val="4169"/>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242A4B59" w14:textId="77777777" w:rsidR="00B27476" w:rsidRDefault="00B27476" w:rsidP="00B27476">
            <w:pPr>
              <w:pStyle w:val="Standard"/>
              <w:spacing w:after="0" w:line="25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05996C54" w14:textId="77777777" w:rsidR="00B27476" w:rsidRDefault="00B27476" w:rsidP="00B27476">
            <w:pPr>
              <w:spacing w:line="256" w:lineRule="auto"/>
              <w:jc w:val="both"/>
            </w:pPr>
            <w:r>
              <w:t>Cabinet Office employees</w:t>
            </w:r>
          </w:p>
        </w:tc>
      </w:tr>
      <w:tr w:rsidR="00B27476" w14:paraId="36CC0209" w14:textId="77777777" w:rsidTr="00B27476">
        <w:trPr>
          <w:trHeight w:val="52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1C09A93" w14:textId="77777777" w:rsidR="00B27476" w:rsidRDefault="00B27476" w:rsidP="00B27476">
            <w:pPr>
              <w:pStyle w:val="Standard"/>
              <w:spacing w:after="26" w:line="254" w:lineRule="auto"/>
              <w:ind w:left="5" w:firstLine="0"/>
            </w:pPr>
            <w:r>
              <w:t>Plan for return and destruction of the data</w:t>
            </w:r>
          </w:p>
          <w:p w14:paraId="04F6DFC2" w14:textId="77777777" w:rsidR="00B27476" w:rsidRDefault="00B27476" w:rsidP="00B27476">
            <w:pPr>
              <w:pStyle w:val="Standard"/>
              <w:spacing w:after="0" w:line="25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0DF2CDC0" w14:textId="77777777" w:rsidR="00B27476" w:rsidRDefault="00B27476" w:rsidP="00B27476">
            <w:pPr>
              <w:spacing w:line="280" w:lineRule="auto"/>
              <w:jc w:val="both"/>
            </w:pPr>
            <w:r>
              <w:t>Once the Call-Off Contract ends the Supplier will no longer have access to names and emails of the end users.  They should not have retained any personal data away from the Cabinet Office IT systems during the Call-Off Contract, however, if they have then all personal data will be deleted and confirmation stated to the Buyer.</w:t>
            </w:r>
          </w:p>
        </w:tc>
      </w:tr>
    </w:tbl>
    <w:p w14:paraId="4B76F174" w14:textId="77777777" w:rsidR="00760E89" w:rsidRDefault="00760E89">
      <w:pPr>
        <w:pStyle w:val="Heading2"/>
        <w:spacing w:after="722" w:line="240" w:lineRule="auto"/>
        <w:ind w:left="1113" w:firstLine="1118"/>
      </w:pPr>
    </w:p>
    <w:sectPr w:rsidR="00760E89" w:rsidSect="00C633DD">
      <w:footerReference w:type="default" r:id="rId29"/>
      <w:pgSz w:w="11921" w:h="16838"/>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89E91" w14:textId="77777777" w:rsidR="00BD4475" w:rsidRDefault="00BD4475">
      <w:r>
        <w:separator/>
      </w:r>
    </w:p>
  </w:endnote>
  <w:endnote w:type="continuationSeparator" w:id="0">
    <w:p w14:paraId="7C0CF259" w14:textId="77777777" w:rsidR="00BD4475" w:rsidRDefault="00BD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auto"/>
    <w:pitch w:val="default"/>
  </w:font>
  <w:font w:name="Courier New">
    <w:panose1 w:val="02070309020205020404"/>
    <w:charset w:val="00"/>
    <w:family w:val="auto"/>
    <w:pitch w:val="default"/>
  </w:font>
  <w:font w:name="Noto Sans Symbols">
    <w:altName w:val="Calibri"/>
    <w:charset w:val="00"/>
    <w:family w:val="auto"/>
    <w:pitch w:val="variable"/>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STZhongsong">
    <w:charset w:val="86"/>
    <w:family w:val="auto"/>
    <w:pitch w:val="variable"/>
    <w:sig w:usb0="00000287" w:usb1="080F0000" w:usb2="00000010" w:usb3="00000000" w:csb0="0004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C0985" w14:textId="77777777" w:rsidR="007A0264" w:rsidRDefault="007A0264">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865AF" w14:textId="77777777" w:rsidR="00BD4475" w:rsidRDefault="00BD4475">
      <w:r>
        <w:rPr>
          <w:color w:val="000000"/>
        </w:rPr>
        <w:separator/>
      </w:r>
    </w:p>
  </w:footnote>
  <w:footnote w:type="continuationSeparator" w:id="0">
    <w:p w14:paraId="0F83733C" w14:textId="77777777" w:rsidR="00BD4475" w:rsidRDefault="00BD4475">
      <w:r>
        <w:continuationSeparator/>
      </w:r>
    </w:p>
  </w:footnote>
  <w:footnote w:id="1">
    <w:p w14:paraId="2DCDC78A" w14:textId="77777777" w:rsidR="007A0264" w:rsidRDefault="007A0264" w:rsidP="009A0E1A">
      <w:pPr>
        <w:rPr>
          <w:sz w:val="20"/>
          <w:szCs w:val="20"/>
        </w:rPr>
      </w:pPr>
      <w:r>
        <w:rPr>
          <w:vertAlign w:val="superscript"/>
        </w:rPr>
        <w:footnoteRef/>
      </w:r>
      <w:r>
        <w:rPr>
          <w:sz w:val="20"/>
          <w:szCs w:val="20"/>
        </w:rPr>
        <w:t xml:space="preserve"> Refer to priority definitions</w:t>
      </w:r>
    </w:p>
  </w:footnote>
  <w:footnote w:id="2">
    <w:p w14:paraId="4A6CC842" w14:textId="77777777" w:rsidR="007A0264" w:rsidRDefault="007A0264" w:rsidP="009A0E1A">
      <w:pPr>
        <w:rPr>
          <w:sz w:val="20"/>
          <w:szCs w:val="20"/>
        </w:rPr>
      </w:pPr>
      <w:r>
        <w:rPr>
          <w:vertAlign w:val="superscript"/>
        </w:rPr>
        <w:footnoteRef/>
      </w:r>
      <w:r>
        <w:rPr>
          <w:sz w:val="20"/>
          <w:szCs w:val="20"/>
        </w:rPr>
        <w:t xml:space="preserve"> Business hours Monday to Friday, 09:00 to 18:00 (excluding UK bank holidays)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DBC"/>
    <w:multiLevelType w:val="multilevel"/>
    <w:tmpl w:val="47DE852C"/>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 w15:restartNumberingAfterBreak="0">
    <w:nsid w:val="018D1F92"/>
    <w:multiLevelType w:val="multilevel"/>
    <w:tmpl w:val="A42A7B4E"/>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04B415AF"/>
    <w:multiLevelType w:val="multilevel"/>
    <w:tmpl w:val="43EAE0C8"/>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0D3321C0"/>
    <w:multiLevelType w:val="multilevel"/>
    <w:tmpl w:val="DF405266"/>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 w15:restartNumberingAfterBreak="0">
    <w:nsid w:val="11076EBC"/>
    <w:multiLevelType w:val="multilevel"/>
    <w:tmpl w:val="FA88F97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2F04587"/>
    <w:multiLevelType w:val="multilevel"/>
    <w:tmpl w:val="228240AE"/>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 w15:restartNumberingAfterBreak="0">
    <w:nsid w:val="136C460C"/>
    <w:multiLevelType w:val="multilevel"/>
    <w:tmpl w:val="F26CAC50"/>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7" w15:restartNumberingAfterBreak="0">
    <w:nsid w:val="1B000FF6"/>
    <w:multiLevelType w:val="multilevel"/>
    <w:tmpl w:val="E8D83692"/>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8" w15:restartNumberingAfterBreak="0">
    <w:nsid w:val="1C006DC2"/>
    <w:multiLevelType w:val="multilevel"/>
    <w:tmpl w:val="E8660DC4"/>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9" w15:restartNumberingAfterBreak="0">
    <w:nsid w:val="1E376696"/>
    <w:multiLevelType w:val="multilevel"/>
    <w:tmpl w:val="CDB2BE0C"/>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0" w15:restartNumberingAfterBreak="0">
    <w:nsid w:val="208420E6"/>
    <w:multiLevelType w:val="multilevel"/>
    <w:tmpl w:val="9808D246"/>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1" w15:restartNumberingAfterBreak="0">
    <w:nsid w:val="211903EF"/>
    <w:multiLevelType w:val="multilevel"/>
    <w:tmpl w:val="2B7A6636"/>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2" w15:restartNumberingAfterBreak="0">
    <w:nsid w:val="221A7B0D"/>
    <w:multiLevelType w:val="multilevel"/>
    <w:tmpl w:val="FE441118"/>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3" w15:restartNumberingAfterBreak="0">
    <w:nsid w:val="254168D5"/>
    <w:multiLevelType w:val="multilevel"/>
    <w:tmpl w:val="191E14DE"/>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2846517E"/>
    <w:multiLevelType w:val="multilevel"/>
    <w:tmpl w:val="137E2458"/>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15" w15:restartNumberingAfterBreak="0">
    <w:nsid w:val="285E504E"/>
    <w:multiLevelType w:val="multilevel"/>
    <w:tmpl w:val="2EA85BC4"/>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E7800AE"/>
    <w:multiLevelType w:val="multilevel"/>
    <w:tmpl w:val="A1165278"/>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32510FAE"/>
    <w:multiLevelType w:val="multilevel"/>
    <w:tmpl w:val="504603F0"/>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8" w15:restartNumberingAfterBreak="0">
    <w:nsid w:val="339639E5"/>
    <w:multiLevelType w:val="multilevel"/>
    <w:tmpl w:val="8BA82C02"/>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9" w15:restartNumberingAfterBreak="0">
    <w:nsid w:val="33BD0673"/>
    <w:multiLevelType w:val="multilevel"/>
    <w:tmpl w:val="34F03924"/>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20" w15:restartNumberingAfterBreak="0">
    <w:nsid w:val="34211193"/>
    <w:multiLevelType w:val="multilevel"/>
    <w:tmpl w:val="B420D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5647FE3"/>
    <w:multiLevelType w:val="multilevel"/>
    <w:tmpl w:val="D4F0ABEC"/>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2" w15:restartNumberingAfterBreak="0">
    <w:nsid w:val="371B49C7"/>
    <w:multiLevelType w:val="multilevel"/>
    <w:tmpl w:val="288AB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9703B75"/>
    <w:multiLevelType w:val="multilevel"/>
    <w:tmpl w:val="90F0B05C"/>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4" w15:restartNumberingAfterBreak="0">
    <w:nsid w:val="39FF2A4D"/>
    <w:multiLevelType w:val="multilevel"/>
    <w:tmpl w:val="EE7EFFB0"/>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25" w15:restartNumberingAfterBreak="0">
    <w:nsid w:val="3CB77D9E"/>
    <w:multiLevelType w:val="multilevel"/>
    <w:tmpl w:val="E73CAFAE"/>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6" w15:restartNumberingAfterBreak="0">
    <w:nsid w:val="41E53944"/>
    <w:multiLevelType w:val="multilevel"/>
    <w:tmpl w:val="25EE70CA"/>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7" w15:restartNumberingAfterBreak="0">
    <w:nsid w:val="429C2CA7"/>
    <w:multiLevelType w:val="multilevel"/>
    <w:tmpl w:val="61C88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30A27F2"/>
    <w:multiLevelType w:val="multilevel"/>
    <w:tmpl w:val="552AB650"/>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9" w15:restartNumberingAfterBreak="0">
    <w:nsid w:val="445B2C14"/>
    <w:multiLevelType w:val="multilevel"/>
    <w:tmpl w:val="670CBC56"/>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0" w15:restartNumberingAfterBreak="0">
    <w:nsid w:val="45CA1901"/>
    <w:multiLevelType w:val="multilevel"/>
    <w:tmpl w:val="E18C7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716D5A"/>
    <w:multiLevelType w:val="multilevel"/>
    <w:tmpl w:val="B0EE24B6"/>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32" w15:restartNumberingAfterBreak="0">
    <w:nsid w:val="486222B0"/>
    <w:multiLevelType w:val="multilevel"/>
    <w:tmpl w:val="F2B6B5C8"/>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3" w15:restartNumberingAfterBreak="0">
    <w:nsid w:val="49D0645C"/>
    <w:multiLevelType w:val="multilevel"/>
    <w:tmpl w:val="AF3E6C50"/>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4" w15:restartNumberingAfterBreak="0">
    <w:nsid w:val="4DC41DE4"/>
    <w:multiLevelType w:val="multilevel"/>
    <w:tmpl w:val="C49E80F6"/>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5" w15:restartNumberingAfterBreak="0">
    <w:nsid w:val="50261083"/>
    <w:multiLevelType w:val="multilevel"/>
    <w:tmpl w:val="6624CB72"/>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36" w15:restartNumberingAfterBreak="0">
    <w:nsid w:val="506904EF"/>
    <w:multiLevelType w:val="multilevel"/>
    <w:tmpl w:val="CB60D2A2"/>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7" w15:restartNumberingAfterBreak="0">
    <w:nsid w:val="53B22AB1"/>
    <w:multiLevelType w:val="multilevel"/>
    <w:tmpl w:val="F0A46230"/>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8" w15:restartNumberingAfterBreak="0">
    <w:nsid w:val="558A6922"/>
    <w:multiLevelType w:val="multilevel"/>
    <w:tmpl w:val="06EC05D0"/>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39" w15:restartNumberingAfterBreak="0">
    <w:nsid w:val="5C3F1CDC"/>
    <w:multiLevelType w:val="multilevel"/>
    <w:tmpl w:val="AE5C7BCA"/>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0" w15:restartNumberingAfterBreak="0">
    <w:nsid w:val="5CE224E8"/>
    <w:multiLevelType w:val="multilevel"/>
    <w:tmpl w:val="16C01B58"/>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1" w15:restartNumberingAfterBreak="0">
    <w:nsid w:val="5F8547DA"/>
    <w:multiLevelType w:val="multilevel"/>
    <w:tmpl w:val="6B02CD36"/>
    <w:lvl w:ilvl="0">
      <w:start w:val="1"/>
      <w:numFmt w:val="bullet"/>
      <w:lvlText w:val="●"/>
      <w:lvlJc w:val="left"/>
      <w:pPr>
        <w:ind w:left="720" w:hanging="360"/>
      </w:pPr>
      <w:rPr>
        <w:b/>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2" w15:restartNumberingAfterBreak="0">
    <w:nsid w:val="60C81BC7"/>
    <w:multiLevelType w:val="multilevel"/>
    <w:tmpl w:val="B3404A24"/>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43" w15:restartNumberingAfterBreak="0">
    <w:nsid w:val="61FA1221"/>
    <w:multiLevelType w:val="multilevel"/>
    <w:tmpl w:val="618A6F50"/>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3C42175"/>
    <w:multiLevelType w:val="multilevel"/>
    <w:tmpl w:val="5C2C7B0C"/>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6" w15:restartNumberingAfterBreak="0">
    <w:nsid w:val="65FD663F"/>
    <w:multiLevelType w:val="multilevel"/>
    <w:tmpl w:val="7AF6B114"/>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7" w15:restartNumberingAfterBreak="0">
    <w:nsid w:val="66510431"/>
    <w:multiLevelType w:val="multilevel"/>
    <w:tmpl w:val="F46EB59A"/>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48" w15:restartNumberingAfterBreak="0">
    <w:nsid w:val="668B23D0"/>
    <w:multiLevelType w:val="multilevel"/>
    <w:tmpl w:val="21DC792A"/>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49" w15:restartNumberingAfterBreak="0">
    <w:nsid w:val="68CF24D5"/>
    <w:multiLevelType w:val="multilevel"/>
    <w:tmpl w:val="6D942CDC"/>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0" w15:restartNumberingAfterBreak="0">
    <w:nsid w:val="6D483C3B"/>
    <w:multiLevelType w:val="multilevel"/>
    <w:tmpl w:val="CB344634"/>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F6F51E7"/>
    <w:multiLevelType w:val="multilevel"/>
    <w:tmpl w:val="A224AD02"/>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52" w15:restartNumberingAfterBreak="0">
    <w:nsid w:val="6F9F75E4"/>
    <w:multiLevelType w:val="multilevel"/>
    <w:tmpl w:val="E7AEC3D2"/>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3" w15:restartNumberingAfterBreak="0">
    <w:nsid w:val="7118774E"/>
    <w:multiLevelType w:val="multilevel"/>
    <w:tmpl w:val="8BDACA74"/>
    <w:lvl w:ilvl="0">
      <w:start w:val="1"/>
      <w:numFmt w:val="decimal"/>
      <w:lvlText w:val="%1."/>
      <w:lvlJc w:val="left"/>
      <w:pPr>
        <w:ind w:left="1833" w:hanging="720"/>
      </w:pPr>
      <w:rPr>
        <w:smallCaps w:val="0"/>
      </w:rPr>
    </w:lvl>
    <w:lvl w:ilvl="1">
      <w:start w:val="1"/>
      <w:numFmt w:val="decimal"/>
      <w:lvlText w:val="%1.%2"/>
      <w:lvlJc w:val="left"/>
      <w:pPr>
        <w:ind w:left="1833" w:hanging="720"/>
      </w:pPr>
      <w:rPr>
        <w:smallCaps w:val="0"/>
      </w:rPr>
    </w:lvl>
    <w:lvl w:ilvl="2">
      <w:start w:val="1"/>
      <w:numFmt w:val="decimal"/>
      <w:lvlText w:val="%1.%2.%3"/>
      <w:lvlJc w:val="left"/>
      <w:pPr>
        <w:ind w:left="2913" w:hanging="1080"/>
      </w:pPr>
      <w:rPr>
        <w:b w:val="0"/>
        <w:smallCaps w:val="0"/>
      </w:rPr>
    </w:lvl>
    <w:lvl w:ilvl="3">
      <w:start w:val="1"/>
      <w:numFmt w:val="decimal"/>
      <w:lvlText w:val="%1.%2.%3.%4"/>
      <w:lvlJc w:val="left"/>
      <w:pPr>
        <w:ind w:left="3993" w:hanging="1080"/>
      </w:pPr>
      <w:rPr>
        <w:smallCaps w:val="0"/>
      </w:rPr>
    </w:lvl>
    <w:lvl w:ilvl="4">
      <w:start w:val="1"/>
      <w:numFmt w:val="lowerLetter"/>
      <w:lvlText w:val="(%5)"/>
      <w:lvlJc w:val="left"/>
      <w:pPr>
        <w:ind w:left="4713" w:hanging="720"/>
      </w:pPr>
      <w:rPr>
        <w:smallCaps w:val="0"/>
      </w:rPr>
    </w:lvl>
    <w:lvl w:ilvl="5">
      <w:start w:val="1"/>
      <w:numFmt w:val="lowerRoman"/>
      <w:lvlText w:val="(%6)"/>
      <w:lvlJc w:val="left"/>
      <w:pPr>
        <w:ind w:left="5433" w:hanging="720"/>
      </w:pPr>
      <w:rPr>
        <w:smallCaps w:val="0"/>
      </w:rPr>
    </w:lvl>
    <w:lvl w:ilvl="6">
      <w:start w:val="1"/>
      <w:numFmt w:val="decimal"/>
      <w:lvlText w:val="(%7)"/>
      <w:lvlJc w:val="left"/>
      <w:pPr>
        <w:ind w:left="6153" w:hanging="720"/>
      </w:pPr>
      <w:rPr>
        <w:smallCaps w:val="0"/>
      </w:rPr>
    </w:lvl>
    <w:lvl w:ilvl="7">
      <w:start w:val="1"/>
      <w:numFmt w:val="decimal"/>
      <w:lvlText w:val=""/>
      <w:lvlJc w:val="left"/>
      <w:pPr>
        <w:ind w:left="6153" w:hanging="720"/>
      </w:pPr>
      <w:rPr>
        <w:smallCaps w:val="0"/>
      </w:rPr>
    </w:lvl>
    <w:lvl w:ilvl="8">
      <w:start w:val="1"/>
      <w:numFmt w:val="decimal"/>
      <w:lvlText w:val=""/>
      <w:lvlJc w:val="left"/>
      <w:pPr>
        <w:ind w:left="6153" w:hanging="720"/>
      </w:pPr>
      <w:rPr>
        <w:smallCaps w:val="0"/>
      </w:rPr>
    </w:lvl>
  </w:abstractNum>
  <w:abstractNum w:abstractNumId="54" w15:restartNumberingAfterBreak="0">
    <w:nsid w:val="73BE0C6C"/>
    <w:multiLevelType w:val="multilevel"/>
    <w:tmpl w:val="7D7C81EE"/>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5" w15:restartNumberingAfterBreak="0">
    <w:nsid w:val="75465FC2"/>
    <w:multiLevelType w:val="multilevel"/>
    <w:tmpl w:val="E070D12C"/>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6" w15:restartNumberingAfterBreak="0">
    <w:nsid w:val="7573007F"/>
    <w:multiLevelType w:val="multilevel"/>
    <w:tmpl w:val="8CEA74B6"/>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57" w15:restartNumberingAfterBreak="0">
    <w:nsid w:val="75FB61B9"/>
    <w:multiLevelType w:val="multilevel"/>
    <w:tmpl w:val="67F81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8F071BD"/>
    <w:multiLevelType w:val="multilevel"/>
    <w:tmpl w:val="3DD0E04C"/>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num w:numId="1">
    <w:abstractNumId w:val="4"/>
  </w:num>
  <w:num w:numId="2">
    <w:abstractNumId w:val="16"/>
  </w:num>
  <w:num w:numId="3">
    <w:abstractNumId w:val="13"/>
  </w:num>
  <w:num w:numId="4">
    <w:abstractNumId w:val="2"/>
  </w:num>
  <w:num w:numId="5">
    <w:abstractNumId w:val="58"/>
  </w:num>
  <w:num w:numId="6">
    <w:abstractNumId w:val="29"/>
  </w:num>
  <w:num w:numId="7">
    <w:abstractNumId w:val="54"/>
  </w:num>
  <w:num w:numId="8">
    <w:abstractNumId w:val="1"/>
  </w:num>
  <w:num w:numId="9">
    <w:abstractNumId w:val="42"/>
  </w:num>
  <w:num w:numId="10">
    <w:abstractNumId w:val="46"/>
  </w:num>
  <w:num w:numId="11">
    <w:abstractNumId w:val="39"/>
  </w:num>
  <w:num w:numId="12">
    <w:abstractNumId w:val="26"/>
  </w:num>
  <w:num w:numId="13">
    <w:abstractNumId w:val="24"/>
  </w:num>
  <w:num w:numId="14">
    <w:abstractNumId w:val="31"/>
  </w:num>
  <w:num w:numId="15">
    <w:abstractNumId w:val="43"/>
  </w:num>
  <w:num w:numId="16">
    <w:abstractNumId w:val="50"/>
  </w:num>
  <w:num w:numId="17">
    <w:abstractNumId w:val="48"/>
  </w:num>
  <w:num w:numId="18">
    <w:abstractNumId w:val="45"/>
  </w:num>
  <w:num w:numId="19">
    <w:abstractNumId w:val="0"/>
  </w:num>
  <w:num w:numId="20">
    <w:abstractNumId w:val="21"/>
  </w:num>
  <w:num w:numId="21">
    <w:abstractNumId w:val="5"/>
  </w:num>
  <w:num w:numId="22">
    <w:abstractNumId w:val="52"/>
  </w:num>
  <w:num w:numId="23">
    <w:abstractNumId w:val="47"/>
  </w:num>
  <w:num w:numId="24">
    <w:abstractNumId w:val="19"/>
  </w:num>
  <w:num w:numId="25">
    <w:abstractNumId w:val="23"/>
  </w:num>
  <w:num w:numId="26">
    <w:abstractNumId w:val="17"/>
  </w:num>
  <w:num w:numId="27">
    <w:abstractNumId w:val="15"/>
  </w:num>
  <w:num w:numId="28">
    <w:abstractNumId w:val="49"/>
  </w:num>
  <w:num w:numId="29">
    <w:abstractNumId w:val="8"/>
  </w:num>
  <w:num w:numId="30">
    <w:abstractNumId w:val="25"/>
  </w:num>
  <w:num w:numId="31">
    <w:abstractNumId w:val="6"/>
  </w:num>
  <w:num w:numId="32">
    <w:abstractNumId w:val="55"/>
  </w:num>
  <w:num w:numId="33">
    <w:abstractNumId w:val="9"/>
  </w:num>
  <w:num w:numId="34">
    <w:abstractNumId w:val="11"/>
  </w:num>
  <w:num w:numId="35">
    <w:abstractNumId w:val="35"/>
  </w:num>
  <w:num w:numId="36">
    <w:abstractNumId w:val="32"/>
  </w:num>
  <w:num w:numId="37">
    <w:abstractNumId w:val="18"/>
  </w:num>
  <w:num w:numId="38">
    <w:abstractNumId w:val="37"/>
  </w:num>
  <w:num w:numId="39">
    <w:abstractNumId w:val="12"/>
  </w:num>
  <w:num w:numId="40">
    <w:abstractNumId w:val="3"/>
  </w:num>
  <w:num w:numId="41">
    <w:abstractNumId w:val="33"/>
  </w:num>
  <w:num w:numId="42">
    <w:abstractNumId w:val="38"/>
  </w:num>
  <w:num w:numId="43">
    <w:abstractNumId w:val="10"/>
  </w:num>
  <w:num w:numId="44">
    <w:abstractNumId w:val="28"/>
  </w:num>
  <w:num w:numId="45">
    <w:abstractNumId w:val="36"/>
  </w:num>
  <w:num w:numId="46">
    <w:abstractNumId w:val="7"/>
  </w:num>
  <w:num w:numId="47">
    <w:abstractNumId w:val="51"/>
  </w:num>
  <w:num w:numId="48">
    <w:abstractNumId w:val="40"/>
  </w:num>
  <w:num w:numId="49">
    <w:abstractNumId w:val="14"/>
  </w:num>
  <w:num w:numId="50">
    <w:abstractNumId w:val="34"/>
  </w:num>
  <w:num w:numId="51">
    <w:abstractNumId w:val="56"/>
  </w:num>
  <w:num w:numId="52">
    <w:abstractNumId w:val="48"/>
  </w:num>
  <w:num w:numId="53">
    <w:abstractNumId w:val="16"/>
  </w:num>
  <w:num w:numId="54">
    <w:abstractNumId w:val="13"/>
  </w:num>
  <w:num w:numId="55">
    <w:abstractNumId w:val="42"/>
    <w:lvlOverride w:ilvl="0">
      <w:startOverride w:val="1"/>
    </w:lvlOverride>
  </w:num>
  <w:num w:numId="56">
    <w:abstractNumId w:val="35"/>
  </w:num>
  <w:num w:numId="57">
    <w:abstractNumId w:val="51"/>
  </w:num>
  <w:num w:numId="58">
    <w:abstractNumId w:val="40"/>
    <w:lvlOverride w:ilvl="0">
      <w:startOverride w:val="29"/>
    </w:lvlOverride>
  </w:num>
  <w:num w:numId="59">
    <w:abstractNumId w:val="34"/>
  </w:num>
  <w:num w:numId="60">
    <w:abstractNumId w:val="56"/>
    <w:lvlOverride w:ilvl="0">
      <w:startOverride w:val="1"/>
    </w:lvlOverride>
  </w:num>
  <w:num w:numId="61">
    <w:abstractNumId w:val="33"/>
    <w:lvlOverride w:ilvl="0">
      <w:startOverride w:val="1"/>
    </w:lvlOverride>
  </w:num>
  <w:num w:numId="62">
    <w:abstractNumId w:val="28"/>
  </w:num>
  <w:num w:numId="63">
    <w:abstractNumId w:val="36"/>
  </w:num>
  <w:num w:numId="64">
    <w:abstractNumId w:val="7"/>
  </w:num>
  <w:num w:numId="65">
    <w:abstractNumId w:val="45"/>
  </w:num>
  <w:num w:numId="66">
    <w:abstractNumId w:val="0"/>
  </w:num>
  <w:num w:numId="67">
    <w:abstractNumId w:val="21"/>
  </w:num>
  <w:num w:numId="68">
    <w:abstractNumId w:val="5"/>
  </w:num>
  <w:num w:numId="69">
    <w:abstractNumId w:val="2"/>
  </w:num>
  <w:num w:numId="70">
    <w:abstractNumId w:val="29"/>
  </w:num>
  <w:num w:numId="71">
    <w:abstractNumId w:val="1"/>
  </w:num>
  <w:num w:numId="72">
    <w:abstractNumId w:val="46"/>
  </w:num>
  <w:num w:numId="73">
    <w:abstractNumId w:val="26"/>
  </w:num>
  <w:num w:numId="74">
    <w:abstractNumId w:val="24"/>
  </w:num>
  <w:num w:numId="75">
    <w:abstractNumId w:val="31"/>
  </w:num>
  <w:num w:numId="76">
    <w:abstractNumId w:val="52"/>
    <w:lvlOverride w:ilvl="0">
      <w:startOverride w:val="1"/>
    </w:lvlOverride>
  </w:num>
  <w:num w:numId="77">
    <w:abstractNumId w:val="47"/>
    <w:lvlOverride w:ilvl="0">
      <w:startOverride w:val="1"/>
    </w:lvlOverride>
  </w:num>
  <w:num w:numId="78">
    <w:abstractNumId w:val="15"/>
    <w:lvlOverride w:ilvl="0">
      <w:startOverride w:val="1"/>
    </w:lvlOverride>
  </w:num>
  <w:num w:numId="79">
    <w:abstractNumId w:val="8"/>
    <w:lvlOverride w:ilvl="0">
      <w:startOverride w:val="1"/>
    </w:lvlOverride>
  </w:num>
  <w:num w:numId="80">
    <w:abstractNumId w:val="12"/>
    <w:lvlOverride w:ilvl="0">
      <w:startOverride w:val="1"/>
    </w:lvlOverride>
  </w:num>
  <w:num w:numId="81">
    <w:abstractNumId w:val="3"/>
    <w:lvlOverride w:ilvl="0">
      <w:startOverride w:val="1"/>
    </w:lvlOverride>
  </w:num>
  <w:num w:numId="82">
    <w:abstractNumId w:val="37"/>
    <w:lvlOverride w:ilvl="0">
      <w:startOverride w:val="1"/>
    </w:lvlOverride>
  </w:num>
  <w:num w:numId="83">
    <w:abstractNumId w:val="6"/>
    <w:lvlOverride w:ilvl="0">
      <w:startOverride w:val="1"/>
    </w:lvlOverride>
  </w:num>
  <w:num w:numId="84">
    <w:abstractNumId w:val="55"/>
    <w:lvlOverride w:ilvl="0">
      <w:startOverride w:val="1"/>
    </w:lvlOverride>
  </w:num>
  <w:num w:numId="85">
    <w:abstractNumId w:val="44"/>
  </w:num>
  <w:num w:numId="86">
    <w:abstractNumId w:val="20"/>
  </w:num>
  <w:num w:numId="87">
    <w:abstractNumId w:val="57"/>
  </w:num>
  <w:num w:numId="88">
    <w:abstractNumId w:val="27"/>
  </w:num>
  <w:num w:numId="89">
    <w:abstractNumId w:val="22"/>
  </w:num>
  <w:num w:numId="90">
    <w:abstractNumId w:val="41"/>
  </w:num>
  <w:num w:numId="91">
    <w:abstractNumId w:val="30"/>
  </w:num>
  <w:num w:numId="92">
    <w:abstractNumId w:val="5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89"/>
    <w:rsid w:val="00025966"/>
    <w:rsid w:val="00027735"/>
    <w:rsid w:val="000278E6"/>
    <w:rsid w:val="00075C10"/>
    <w:rsid w:val="0009656C"/>
    <w:rsid w:val="00107199"/>
    <w:rsid w:val="00147749"/>
    <w:rsid w:val="001765B5"/>
    <w:rsid w:val="00193F3D"/>
    <w:rsid w:val="00232478"/>
    <w:rsid w:val="00267452"/>
    <w:rsid w:val="00280788"/>
    <w:rsid w:val="002D3BAF"/>
    <w:rsid w:val="003022B3"/>
    <w:rsid w:val="00337B44"/>
    <w:rsid w:val="00372E90"/>
    <w:rsid w:val="003A3557"/>
    <w:rsid w:val="003D6385"/>
    <w:rsid w:val="00401A2D"/>
    <w:rsid w:val="00432765"/>
    <w:rsid w:val="00434D1E"/>
    <w:rsid w:val="004868F6"/>
    <w:rsid w:val="00521C1E"/>
    <w:rsid w:val="005262D6"/>
    <w:rsid w:val="005840AC"/>
    <w:rsid w:val="005D36A4"/>
    <w:rsid w:val="005F4F98"/>
    <w:rsid w:val="006042A9"/>
    <w:rsid w:val="006365DA"/>
    <w:rsid w:val="00651119"/>
    <w:rsid w:val="006C0D2C"/>
    <w:rsid w:val="00704791"/>
    <w:rsid w:val="00731167"/>
    <w:rsid w:val="00750A02"/>
    <w:rsid w:val="00760E89"/>
    <w:rsid w:val="007A0264"/>
    <w:rsid w:val="007E330D"/>
    <w:rsid w:val="007F269F"/>
    <w:rsid w:val="00867873"/>
    <w:rsid w:val="008766A2"/>
    <w:rsid w:val="00881F44"/>
    <w:rsid w:val="00883ED0"/>
    <w:rsid w:val="008A69D8"/>
    <w:rsid w:val="008C047F"/>
    <w:rsid w:val="008C1EC3"/>
    <w:rsid w:val="008C4BA7"/>
    <w:rsid w:val="008E3C27"/>
    <w:rsid w:val="008F5415"/>
    <w:rsid w:val="00907108"/>
    <w:rsid w:val="009345B6"/>
    <w:rsid w:val="009A0E1A"/>
    <w:rsid w:val="009A15BF"/>
    <w:rsid w:val="009C0532"/>
    <w:rsid w:val="009D4450"/>
    <w:rsid w:val="009E63C8"/>
    <w:rsid w:val="00A11529"/>
    <w:rsid w:val="00A60EAB"/>
    <w:rsid w:val="00A7691F"/>
    <w:rsid w:val="00A8741C"/>
    <w:rsid w:val="00AA1C25"/>
    <w:rsid w:val="00AC49CD"/>
    <w:rsid w:val="00AE45E8"/>
    <w:rsid w:val="00AF20E7"/>
    <w:rsid w:val="00AF6D29"/>
    <w:rsid w:val="00AF7A08"/>
    <w:rsid w:val="00B017FC"/>
    <w:rsid w:val="00B27476"/>
    <w:rsid w:val="00B351C6"/>
    <w:rsid w:val="00B36D00"/>
    <w:rsid w:val="00B50C3B"/>
    <w:rsid w:val="00B54D89"/>
    <w:rsid w:val="00BD4475"/>
    <w:rsid w:val="00BE049F"/>
    <w:rsid w:val="00BF2D83"/>
    <w:rsid w:val="00C10B07"/>
    <w:rsid w:val="00C35E6D"/>
    <w:rsid w:val="00C41576"/>
    <w:rsid w:val="00C633DD"/>
    <w:rsid w:val="00C65C85"/>
    <w:rsid w:val="00C762BF"/>
    <w:rsid w:val="00CA3AE5"/>
    <w:rsid w:val="00CD4B1E"/>
    <w:rsid w:val="00CE58D6"/>
    <w:rsid w:val="00CF1EB6"/>
    <w:rsid w:val="00D33119"/>
    <w:rsid w:val="00D84082"/>
    <w:rsid w:val="00DA16F5"/>
    <w:rsid w:val="00DC5390"/>
    <w:rsid w:val="00DF25FC"/>
    <w:rsid w:val="00E05AF2"/>
    <w:rsid w:val="00E15B30"/>
    <w:rsid w:val="00E8493E"/>
    <w:rsid w:val="00E93105"/>
    <w:rsid w:val="00EB7F46"/>
    <w:rsid w:val="00EE0682"/>
    <w:rsid w:val="00EE697F"/>
    <w:rsid w:val="00F35E85"/>
    <w:rsid w:val="00F532B2"/>
    <w:rsid w:val="00F53C74"/>
    <w:rsid w:val="00F8289E"/>
    <w:rsid w:val="00F87E9F"/>
    <w:rsid w:val="00FB00E0"/>
    <w:rsid w:val="00FB1F18"/>
    <w:rsid w:val="00FB71BC"/>
    <w:rsid w:val="00FD1737"/>
    <w:rsid w:val="00FD3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1579"/>
  <w15:docId w15:val="{DA417ADA-150E-4726-A6E5-F63C1219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paragraph" w:styleId="EndnoteText">
    <w:name w:val="endnote text"/>
    <w:basedOn w:val="Normal"/>
    <w:link w:val="EndnoteTextChar"/>
    <w:semiHidden/>
    <w:rsid w:val="00E93105"/>
    <w:pPr>
      <w:suppressAutoHyphens w:val="0"/>
      <w:autoSpaceDN/>
      <w:adjustRightInd w:val="0"/>
      <w:spacing w:after="120"/>
      <w:ind w:left="720" w:hanging="720"/>
      <w:jc w:val="both"/>
      <w:textAlignment w:val="auto"/>
    </w:pPr>
    <w:rPr>
      <w:rFonts w:eastAsia="STZhongsong" w:cs="Times New Roman"/>
      <w:sz w:val="18"/>
      <w:szCs w:val="24"/>
      <w:lang w:bidi="ar-SA"/>
    </w:rPr>
  </w:style>
  <w:style w:type="character" w:customStyle="1" w:styleId="EndnoteTextChar">
    <w:name w:val="Endnote Text Char"/>
    <w:basedOn w:val="DefaultParagraphFont"/>
    <w:link w:val="EndnoteText"/>
    <w:semiHidden/>
    <w:rsid w:val="00E93105"/>
    <w:rPr>
      <w:rFonts w:eastAsia="STZhongsong" w:cs="Times New Roman"/>
      <w:sz w:val="18"/>
      <w:szCs w:val="24"/>
      <w:lang w:bidi="ar-SA"/>
    </w:rPr>
  </w:style>
  <w:style w:type="paragraph" w:customStyle="1" w:styleId="KLegalHeading3">
    <w:name w:val="KLegal Heading 3"/>
    <w:basedOn w:val="Normal"/>
    <w:next w:val="Normal"/>
    <w:rsid w:val="00DA16F5"/>
    <w:pPr>
      <w:keepNext/>
      <w:numPr>
        <w:ilvl w:val="2"/>
        <w:numId w:val="85"/>
      </w:numPr>
      <w:tabs>
        <w:tab w:val="clear" w:pos="720"/>
      </w:tabs>
      <w:suppressAutoHyphens w:val="0"/>
      <w:overflowPunct w:val="0"/>
      <w:autoSpaceDE w:val="0"/>
      <w:adjustRightInd w:val="0"/>
      <w:spacing w:after="220"/>
      <w:ind w:left="1440" w:hanging="720"/>
      <w:jc w:val="both"/>
    </w:pPr>
    <w:rPr>
      <w:rFonts w:eastAsia="Times New Roman" w:cs="Times New Roman"/>
      <w:b/>
      <w:szCs w:val="20"/>
      <w:lang w:eastAsia="en-US" w:bidi="ar-SA"/>
    </w:rPr>
  </w:style>
  <w:style w:type="paragraph" w:customStyle="1" w:styleId="KLegalHeading4">
    <w:name w:val="KLegal Heading 4"/>
    <w:basedOn w:val="Normal"/>
    <w:next w:val="Normal"/>
    <w:rsid w:val="00DA16F5"/>
    <w:pPr>
      <w:keepNext/>
      <w:numPr>
        <w:ilvl w:val="3"/>
        <w:numId w:val="85"/>
      </w:numPr>
      <w:tabs>
        <w:tab w:val="clear" w:pos="1080"/>
      </w:tabs>
      <w:suppressAutoHyphens w:val="0"/>
      <w:overflowPunct w:val="0"/>
      <w:autoSpaceDE w:val="0"/>
      <w:adjustRightInd w:val="0"/>
      <w:spacing w:after="220"/>
      <w:ind w:left="2160" w:hanging="720"/>
      <w:jc w:val="both"/>
    </w:pPr>
    <w:rPr>
      <w:rFonts w:eastAsia="Times New Roman" w:cs="Times New Roman"/>
      <w:b/>
      <w:i/>
      <w:szCs w:val="20"/>
      <w:lang w:eastAsia="en-US" w:bidi="ar-SA"/>
    </w:rPr>
  </w:style>
  <w:style w:type="paragraph" w:customStyle="1" w:styleId="KLegalHeading1">
    <w:name w:val="KLegal Heading 1"/>
    <w:basedOn w:val="Normal"/>
    <w:next w:val="KLegalHeading2"/>
    <w:rsid w:val="00DA16F5"/>
    <w:pPr>
      <w:keepNext/>
      <w:pageBreakBefore/>
      <w:numPr>
        <w:numId w:val="85"/>
      </w:numPr>
      <w:tabs>
        <w:tab w:val="clear" w:pos="360"/>
      </w:tabs>
      <w:suppressAutoHyphens w:val="0"/>
      <w:overflowPunct w:val="0"/>
      <w:autoSpaceDE w:val="0"/>
      <w:adjustRightInd w:val="0"/>
      <w:spacing w:after="440"/>
      <w:ind w:left="851" w:hanging="851"/>
      <w:jc w:val="both"/>
      <w:outlineLvl w:val="0"/>
    </w:pPr>
    <w:rPr>
      <w:rFonts w:eastAsia="Times New Roman" w:cs="Times New Roman"/>
      <w:b/>
      <w:sz w:val="32"/>
      <w:szCs w:val="20"/>
      <w:lang w:eastAsia="en-US" w:bidi="ar-SA"/>
    </w:rPr>
  </w:style>
  <w:style w:type="paragraph" w:customStyle="1" w:styleId="KLegalHeading2">
    <w:name w:val="KLegal Heading 2"/>
    <w:basedOn w:val="Normal"/>
    <w:next w:val="KLegalHeading3"/>
    <w:rsid w:val="00DA16F5"/>
    <w:pPr>
      <w:keepNext/>
      <w:numPr>
        <w:ilvl w:val="1"/>
        <w:numId w:val="85"/>
      </w:numPr>
      <w:tabs>
        <w:tab w:val="clear" w:pos="720"/>
      </w:tabs>
      <w:suppressAutoHyphens w:val="0"/>
      <w:overflowPunct w:val="0"/>
      <w:autoSpaceDE w:val="0"/>
      <w:adjustRightInd w:val="0"/>
      <w:spacing w:after="220"/>
      <w:ind w:left="851" w:hanging="851"/>
      <w:jc w:val="both"/>
      <w:outlineLvl w:val="1"/>
    </w:pPr>
    <w:rPr>
      <w:rFonts w:eastAsia="Times New Roman" w:cs="Times New Roman"/>
      <w:b/>
      <w:sz w:val="28"/>
      <w:szCs w:val="20"/>
      <w:lang w:eastAsia="en-US" w:bidi="ar-SA"/>
    </w:rPr>
  </w:style>
  <w:style w:type="character" w:styleId="CommentReference">
    <w:name w:val="annotation reference"/>
    <w:basedOn w:val="DefaultParagraphFont"/>
    <w:uiPriority w:val="99"/>
    <w:semiHidden/>
    <w:unhideWhenUsed/>
    <w:rsid w:val="0009656C"/>
    <w:rPr>
      <w:sz w:val="16"/>
      <w:szCs w:val="16"/>
    </w:rPr>
  </w:style>
  <w:style w:type="paragraph" w:styleId="CommentText">
    <w:name w:val="annotation text"/>
    <w:basedOn w:val="Normal"/>
    <w:link w:val="CommentTextChar"/>
    <w:uiPriority w:val="99"/>
    <w:semiHidden/>
    <w:unhideWhenUsed/>
    <w:rsid w:val="0009656C"/>
    <w:rPr>
      <w:rFonts w:cs="Mangal"/>
      <w:sz w:val="20"/>
      <w:szCs w:val="18"/>
    </w:rPr>
  </w:style>
  <w:style w:type="character" w:customStyle="1" w:styleId="CommentTextChar">
    <w:name w:val="Comment Text Char"/>
    <w:basedOn w:val="DefaultParagraphFont"/>
    <w:link w:val="CommentText"/>
    <w:uiPriority w:val="99"/>
    <w:semiHidden/>
    <w:rsid w:val="0009656C"/>
    <w:rPr>
      <w:rFonts w:cs="Mangal"/>
      <w:sz w:val="20"/>
      <w:szCs w:val="18"/>
    </w:rPr>
  </w:style>
  <w:style w:type="paragraph" w:styleId="CommentSubject">
    <w:name w:val="annotation subject"/>
    <w:basedOn w:val="CommentText"/>
    <w:next w:val="CommentText"/>
    <w:link w:val="CommentSubjectChar"/>
    <w:uiPriority w:val="99"/>
    <w:semiHidden/>
    <w:unhideWhenUsed/>
    <w:rsid w:val="0009656C"/>
    <w:rPr>
      <w:b/>
      <w:bCs/>
    </w:rPr>
  </w:style>
  <w:style w:type="character" w:customStyle="1" w:styleId="CommentSubjectChar">
    <w:name w:val="Comment Subject Char"/>
    <w:basedOn w:val="CommentTextChar"/>
    <w:link w:val="CommentSubject"/>
    <w:uiPriority w:val="99"/>
    <w:semiHidden/>
    <w:rsid w:val="0009656C"/>
    <w:rPr>
      <w:rFonts w:cs="Mangal"/>
      <w:b/>
      <w:bCs/>
      <w:sz w:val="20"/>
      <w:szCs w:val="18"/>
    </w:rPr>
  </w:style>
  <w:style w:type="paragraph" w:styleId="BalloonText">
    <w:name w:val="Balloon Text"/>
    <w:basedOn w:val="Normal"/>
    <w:link w:val="BalloonTextChar"/>
    <w:uiPriority w:val="99"/>
    <w:semiHidden/>
    <w:unhideWhenUsed/>
    <w:rsid w:val="0009656C"/>
    <w:rPr>
      <w:rFonts w:ascii="Segoe UI" w:hAnsi="Segoe UI" w:cs="Mangal"/>
      <w:sz w:val="18"/>
      <w:szCs w:val="16"/>
    </w:rPr>
  </w:style>
  <w:style w:type="character" w:customStyle="1" w:styleId="BalloonTextChar">
    <w:name w:val="Balloon Text Char"/>
    <w:basedOn w:val="DefaultParagraphFont"/>
    <w:link w:val="BalloonText"/>
    <w:uiPriority w:val="99"/>
    <w:semiHidden/>
    <w:rsid w:val="0009656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service-standard" TargetMode="External"/><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jpeg"/><Relationship Id="rId12" Type="http://schemas.openxmlformats.org/officeDocument/2006/relationships/hyperlink" Target="https://www.ncsc.gov.uk/collection/caf/cyber-assessment-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hmg-security-policy-framework" TargetMode="External"/><Relationship Id="rId24" Type="http://schemas.openxmlformats.org/officeDocument/2006/relationships/hyperlink" Target="https://www.gov.uk/government/publications/cyber-risk-management-a-board-level-responsibility/10-steps-summary" TargetMode="External"/><Relationship Id="rId5" Type="http://schemas.openxmlformats.org/officeDocument/2006/relationships/footnotes" Target="footnotes.xml"/><Relationship Id="rId15" Type="http://schemas.openxmlformats.org/officeDocument/2006/relationships/hyperlink" Target="https://www.npsa.gov.uk/sensitive-information-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uidance/gds-api-technical-and-data-standards"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uidance/the-technology-code-of-pract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73</Pages>
  <Words>15437</Words>
  <Characters>87992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Azzy Kuddus</cp:lastModifiedBy>
  <cp:revision>5</cp:revision>
  <dcterms:created xsi:type="dcterms:W3CDTF">2023-12-05T11:50:00Z</dcterms:created>
  <dcterms:modified xsi:type="dcterms:W3CDTF">2023-12-20T10:58:00Z</dcterms:modified>
</cp:coreProperties>
</file>