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66A8" w14:textId="77777777" w:rsidR="00863735" w:rsidRDefault="00863735" w:rsidP="00863735">
      <w:pPr>
        <w:jc w:val="center"/>
        <w:rPr>
          <w:rFonts w:ascii="Arial" w:hAnsi="Arial" w:cs="Arial"/>
          <w:b/>
          <w:sz w:val="28"/>
          <w:szCs w:val="28"/>
          <w:u w:val="single"/>
        </w:rPr>
      </w:pPr>
    </w:p>
    <w:p w14:paraId="27B21B64" w14:textId="3A039F01" w:rsidR="00863735" w:rsidRPr="00023435" w:rsidRDefault="00D9134E" w:rsidP="00863735">
      <w:pPr>
        <w:jc w:val="center"/>
        <w:rPr>
          <w:rFonts w:ascii="Arial" w:hAnsi="Arial" w:cs="Arial"/>
          <w:b/>
          <w:sz w:val="28"/>
          <w:szCs w:val="28"/>
          <w:u w:val="single"/>
        </w:rPr>
      </w:pPr>
      <w:r>
        <w:rPr>
          <w:rFonts w:ascii="Arial" w:hAnsi="Arial" w:cs="Arial"/>
          <w:b/>
          <w:sz w:val="28"/>
          <w:szCs w:val="28"/>
          <w:u w:val="single"/>
        </w:rPr>
        <w:t xml:space="preserve">DYNAMIC </w:t>
      </w:r>
      <w:r w:rsidR="00863735" w:rsidRPr="00023435">
        <w:rPr>
          <w:rFonts w:ascii="Arial" w:hAnsi="Arial" w:cs="Arial"/>
          <w:b/>
          <w:sz w:val="28"/>
          <w:szCs w:val="28"/>
          <w:u w:val="single"/>
        </w:rPr>
        <w:t>PRE-QUALIFICATION QUESTIONNAIRE (</w:t>
      </w:r>
      <w:r>
        <w:rPr>
          <w:rFonts w:ascii="Arial" w:hAnsi="Arial" w:cs="Arial"/>
          <w:b/>
          <w:sz w:val="28"/>
          <w:szCs w:val="28"/>
          <w:u w:val="single"/>
        </w:rPr>
        <w:t>D</w:t>
      </w:r>
      <w:r w:rsidR="00863735" w:rsidRPr="00023435">
        <w:rPr>
          <w:rFonts w:ascii="Arial" w:hAnsi="Arial" w:cs="Arial"/>
          <w:b/>
          <w:sz w:val="28"/>
          <w:szCs w:val="28"/>
          <w:u w:val="single"/>
        </w:rPr>
        <w:t>PQQ) GUIDANCE AND EVALUATION CRITERIA</w:t>
      </w:r>
    </w:p>
    <w:p w14:paraId="76D1956E" w14:textId="77777777" w:rsidR="00863735" w:rsidRDefault="00863735"/>
    <w:p w14:paraId="615E8F73" w14:textId="77777777" w:rsidR="00863735" w:rsidRDefault="00863735" w:rsidP="00863735">
      <w:pPr>
        <w:rPr>
          <w:rFonts w:ascii="Arial" w:hAnsi="Arial" w:cs="Arial"/>
          <w:b/>
          <w:u w:val="single"/>
        </w:rPr>
      </w:pPr>
      <w:r>
        <w:rPr>
          <w:rFonts w:ascii="Arial" w:hAnsi="Arial" w:cs="Arial"/>
          <w:b/>
        </w:rPr>
        <w:t>1.</w:t>
      </w:r>
      <w:r>
        <w:rPr>
          <w:rFonts w:ascii="Arial" w:hAnsi="Arial" w:cs="Arial"/>
        </w:rPr>
        <w:tab/>
      </w:r>
      <w:r>
        <w:rPr>
          <w:rFonts w:ascii="Arial" w:hAnsi="Arial" w:cs="Arial"/>
          <w:b/>
          <w:u w:val="single"/>
        </w:rPr>
        <w:t>INTRODUCTION</w:t>
      </w:r>
    </w:p>
    <w:p w14:paraId="03B21D9A" w14:textId="2D4FE7B2" w:rsidR="00863735" w:rsidRDefault="00863735" w:rsidP="00863735">
      <w:pPr>
        <w:numPr>
          <w:ilvl w:val="1"/>
          <w:numId w:val="1"/>
        </w:numPr>
        <w:overflowPunct w:val="0"/>
        <w:autoSpaceDE w:val="0"/>
        <w:autoSpaceDN w:val="0"/>
        <w:adjustRightInd w:val="0"/>
        <w:spacing w:after="0" w:line="240" w:lineRule="auto"/>
        <w:ind w:left="567" w:hanging="567"/>
        <w:contextualSpacing/>
        <w:jc w:val="both"/>
        <w:textAlignment w:val="baseline"/>
        <w:rPr>
          <w:rFonts w:ascii="Arial" w:hAnsi="Arial" w:cs="Arial"/>
          <w:kern w:val="22"/>
          <w:szCs w:val="20"/>
        </w:rPr>
      </w:pPr>
      <w:r>
        <w:rPr>
          <w:rFonts w:ascii="Arial" w:hAnsi="Arial" w:cs="Arial"/>
          <w:kern w:val="22"/>
          <w:szCs w:val="20"/>
        </w:rPr>
        <w:t xml:space="preserve">This guidance document supports the issue of the </w:t>
      </w:r>
      <w:r w:rsidR="00D9134E">
        <w:rPr>
          <w:rFonts w:ascii="Arial" w:hAnsi="Arial" w:cs="Arial"/>
          <w:kern w:val="22"/>
          <w:szCs w:val="20"/>
        </w:rPr>
        <w:t xml:space="preserve">Dynamic </w:t>
      </w:r>
      <w:r>
        <w:rPr>
          <w:rFonts w:ascii="Arial" w:hAnsi="Arial" w:cs="Arial"/>
          <w:kern w:val="22"/>
          <w:szCs w:val="20"/>
        </w:rPr>
        <w:t>Pre-Qualification Questionnaire (</w:t>
      </w:r>
      <w:r w:rsidR="00D9134E">
        <w:rPr>
          <w:rFonts w:ascii="Arial" w:hAnsi="Arial" w:cs="Arial"/>
          <w:kern w:val="22"/>
          <w:szCs w:val="20"/>
        </w:rPr>
        <w:t>D</w:t>
      </w:r>
      <w:r>
        <w:rPr>
          <w:rFonts w:ascii="Arial" w:hAnsi="Arial" w:cs="Arial"/>
          <w:kern w:val="22"/>
          <w:szCs w:val="20"/>
        </w:rPr>
        <w:t xml:space="preserve">PQQ) for </w:t>
      </w:r>
      <w:r w:rsidR="00D9134E">
        <w:rPr>
          <w:rFonts w:ascii="Arial" w:hAnsi="Arial" w:cs="Arial"/>
          <w:kern w:val="22"/>
          <w:szCs w:val="20"/>
        </w:rPr>
        <w:t>Defence Business Services</w:t>
      </w:r>
      <w:r>
        <w:rPr>
          <w:rFonts w:ascii="Arial" w:hAnsi="Arial" w:cs="Arial"/>
          <w:kern w:val="22"/>
          <w:szCs w:val="20"/>
        </w:rPr>
        <w:t xml:space="preserve"> (</w:t>
      </w:r>
      <w:r w:rsidR="00D9134E">
        <w:rPr>
          <w:rFonts w:ascii="Arial" w:hAnsi="Arial" w:cs="Arial"/>
          <w:kern w:val="22"/>
          <w:szCs w:val="20"/>
        </w:rPr>
        <w:t>DBS</w:t>
      </w:r>
      <w:r>
        <w:rPr>
          <w:rFonts w:ascii="Arial" w:hAnsi="Arial" w:cs="Arial"/>
          <w:kern w:val="22"/>
          <w:szCs w:val="20"/>
        </w:rPr>
        <w:t>)</w:t>
      </w:r>
      <w:r w:rsidR="00D9134E">
        <w:rPr>
          <w:rFonts w:ascii="Arial" w:hAnsi="Arial" w:cs="Arial"/>
          <w:kern w:val="22"/>
          <w:szCs w:val="20"/>
        </w:rPr>
        <w:t>/ Ministry of Defence (MoD)</w:t>
      </w:r>
      <w:r>
        <w:rPr>
          <w:rFonts w:ascii="Arial" w:hAnsi="Arial" w:cs="Arial"/>
          <w:kern w:val="22"/>
          <w:szCs w:val="20"/>
        </w:rPr>
        <w:t xml:space="preserve">. It provides Potential Providers with guidance and clarity over the </w:t>
      </w:r>
      <w:r w:rsidR="00D9134E">
        <w:rPr>
          <w:rFonts w:ascii="Arial" w:hAnsi="Arial" w:cs="Arial"/>
          <w:kern w:val="22"/>
          <w:szCs w:val="20"/>
        </w:rPr>
        <w:t>D</w:t>
      </w:r>
      <w:r>
        <w:rPr>
          <w:rFonts w:ascii="Arial" w:hAnsi="Arial" w:cs="Arial"/>
          <w:kern w:val="22"/>
          <w:szCs w:val="20"/>
        </w:rPr>
        <w:t xml:space="preserve">PQQ process.  The following definitions are used in this document and the </w:t>
      </w:r>
      <w:r w:rsidR="00D9134E">
        <w:rPr>
          <w:rFonts w:ascii="Arial" w:hAnsi="Arial" w:cs="Arial"/>
          <w:kern w:val="22"/>
          <w:szCs w:val="20"/>
        </w:rPr>
        <w:t>D</w:t>
      </w:r>
      <w:r>
        <w:rPr>
          <w:rFonts w:ascii="Arial" w:hAnsi="Arial" w:cs="Arial"/>
          <w:kern w:val="22"/>
          <w:szCs w:val="20"/>
        </w:rPr>
        <w:t>PQQ:</w:t>
      </w:r>
    </w:p>
    <w:p w14:paraId="632642DB" w14:textId="77777777" w:rsidR="00863735" w:rsidRDefault="00863735" w:rsidP="00863735">
      <w:pPr>
        <w:overflowPunct w:val="0"/>
        <w:autoSpaceDE w:val="0"/>
        <w:autoSpaceDN w:val="0"/>
        <w:adjustRightInd w:val="0"/>
        <w:ind w:left="550" w:hanging="550"/>
        <w:contextualSpacing/>
        <w:jc w:val="both"/>
        <w:textAlignment w:val="baseline"/>
        <w:rPr>
          <w:rFonts w:ascii="Arial" w:hAnsi="Arial" w:cs="Arial"/>
          <w:kern w:val="22"/>
          <w:szCs w:val="20"/>
        </w:rPr>
      </w:pPr>
    </w:p>
    <w:p w14:paraId="4DDFC850" w14:textId="40BE3280" w:rsidR="00863735" w:rsidRDefault="00863735" w:rsidP="00863735">
      <w:pPr>
        <w:overflowPunct w:val="0"/>
        <w:autoSpaceDE w:val="0"/>
        <w:autoSpaceDN w:val="0"/>
        <w:adjustRightInd w:val="0"/>
        <w:ind w:left="1418" w:hanging="284"/>
        <w:contextualSpacing/>
        <w:jc w:val="both"/>
        <w:textAlignment w:val="baseline"/>
        <w:rPr>
          <w:rFonts w:ascii="Arial" w:hAnsi="Arial" w:cs="Arial"/>
          <w:kern w:val="22"/>
          <w:szCs w:val="20"/>
        </w:rPr>
      </w:pPr>
      <w:r>
        <w:rPr>
          <w:rFonts w:ascii="Arial" w:hAnsi="Arial" w:cs="Arial"/>
          <w:kern w:val="22"/>
          <w:szCs w:val="20"/>
        </w:rPr>
        <w:t>i)</w:t>
      </w:r>
      <w:r>
        <w:rPr>
          <w:rFonts w:ascii="Arial" w:hAnsi="Arial" w:cs="Arial"/>
          <w:kern w:val="22"/>
          <w:szCs w:val="20"/>
        </w:rPr>
        <w:tab/>
        <w:t xml:space="preserve"> “We” or “Authority” means the Ministry of Defence (M</w:t>
      </w:r>
      <w:r w:rsidR="00D9134E">
        <w:rPr>
          <w:rFonts w:ascii="Arial" w:hAnsi="Arial" w:cs="Arial"/>
          <w:kern w:val="22"/>
          <w:szCs w:val="20"/>
        </w:rPr>
        <w:t>o</w:t>
      </w:r>
      <w:r>
        <w:rPr>
          <w:rFonts w:ascii="Arial" w:hAnsi="Arial" w:cs="Arial"/>
          <w:kern w:val="22"/>
          <w:szCs w:val="20"/>
        </w:rPr>
        <w:t xml:space="preserve">D) </w:t>
      </w:r>
    </w:p>
    <w:p w14:paraId="1D148F77" w14:textId="77777777" w:rsidR="00863735" w:rsidRDefault="00863735" w:rsidP="00863735">
      <w:pPr>
        <w:overflowPunct w:val="0"/>
        <w:autoSpaceDE w:val="0"/>
        <w:autoSpaceDN w:val="0"/>
        <w:adjustRightInd w:val="0"/>
        <w:ind w:left="1418" w:hanging="284"/>
        <w:jc w:val="both"/>
        <w:textAlignment w:val="baseline"/>
        <w:rPr>
          <w:rFonts w:ascii="Arial" w:hAnsi="Arial" w:cs="Arial"/>
          <w:kern w:val="22"/>
          <w:szCs w:val="20"/>
        </w:rPr>
      </w:pPr>
    </w:p>
    <w:p w14:paraId="38D07902" w14:textId="5BA4376F" w:rsidR="00863735" w:rsidRDefault="00863735" w:rsidP="00863735">
      <w:pPr>
        <w:overflowPunct w:val="0"/>
        <w:autoSpaceDE w:val="0"/>
        <w:autoSpaceDN w:val="0"/>
        <w:adjustRightInd w:val="0"/>
        <w:ind w:left="1418" w:hanging="284"/>
        <w:contextualSpacing/>
        <w:jc w:val="both"/>
        <w:textAlignment w:val="baseline"/>
        <w:rPr>
          <w:rFonts w:ascii="Arial" w:hAnsi="Arial" w:cs="Arial"/>
          <w:kern w:val="22"/>
          <w:szCs w:val="20"/>
        </w:rPr>
      </w:pPr>
      <w:r>
        <w:rPr>
          <w:rFonts w:ascii="Arial" w:hAnsi="Arial" w:cs="Arial"/>
          <w:kern w:val="22"/>
          <w:szCs w:val="20"/>
        </w:rPr>
        <w:t>ii</w:t>
      </w:r>
      <w:r>
        <w:rPr>
          <w:rFonts w:ascii="Arial" w:hAnsi="Arial" w:cs="Arial"/>
          <w:kern w:val="22"/>
          <w:szCs w:val="20"/>
        </w:rPr>
        <w:tab/>
        <w:t>“You” or “</w:t>
      </w:r>
      <w:proofErr w:type="gramStart"/>
      <w:r>
        <w:rPr>
          <w:rFonts w:ascii="Arial" w:hAnsi="Arial" w:cs="Arial"/>
          <w:kern w:val="22"/>
          <w:szCs w:val="20"/>
        </w:rPr>
        <w:t>Your</w:t>
      </w:r>
      <w:proofErr w:type="gramEnd"/>
      <w:r>
        <w:rPr>
          <w:rFonts w:ascii="Arial" w:hAnsi="Arial" w:cs="Arial"/>
          <w:kern w:val="22"/>
          <w:szCs w:val="20"/>
        </w:rPr>
        <w:t xml:space="preserve">” or the “Potential Provider” means the business, company or organisation which is completing the </w:t>
      </w:r>
      <w:r w:rsidR="00D9134E">
        <w:rPr>
          <w:rFonts w:ascii="Arial" w:hAnsi="Arial" w:cs="Arial"/>
          <w:kern w:val="22"/>
          <w:szCs w:val="20"/>
        </w:rPr>
        <w:t>D</w:t>
      </w:r>
      <w:r>
        <w:rPr>
          <w:rFonts w:ascii="Arial" w:hAnsi="Arial" w:cs="Arial"/>
          <w:kern w:val="22"/>
          <w:szCs w:val="20"/>
        </w:rPr>
        <w:t>PQQ.</w:t>
      </w:r>
    </w:p>
    <w:p w14:paraId="30BF2515" w14:textId="77777777" w:rsidR="00863735" w:rsidRDefault="00863735" w:rsidP="00863735">
      <w:pPr>
        <w:overflowPunct w:val="0"/>
        <w:autoSpaceDE w:val="0"/>
        <w:autoSpaceDN w:val="0"/>
        <w:adjustRightInd w:val="0"/>
        <w:ind w:left="550" w:hanging="550"/>
        <w:contextualSpacing/>
        <w:jc w:val="both"/>
        <w:textAlignment w:val="baseline"/>
        <w:rPr>
          <w:rFonts w:ascii="Arial" w:hAnsi="Arial" w:cs="Arial"/>
          <w:kern w:val="22"/>
          <w:szCs w:val="20"/>
        </w:rPr>
      </w:pPr>
    </w:p>
    <w:p w14:paraId="2FFE6AED" w14:textId="45EF7C7C" w:rsidR="00863735" w:rsidRDefault="00863735" w:rsidP="494E90F1">
      <w:pPr>
        <w:numPr>
          <w:ilvl w:val="1"/>
          <w:numId w:val="1"/>
        </w:numPr>
        <w:overflowPunct w:val="0"/>
        <w:autoSpaceDE w:val="0"/>
        <w:autoSpaceDN w:val="0"/>
        <w:adjustRightInd w:val="0"/>
        <w:spacing w:after="0" w:line="240" w:lineRule="auto"/>
        <w:ind w:left="567" w:hanging="567"/>
        <w:contextualSpacing/>
        <w:jc w:val="both"/>
        <w:textAlignment w:val="baseline"/>
        <w:rPr>
          <w:rFonts w:ascii="Arial" w:hAnsi="Arial" w:cs="Arial"/>
          <w:kern w:val="22"/>
        </w:rPr>
      </w:pPr>
      <w:r w:rsidRPr="494E90F1">
        <w:rPr>
          <w:rFonts w:ascii="Arial" w:hAnsi="Arial" w:cs="Arial"/>
          <w:kern w:val="22"/>
        </w:rPr>
        <w:t xml:space="preserve">The Authority has issued the </w:t>
      </w:r>
      <w:r w:rsidR="00D9134E" w:rsidRPr="494E90F1">
        <w:rPr>
          <w:rFonts w:ascii="Arial" w:hAnsi="Arial" w:cs="Arial"/>
          <w:kern w:val="22"/>
        </w:rPr>
        <w:t>D</w:t>
      </w:r>
      <w:r w:rsidRPr="494E90F1">
        <w:rPr>
          <w:rFonts w:ascii="Arial" w:hAnsi="Arial" w:cs="Arial"/>
          <w:kern w:val="22"/>
        </w:rPr>
        <w:t xml:space="preserve">PQQ to explore whether industry </w:t>
      </w:r>
      <w:proofErr w:type="gramStart"/>
      <w:r w:rsidRPr="494E90F1">
        <w:rPr>
          <w:rFonts w:ascii="Arial" w:hAnsi="Arial" w:cs="Arial"/>
          <w:kern w:val="22"/>
        </w:rPr>
        <w:t>has the ability to</w:t>
      </w:r>
      <w:proofErr w:type="gramEnd"/>
      <w:r w:rsidRPr="494E90F1">
        <w:rPr>
          <w:rFonts w:ascii="Arial" w:hAnsi="Arial" w:cs="Arial"/>
          <w:kern w:val="22"/>
        </w:rPr>
        <w:t xml:space="preserve"> provide a service that will meet Defence’s requirements. </w:t>
      </w:r>
    </w:p>
    <w:p w14:paraId="4E58C6D6" w14:textId="77777777" w:rsidR="00863735" w:rsidRDefault="00863735" w:rsidP="00863735">
      <w:pPr>
        <w:overflowPunct w:val="0"/>
        <w:autoSpaceDE w:val="0"/>
        <w:autoSpaceDN w:val="0"/>
        <w:adjustRightInd w:val="0"/>
        <w:ind w:left="550" w:hanging="550"/>
        <w:contextualSpacing/>
        <w:jc w:val="both"/>
        <w:textAlignment w:val="baseline"/>
        <w:rPr>
          <w:rFonts w:ascii="Arial" w:hAnsi="Arial" w:cs="Arial"/>
          <w:kern w:val="22"/>
          <w:szCs w:val="20"/>
        </w:rPr>
      </w:pPr>
    </w:p>
    <w:p w14:paraId="3ED0D72F" w14:textId="59B07D16" w:rsidR="00863735" w:rsidRDefault="00863735" w:rsidP="00863735">
      <w:pPr>
        <w:numPr>
          <w:ilvl w:val="1"/>
          <w:numId w:val="1"/>
        </w:numPr>
        <w:overflowPunct w:val="0"/>
        <w:autoSpaceDE w:val="0"/>
        <w:autoSpaceDN w:val="0"/>
        <w:adjustRightInd w:val="0"/>
        <w:spacing w:after="0" w:line="240" w:lineRule="auto"/>
        <w:ind w:left="567" w:hanging="567"/>
        <w:contextualSpacing/>
        <w:jc w:val="both"/>
        <w:textAlignment w:val="baseline"/>
        <w:rPr>
          <w:rFonts w:ascii="Arial" w:hAnsi="Arial" w:cs="Arial"/>
          <w:kern w:val="22"/>
          <w:szCs w:val="20"/>
        </w:rPr>
      </w:pPr>
      <w:r>
        <w:rPr>
          <w:rFonts w:ascii="Arial" w:hAnsi="Arial" w:cs="Arial"/>
          <w:kern w:val="22"/>
          <w:szCs w:val="20"/>
        </w:rPr>
        <w:t xml:space="preserve">The Authority requires the information sought in the </w:t>
      </w:r>
      <w:r w:rsidR="00D9134E">
        <w:rPr>
          <w:rFonts w:ascii="Arial" w:hAnsi="Arial" w:cs="Arial"/>
          <w:kern w:val="22"/>
          <w:szCs w:val="20"/>
        </w:rPr>
        <w:t>D</w:t>
      </w:r>
      <w:r>
        <w:rPr>
          <w:rFonts w:ascii="Arial" w:hAnsi="Arial" w:cs="Arial"/>
          <w:kern w:val="22"/>
          <w:szCs w:val="20"/>
        </w:rPr>
        <w:t>PQQ from each Potential Provider that wishes to proceed further in the competition.</w:t>
      </w:r>
      <w:r w:rsidR="00416189">
        <w:rPr>
          <w:rFonts w:ascii="Arial" w:hAnsi="Arial" w:cs="Arial"/>
          <w:kern w:val="22"/>
          <w:szCs w:val="20"/>
        </w:rPr>
        <w:t xml:space="preserve">  </w:t>
      </w:r>
      <w:r>
        <w:rPr>
          <w:rFonts w:ascii="Arial" w:hAnsi="Arial" w:cs="Arial"/>
          <w:kern w:val="22"/>
          <w:szCs w:val="20"/>
        </w:rPr>
        <w:t xml:space="preserve">Only Potential Providers who are successful at the </w:t>
      </w:r>
      <w:r w:rsidR="00D9134E">
        <w:rPr>
          <w:rFonts w:ascii="Arial" w:hAnsi="Arial" w:cs="Arial"/>
          <w:kern w:val="22"/>
          <w:szCs w:val="20"/>
        </w:rPr>
        <w:t>D</w:t>
      </w:r>
      <w:r>
        <w:rPr>
          <w:rFonts w:ascii="Arial" w:hAnsi="Arial" w:cs="Arial"/>
          <w:kern w:val="22"/>
          <w:szCs w:val="20"/>
        </w:rPr>
        <w:t xml:space="preserve">PQQ stage will be selected to proceed to the next stage of the Commercial Process. </w:t>
      </w:r>
    </w:p>
    <w:p w14:paraId="6CDBFEF0" w14:textId="77777777" w:rsidR="00863735" w:rsidRDefault="00863735" w:rsidP="00863735">
      <w:pPr>
        <w:overflowPunct w:val="0"/>
        <w:autoSpaceDE w:val="0"/>
        <w:autoSpaceDN w:val="0"/>
        <w:adjustRightInd w:val="0"/>
        <w:ind w:left="550" w:hanging="550"/>
        <w:contextualSpacing/>
        <w:textAlignment w:val="baseline"/>
        <w:rPr>
          <w:rFonts w:ascii="Arial" w:hAnsi="Arial" w:cs="Arial"/>
          <w:kern w:val="22"/>
          <w:szCs w:val="20"/>
        </w:rPr>
      </w:pPr>
    </w:p>
    <w:p w14:paraId="4ED0275C" w14:textId="77777777" w:rsidR="00863735" w:rsidRDefault="00863735" w:rsidP="00863735">
      <w:pPr>
        <w:numPr>
          <w:ilvl w:val="1"/>
          <w:numId w:val="1"/>
        </w:numPr>
        <w:overflowPunct w:val="0"/>
        <w:autoSpaceDE w:val="0"/>
        <w:autoSpaceDN w:val="0"/>
        <w:adjustRightInd w:val="0"/>
        <w:spacing w:after="0" w:line="240" w:lineRule="auto"/>
        <w:ind w:left="567" w:hanging="567"/>
        <w:contextualSpacing/>
        <w:jc w:val="both"/>
        <w:textAlignment w:val="baseline"/>
        <w:rPr>
          <w:rFonts w:ascii="Arial" w:hAnsi="Arial" w:cs="Arial"/>
          <w:kern w:val="22"/>
          <w:szCs w:val="20"/>
        </w:rPr>
      </w:pPr>
      <w:r>
        <w:rPr>
          <w:rFonts w:ascii="Arial" w:hAnsi="Arial" w:cs="Arial"/>
          <w:kern w:val="22"/>
          <w:szCs w:val="20"/>
        </w:rPr>
        <w:t xml:space="preserve">Please ensure that the questionnaire is completed as requested.  Failure to do so may result in the application to participate in the process being rejected at this stage.  If a question does not apply, please write N/A (‘Not Applicable’). If, either there is zero knowledge or the Potential Provider is unable to answer the question, please write N/K (‘Not Known’). Where questions cannot be completed, the Authority reserves the right to require further clarification or supplementary information.  Any such requests for information will be issued within 10 working days of the start of the evaluation process. </w:t>
      </w:r>
    </w:p>
    <w:p w14:paraId="2282DD19" w14:textId="77777777" w:rsidR="00863735" w:rsidRDefault="00863735" w:rsidP="00863735">
      <w:pPr>
        <w:overflowPunct w:val="0"/>
        <w:autoSpaceDE w:val="0"/>
        <w:autoSpaceDN w:val="0"/>
        <w:adjustRightInd w:val="0"/>
        <w:ind w:left="550" w:hanging="550"/>
        <w:contextualSpacing/>
        <w:textAlignment w:val="baseline"/>
        <w:rPr>
          <w:rFonts w:ascii="Arial" w:hAnsi="Arial" w:cs="Arial"/>
          <w:kern w:val="22"/>
          <w:szCs w:val="20"/>
        </w:rPr>
      </w:pPr>
    </w:p>
    <w:p w14:paraId="1168D869" w14:textId="77777777" w:rsidR="00863735" w:rsidRDefault="00863735" w:rsidP="00863735">
      <w:pPr>
        <w:numPr>
          <w:ilvl w:val="1"/>
          <w:numId w:val="1"/>
        </w:numPr>
        <w:overflowPunct w:val="0"/>
        <w:autoSpaceDE w:val="0"/>
        <w:autoSpaceDN w:val="0"/>
        <w:adjustRightInd w:val="0"/>
        <w:spacing w:after="0" w:line="240" w:lineRule="auto"/>
        <w:ind w:left="567" w:hanging="567"/>
        <w:contextualSpacing/>
        <w:jc w:val="both"/>
        <w:textAlignment w:val="baseline"/>
        <w:rPr>
          <w:rFonts w:ascii="Arial" w:hAnsi="Arial" w:cs="Arial"/>
          <w:kern w:val="22"/>
          <w:szCs w:val="20"/>
        </w:rPr>
      </w:pPr>
      <w:r>
        <w:rPr>
          <w:rFonts w:ascii="Arial" w:hAnsi="Arial" w:cs="Arial"/>
          <w:kern w:val="22"/>
          <w:szCs w:val="20"/>
        </w:rPr>
        <w:t xml:space="preserve">Where you have a valid reason for being unable to provide the specific information requested, other relevant information may be accepted but only if it is considered appropriate by the Authority.  It is the Authority’s absolute discretion as to whether the alternative information is acceptable.  Industry will not have the opportunity to challenge their de-selection </w:t>
      </w:r>
      <w:proofErr w:type="gramStart"/>
      <w:r>
        <w:rPr>
          <w:rFonts w:ascii="Arial" w:hAnsi="Arial" w:cs="Arial"/>
          <w:kern w:val="22"/>
          <w:szCs w:val="20"/>
        </w:rPr>
        <w:t>on the basis of</w:t>
      </w:r>
      <w:proofErr w:type="gramEnd"/>
      <w:r>
        <w:rPr>
          <w:rFonts w:ascii="Arial" w:hAnsi="Arial" w:cs="Arial"/>
          <w:kern w:val="22"/>
          <w:szCs w:val="20"/>
        </w:rPr>
        <w:t xml:space="preserve"> the Authority rejecting any supplementary information.</w:t>
      </w:r>
    </w:p>
    <w:p w14:paraId="7E42DCD4" w14:textId="77777777" w:rsidR="00863735" w:rsidRDefault="00863735" w:rsidP="00863735">
      <w:pPr>
        <w:overflowPunct w:val="0"/>
        <w:autoSpaceDE w:val="0"/>
        <w:autoSpaceDN w:val="0"/>
        <w:adjustRightInd w:val="0"/>
        <w:ind w:left="550" w:hanging="550"/>
        <w:contextualSpacing/>
        <w:textAlignment w:val="baseline"/>
        <w:rPr>
          <w:rFonts w:ascii="Arial" w:hAnsi="Arial" w:cs="Arial"/>
          <w:kern w:val="22"/>
          <w:szCs w:val="20"/>
        </w:rPr>
      </w:pPr>
    </w:p>
    <w:p w14:paraId="661EA30E" w14:textId="77777777" w:rsidR="00863735" w:rsidRDefault="00863735" w:rsidP="00863735">
      <w:pPr>
        <w:numPr>
          <w:ilvl w:val="1"/>
          <w:numId w:val="1"/>
        </w:numPr>
        <w:overflowPunct w:val="0"/>
        <w:autoSpaceDE w:val="0"/>
        <w:autoSpaceDN w:val="0"/>
        <w:adjustRightInd w:val="0"/>
        <w:spacing w:after="0" w:line="240" w:lineRule="auto"/>
        <w:ind w:left="567" w:hanging="567"/>
        <w:contextualSpacing/>
        <w:jc w:val="both"/>
        <w:textAlignment w:val="baseline"/>
        <w:rPr>
          <w:rFonts w:ascii="Arial" w:hAnsi="Arial" w:cs="Arial"/>
          <w:kern w:val="22"/>
          <w:szCs w:val="20"/>
        </w:rPr>
      </w:pPr>
      <w:r>
        <w:rPr>
          <w:rFonts w:ascii="Arial" w:hAnsi="Arial" w:cs="Arial"/>
          <w:kern w:val="22"/>
          <w:szCs w:val="20"/>
        </w:rPr>
        <w:t xml:space="preserve">All questions should be answered without reference to general marketing or promotional material. </w:t>
      </w:r>
    </w:p>
    <w:p w14:paraId="40623B9C" w14:textId="77777777" w:rsidR="00863735" w:rsidRDefault="00863735" w:rsidP="00863735">
      <w:pPr>
        <w:overflowPunct w:val="0"/>
        <w:autoSpaceDE w:val="0"/>
        <w:autoSpaceDN w:val="0"/>
        <w:adjustRightInd w:val="0"/>
        <w:textAlignment w:val="baseline"/>
        <w:rPr>
          <w:rFonts w:ascii="Arial" w:hAnsi="Arial" w:cs="Arial"/>
          <w:kern w:val="22"/>
          <w:szCs w:val="20"/>
        </w:rPr>
      </w:pPr>
    </w:p>
    <w:p w14:paraId="13959C40" w14:textId="62BB9DD1" w:rsidR="00863735" w:rsidRDefault="00863735" w:rsidP="00863735">
      <w:pPr>
        <w:numPr>
          <w:ilvl w:val="1"/>
          <w:numId w:val="1"/>
        </w:numPr>
        <w:overflowPunct w:val="0"/>
        <w:autoSpaceDE w:val="0"/>
        <w:autoSpaceDN w:val="0"/>
        <w:adjustRightInd w:val="0"/>
        <w:spacing w:after="0" w:line="240" w:lineRule="auto"/>
        <w:ind w:left="567" w:hanging="567"/>
        <w:contextualSpacing/>
        <w:jc w:val="both"/>
        <w:textAlignment w:val="baseline"/>
        <w:rPr>
          <w:rFonts w:ascii="Arial" w:hAnsi="Arial" w:cs="Arial"/>
          <w:kern w:val="22"/>
          <w:szCs w:val="20"/>
        </w:rPr>
      </w:pPr>
      <w:r>
        <w:rPr>
          <w:rFonts w:ascii="Arial" w:hAnsi="Arial" w:cs="Arial"/>
          <w:kern w:val="22"/>
          <w:szCs w:val="20"/>
        </w:rPr>
        <w:t xml:space="preserve">Where financial information is quoted in figures other than Pounds Sterling; the sum should be stated in both the original currency and pounds sterling.  You should use exchange rates quoted (by national central banks, international institutions or commercial banks operating in the foreign exchange market) on the day the Contract notice and </w:t>
      </w:r>
      <w:r w:rsidR="00D9134E">
        <w:rPr>
          <w:rFonts w:ascii="Arial" w:hAnsi="Arial" w:cs="Arial"/>
          <w:kern w:val="22"/>
          <w:szCs w:val="20"/>
        </w:rPr>
        <w:t>D</w:t>
      </w:r>
      <w:r>
        <w:rPr>
          <w:rFonts w:ascii="Arial" w:hAnsi="Arial" w:cs="Arial"/>
          <w:kern w:val="22"/>
          <w:szCs w:val="20"/>
        </w:rPr>
        <w:t xml:space="preserve">PQQ were available for completion. For all currency conversions, the exchange rate used in the response must be identified. </w:t>
      </w:r>
    </w:p>
    <w:p w14:paraId="6D980F26" w14:textId="77777777" w:rsidR="00863735" w:rsidRDefault="00863735" w:rsidP="00863735">
      <w:pPr>
        <w:overflowPunct w:val="0"/>
        <w:autoSpaceDE w:val="0"/>
        <w:autoSpaceDN w:val="0"/>
        <w:adjustRightInd w:val="0"/>
        <w:ind w:left="550" w:hanging="550"/>
        <w:contextualSpacing/>
        <w:textAlignment w:val="baseline"/>
        <w:rPr>
          <w:rFonts w:ascii="Arial" w:hAnsi="Arial" w:cs="Arial"/>
          <w:kern w:val="22"/>
          <w:szCs w:val="20"/>
        </w:rPr>
      </w:pPr>
    </w:p>
    <w:p w14:paraId="79627F68" w14:textId="5BF374A5" w:rsidR="00863735" w:rsidRPr="008C7402" w:rsidRDefault="00863735" w:rsidP="00681B78">
      <w:pPr>
        <w:numPr>
          <w:ilvl w:val="1"/>
          <w:numId w:val="1"/>
        </w:numPr>
        <w:overflowPunct w:val="0"/>
        <w:autoSpaceDE w:val="0"/>
        <w:autoSpaceDN w:val="0"/>
        <w:adjustRightInd w:val="0"/>
        <w:spacing w:after="0" w:line="240" w:lineRule="auto"/>
        <w:ind w:left="567" w:hanging="567"/>
        <w:contextualSpacing/>
        <w:jc w:val="both"/>
        <w:textAlignment w:val="baseline"/>
        <w:rPr>
          <w:rFonts w:ascii="Arial" w:hAnsi="Arial" w:cs="Arial"/>
        </w:rPr>
      </w:pPr>
      <w:r w:rsidRPr="008C7402">
        <w:rPr>
          <w:rFonts w:ascii="Arial" w:hAnsi="Arial" w:cs="Arial"/>
          <w:kern w:val="22"/>
          <w:szCs w:val="20"/>
        </w:rPr>
        <w:lastRenderedPageBreak/>
        <w:t xml:space="preserve">You must inform the Authority of any material changes to the information provided as soon as you become aware of any such change. This applies throughout all stages of the competition process and as such is not limited to this </w:t>
      </w:r>
      <w:r w:rsidR="00D9134E" w:rsidRPr="008C7402">
        <w:rPr>
          <w:rFonts w:ascii="Arial" w:hAnsi="Arial" w:cs="Arial"/>
          <w:kern w:val="22"/>
          <w:szCs w:val="20"/>
        </w:rPr>
        <w:t>D</w:t>
      </w:r>
      <w:r w:rsidRPr="008C7402">
        <w:rPr>
          <w:rFonts w:ascii="Arial" w:hAnsi="Arial" w:cs="Arial"/>
          <w:kern w:val="22"/>
          <w:szCs w:val="20"/>
        </w:rPr>
        <w:t xml:space="preserve">PQQ process. </w:t>
      </w:r>
    </w:p>
    <w:p w14:paraId="52BEB4B6" w14:textId="77777777" w:rsidR="00863735" w:rsidRDefault="00863735" w:rsidP="00863735">
      <w:pPr>
        <w:rPr>
          <w:rFonts w:ascii="Arial" w:hAnsi="Arial" w:cs="Arial"/>
        </w:rPr>
      </w:pPr>
    </w:p>
    <w:p w14:paraId="792794BD" w14:textId="3478AD3F" w:rsidR="00863735" w:rsidRDefault="00863735" w:rsidP="00863735">
      <w:pPr>
        <w:ind w:left="550" w:hanging="550"/>
        <w:rPr>
          <w:rFonts w:ascii="Arial" w:hAnsi="Arial" w:cs="Arial"/>
          <w:b/>
          <w:kern w:val="22"/>
          <w:sz w:val="24"/>
          <w:szCs w:val="20"/>
        </w:rPr>
      </w:pPr>
      <w:r>
        <w:rPr>
          <w:rFonts w:ascii="Arial" w:hAnsi="Arial" w:cs="Arial"/>
          <w:b/>
        </w:rPr>
        <w:t>2.</w:t>
      </w:r>
      <w:r>
        <w:rPr>
          <w:rFonts w:ascii="Arial" w:hAnsi="Arial" w:cs="Arial"/>
          <w:b/>
        </w:rPr>
        <w:tab/>
      </w:r>
      <w:r>
        <w:rPr>
          <w:rFonts w:ascii="Arial" w:hAnsi="Arial" w:cs="Arial"/>
          <w:b/>
          <w:bCs/>
          <w:kern w:val="22"/>
          <w:u w:val="single"/>
        </w:rPr>
        <w:t xml:space="preserve">PURPOSE OF </w:t>
      </w:r>
      <w:r w:rsidR="00D9134E">
        <w:rPr>
          <w:rFonts w:ascii="Arial" w:hAnsi="Arial" w:cs="Arial"/>
          <w:b/>
          <w:bCs/>
          <w:kern w:val="22"/>
          <w:u w:val="single"/>
        </w:rPr>
        <w:t>D</w:t>
      </w:r>
      <w:r>
        <w:rPr>
          <w:rFonts w:ascii="Arial" w:hAnsi="Arial" w:cs="Arial"/>
          <w:b/>
          <w:bCs/>
          <w:kern w:val="22"/>
          <w:u w:val="single"/>
        </w:rPr>
        <w:t>PQQ EVALUATION</w:t>
      </w:r>
      <w:r>
        <w:rPr>
          <w:rFonts w:ascii="Arial" w:hAnsi="Arial" w:cs="Arial"/>
          <w:b/>
          <w:kern w:val="22"/>
          <w:szCs w:val="20"/>
        </w:rPr>
        <w:t xml:space="preserve"> </w:t>
      </w:r>
    </w:p>
    <w:p w14:paraId="7E8202B4" w14:textId="77777777" w:rsidR="00863735" w:rsidRDefault="00863735" w:rsidP="00863735">
      <w:pPr>
        <w:overflowPunct w:val="0"/>
        <w:autoSpaceDE w:val="0"/>
        <w:autoSpaceDN w:val="0"/>
        <w:adjustRightInd w:val="0"/>
        <w:ind w:left="550" w:hanging="550"/>
        <w:contextualSpacing/>
        <w:textAlignment w:val="baseline"/>
        <w:rPr>
          <w:rFonts w:ascii="Arial" w:hAnsi="Arial" w:cs="Arial"/>
          <w:kern w:val="22"/>
          <w:szCs w:val="20"/>
        </w:rPr>
      </w:pPr>
    </w:p>
    <w:p w14:paraId="5CAEB0E5" w14:textId="149B1651" w:rsidR="00863735" w:rsidRDefault="00863735" w:rsidP="00863735">
      <w:pPr>
        <w:numPr>
          <w:ilvl w:val="0"/>
          <w:numId w:val="2"/>
        </w:numPr>
        <w:overflowPunct w:val="0"/>
        <w:autoSpaceDE w:val="0"/>
        <w:autoSpaceDN w:val="0"/>
        <w:adjustRightInd w:val="0"/>
        <w:spacing w:after="240" w:line="240" w:lineRule="auto"/>
        <w:ind w:left="567" w:hanging="567"/>
        <w:jc w:val="both"/>
        <w:textAlignment w:val="baseline"/>
        <w:rPr>
          <w:rFonts w:ascii="Arial" w:hAnsi="Arial" w:cs="Arial"/>
          <w:kern w:val="22"/>
          <w:szCs w:val="20"/>
        </w:rPr>
      </w:pPr>
      <w:r>
        <w:rPr>
          <w:rFonts w:ascii="Arial" w:hAnsi="Arial" w:cs="Arial"/>
          <w:kern w:val="22"/>
          <w:szCs w:val="20"/>
        </w:rPr>
        <w:t xml:space="preserve">For the avoidance of doubt, the objective of the </w:t>
      </w:r>
      <w:r w:rsidR="00D9134E">
        <w:rPr>
          <w:rFonts w:ascii="Arial" w:hAnsi="Arial" w:cs="Arial"/>
          <w:kern w:val="22"/>
          <w:szCs w:val="20"/>
        </w:rPr>
        <w:t>D</w:t>
      </w:r>
      <w:r>
        <w:rPr>
          <w:rFonts w:ascii="Arial" w:hAnsi="Arial" w:cs="Arial"/>
          <w:kern w:val="22"/>
          <w:szCs w:val="20"/>
        </w:rPr>
        <w:t xml:space="preserve">PQQ evaluation is to pre-qualify and select Potential Providers to be invited to participate in the next stage of the competitive process. </w:t>
      </w:r>
    </w:p>
    <w:p w14:paraId="34C5249F" w14:textId="1CB3DF65" w:rsidR="00863735" w:rsidRDefault="00863735" w:rsidP="00863735">
      <w:pPr>
        <w:numPr>
          <w:ilvl w:val="1"/>
          <w:numId w:val="3"/>
        </w:numPr>
        <w:overflowPunct w:val="0"/>
        <w:autoSpaceDE w:val="0"/>
        <w:autoSpaceDN w:val="0"/>
        <w:adjustRightInd w:val="0"/>
        <w:spacing w:after="0" w:line="240" w:lineRule="auto"/>
        <w:ind w:left="567" w:hanging="567"/>
        <w:contextualSpacing/>
        <w:jc w:val="both"/>
        <w:textAlignment w:val="baseline"/>
        <w:rPr>
          <w:rFonts w:ascii="Arial" w:hAnsi="Arial" w:cs="Arial"/>
          <w:kern w:val="22"/>
          <w:szCs w:val="20"/>
        </w:rPr>
      </w:pPr>
      <w:r>
        <w:rPr>
          <w:rFonts w:ascii="Arial" w:hAnsi="Arial" w:cs="Arial"/>
          <w:kern w:val="22"/>
          <w:szCs w:val="20"/>
        </w:rPr>
        <w:t xml:space="preserve">To aid in the selection of the Potential Providers, the </w:t>
      </w:r>
      <w:r w:rsidR="00D9134E">
        <w:rPr>
          <w:rFonts w:ascii="Arial" w:hAnsi="Arial" w:cs="Arial"/>
          <w:kern w:val="22"/>
          <w:szCs w:val="20"/>
        </w:rPr>
        <w:t>D</w:t>
      </w:r>
      <w:r>
        <w:rPr>
          <w:rFonts w:ascii="Arial" w:hAnsi="Arial" w:cs="Arial"/>
          <w:kern w:val="22"/>
          <w:szCs w:val="20"/>
        </w:rPr>
        <w:t>PQQ has been designed to reflect the Authority’s intention to select credible Potential Providers who may have the capability to deliver the requirements.</w:t>
      </w:r>
    </w:p>
    <w:p w14:paraId="0A1AC307" w14:textId="77777777" w:rsidR="00863735" w:rsidRDefault="00863735" w:rsidP="00863735">
      <w:pPr>
        <w:rPr>
          <w:rFonts w:ascii="Arial" w:hAnsi="Arial" w:cs="Arial"/>
          <w:lang w:eastAsia="en-GB"/>
        </w:rPr>
      </w:pPr>
    </w:p>
    <w:p w14:paraId="28E51CB6" w14:textId="14EF1F5B" w:rsidR="00863735" w:rsidRPr="0070364F" w:rsidRDefault="00863735" w:rsidP="0070364F">
      <w:pPr>
        <w:ind w:left="567" w:hanging="567"/>
        <w:rPr>
          <w:rFonts w:ascii="Arial" w:hAnsi="Arial" w:cs="Arial"/>
          <w:sz w:val="24"/>
        </w:rPr>
      </w:pPr>
      <w:r>
        <w:rPr>
          <w:rFonts w:ascii="Arial" w:hAnsi="Arial" w:cs="Arial"/>
          <w:b/>
        </w:rPr>
        <w:t>3.</w:t>
      </w:r>
      <w:r>
        <w:rPr>
          <w:rFonts w:ascii="Arial" w:hAnsi="Arial" w:cs="Arial"/>
          <w:b/>
        </w:rPr>
        <w:tab/>
      </w:r>
      <w:r>
        <w:rPr>
          <w:rFonts w:ascii="Arial" w:hAnsi="Arial" w:cs="Arial"/>
          <w:b/>
          <w:u w:val="single"/>
        </w:rPr>
        <w:t>EVALUATION PHASES</w:t>
      </w:r>
    </w:p>
    <w:p w14:paraId="12414F70" w14:textId="4D1029F0" w:rsidR="00863735" w:rsidRDefault="00863735" w:rsidP="00863735">
      <w:pPr>
        <w:numPr>
          <w:ilvl w:val="1"/>
          <w:numId w:val="4"/>
        </w:numPr>
        <w:spacing w:after="240" w:line="240" w:lineRule="auto"/>
        <w:ind w:left="567" w:hanging="567"/>
        <w:rPr>
          <w:rFonts w:ascii="Arial" w:hAnsi="Arial" w:cs="Arial"/>
        </w:rPr>
      </w:pPr>
      <w:r>
        <w:rPr>
          <w:rFonts w:ascii="Arial" w:hAnsi="Arial" w:cs="Arial"/>
        </w:rPr>
        <w:t xml:space="preserve">The evaluation of the </w:t>
      </w:r>
      <w:r w:rsidR="00D9134E">
        <w:rPr>
          <w:rFonts w:ascii="Arial" w:hAnsi="Arial" w:cs="Arial"/>
        </w:rPr>
        <w:t>D</w:t>
      </w:r>
      <w:r>
        <w:rPr>
          <w:rFonts w:ascii="Arial" w:hAnsi="Arial" w:cs="Arial"/>
        </w:rPr>
        <w:t>PQQ will be as follows:</w:t>
      </w:r>
    </w:p>
    <w:p w14:paraId="6E913FF2" w14:textId="611F45BD" w:rsidR="00863735" w:rsidRPr="008762AC" w:rsidRDefault="00863735" w:rsidP="008762AC">
      <w:pPr>
        <w:ind w:left="567" w:right="-2"/>
        <w:jc w:val="both"/>
        <w:rPr>
          <w:rFonts w:ascii="Arial" w:eastAsia="Times New Roman" w:hAnsi="Arial" w:cs="Arial"/>
          <w:b/>
          <w:bCs/>
          <w:kern w:val="22"/>
          <w:szCs w:val="20"/>
          <w:u w:val="single"/>
        </w:rPr>
      </w:pPr>
      <w:r w:rsidRPr="008762AC">
        <w:rPr>
          <w:rFonts w:ascii="Arial" w:eastAsia="Times New Roman" w:hAnsi="Arial" w:cs="Arial"/>
          <w:b/>
          <w:bCs/>
          <w:kern w:val="22"/>
          <w:szCs w:val="20"/>
          <w:u w:val="single"/>
        </w:rPr>
        <w:t>Phase 1 – Qualification Envelope for Forms Part 1 - 1.3 - 1.</w:t>
      </w:r>
      <w:r w:rsidR="005E1469">
        <w:rPr>
          <w:rFonts w:ascii="Arial" w:eastAsia="Times New Roman" w:hAnsi="Arial" w:cs="Arial"/>
          <w:b/>
          <w:bCs/>
          <w:kern w:val="22"/>
          <w:szCs w:val="20"/>
          <w:u w:val="single"/>
        </w:rPr>
        <w:t>7</w:t>
      </w:r>
      <w:r w:rsidRPr="008762AC">
        <w:rPr>
          <w:rFonts w:ascii="Arial" w:eastAsia="Times New Roman" w:hAnsi="Arial" w:cs="Arial"/>
          <w:b/>
          <w:bCs/>
          <w:kern w:val="22"/>
          <w:szCs w:val="20"/>
          <w:u w:val="single"/>
        </w:rPr>
        <w:t xml:space="preserve"> and Part 2 </w:t>
      </w:r>
      <w:r w:rsidR="005E1469">
        <w:rPr>
          <w:rFonts w:ascii="Arial" w:eastAsia="Times New Roman" w:hAnsi="Arial" w:cs="Arial"/>
          <w:b/>
          <w:bCs/>
          <w:kern w:val="22"/>
          <w:szCs w:val="20"/>
          <w:u w:val="single"/>
        </w:rPr>
        <w:t>1.8</w:t>
      </w:r>
      <w:r w:rsidRPr="008762AC">
        <w:rPr>
          <w:rFonts w:ascii="Arial" w:eastAsia="Times New Roman" w:hAnsi="Arial" w:cs="Arial"/>
          <w:b/>
          <w:bCs/>
          <w:kern w:val="22"/>
          <w:szCs w:val="20"/>
          <w:u w:val="single"/>
        </w:rPr>
        <w:t xml:space="preserve">, and Part 3 </w:t>
      </w:r>
      <w:r w:rsidR="00DE7FCC">
        <w:rPr>
          <w:rFonts w:ascii="Arial" w:eastAsia="Times New Roman" w:hAnsi="Arial" w:cs="Arial"/>
          <w:b/>
          <w:bCs/>
          <w:kern w:val="22"/>
          <w:szCs w:val="20"/>
          <w:u w:val="single"/>
        </w:rPr>
        <w:t xml:space="preserve">1.11 and </w:t>
      </w:r>
      <w:r w:rsidRPr="008762AC">
        <w:rPr>
          <w:rFonts w:ascii="Arial" w:eastAsia="Times New Roman" w:hAnsi="Arial" w:cs="Arial"/>
          <w:b/>
          <w:bCs/>
          <w:kern w:val="22"/>
          <w:szCs w:val="20"/>
          <w:u w:val="single"/>
        </w:rPr>
        <w:t xml:space="preserve">1.12 are all mandatory questions (pass/fail) </w:t>
      </w:r>
    </w:p>
    <w:p w14:paraId="554F12F6" w14:textId="77777777" w:rsidR="00863735" w:rsidRDefault="00863735" w:rsidP="00863735">
      <w:pPr>
        <w:pStyle w:val="ListParagraph"/>
        <w:ind w:right="-2"/>
        <w:jc w:val="both"/>
        <w:rPr>
          <w:rFonts w:cs="Arial"/>
          <w:szCs w:val="22"/>
        </w:rPr>
      </w:pPr>
    </w:p>
    <w:p w14:paraId="55973E82" w14:textId="7550661A" w:rsidR="00863735" w:rsidRDefault="00DA31BB" w:rsidP="00DA31BB">
      <w:pPr>
        <w:pStyle w:val="ListParagraph"/>
        <w:ind w:left="0" w:right="-2"/>
        <w:jc w:val="both"/>
        <w:rPr>
          <w:rFonts w:cs="Arial"/>
          <w:szCs w:val="22"/>
        </w:rPr>
      </w:pPr>
      <w:r>
        <w:rPr>
          <w:rFonts w:cs="Arial"/>
          <w:szCs w:val="22"/>
        </w:rPr>
        <w:t xml:space="preserve">3.2 </w:t>
      </w:r>
      <w:r w:rsidR="00863735">
        <w:rPr>
          <w:rFonts w:cs="Arial"/>
          <w:szCs w:val="22"/>
        </w:rPr>
        <w:t>Upon receipt</w:t>
      </w:r>
      <w:r w:rsidR="00D9134E">
        <w:rPr>
          <w:rFonts w:cs="Arial"/>
          <w:szCs w:val="22"/>
        </w:rPr>
        <w:t>, D</w:t>
      </w:r>
      <w:r w:rsidR="00863735">
        <w:rPr>
          <w:rFonts w:cs="Arial"/>
          <w:szCs w:val="22"/>
        </w:rPr>
        <w:t xml:space="preserve">PQQ’s will be checked for completeness and compliance in accordance with the instructions issued to the Potential Providers. Part 1 of the </w:t>
      </w:r>
      <w:r w:rsidR="00D9134E">
        <w:rPr>
          <w:rFonts w:cs="Arial"/>
          <w:szCs w:val="22"/>
        </w:rPr>
        <w:t>D</w:t>
      </w:r>
      <w:r w:rsidR="00863735">
        <w:rPr>
          <w:rFonts w:cs="Arial"/>
          <w:szCs w:val="22"/>
        </w:rPr>
        <w:t>PQQ contain the pass/fail questions. If the potential provider scores a ‘</w:t>
      </w:r>
      <w:proofErr w:type="gramStart"/>
      <w:r w:rsidR="00863735">
        <w:rPr>
          <w:rFonts w:cs="Arial"/>
          <w:szCs w:val="22"/>
        </w:rPr>
        <w:t>fail</w:t>
      </w:r>
      <w:proofErr w:type="gramEnd"/>
      <w:r w:rsidR="00863735">
        <w:rPr>
          <w:rFonts w:cs="Arial"/>
          <w:szCs w:val="22"/>
        </w:rPr>
        <w:t xml:space="preserve">’ on any of these questions, they will be deemed non-compliant. The Authority reserves the right to exclude non-compliant Potential Providers from the remainder of the evaluation process and any further part of this requirement. </w:t>
      </w:r>
    </w:p>
    <w:p w14:paraId="2645E495" w14:textId="77777777" w:rsidR="00863735" w:rsidRDefault="00863735" w:rsidP="00863735">
      <w:pPr>
        <w:pStyle w:val="ListParagraph"/>
        <w:ind w:right="-2"/>
        <w:jc w:val="both"/>
        <w:rPr>
          <w:rFonts w:cs="Arial"/>
          <w:szCs w:val="22"/>
        </w:rPr>
      </w:pPr>
    </w:p>
    <w:tbl>
      <w:tblPr>
        <w:tblpPr w:leftFromText="180" w:rightFromText="180" w:vertAnchor="text" w:horzAnchor="margin" w:tblpXSpec="center" w:tblpY="27"/>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8256"/>
      </w:tblGrid>
      <w:tr w:rsidR="00863735" w14:paraId="268E94AF" w14:textId="77777777" w:rsidTr="00863735">
        <w:trPr>
          <w:trHeight w:val="1134"/>
        </w:trPr>
        <w:tc>
          <w:tcPr>
            <w:tcW w:w="1877" w:type="dxa"/>
            <w:tcBorders>
              <w:top w:val="single" w:sz="4" w:space="0" w:color="auto"/>
              <w:left w:val="single" w:sz="4" w:space="0" w:color="auto"/>
              <w:bottom w:val="single" w:sz="4" w:space="0" w:color="auto"/>
              <w:right w:val="single" w:sz="4" w:space="0" w:color="auto"/>
            </w:tcBorders>
            <w:vAlign w:val="center"/>
            <w:hideMark/>
          </w:tcPr>
          <w:p w14:paraId="625EFC6C" w14:textId="77777777" w:rsidR="00863735" w:rsidRDefault="00863735">
            <w:pPr>
              <w:pStyle w:val="ListParagraph"/>
              <w:ind w:left="-113" w:right="-108"/>
              <w:jc w:val="center"/>
              <w:rPr>
                <w:rFonts w:cs="Arial"/>
                <w:b/>
                <w:szCs w:val="22"/>
              </w:rPr>
            </w:pPr>
            <w:r>
              <w:rPr>
                <w:rStyle w:val="Emphasis"/>
                <w:rFonts w:cs="Arial"/>
                <w:b/>
                <w:i w:val="0"/>
              </w:rPr>
              <w:t>Pass</w:t>
            </w:r>
          </w:p>
        </w:tc>
        <w:tc>
          <w:tcPr>
            <w:tcW w:w="8256" w:type="dxa"/>
            <w:tcBorders>
              <w:top w:val="single" w:sz="4" w:space="0" w:color="auto"/>
              <w:left w:val="single" w:sz="4" w:space="0" w:color="auto"/>
              <w:bottom w:val="single" w:sz="4" w:space="0" w:color="auto"/>
              <w:right w:val="single" w:sz="4" w:space="0" w:color="auto"/>
            </w:tcBorders>
            <w:vAlign w:val="center"/>
            <w:hideMark/>
          </w:tcPr>
          <w:p w14:paraId="7106A255" w14:textId="77777777" w:rsidR="00863735" w:rsidRDefault="00863735">
            <w:pPr>
              <w:pStyle w:val="ListParagraph"/>
              <w:ind w:left="0" w:right="33"/>
              <w:rPr>
                <w:rFonts w:cs="Arial"/>
                <w:szCs w:val="22"/>
              </w:rPr>
            </w:pPr>
            <w:r>
              <w:rPr>
                <w:rFonts w:cs="Arial"/>
                <w:szCs w:val="22"/>
              </w:rPr>
              <w:t>Information provided as required and / or sufficient to indicate that there would be no risk or an acceptable level of risk should the Authority invite the potential provider to tender</w:t>
            </w:r>
          </w:p>
        </w:tc>
      </w:tr>
      <w:tr w:rsidR="00863735" w14:paraId="0409FA6B" w14:textId="77777777" w:rsidTr="00863735">
        <w:trPr>
          <w:trHeight w:val="850"/>
        </w:trPr>
        <w:tc>
          <w:tcPr>
            <w:tcW w:w="1877" w:type="dxa"/>
            <w:tcBorders>
              <w:top w:val="single" w:sz="4" w:space="0" w:color="auto"/>
              <w:left w:val="single" w:sz="4" w:space="0" w:color="auto"/>
              <w:bottom w:val="single" w:sz="4" w:space="0" w:color="auto"/>
              <w:right w:val="single" w:sz="4" w:space="0" w:color="auto"/>
            </w:tcBorders>
            <w:vAlign w:val="center"/>
            <w:hideMark/>
          </w:tcPr>
          <w:p w14:paraId="46EAD684" w14:textId="77777777" w:rsidR="00863735" w:rsidRDefault="00863735">
            <w:pPr>
              <w:pStyle w:val="ListParagraph"/>
              <w:ind w:left="-113" w:right="-108"/>
              <w:jc w:val="center"/>
              <w:rPr>
                <w:rFonts w:cs="Arial"/>
                <w:szCs w:val="22"/>
              </w:rPr>
            </w:pPr>
            <w:r>
              <w:rPr>
                <w:rFonts w:cs="Arial"/>
                <w:b/>
                <w:szCs w:val="22"/>
              </w:rPr>
              <w:t>Fail</w:t>
            </w:r>
          </w:p>
        </w:tc>
        <w:tc>
          <w:tcPr>
            <w:tcW w:w="8256" w:type="dxa"/>
            <w:tcBorders>
              <w:top w:val="single" w:sz="4" w:space="0" w:color="auto"/>
              <w:left w:val="single" w:sz="4" w:space="0" w:color="auto"/>
              <w:bottom w:val="single" w:sz="4" w:space="0" w:color="auto"/>
              <w:right w:val="single" w:sz="4" w:space="0" w:color="auto"/>
            </w:tcBorders>
            <w:vAlign w:val="center"/>
            <w:hideMark/>
          </w:tcPr>
          <w:p w14:paraId="3A3450BB" w14:textId="77777777" w:rsidR="00863735" w:rsidRDefault="00863735">
            <w:pPr>
              <w:pStyle w:val="ListParagraph"/>
              <w:ind w:left="0"/>
              <w:rPr>
                <w:rFonts w:cs="Arial"/>
                <w:szCs w:val="22"/>
              </w:rPr>
            </w:pPr>
            <w:r>
              <w:rPr>
                <w:rFonts w:cs="Arial"/>
                <w:szCs w:val="22"/>
              </w:rPr>
              <w:t>Information not provided and / or demonstrates that the level of risk associated with inviting the potential provider to tender in unacceptably high to the Authority.</w:t>
            </w:r>
          </w:p>
        </w:tc>
      </w:tr>
    </w:tbl>
    <w:p w14:paraId="512D6F32" w14:textId="16789B31" w:rsidR="00863735" w:rsidRDefault="00863735" w:rsidP="008762AC">
      <w:pPr>
        <w:pStyle w:val="ListParagraph"/>
        <w:overflowPunct/>
        <w:autoSpaceDE/>
        <w:adjustRightInd/>
        <w:spacing w:before="240" w:after="240"/>
        <w:ind w:left="567" w:right="-2"/>
        <w:jc w:val="both"/>
        <w:rPr>
          <w:rFonts w:cs="Arial"/>
          <w:b/>
          <w:bCs/>
        </w:rPr>
      </w:pPr>
      <w:r w:rsidRPr="0F632A09">
        <w:rPr>
          <w:rFonts w:cs="Arial"/>
          <w:b/>
          <w:bCs/>
        </w:rPr>
        <w:t xml:space="preserve"> </w:t>
      </w:r>
      <w:r w:rsidR="0084553E" w:rsidRPr="001229A4">
        <w:rPr>
          <w:rFonts w:cs="Arial"/>
          <w:b/>
          <w:bCs/>
          <w:u w:val="single"/>
        </w:rPr>
        <w:t>Phase 1 – Qualification Envelope</w:t>
      </w:r>
      <w:r w:rsidR="00B10966" w:rsidRPr="001229A4">
        <w:rPr>
          <w:rFonts w:cs="Arial"/>
          <w:b/>
          <w:bCs/>
          <w:u w:val="single"/>
        </w:rPr>
        <w:t xml:space="preserve"> for Part </w:t>
      </w:r>
      <w:r w:rsidR="007F1DFD">
        <w:rPr>
          <w:rFonts w:cs="Arial"/>
          <w:b/>
          <w:bCs/>
          <w:u w:val="single"/>
        </w:rPr>
        <w:t>3</w:t>
      </w:r>
      <w:r w:rsidR="00B10966" w:rsidRPr="001229A4">
        <w:rPr>
          <w:rFonts w:cs="Arial"/>
          <w:b/>
          <w:bCs/>
          <w:u w:val="single"/>
        </w:rPr>
        <w:t xml:space="preserve"> Section 1.10 </w:t>
      </w:r>
      <w:r w:rsidR="00F242B3" w:rsidRPr="001229A4">
        <w:rPr>
          <w:rFonts w:cs="Arial"/>
          <w:b/>
          <w:bCs/>
          <w:u w:val="single"/>
        </w:rPr>
        <w:t>Economi</w:t>
      </w:r>
      <w:r w:rsidR="004E14CE">
        <w:rPr>
          <w:rFonts w:cs="Arial"/>
          <w:b/>
          <w:bCs/>
          <w:u w:val="single"/>
        </w:rPr>
        <w:t>c</w:t>
      </w:r>
      <w:r w:rsidR="00F242B3" w:rsidRPr="001229A4">
        <w:rPr>
          <w:rFonts w:cs="Arial"/>
          <w:b/>
          <w:bCs/>
          <w:u w:val="single"/>
        </w:rPr>
        <w:t xml:space="preserve">al and Financial Standing </w:t>
      </w:r>
      <w:r w:rsidR="00B10966" w:rsidRPr="001229A4">
        <w:rPr>
          <w:rFonts w:cs="Arial"/>
          <w:b/>
          <w:bCs/>
          <w:u w:val="single"/>
        </w:rPr>
        <w:t>are mand</w:t>
      </w:r>
      <w:r w:rsidR="00F242B3" w:rsidRPr="001229A4">
        <w:rPr>
          <w:rFonts w:cs="Arial"/>
          <w:b/>
          <w:bCs/>
          <w:u w:val="single"/>
        </w:rPr>
        <w:t>atory</w:t>
      </w:r>
      <w:r w:rsidR="00B10966" w:rsidRPr="001229A4">
        <w:rPr>
          <w:rFonts w:cs="Arial"/>
          <w:b/>
          <w:bCs/>
          <w:u w:val="single"/>
        </w:rPr>
        <w:t xml:space="preserve"> questions (pass/fail)</w:t>
      </w:r>
      <w:r w:rsidR="00B10966">
        <w:rPr>
          <w:rFonts w:cs="Arial"/>
          <w:b/>
          <w:bCs/>
        </w:rPr>
        <w:t xml:space="preserve"> with a </w:t>
      </w:r>
      <w:proofErr w:type="gramStart"/>
      <w:r w:rsidR="00B10966">
        <w:rPr>
          <w:rFonts w:cs="Arial"/>
          <w:b/>
          <w:bCs/>
        </w:rPr>
        <w:t>separate criteria</w:t>
      </w:r>
      <w:proofErr w:type="gramEnd"/>
      <w:r w:rsidR="00F242B3">
        <w:rPr>
          <w:rFonts w:cs="Arial"/>
          <w:b/>
          <w:bCs/>
        </w:rPr>
        <w:t>, as set out below:</w:t>
      </w:r>
    </w:p>
    <w:p w14:paraId="7A78F5B7" w14:textId="77777777" w:rsidR="00F242B3" w:rsidRDefault="00F242B3" w:rsidP="6609A556">
      <w:pPr>
        <w:pStyle w:val="ListParagraph"/>
        <w:overflowPunct/>
        <w:autoSpaceDE/>
        <w:adjustRightInd/>
        <w:spacing w:before="240" w:after="240"/>
        <w:ind w:left="567" w:right="-2" w:hanging="709"/>
        <w:jc w:val="both"/>
        <w:rPr>
          <w:rFonts w:cs="Arial"/>
          <w:b/>
          <w:bCs/>
        </w:rPr>
      </w:pPr>
    </w:p>
    <w:p w14:paraId="057F0C79" w14:textId="77777777" w:rsidR="002343C6" w:rsidRPr="006D54C7" w:rsidRDefault="002343C6" w:rsidP="002343C6">
      <w:pPr>
        <w:pStyle w:val="ListParagraph"/>
        <w:ind w:left="0"/>
        <w:rPr>
          <w:rFonts w:eastAsia="Arial" w:cs="Arial"/>
          <w:b/>
          <w:bCs/>
          <w:szCs w:val="22"/>
        </w:rPr>
      </w:pPr>
      <w:r w:rsidRPr="006D54C7">
        <w:rPr>
          <w:rFonts w:cs="Arial"/>
          <w:b/>
          <w:bCs/>
          <w:szCs w:val="22"/>
        </w:rPr>
        <w:t>Questions relating to economic and financial standing</w:t>
      </w:r>
    </w:p>
    <w:p w14:paraId="760E230B" w14:textId="77777777" w:rsidR="002343C6" w:rsidRPr="002343C6" w:rsidRDefault="002343C6" w:rsidP="002343C6">
      <w:pPr>
        <w:pStyle w:val="ListParagraph"/>
        <w:ind w:left="0"/>
        <w:jc w:val="right"/>
        <w:rPr>
          <w:rFonts w:eastAsia="Batang" w:cs="Arial"/>
          <w:b/>
          <w:szCs w:val="22"/>
        </w:rPr>
      </w:pPr>
    </w:p>
    <w:p w14:paraId="176359D4" w14:textId="414FF989" w:rsidR="002343C6" w:rsidRPr="00911727" w:rsidRDefault="00923936" w:rsidP="00923936">
      <w:pPr>
        <w:tabs>
          <w:tab w:val="left" w:pos="1276"/>
        </w:tabs>
        <w:rPr>
          <w:rFonts w:ascii="Arial" w:hAnsi="Arial" w:cs="Arial"/>
          <w:kern w:val="22"/>
          <w:szCs w:val="20"/>
        </w:rPr>
      </w:pPr>
      <w:r w:rsidRPr="00911727">
        <w:rPr>
          <w:rFonts w:ascii="Arial" w:hAnsi="Arial" w:cs="Arial"/>
          <w:kern w:val="22"/>
          <w:szCs w:val="20"/>
        </w:rPr>
        <w:t>3.2.1.</w:t>
      </w:r>
      <w:r w:rsidRPr="00911727">
        <w:rPr>
          <w:rFonts w:ascii="Arial" w:hAnsi="Arial" w:cs="Arial"/>
          <w:kern w:val="22"/>
          <w:szCs w:val="20"/>
        </w:rPr>
        <w:tab/>
      </w:r>
      <w:r w:rsidR="002343C6" w:rsidRPr="00911727">
        <w:rPr>
          <w:rFonts w:ascii="Arial" w:hAnsi="Arial" w:cs="Arial"/>
          <w:kern w:val="22"/>
          <w:szCs w:val="20"/>
        </w:rPr>
        <w:t xml:space="preserve">Each Potential Provider Entity must provide responses to questions </w:t>
      </w:r>
      <w:r w:rsidR="00776670">
        <w:rPr>
          <w:rFonts w:ascii="Arial" w:hAnsi="Arial" w:cs="Arial"/>
          <w:kern w:val="22"/>
          <w:szCs w:val="20"/>
        </w:rPr>
        <w:t>1.10.1 (SQ</w:t>
      </w:r>
      <w:r w:rsidR="00F93BE2">
        <w:rPr>
          <w:rFonts w:ascii="Arial" w:hAnsi="Arial" w:cs="Arial"/>
          <w:kern w:val="22"/>
          <w:szCs w:val="20"/>
        </w:rPr>
        <w:t>4.1) – 1.10.</w:t>
      </w:r>
      <w:r w:rsidR="00DE7FCC">
        <w:rPr>
          <w:rFonts w:ascii="Arial" w:hAnsi="Arial" w:cs="Arial"/>
          <w:kern w:val="22"/>
          <w:szCs w:val="20"/>
        </w:rPr>
        <w:t>7 (SQ4.3c)</w:t>
      </w:r>
      <w:r w:rsidR="002343C6" w:rsidRPr="00911727">
        <w:rPr>
          <w:rFonts w:ascii="Arial" w:hAnsi="Arial" w:cs="Arial"/>
          <w:kern w:val="22"/>
          <w:szCs w:val="20"/>
        </w:rPr>
        <w:t xml:space="preserve"> </w:t>
      </w:r>
      <w:proofErr w:type="gramStart"/>
      <w:r w:rsidR="002343C6" w:rsidRPr="00911727">
        <w:rPr>
          <w:rFonts w:ascii="Arial" w:hAnsi="Arial" w:cs="Arial"/>
          <w:kern w:val="22"/>
          <w:szCs w:val="20"/>
        </w:rPr>
        <w:t>in order for</w:t>
      </w:r>
      <w:proofErr w:type="gramEnd"/>
      <w:r w:rsidR="002343C6" w:rsidRPr="00911727">
        <w:rPr>
          <w:rFonts w:ascii="Arial" w:hAnsi="Arial" w:cs="Arial"/>
          <w:kern w:val="22"/>
          <w:szCs w:val="20"/>
        </w:rPr>
        <w:t xml:space="preserve"> the Authority to carry out its financial health assessment.  If a Potential Provider Entity fails to provide the requested information, the Authority shall exclude the Potential Provider from further participation in the Procurement.  </w:t>
      </w:r>
    </w:p>
    <w:p w14:paraId="5979E52B" w14:textId="26AC0499" w:rsidR="002343C6" w:rsidRDefault="002343C6" w:rsidP="002343C6">
      <w:pPr>
        <w:tabs>
          <w:tab w:val="left" w:pos="1276"/>
        </w:tabs>
        <w:rPr>
          <w:rFonts w:ascii="Arial" w:eastAsia="Arial" w:hAnsi="Arial" w:cs="Arial"/>
        </w:rPr>
      </w:pPr>
    </w:p>
    <w:p w14:paraId="3039373A" w14:textId="77777777" w:rsidR="00DA31BB" w:rsidRPr="002343C6" w:rsidRDefault="00DA31BB" w:rsidP="002343C6">
      <w:pPr>
        <w:tabs>
          <w:tab w:val="left" w:pos="1276"/>
        </w:tabs>
        <w:rPr>
          <w:rFonts w:ascii="Arial" w:eastAsia="Arial" w:hAnsi="Arial" w:cs="Arial"/>
        </w:rPr>
      </w:pPr>
    </w:p>
    <w:p w14:paraId="34598394" w14:textId="77777777" w:rsidR="002343C6" w:rsidRPr="002343C6" w:rsidRDefault="002343C6" w:rsidP="002343C6">
      <w:pPr>
        <w:tabs>
          <w:tab w:val="left" w:pos="1276"/>
        </w:tabs>
        <w:rPr>
          <w:rFonts w:ascii="Arial" w:eastAsia="Arial" w:hAnsi="Arial" w:cs="Arial"/>
        </w:rPr>
      </w:pPr>
      <w:r w:rsidRPr="006D54C7">
        <w:rPr>
          <w:rFonts w:ascii="Arial" w:hAnsi="Arial" w:cs="Arial"/>
          <w:b/>
          <w:bCs/>
        </w:rPr>
        <w:lastRenderedPageBreak/>
        <w:t>Evaluation of economic and financial standing</w:t>
      </w:r>
      <w:r w:rsidRPr="002343C6">
        <w:rPr>
          <w:rFonts w:ascii="Arial" w:hAnsi="Arial" w:cs="Arial"/>
        </w:rPr>
        <w:t>.</w:t>
      </w:r>
    </w:p>
    <w:p w14:paraId="6919A040" w14:textId="77777777" w:rsidR="002343C6" w:rsidRPr="002343C6" w:rsidRDefault="002343C6" w:rsidP="002343C6">
      <w:pPr>
        <w:pStyle w:val="ListParagraph"/>
        <w:tabs>
          <w:tab w:val="left" w:pos="1276"/>
        </w:tabs>
        <w:ind w:left="567"/>
        <w:rPr>
          <w:rFonts w:eastAsia="Batang" w:cs="Arial"/>
          <w:b/>
          <w:szCs w:val="22"/>
        </w:rPr>
      </w:pPr>
    </w:p>
    <w:p w14:paraId="360E8E7B" w14:textId="2D247C13" w:rsidR="00F242B3" w:rsidRDefault="00361E48" w:rsidP="00B204F7">
      <w:pPr>
        <w:pStyle w:val="ListParagraph"/>
        <w:overflowPunct/>
        <w:autoSpaceDE/>
        <w:adjustRightInd/>
        <w:spacing w:before="240" w:after="240"/>
        <w:ind w:left="0" w:right="-2"/>
        <w:jc w:val="both"/>
        <w:rPr>
          <w:rFonts w:cs="Arial"/>
          <w:bCs/>
          <w:szCs w:val="22"/>
        </w:rPr>
      </w:pPr>
      <w:r>
        <w:rPr>
          <w:rFonts w:cs="Arial"/>
          <w:bCs/>
          <w:szCs w:val="22"/>
        </w:rPr>
        <w:t>3.2.2</w:t>
      </w:r>
      <w:r w:rsidR="00B204F7">
        <w:rPr>
          <w:rFonts w:cs="Arial"/>
          <w:bCs/>
          <w:szCs w:val="22"/>
        </w:rPr>
        <w:t xml:space="preserve">. </w:t>
      </w:r>
      <w:r w:rsidR="00B204F7">
        <w:rPr>
          <w:rFonts w:cs="Arial"/>
          <w:bCs/>
          <w:szCs w:val="22"/>
        </w:rPr>
        <w:tab/>
      </w:r>
      <w:r w:rsidR="002343C6" w:rsidRPr="002343C6">
        <w:rPr>
          <w:rFonts w:cs="Arial"/>
          <w:bCs/>
          <w:szCs w:val="22"/>
        </w:rPr>
        <w:t xml:space="preserve">The Authority will use the information provided in the responses to questions </w:t>
      </w:r>
      <w:r w:rsidR="00DE7FCC">
        <w:rPr>
          <w:rFonts w:cs="Arial"/>
          <w:bCs/>
          <w:szCs w:val="22"/>
        </w:rPr>
        <w:t>SQ</w:t>
      </w:r>
      <w:r w:rsidR="002343C6" w:rsidRPr="008C7402">
        <w:rPr>
          <w:rFonts w:cs="Arial"/>
          <w:bCs/>
          <w:szCs w:val="22"/>
        </w:rPr>
        <w:t>4</w:t>
      </w:r>
      <w:r w:rsidR="002343C6" w:rsidRPr="008C7402">
        <w:rPr>
          <w:rFonts w:cs="Arial"/>
          <w:szCs w:val="22"/>
        </w:rPr>
        <w:t>.1</w:t>
      </w:r>
      <w:r w:rsidR="002343C6" w:rsidRPr="008C7402">
        <w:rPr>
          <w:rFonts w:cs="Arial"/>
          <w:bCs/>
          <w:szCs w:val="22"/>
        </w:rPr>
        <w:t xml:space="preserve"> - </w:t>
      </w:r>
      <w:r w:rsidR="00AA664C">
        <w:rPr>
          <w:rFonts w:cs="Arial"/>
          <w:bCs/>
          <w:szCs w:val="22"/>
        </w:rPr>
        <w:t>SQ</w:t>
      </w:r>
      <w:r w:rsidR="002343C6" w:rsidRPr="008C7402">
        <w:rPr>
          <w:rFonts w:cs="Arial"/>
          <w:bCs/>
          <w:szCs w:val="22"/>
        </w:rPr>
        <w:t>4</w:t>
      </w:r>
      <w:r w:rsidR="002343C6" w:rsidRPr="008C7402">
        <w:rPr>
          <w:rFonts w:cs="Arial"/>
          <w:szCs w:val="22"/>
        </w:rPr>
        <w:t>.2</w:t>
      </w:r>
      <w:r w:rsidR="002343C6" w:rsidRPr="008C7402">
        <w:rPr>
          <w:rFonts w:cs="Arial"/>
          <w:bCs/>
          <w:szCs w:val="22"/>
        </w:rPr>
        <w:t xml:space="preserve">(c) to assess the financial standing of each Potential Provider Entity in accordance with the qualification standards set out in Figure 1 below. The resulting assessment will lead to a PASS/FAIL evaluation based on whether the Potential Provider Entity has demonstrated, through meeting the qualification standards, that it has sufficient economic and financial standing to provide services of the technical scope and scale of </w:t>
      </w:r>
      <w:r w:rsidR="00A80B02" w:rsidRPr="008C7402">
        <w:rPr>
          <w:rFonts w:eastAsia="Batang" w:cs="Arial"/>
          <w:szCs w:val="22"/>
        </w:rPr>
        <w:t>Provision of Online Standards, Databases and Publications</w:t>
      </w:r>
      <w:r w:rsidR="002343C6" w:rsidRPr="008C7402">
        <w:rPr>
          <w:rFonts w:cs="Arial"/>
          <w:bCs/>
          <w:szCs w:val="22"/>
        </w:rPr>
        <w:t xml:space="preserve">. Subject to paragraphs </w:t>
      </w:r>
      <w:r w:rsidRPr="008C7402">
        <w:rPr>
          <w:rFonts w:cs="Arial"/>
          <w:bCs/>
          <w:szCs w:val="22"/>
        </w:rPr>
        <w:t>3.2</w:t>
      </w:r>
      <w:r w:rsidR="002343C6" w:rsidRPr="008C7402">
        <w:rPr>
          <w:rFonts w:cs="Arial"/>
          <w:bCs/>
          <w:szCs w:val="22"/>
        </w:rPr>
        <w:t xml:space="preserve">.3, </w:t>
      </w:r>
      <w:r w:rsidRPr="008C7402">
        <w:rPr>
          <w:rFonts w:cs="Arial"/>
          <w:bCs/>
          <w:szCs w:val="22"/>
        </w:rPr>
        <w:t>3.2</w:t>
      </w:r>
      <w:r w:rsidR="002343C6" w:rsidRPr="008C7402">
        <w:rPr>
          <w:rFonts w:cs="Arial"/>
          <w:bCs/>
          <w:szCs w:val="22"/>
        </w:rPr>
        <w:t>.4 and 2, the Authority reserves the right to exclude a Potential Provider Entity that does not meet the qualification standards set o</w:t>
      </w:r>
      <w:r w:rsidR="002343C6" w:rsidRPr="002343C6">
        <w:rPr>
          <w:rFonts w:cs="Arial"/>
          <w:bCs/>
          <w:szCs w:val="22"/>
        </w:rPr>
        <w:t>ut in Figure 1 below.</w:t>
      </w:r>
    </w:p>
    <w:tbl>
      <w:tblPr>
        <w:tblStyle w:val="TableGrid2"/>
        <w:tblW w:w="5320" w:type="pct"/>
        <w:tblInd w:w="-5" w:type="dxa"/>
        <w:tblLayout w:type="fixed"/>
        <w:tblLook w:val="04A0" w:firstRow="1" w:lastRow="0" w:firstColumn="1" w:lastColumn="0" w:noHBand="0" w:noVBand="1"/>
      </w:tblPr>
      <w:tblGrid>
        <w:gridCol w:w="1836"/>
        <w:gridCol w:w="3123"/>
        <w:gridCol w:w="4634"/>
      </w:tblGrid>
      <w:tr w:rsidR="0060054F" w:rsidRPr="00A80B02" w14:paraId="211CD618" w14:textId="77777777" w:rsidTr="009F27EC">
        <w:trPr>
          <w:tblHeader/>
        </w:trPr>
        <w:tc>
          <w:tcPr>
            <w:tcW w:w="1836" w:type="dxa"/>
            <w:shd w:val="clear" w:color="auto" w:fill="FFF2CC" w:themeFill="accent4" w:themeFillTint="33"/>
          </w:tcPr>
          <w:p w14:paraId="7C60AC46" w14:textId="77777777" w:rsidR="0060054F" w:rsidRPr="00A80B02" w:rsidRDefault="0060054F" w:rsidP="006C37D8">
            <w:pPr>
              <w:keepNext/>
              <w:tabs>
                <w:tab w:val="left" w:pos="709"/>
                <w:tab w:val="left" w:pos="1559"/>
                <w:tab w:val="left" w:pos="2268"/>
                <w:tab w:val="left" w:pos="2977"/>
                <w:tab w:val="left" w:pos="3686"/>
                <w:tab w:val="left" w:pos="4394"/>
                <w:tab w:val="right" w:pos="8789"/>
              </w:tabs>
              <w:contextualSpacing/>
              <w:rPr>
                <w:rFonts w:ascii="Arial" w:eastAsia="Batang" w:hAnsi="Arial" w:cs="Arial"/>
                <w:b/>
              </w:rPr>
            </w:pPr>
            <w:r w:rsidRPr="00A80B02">
              <w:rPr>
                <w:rFonts w:ascii="Arial" w:eastAsia="Batang" w:hAnsi="Arial" w:cs="Arial"/>
                <w:b/>
              </w:rPr>
              <w:t>Assessment</w:t>
            </w:r>
          </w:p>
        </w:tc>
        <w:tc>
          <w:tcPr>
            <w:tcW w:w="3123" w:type="dxa"/>
            <w:shd w:val="clear" w:color="auto" w:fill="FFF2CC" w:themeFill="accent4" w:themeFillTint="33"/>
          </w:tcPr>
          <w:p w14:paraId="23BDF1FE" w14:textId="77777777" w:rsidR="0060054F" w:rsidRPr="00A80B02" w:rsidRDefault="0060054F" w:rsidP="006C37D8">
            <w:pPr>
              <w:keepNext/>
              <w:tabs>
                <w:tab w:val="left" w:pos="709"/>
                <w:tab w:val="left" w:pos="1559"/>
                <w:tab w:val="left" w:pos="2268"/>
                <w:tab w:val="left" w:pos="2977"/>
                <w:tab w:val="left" w:pos="3686"/>
                <w:tab w:val="left" w:pos="4394"/>
                <w:tab w:val="right" w:pos="8789"/>
              </w:tabs>
              <w:contextualSpacing/>
              <w:rPr>
                <w:rFonts w:ascii="Arial" w:eastAsia="Batang" w:hAnsi="Arial" w:cs="Arial"/>
                <w:b/>
              </w:rPr>
            </w:pPr>
            <w:r w:rsidRPr="00A80B02">
              <w:rPr>
                <w:rFonts w:ascii="Arial" w:eastAsia="Batang" w:hAnsi="Arial" w:cs="Arial"/>
                <w:b/>
              </w:rPr>
              <w:t>Methodology</w:t>
            </w:r>
          </w:p>
        </w:tc>
        <w:tc>
          <w:tcPr>
            <w:tcW w:w="4634" w:type="dxa"/>
            <w:shd w:val="clear" w:color="auto" w:fill="FFF2CC" w:themeFill="accent4" w:themeFillTint="33"/>
          </w:tcPr>
          <w:p w14:paraId="48F95ACA" w14:textId="77777777" w:rsidR="0060054F" w:rsidRPr="00A80B02" w:rsidRDefault="0060054F" w:rsidP="006C37D8">
            <w:pPr>
              <w:keepNext/>
              <w:tabs>
                <w:tab w:val="left" w:pos="709"/>
                <w:tab w:val="left" w:pos="1559"/>
                <w:tab w:val="left" w:pos="2268"/>
                <w:tab w:val="left" w:pos="2977"/>
                <w:tab w:val="left" w:pos="3686"/>
                <w:tab w:val="left" w:pos="4394"/>
                <w:tab w:val="right" w:pos="8789"/>
              </w:tabs>
              <w:contextualSpacing/>
              <w:rPr>
                <w:rFonts w:ascii="Arial" w:eastAsia="Batang" w:hAnsi="Arial" w:cs="Arial"/>
                <w:b/>
              </w:rPr>
            </w:pPr>
            <w:r w:rsidRPr="00A80B02">
              <w:rPr>
                <w:rFonts w:ascii="Arial" w:eastAsia="Batang" w:hAnsi="Arial" w:cs="Arial"/>
                <w:b/>
              </w:rPr>
              <w:t>Qualification standard</w:t>
            </w:r>
          </w:p>
        </w:tc>
      </w:tr>
      <w:tr w:rsidR="0060054F" w:rsidRPr="00A80B02" w14:paraId="0B7FBC39" w14:textId="77777777" w:rsidTr="009F27EC">
        <w:tc>
          <w:tcPr>
            <w:tcW w:w="1836" w:type="dxa"/>
          </w:tcPr>
          <w:p w14:paraId="6A4E20F8"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All financial information</w:t>
            </w:r>
          </w:p>
        </w:tc>
        <w:tc>
          <w:tcPr>
            <w:tcW w:w="3123" w:type="dxa"/>
          </w:tcPr>
          <w:p w14:paraId="5253CA85"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 xml:space="preserve">The Authority will review all financial information obtained from the response provided to questions </w:t>
            </w:r>
            <w:r w:rsidRPr="008C7402">
              <w:rPr>
                <w:rFonts w:ascii="Arial" w:eastAsia="Batang" w:hAnsi="Arial" w:cs="Arial"/>
              </w:rPr>
              <w:t xml:space="preserve">DPQQ 4.1-4.2(c), the </w:t>
            </w:r>
            <w:r w:rsidRPr="008C7402">
              <w:rPr>
                <w:rFonts w:ascii="Arial" w:eastAsia="Arial" w:hAnsi="Arial" w:cs="Arial"/>
              </w:rPr>
              <w:t xml:space="preserve">Potential Provider Entity </w:t>
            </w:r>
            <w:r w:rsidRPr="008C7402">
              <w:rPr>
                <w:rFonts w:ascii="Arial" w:eastAsia="Batang" w:hAnsi="Arial" w:cs="Arial"/>
              </w:rPr>
              <w:t xml:space="preserve">accounts </w:t>
            </w:r>
            <w:r w:rsidRPr="00A80B02">
              <w:rPr>
                <w:rFonts w:ascii="Arial" w:eastAsia="Batang" w:hAnsi="Arial" w:cs="Arial"/>
              </w:rPr>
              <w:t xml:space="preserve">and the Company Watch credit rating check </w:t>
            </w:r>
            <w:proofErr w:type="gramStart"/>
            <w:r w:rsidRPr="00A80B02">
              <w:rPr>
                <w:rFonts w:ascii="Arial" w:eastAsia="Batang" w:hAnsi="Arial" w:cs="Arial"/>
              </w:rPr>
              <w:t>in order to</w:t>
            </w:r>
            <w:proofErr w:type="gramEnd"/>
            <w:r w:rsidRPr="00A80B02">
              <w:rPr>
                <w:rFonts w:ascii="Arial" w:eastAsia="Batang" w:hAnsi="Arial" w:cs="Arial"/>
              </w:rPr>
              <w:t xml:space="preserve"> establish a holistic view of the state of the Potential Provider Entity's financial health.</w:t>
            </w:r>
          </w:p>
        </w:tc>
        <w:tc>
          <w:tcPr>
            <w:tcW w:w="4634" w:type="dxa"/>
          </w:tcPr>
          <w:p w14:paraId="738D36E4"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Failure to provide the financial information requested in this DPQQ will result in the Potential Provider Entity failing to meet this qualification standard.</w:t>
            </w:r>
          </w:p>
        </w:tc>
      </w:tr>
      <w:tr w:rsidR="0060054F" w:rsidRPr="00A80B02" w14:paraId="45208C76" w14:textId="77777777" w:rsidTr="009F27EC">
        <w:tc>
          <w:tcPr>
            <w:tcW w:w="1836" w:type="dxa"/>
          </w:tcPr>
          <w:p w14:paraId="3E647FB1"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Turnover</w:t>
            </w:r>
          </w:p>
        </w:tc>
        <w:tc>
          <w:tcPr>
            <w:tcW w:w="3123" w:type="dxa"/>
          </w:tcPr>
          <w:p w14:paraId="308390DA"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 xml:space="preserve">The Authority will review each </w:t>
            </w:r>
            <w:r w:rsidRPr="00A80B02">
              <w:rPr>
                <w:rFonts w:ascii="Arial" w:eastAsia="Arial" w:hAnsi="Arial" w:cs="Arial"/>
              </w:rPr>
              <w:t xml:space="preserve">Potential Provider Entity’s </w:t>
            </w:r>
            <w:r w:rsidRPr="00A80B02">
              <w:rPr>
                <w:rFonts w:ascii="Arial" w:eastAsia="Batang" w:hAnsi="Arial" w:cs="Arial"/>
              </w:rPr>
              <w:t xml:space="preserve">turnover for the three full financial years prior to the date of this DPQQ. </w:t>
            </w:r>
          </w:p>
          <w:p w14:paraId="4258D615" w14:textId="77777777" w:rsidR="0060054F" w:rsidRPr="00A80B02" w:rsidRDefault="0060054F" w:rsidP="006C37D8">
            <w:pPr>
              <w:rPr>
                <w:rFonts w:ascii="Arial" w:eastAsia="Batang" w:hAnsi="Arial" w:cs="Arial"/>
              </w:rPr>
            </w:pPr>
          </w:p>
          <w:p w14:paraId="6519CA21" w14:textId="77777777" w:rsidR="0060054F" w:rsidRPr="00A80B02" w:rsidRDefault="0060054F" w:rsidP="006C37D8">
            <w:pPr>
              <w:rPr>
                <w:rFonts w:ascii="Arial" w:eastAsia="Batang" w:hAnsi="Arial" w:cs="Arial"/>
              </w:rPr>
            </w:pPr>
          </w:p>
          <w:p w14:paraId="296C4069" w14:textId="77777777" w:rsidR="0060054F" w:rsidRPr="00A80B02" w:rsidRDefault="0060054F" w:rsidP="006C37D8">
            <w:pPr>
              <w:rPr>
                <w:rFonts w:ascii="Arial" w:eastAsia="Batang" w:hAnsi="Arial" w:cs="Arial"/>
              </w:rPr>
            </w:pPr>
          </w:p>
          <w:p w14:paraId="38EFCF9E" w14:textId="77777777" w:rsidR="0060054F" w:rsidRPr="00A80B02" w:rsidRDefault="0060054F" w:rsidP="006C37D8">
            <w:pPr>
              <w:rPr>
                <w:rFonts w:ascii="Arial" w:eastAsia="Batang" w:hAnsi="Arial" w:cs="Arial"/>
              </w:rPr>
            </w:pPr>
          </w:p>
          <w:p w14:paraId="62FCA136" w14:textId="77777777" w:rsidR="0060054F" w:rsidRPr="00A80B02" w:rsidRDefault="0060054F" w:rsidP="006C37D8">
            <w:pPr>
              <w:rPr>
                <w:rFonts w:ascii="Arial" w:eastAsia="Batang" w:hAnsi="Arial" w:cs="Arial"/>
              </w:rPr>
            </w:pPr>
          </w:p>
          <w:p w14:paraId="10C17308" w14:textId="77777777" w:rsidR="0060054F" w:rsidRPr="00A80B02" w:rsidRDefault="0060054F" w:rsidP="006C37D8">
            <w:pPr>
              <w:rPr>
                <w:rFonts w:ascii="Arial" w:eastAsia="Batang" w:hAnsi="Arial" w:cs="Arial"/>
              </w:rPr>
            </w:pPr>
          </w:p>
          <w:p w14:paraId="6866A849" w14:textId="77777777" w:rsidR="0060054F" w:rsidRPr="00A80B02" w:rsidRDefault="0060054F" w:rsidP="006C37D8">
            <w:pPr>
              <w:rPr>
                <w:rFonts w:ascii="Arial" w:eastAsia="Batang" w:hAnsi="Arial" w:cs="Arial"/>
              </w:rPr>
            </w:pPr>
          </w:p>
          <w:p w14:paraId="4552E311" w14:textId="77777777" w:rsidR="0060054F" w:rsidRPr="00A80B02" w:rsidRDefault="0060054F" w:rsidP="006C37D8">
            <w:pPr>
              <w:rPr>
                <w:rFonts w:ascii="Arial" w:eastAsia="Batang" w:hAnsi="Arial" w:cs="Arial"/>
              </w:rPr>
            </w:pPr>
          </w:p>
          <w:p w14:paraId="17DDE842" w14:textId="77777777" w:rsidR="0060054F" w:rsidRPr="00A80B02" w:rsidRDefault="0060054F" w:rsidP="006C37D8">
            <w:pPr>
              <w:jc w:val="right"/>
              <w:rPr>
                <w:rFonts w:ascii="Arial" w:eastAsia="Batang" w:hAnsi="Arial" w:cs="Arial"/>
              </w:rPr>
            </w:pPr>
          </w:p>
        </w:tc>
        <w:tc>
          <w:tcPr>
            <w:tcW w:w="4634" w:type="dxa"/>
          </w:tcPr>
          <w:p w14:paraId="3723E0BA"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If the estimated annual contract value for this procurement exceeds fifty per cent. (50</w:t>
            </w:r>
            <w:r w:rsidRPr="00DA31BB">
              <w:rPr>
                <w:rFonts w:ascii="Arial" w:eastAsia="Batang" w:hAnsi="Arial" w:cs="Arial"/>
              </w:rPr>
              <w:t>%)</w:t>
            </w:r>
            <w:r w:rsidRPr="00A80B02">
              <w:rPr>
                <w:rFonts w:ascii="Arial" w:eastAsia="Batang" w:hAnsi="Arial" w:cs="Arial"/>
              </w:rPr>
              <w:t xml:space="preserve"> of a Potential Provider's annual turnover, the Potential Provider will not meet this qualification standard.  </w:t>
            </w:r>
          </w:p>
          <w:p w14:paraId="7671149C" w14:textId="33FB93E0"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 xml:space="preserve">Where the </w:t>
            </w:r>
            <w:r w:rsidRPr="00A80B02">
              <w:rPr>
                <w:rFonts w:ascii="Arial" w:eastAsia="Arial" w:hAnsi="Arial" w:cs="Arial"/>
              </w:rPr>
              <w:t xml:space="preserve">Potential </w:t>
            </w:r>
            <w:r w:rsidRPr="008C7402">
              <w:rPr>
                <w:rFonts w:ascii="Arial" w:eastAsia="Arial" w:hAnsi="Arial" w:cs="Arial"/>
              </w:rPr>
              <w:t>Provider Entity</w:t>
            </w:r>
            <w:r w:rsidRPr="008C7402">
              <w:rPr>
                <w:rFonts w:ascii="Arial" w:eastAsia="Batang" w:hAnsi="Arial" w:cs="Arial"/>
              </w:rPr>
              <w:t xml:space="preserve"> intends to provide all or some of </w:t>
            </w:r>
            <w:r w:rsidR="00A80B02" w:rsidRPr="008C7402">
              <w:rPr>
                <w:rFonts w:ascii="Arial" w:eastAsia="Batang" w:hAnsi="Arial" w:cs="Arial"/>
              </w:rPr>
              <w:t>Provision of Online Standards, Databases and Publications</w:t>
            </w:r>
            <w:r w:rsidRPr="008C7402">
              <w:rPr>
                <w:rFonts w:ascii="Arial" w:eastAsia="Batang" w:hAnsi="Arial" w:cs="Arial"/>
              </w:rPr>
              <w:t xml:space="preserve"> </w:t>
            </w:r>
            <w:r w:rsidRPr="00A80B02">
              <w:rPr>
                <w:rFonts w:ascii="Arial" w:eastAsia="Batang" w:hAnsi="Arial" w:cs="Arial"/>
              </w:rPr>
              <w:t>services via a joint-venture company, Consortium Member, or other special purpose vehicle, the Authority will apply the assessment equally to the Potential Provider Entity.</w:t>
            </w:r>
          </w:p>
          <w:p w14:paraId="6B30AB17"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 xml:space="preserve">Accordingly, where the value of a Potential Provider Entity’s intended contractual obligations and financial liabilities exceeds 50% of its annual turnover, the Potential Provider Entity will not meet this qualification standard. </w:t>
            </w:r>
          </w:p>
        </w:tc>
      </w:tr>
      <w:tr w:rsidR="0060054F" w:rsidRPr="00A80B02" w14:paraId="4BF21085" w14:textId="77777777" w:rsidTr="009F27EC">
        <w:tc>
          <w:tcPr>
            <w:tcW w:w="1836" w:type="dxa"/>
            <w:tcBorders>
              <w:bottom w:val="single" w:sz="4" w:space="0" w:color="auto"/>
            </w:tcBorders>
          </w:tcPr>
          <w:p w14:paraId="0CB9757E"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Liquidity ratios</w:t>
            </w:r>
          </w:p>
        </w:tc>
        <w:tc>
          <w:tcPr>
            <w:tcW w:w="3123" w:type="dxa"/>
            <w:tcBorders>
              <w:bottom w:val="single" w:sz="4" w:space="0" w:color="auto"/>
            </w:tcBorders>
          </w:tcPr>
          <w:p w14:paraId="41DD2875"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 xml:space="preserve">A </w:t>
            </w:r>
            <w:r w:rsidRPr="00A80B02">
              <w:rPr>
                <w:rFonts w:ascii="Arial" w:eastAsia="Arial" w:hAnsi="Arial" w:cs="Arial"/>
              </w:rPr>
              <w:t xml:space="preserve">Potential Provider Entity’s </w:t>
            </w:r>
            <w:r w:rsidRPr="00A80B02">
              <w:rPr>
                <w:rFonts w:ascii="Arial" w:eastAsia="Batang" w:hAnsi="Arial" w:cs="Arial"/>
              </w:rPr>
              <w:t xml:space="preserve">current assets are divided by current liabilities to establish if there are sufficient assets to cover </w:t>
            </w:r>
            <w:proofErr w:type="gramStart"/>
            <w:r w:rsidRPr="00A80B02">
              <w:rPr>
                <w:rFonts w:ascii="Arial" w:eastAsia="Batang" w:hAnsi="Arial" w:cs="Arial"/>
              </w:rPr>
              <w:t>all of</w:t>
            </w:r>
            <w:proofErr w:type="gramEnd"/>
            <w:r w:rsidRPr="00A80B02">
              <w:rPr>
                <w:rFonts w:ascii="Arial" w:eastAsia="Batang" w:hAnsi="Arial" w:cs="Arial"/>
              </w:rPr>
              <w:t xml:space="preserve"> the </w:t>
            </w:r>
            <w:r w:rsidRPr="00A80B02">
              <w:rPr>
                <w:rFonts w:ascii="Arial" w:eastAsia="Arial" w:hAnsi="Arial" w:cs="Arial"/>
              </w:rPr>
              <w:t xml:space="preserve">Potential Provider Entity’s </w:t>
            </w:r>
            <w:r w:rsidRPr="00A80B02">
              <w:rPr>
                <w:rFonts w:ascii="Arial" w:eastAsia="Batang" w:hAnsi="Arial" w:cs="Arial"/>
              </w:rPr>
              <w:t xml:space="preserve">liabilities as they fall due over the course of one year.  </w:t>
            </w:r>
          </w:p>
        </w:tc>
        <w:tc>
          <w:tcPr>
            <w:tcW w:w="4634" w:type="dxa"/>
            <w:tcBorders>
              <w:bottom w:val="single" w:sz="4" w:space="0" w:color="auto"/>
            </w:tcBorders>
          </w:tcPr>
          <w:p w14:paraId="5C65E77F" w14:textId="77777777" w:rsidR="0060054F" w:rsidRPr="00DA31BB"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 xml:space="preserve">The Authority requires a </w:t>
            </w:r>
            <w:r w:rsidRPr="00A80B02">
              <w:rPr>
                <w:rFonts w:ascii="Arial" w:eastAsia="Arial" w:hAnsi="Arial" w:cs="Arial"/>
              </w:rPr>
              <w:t xml:space="preserve">Potential Provider </w:t>
            </w:r>
            <w:r w:rsidRPr="00DA31BB">
              <w:rPr>
                <w:rFonts w:ascii="Arial" w:eastAsia="Arial" w:hAnsi="Arial" w:cs="Arial"/>
              </w:rPr>
              <w:t xml:space="preserve">Entity </w:t>
            </w:r>
            <w:r w:rsidRPr="00DA31BB">
              <w:rPr>
                <w:rFonts w:ascii="Arial" w:eastAsia="Batang" w:hAnsi="Arial" w:cs="Arial"/>
              </w:rPr>
              <w:t>to have:</w:t>
            </w:r>
          </w:p>
          <w:p w14:paraId="4C6EC88E" w14:textId="77777777" w:rsidR="0060054F" w:rsidRPr="00DA31BB" w:rsidRDefault="0060054F" w:rsidP="0060054F">
            <w:pPr>
              <w:pStyle w:val="ListParagraph"/>
              <w:numPr>
                <w:ilvl w:val="0"/>
                <w:numId w:val="15"/>
              </w:numPr>
              <w:tabs>
                <w:tab w:val="left" w:pos="709"/>
                <w:tab w:val="left" w:pos="1559"/>
                <w:tab w:val="left" w:pos="2268"/>
                <w:tab w:val="left" w:pos="2977"/>
                <w:tab w:val="left" w:pos="3686"/>
                <w:tab w:val="left" w:pos="4394"/>
                <w:tab w:val="right" w:pos="8789"/>
              </w:tabs>
              <w:overflowPunct/>
              <w:autoSpaceDE/>
              <w:autoSpaceDN/>
              <w:adjustRightInd/>
              <w:spacing w:after="200" w:line="276" w:lineRule="auto"/>
              <w:rPr>
                <w:rFonts w:eastAsia="Batang" w:cs="Arial"/>
                <w:szCs w:val="22"/>
              </w:rPr>
            </w:pPr>
            <w:r w:rsidRPr="00DA31BB">
              <w:rPr>
                <w:rFonts w:eastAsia="Batang" w:cs="Arial"/>
                <w:szCs w:val="22"/>
              </w:rPr>
              <w:t>a minimum current ratio of 1.0; and</w:t>
            </w:r>
          </w:p>
          <w:p w14:paraId="5110CC1F" w14:textId="77777777" w:rsidR="0060054F" w:rsidRPr="00DA31BB" w:rsidRDefault="0060054F" w:rsidP="0060054F">
            <w:pPr>
              <w:pStyle w:val="ListParagraph"/>
              <w:numPr>
                <w:ilvl w:val="0"/>
                <w:numId w:val="15"/>
              </w:numPr>
              <w:tabs>
                <w:tab w:val="left" w:pos="709"/>
                <w:tab w:val="left" w:pos="1559"/>
                <w:tab w:val="left" w:pos="2268"/>
                <w:tab w:val="left" w:pos="2977"/>
                <w:tab w:val="left" w:pos="3686"/>
                <w:tab w:val="left" w:pos="4394"/>
                <w:tab w:val="right" w:pos="8789"/>
              </w:tabs>
              <w:overflowPunct/>
              <w:autoSpaceDE/>
              <w:autoSpaceDN/>
              <w:adjustRightInd/>
              <w:spacing w:after="200" w:line="276" w:lineRule="auto"/>
              <w:rPr>
                <w:rFonts w:eastAsia="Batang" w:cs="Arial"/>
                <w:szCs w:val="22"/>
              </w:rPr>
            </w:pPr>
            <w:r w:rsidRPr="00DA31BB">
              <w:rPr>
                <w:rFonts w:eastAsia="Batang" w:cs="Arial"/>
                <w:szCs w:val="22"/>
              </w:rPr>
              <w:t>a minimum acid test ratio of 0.8.</w:t>
            </w:r>
          </w:p>
          <w:p w14:paraId="0C73A79E"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 xml:space="preserve">If these ratios are not met, the </w:t>
            </w:r>
            <w:r w:rsidRPr="00A80B02">
              <w:rPr>
                <w:rFonts w:ascii="Arial" w:eastAsia="Arial" w:hAnsi="Arial" w:cs="Arial"/>
              </w:rPr>
              <w:t xml:space="preserve">Potential Provider Entity </w:t>
            </w:r>
            <w:r w:rsidRPr="00A80B02">
              <w:rPr>
                <w:rFonts w:ascii="Arial" w:eastAsia="Batang" w:hAnsi="Arial" w:cs="Arial"/>
              </w:rPr>
              <w:t xml:space="preserve">will not meet this qualification standard.  </w:t>
            </w:r>
          </w:p>
        </w:tc>
      </w:tr>
      <w:tr w:rsidR="0060054F" w:rsidRPr="00A80B02" w14:paraId="0AAB4974" w14:textId="77777777" w:rsidTr="009F27EC">
        <w:tc>
          <w:tcPr>
            <w:tcW w:w="1836" w:type="dxa"/>
            <w:tcBorders>
              <w:bottom w:val="single" w:sz="4" w:space="0" w:color="auto"/>
            </w:tcBorders>
          </w:tcPr>
          <w:p w14:paraId="20709A08" w14:textId="77777777" w:rsidR="0060054F" w:rsidRPr="00A80B02" w:rsidRDefault="0060054F" w:rsidP="006C37D8">
            <w:pPr>
              <w:keepNext/>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lastRenderedPageBreak/>
              <w:t>Company Watch</w:t>
            </w:r>
          </w:p>
        </w:tc>
        <w:tc>
          <w:tcPr>
            <w:tcW w:w="3123" w:type="dxa"/>
            <w:tcBorders>
              <w:bottom w:val="single" w:sz="4" w:space="0" w:color="auto"/>
            </w:tcBorders>
          </w:tcPr>
          <w:p w14:paraId="1AD1E4F9" w14:textId="77777777" w:rsidR="0060054F" w:rsidRPr="00A80B02" w:rsidRDefault="0060054F" w:rsidP="006C37D8">
            <w:pPr>
              <w:keepNext/>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 xml:space="preserve">Company Watch "H-Score" (an overall measure of a business' financial health – for more information, see </w:t>
            </w:r>
            <w:hyperlink r:id="rId10" w:history="1">
              <w:r w:rsidRPr="00A80B02">
                <w:rPr>
                  <w:rStyle w:val="Hyperlink"/>
                  <w:rFonts w:ascii="Arial" w:eastAsia="Batang" w:hAnsi="Arial" w:cs="Arial"/>
                </w:rPr>
                <w:t>www.companywatch.net/analytics-insight/h-score</w:t>
              </w:r>
            </w:hyperlink>
            <w:r w:rsidRPr="00A80B02">
              <w:rPr>
                <w:rFonts w:ascii="Arial" w:eastAsia="Batang" w:hAnsi="Arial" w:cs="Arial"/>
              </w:rPr>
              <w:t>).</w:t>
            </w:r>
          </w:p>
        </w:tc>
        <w:tc>
          <w:tcPr>
            <w:tcW w:w="4634" w:type="dxa"/>
            <w:tcBorders>
              <w:bottom w:val="single" w:sz="4" w:space="0" w:color="auto"/>
            </w:tcBorders>
          </w:tcPr>
          <w:p w14:paraId="0149E38D" w14:textId="77777777" w:rsidR="0060054F" w:rsidRPr="00A80B02" w:rsidRDefault="0060054F" w:rsidP="006C37D8">
            <w:pPr>
              <w:keepNext/>
              <w:tabs>
                <w:tab w:val="left" w:pos="709"/>
                <w:tab w:val="left" w:pos="1559"/>
                <w:tab w:val="left" w:pos="2268"/>
                <w:tab w:val="left" w:pos="2977"/>
                <w:tab w:val="left" w:pos="3686"/>
                <w:tab w:val="left" w:pos="4394"/>
                <w:tab w:val="right" w:pos="8789"/>
              </w:tabs>
              <w:contextualSpacing/>
              <w:rPr>
                <w:rFonts w:ascii="Arial" w:eastAsia="Batang" w:hAnsi="Arial" w:cs="Arial"/>
              </w:rPr>
            </w:pPr>
            <w:r w:rsidRPr="00A80B02">
              <w:rPr>
                <w:rFonts w:ascii="Arial" w:eastAsia="Batang" w:hAnsi="Arial" w:cs="Arial"/>
              </w:rPr>
              <w:t xml:space="preserve">If a Potential Provider Entity does not have a score </w:t>
            </w:r>
            <w:r w:rsidRPr="00DA31BB">
              <w:rPr>
                <w:rFonts w:ascii="Arial" w:eastAsia="Batang" w:hAnsi="Arial" w:cs="Arial"/>
              </w:rPr>
              <w:t>of 20 or</w:t>
            </w:r>
            <w:r w:rsidRPr="00A80B02">
              <w:rPr>
                <w:rFonts w:ascii="Arial" w:eastAsia="Batang" w:hAnsi="Arial" w:cs="Arial"/>
              </w:rPr>
              <w:t xml:space="preserve"> above, the </w:t>
            </w:r>
            <w:r w:rsidRPr="00A80B02">
              <w:rPr>
                <w:rFonts w:ascii="Arial" w:eastAsia="Arial" w:hAnsi="Arial" w:cs="Arial"/>
              </w:rPr>
              <w:t xml:space="preserve">Potential Provider Entity </w:t>
            </w:r>
            <w:r w:rsidRPr="00A80B02">
              <w:rPr>
                <w:rFonts w:ascii="Arial" w:eastAsia="Batang" w:hAnsi="Arial" w:cs="Arial"/>
              </w:rPr>
              <w:t>will not meet this qualification standard.</w:t>
            </w:r>
          </w:p>
        </w:tc>
      </w:tr>
      <w:tr w:rsidR="0060054F" w:rsidRPr="00A80B02" w14:paraId="45FA6433" w14:textId="77777777" w:rsidTr="009F27EC">
        <w:tc>
          <w:tcPr>
            <w:tcW w:w="9593" w:type="dxa"/>
            <w:gridSpan w:val="3"/>
            <w:tcBorders>
              <w:top w:val="nil"/>
              <w:left w:val="nil"/>
              <w:bottom w:val="nil"/>
              <w:right w:val="nil"/>
            </w:tcBorders>
          </w:tcPr>
          <w:p w14:paraId="682DA794"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jc w:val="center"/>
              <w:rPr>
                <w:rFonts w:ascii="Arial" w:eastAsia="Batang" w:hAnsi="Arial" w:cs="Arial"/>
                <w:b/>
              </w:rPr>
            </w:pPr>
            <w:r w:rsidRPr="00A80B02">
              <w:rPr>
                <w:rFonts w:ascii="Arial" w:eastAsia="Batang" w:hAnsi="Arial" w:cs="Arial"/>
                <w:b/>
              </w:rPr>
              <w:t>Figure 1:  Economic and financial standing qualification standards</w:t>
            </w:r>
          </w:p>
          <w:p w14:paraId="3A82C633" w14:textId="77777777" w:rsidR="0060054F" w:rsidRPr="00A80B02" w:rsidRDefault="0060054F" w:rsidP="006C37D8">
            <w:pPr>
              <w:tabs>
                <w:tab w:val="left" w:pos="709"/>
                <w:tab w:val="left" w:pos="1559"/>
                <w:tab w:val="left" w:pos="2268"/>
                <w:tab w:val="left" w:pos="2977"/>
                <w:tab w:val="left" w:pos="3686"/>
                <w:tab w:val="left" w:pos="4394"/>
                <w:tab w:val="right" w:pos="8789"/>
              </w:tabs>
              <w:contextualSpacing/>
              <w:rPr>
                <w:rFonts w:ascii="Arial" w:eastAsia="Batang" w:hAnsi="Arial" w:cs="Arial"/>
                <w:b/>
              </w:rPr>
            </w:pPr>
          </w:p>
        </w:tc>
      </w:tr>
    </w:tbl>
    <w:p w14:paraId="27538F16" w14:textId="714C5D60" w:rsidR="009F27EC" w:rsidRPr="006B561F" w:rsidRDefault="00361E48" w:rsidP="009F27EC">
      <w:pPr>
        <w:tabs>
          <w:tab w:val="left" w:pos="1276"/>
        </w:tabs>
        <w:ind w:left="360"/>
        <w:rPr>
          <w:rFonts w:ascii="Arial" w:eastAsia="Batang" w:hAnsi="Arial" w:cs="Arial"/>
          <w:b/>
        </w:rPr>
      </w:pPr>
      <w:proofErr w:type="gramStart"/>
      <w:r>
        <w:rPr>
          <w:rFonts w:ascii="Arial" w:hAnsi="Arial" w:cs="Arial"/>
        </w:rPr>
        <w:t>3.2</w:t>
      </w:r>
      <w:r w:rsidR="009F27EC" w:rsidRPr="006B561F">
        <w:rPr>
          <w:rFonts w:ascii="Arial" w:hAnsi="Arial" w:cs="Arial"/>
        </w:rPr>
        <w:t xml:space="preserve">.3 </w:t>
      </w:r>
      <w:r w:rsidR="00B204F7">
        <w:rPr>
          <w:rFonts w:ascii="Arial" w:hAnsi="Arial" w:cs="Arial"/>
        </w:rPr>
        <w:t xml:space="preserve"> </w:t>
      </w:r>
      <w:r w:rsidR="009F27EC" w:rsidRPr="006B561F">
        <w:rPr>
          <w:rFonts w:ascii="Arial" w:hAnsi="Arial" w:cs="Arial"/>
        </w:rPr>
        <w:t>If</w:t>
      </w:r>
      <w:proofErr w:type="gramEnd"/>
      <w:r w:rsidR="009F27EC" w:rsidRPr="006B561F">
        <w:rPr>
          <w:rFonts w:ascii="Arial" w:hAnsi="Arial" w:cs="Arial"/>
        </w:rPr>
        <w:t xml:space="preserve"> a Potential Provider Entity meets all of the qualification standards set out in Figure 1 above they will be awarded a PASS. Subject to </w:t>
      </w:r>
      <w:r w:rsidR="009F27EC" w:rsidRPr="008C7402">
        <w:rPr>
          <w:rFonts w:ascii="Arial" w:hAnsi="Arial" w:cs="Arial"/>
        </w:rPr>
        <w:t xml:space="preserve">paragraph </w:t>
      </w:r>
      <w:r w:rsidR="00DE0D05" w:rsidRPr="008C7402">
        <w:rPr>
          <w:rFonts w:ascii="Arial" w:hAnsi="Arial" w:cs="Arial"/>
        </w:rPr>
        <w:t>3.2</w:t>
      </w:r>
      <w:r w:rsidR="009F27EC" w:rsidRPr="008C7402">
        <w:rPr>
          <w:rFonts w:ascii="Arial" w:hAnsi="Arial" w:cs="Arial"/>
        </w:rPr>
        <w:t>.4 below</w:t>
      </w:r>
      <w:r w:rsidR="009F27EC" w:rsidRPr="006B561F">
        <w:rPr>
          <w:rFonts w:ascii="Arial" w:hAnsi="Arial" w:cs="Arial"/>
        </w:rPr>
        <w:t xml:space="preserve">, if a Potential Provider Entity does not meet one or more of the qualification standards set out in Figure 1 above, the Authority may award a FAIL for this evaluation. </w:t>
      </w:r>
    </w:p>
    <w:p w14:paraId="4BA51216" w14:textId="77777777" w:rsidR="009F27EC" w:rsidRPr="006B561F" w:rsidRDefault="009F27EC" w:rsidP="009F27EC">
      <w:pPr>
        <w:pStyle w:val="ListParagraph"/>
        <w:tabs>
          <w:tab w:val="left" w:pos="1276"/>
        </w:tabs>
        <w:ind w:left="567"/>
        <w:rPr>
          <w:rFonts w:eastAsia="Batang" w:cs="Arial"/>
          <w:b/>
          <w:szCs w:val="22"/>
        </w:rPr>
      </w:pPr>
    </w:p>
    <w:p w14:paraId="16B3C0B1" w14:textId="59A2363C" w:rsidR="009F27EC" w:rsidRPr="006B561F" w:rsidRDefault="00361E48" w:rsidP="009F27EC">
      <w:pPr>
        <w:tabs>
          <w:tab w:val="left" w:pos="1276"/>
        </w:tabs>
        <w:ind w:left="360"/>
        <w:rPr>
          <w:rFonts w:ascii="Arial" w:eastAsia="Batang" w:hAnsi="Arial" w:cs="Arial"/>
          <w:b/>
        </w:rPr>
      </w:pPr>
      <w:r>
        <w:rPr>
          <w:rFonts w:ascii="Arial" w:hAnsi="Arial" w:cs="Arial"/>
        </w:rPr>
        <w:t>3.2</w:t>
      </w:r>
      <w:r w:rsidR="009F27EC" w:rsidRPr="006B561F">
        <w:rPr>
          <w:rFonts w:ascii="Arial" w:hAnsi="Arial" w:cs="Arial"/>
        </w:rPr>
        <w:t>.4 The Authority may choose not to award a FAIL despite a Potential Provider Entity not meeting a qualification standard if:</w:t>
      </w:r>
    </w:p>
    <w:p w14:paraId="08F412F5" w14:textId="77777777" w:rsidR="009F27EC" w:rsidRPr="006B561F" w:rsidRDefault="009F27EC" w:rsidP="009F27EC">
      <w:pPr>
        <w:pStyle w:val="ListParagraph"/>
        <w:rPr>
          <w:rFonts w:cs="Arial"/>
          <w:szCs w:val="22"/>
        </w:rPr>
      </w:pPr>
    </w:p>
    <w:p w14:paraId="1687ED84" w14:textId="1671E113" w:rsidR="009F27EC" w:rsidRPr="006B561F" w:rsidRDefault="00DE0D05" w:rsidP="009F27EC">
      <w:pPr>
        <w:tabs>
          <w:tab w:val="left" w:pos="1276"/>
        </w:tabs>
        <w:ind w:left="720"/>
        <w:rPr>
          <w:rFonts w:ascii="Arial" w:hAnsi="Arial" w:cs="Arial"/>
        </w:rPr>
      </w:pPr>
      <w:r>
        <w:rPr>
          <w:rFonts w:ascii="Arial" w:hAnsi="Arial" w:cs="Arial"/>
        </w:rPr>
        <w:t>3.2</w:t>
      </w:r>
      <w:r w:rsidR="009F27EC" w:rsidRPr="006B561F">
        <w:rPr>
          <w:rFonts w:ascii="Arial" w:hAnsi="Arial" w:cs="Arial"/>
        </w:rPr>
        <w:t xml:space="preserve">.4.1 the Potential Provider Entity can provide a parent company guarantee that: </w:t>
      </w:r>
    </w:p>
    <w:p w14:paraId="77AF9061" w14:textId="77777777" w:rsidR="009F27EC" w:rsidRPr="006B561F" w:rsidRDefault="009F27EC" w:rsidP="009F27EC">
      <w:pPr>
        <w:pStyle w:val="ListParagraph"/>
        <w:tabs>
          <w:tab w:val="left" w:pos="1276"/>
        </w:tabs>
        <w:ind w:left="1134"/>
        <w:rPr>
          <w:rFonts w:eastAsia="Batang" w:cs="Arial"/>
          <w:b/>
          <w:szCs w:val="22"/>
        </w:rPr>
      </w:pPr>
    </w:p>
    <w:p w14:paraId="2542D89E" w14:textId="3D4028CB" w:rsidR="009F27EC" w:rsidRPr="006B561F" w:rsidRDefault="00DE0D05" w:rsidP="009F27EC">
      <w:pPr>
        <w:tabs>
          <w:tab w:val="left" w:pos="1276"/>
        </w:tabs>
        <w:ind w:left="1080"/>
        <w:rPr>
          <w:rFonts w:ascii="Arial" w:eastAsia="Batang" w:hAnsi="Arial" w:cs="Arial"/>
          <w:b/>
        </w:rPr>
      </w:pPr>
      <w:r>
        <w:rPr>
          <w:rFonts w:ascii="Arial" w:hAnsi="Arial" w:cs="Arial"/>
        </w:rPr>
        <w:t>3.2</w:t>
      </w:r>
      <w:r w:rsidR="009F27EC" w:rsidRPr="006B561F">
        <w:rPr>
          <w:rFonts w:ascii="Arial" w:hAnsi="Arial" w:cs="Arial"/>
        </w:rPr>
        <w:t xml:space="preserve">.4.1.1 meets the requirements set out in </w:t>
      </w:r>
      <w:r w:rsidR="009F27EC" w:rsidRPr="008C7402">
        <w:rPr>
          <w:rFonts w:ascii="Arial" w:hAnsi="Arial" w:cs="Arial"/>
        </w:rPr>
        <w:t>paragraph </w:t>
      </w:r>
      <w:r w:rsidR="009C019B" w:rsidRPr="008C7402">
        <w:rPr>
          <w:rFonts w:ascii="Arial" w:hAnsi="Arial" w:cs="Arial"/>
        </w:rPr>
        <w:t>3.3</w:t>
      </w:r>
      <w:r w:rsidR="009F27EC" w:rsidRPr="008C7402">
        <w:rPr>
          <w:rFonts w:ascii="Arial" w:hAnsi="Arial" w:cs="Arial"/>
        </w:rPr>
        <w:t xml:space="preserve"> below</w:t>
      </w:r>
      <w:r w:rsidR="009F27EC" w:rsidRPr="006B561F">
        <w:rPr>
          <w:rFonts w:ascii="Arial" w:hAnsi="Arial" w:cs="Arial"/>
        </w:rPr>
        <w:t xml:space="preserve">; and </w:t>
      </w:r>
    </w:p>
    <w:p w14:paraId="107CF726" w14:textId="77777777" w:rsidR="009F27EC" w:rsidRPr="006B561F" w:rsidRDefault="009F27EC" w:rsidP="009F27EC">
      <w:pPr>
        <w:pStyle w:val="ListParagraph"/>
        <w:tabs>
          <w:tab w:val="left" w:pos="1276"/>
        </w:tabs>
        <w:ind w:left="1701"/>
        <w:rPr>
          <w:rFonts w:eastAsia="Batang" w:cs="Arial"/>
          <w:b/>
          <w:szCs w:val="22"/>
        </w:rPr>
      </w:pPr>
    </w:p>
    <w:p w14:paraId="252226CD" w14:textId="46DD2EE7" w:rsidR="009F27EC" w:rsidRPr="006B561F" w:rsidRDefault="00DE0D05" w:rsidP="006D7A6F">
      <w:pPr>
        <w:tabs>
          <w:tab w:val="left" w:pos="1276"/>
        </w:tabs>
        <w:ind w:left="1135"/>
        <w:rPr>
          <w:rFonts w:ascii="Arial" w:eastAsia="Batang" w:hAnsi="Arial" w:cs="Arial"/>
          <w:b/>
        </w:rPr>
      </w:pPr>
      <w:r>
        <w:rPr>
          <w:rFonts w:ascii="Arial" w:hAnsi="Arial" w:cs="Arial"/>
        </w:rPr>
        <w:t>3.2</w:t>
      </w:r>
      <w:r w:rsidR="006D7A6F" w:rsidRPr="006B561F">
        <w:rPr>
          <w:rFonts w:ascii="Arial" w:hAnsi="Arial" w:cs="Arial"/>
        </w:rPr>
        <w:t xml:space="preserve">.4.1.2 </w:t>
      </w:r>
      <w:r w:rsidR="009F27EC" w:rsidRPr="006B561F">
        <w:rPr>
          <w:rFonts w:ascii="Arial" w:hAnsi="Arial" w:cs="Arial"/>
        </w:rPr>
        <w:t>in the Authority's opinion, gives the Authority sufficient comfort that the risks associated with the Potential Provider not meeting the qualification standard(s) will be effectively managed by the guarantee; and/or</w:t>
      </w:r>
    </w:p>
    <w:p w14:paraId="2A375094" w14:textId="77777777" w:rsidR="009F27EC" w:rsidRPr="006B561F" w:rsidRDefault="009F27EC" w:rsidP="009F27EC">
      <w:pPr>
        <w:pStyle w:val="ListParagraph"/>
        <w:rPr>
          <w:rFonts w:cs="Arial"/>
          <w:szCs w:val="22"/>
        </w:rPr>
      </w:pPr>
    </w:p>
    <w:p w14:paraId="271B09E5" w14:textId="60A8F946" w:rsidR="009F27EC" w:rsidRPr="006B561F" w:rsidRDefault="00DE0D05" w:rsidP="006D7A6F">
      <w:pPr>
        <w:tabs>
          <w:tab w:val="left" w:pos="1276"/>
        </w:tabs>
        <w:ind w:left="720"/>
        <w:rPr>
          <w:rFonts w:ascii="Arial" w:eastAsia="Batang" w:hAnsi="Arial" w:cs="Arial"/>
          <w:b/>
        </w:rPr>
      </w:pPr>
      <w:r>
        <w:rPr>
          <w:rFonts w:ascii="Arial" w:hAnsi="Arial" w:cs="Arial"/>
        </w:rPr>
        <w:t>3.2</w:t>
      </w:r>
      <w:r w:rsidR="006D7A6F" w:rsidRPr="006B561F">
        <w:rPr>
          <w:rFonts w:ascii="Arial" w:hAnsi="Arial" w:cs="Arial"/>
        </w:rPr>
        <w:t xml:space="preserve">.4.2 </w:t>
      </w:r>
      <w:r w:rsidR="009F27EC" w:rsidRPr="006B561F">
        <w:rPr>
          <w:rFonts w:ascii="Arial" w:hAnsi="Arial" w:cs="Arial"/>
        </w:rPr>
        <w:t xml:space="preserve">the Authority considers that there are appropriate mitigating factors demonstrating that the reason(s) behind not meeting the qualification standard(s)are either: </w:t>
      </w:r>
    </w:p>
    <w:p w14:paraId="53575EA5" w14:textId="77777777" w:rsidR="009F27EC" w:rsidRPr="006B561F" w:rsidRDefault="009F27EC" w:rsidP="009F27EC">
      <w:pPr>
        <w:pStyle w:val="ListParagraph"/>
        <w:tabs>
          <w:tab w:val="left" w:pos="1276"/>
        </w:tabs>
        <w:ind w:left="1134"/>
        <w:rPr>
          <w:rFonts w:eastAsia="Batang" w:cs="Arial"/>
          <w:b/>
          <w:szCs w:val="22"/>
        </w:rPr>
      </w:pPr>
    </w:p>
    <w:p w14:paraId="59D6D295" w14:textId="6EB8CB15" w:rsidR="009F27EC" w:rsidRPr="006B561F" w:rsidRDefault="00DE0D05" w:rsidP="006B561F">
      <w:pPr>
        <w:tabs>
          <w:tab w:val="left" w:pos="1276"/>
        </w:tabs>
        <w:ind w:left="1135"/>
        <w:rPr>
          <w:rFonts w:ascii="Arial" w:eastAsia="Batang" w:hAnsi="Arial" w:cs="Arial"/>
          <w:b/>
        </w:rPr>
      </w:pPr>
      <w:r>
        <w:rPr>
          <w:rFonts w:ascii="Arial" w:hAnsi="Arial" w:cs="Arial"/>
        </w:rPr>
        <w:t>3.2</w:t>
      </w:r>
      <w:r w:rsidR="006B561F" w:rsidRPr="006B561F">
        <w:rPr>
          <w:rFonts w:ascii="Arial" w:hAnsi="Arial" w:cs="Arial"/>
        </w:rPr>
        <w:t xml:space="preserve">.4.2.1 </w:t>
      </w:r>
      <w:r w:rsidR="009F27EC" w:rsidRPr="006B561F">
        <w:rPr>
          <w:rFonts w:ascii="Arial" w:hAnsi="Arial" w:cs="Arial"/>
        </w:rPr>
        <w:t xml:space="preserve">unlikely to recur; or </w:t>
      </w:r>
    </w:p>
    <w:p w14:paraId="7FD7FCB6" w14:textId="3C32B3A2" w:rsidR="009F27EC" w:rsidRDefault="00DE0D05" w:rsidP="008C7402">
      <w:pPr>
        <w:tabs>
          <w:tab w:val="left" w:pos="1276"/>
        </w:tabs>
        <w:ind w:left="1135"/>
        <w:rPr>
          <w:rFonts w:eastAsia="Batang" w:cs="Arial"/>
          <w:b/>
          <w:sz w:val="24"/>
          <w:szCs w:val="24"/>
        </w:rPr>
      </w:pPr>
      <w:r>
        <w:rPr>
          <w:rFonts w:ascii="Arial" w:hAnsi="Arial" w:cs="Arial"/>
        </w:rPr>
        <w:t>3.2</w:t>
      </w:r>
      <w:r w:rsidR="006B561F" w:rsidRPr="006B561F">
        <w:rPr>
          <w:rFonts w:ascii="Arial" w:hAnsi="Arial" w:cs="Arial"/>
        </w:rPr>
        <w:t xml:space="preserve">.4.2.2 </w:t>
      </w:r>
      <w:r w:rsidR="009F27EC" w:rsidRPr="006B561F">
        <w:rPr>
          <w:rFonts w:ascii="Arial" w:hAnsi="Arial" w:cs="Arial"/>
        </w:rPr>
        <w:t>unlikely to expose the Authority to a significant degree of risk if a contract were to be awarded to the Potential Provider at the end of the procurement.</w:t>
      </w:r>
      <w:r w:rsidR="009F27EC" w:rsidRPr="006B561F">
        <w:rPr>
          <w:rFonts w:cs="Arial"/>
          <w:sz w:val="24"/>
          <w:szCs w:val="24"/>
        </w:rPr>
        <w:t xml:space="preserve">  </w:t>
      </w:r>
    </w:p>
    <w:p w14:paraId="3A7CA495" w14:textId="77777777" w:rsidR="00B204F7" w:rsidRPr="00FC29D3" w:rsidRDefault="00B204F7" w:rsidP="009F27EC">
      <w:pPr>
        <w:pStyle w:val="ListParagraph"/>
        <w:tabs>
          <w:tab w:val="left" w:pos="1276"/>
        </w:tabs>
        <w:ind w:left="1701"/>
        <w:rPr>
          <w:rFonts w:eastAsia="Batang" w:cs="Arial"/>
          <w:b/>
          <w:sz w:val="24"/>
          <w:szCs w:val="24"/>
        </w:rPr>
      </w:pPr>
    </w:p>
    <w:p w14:paraId="1C06CFA0" w14:textId="3225D407" w:rsidR="009F27EC" w:rsidRPr="006B561F" w:rsidRDefault="009C019B" w:rsidP="006B561F">
      <w:pPr>
        <w:pStyle w:val="ScheduleHeading2"/>
        <w:spacing w:before="0" w:after="0"/>
        <w:contextualSpacing/>
        <w:rPr>
          <w:rFonts w:cs="Arial"/>
          <w:sz w:val="22"/>
          <w:szCs w:val="22"/>
        </w:rPr>
      </w:pPr>
      <w:r>
        <w:rPr>
          <w:rFonts w:cs="Arial"/>
          <w:sz w:val="22"/>
          <w:szCs w:val="22"/>
        </w:rPr>
        <w:t>3.3</w:t>
      </w:r>
      <w:r w:rsidR="006B561F" w:rsidRPr="006B561F">
        <w:rPr>
          <w:rFonts w:cs="Arial"/>
          <w:sz w:val="22"/>
          <w:szCs w:val="22"/>
        </w:rPr>
        <w:t xml:space="preserve">. </w:t>
      </w:r>
      <w:r w:rsidR="009F27EC" w:rsidRPr="006B561F">
        <w:rPr>
          <w:rFonts w:cs="Arial"/>
          <w:sz w:val="22"/>
          <w:szCs w:val="22"/>
        </w:rPr>
        <w:t>Parent company guarantees and bank Guarantees</w:t>
      </w:r>
    </w:p>
    <w:p w14:paraId="4C57EA31" w14:textId="77777777" w:rsidR="009F27EC" w:rsidRPr="006B561F" w:rsidRDefault="009F27EC" w:rsidP="009F27EC">
      <w:pPr>
        <w:pStyle w:val="BodyText2"/>
        <w:spacing w:line="240" w:lineRule="auto"/>
        <w:contextualSpacing/>
        <w:rPr>
          <w:szCs w:val="22"/>
          <w:lang w:eastAsia="en-GB"/>
        </w:rPr>
      </w:pPr>
    </w:p>
    <w:p w14:paraId="63C03510" w14:textId="161AAAB0" w:rsidR="009F27EC" w:rsidRPr="006B561F" w:rsidRDefault="009C019B" w:rsidP="006B561F">
      <w:pPr>
        <w:pStyle w:val="ScheduleHeading2"/>
        <w:tabs>
          <w:tab w:val="clear" w:pos="1559"/>
          <w:tab w:val="left" w:pos="1418"/>
        </w:tabs>
        <w:spacing w:before="0" w:after="0"/>
        <w:ind w:left="360"/>
        <w:contextualSpacing/>
        <w:rPr>
          <w:b w:val="0"/>
          <w:sz w:val="22"/>
          <w:szCs w:val="22"/>
        </w:rPr>
      </w:pPr>
      <w:r>
        <w:rPr>
          <w:b w:val="0"/>
          <w:sz w:val="22"/>
          <w:szCs w:val="22"/>
        </w:rPr>
        <w:t>3.3</w:t>
      </w:r>
      <w:r w:rsidR="006B561F" w:rsidRPr="006B561F">
        <w:rPr>
          <w:b w:val="0"/>
          <w:sz w:val="22"/>
          <w:szCs w:val="22"/>
        </w:rPr>
        <w:t xml:space="preserve">.1 </w:t>
      </w:r>
      <w:r w:rsidR="009F27EC" w:rsidRPr="006B561F">
        <w:rPr>
          <w:b w:val="0"/>
          <w:sz w:val="22"/>
          <w:szCs w:val="22"/>
        </w:rPr>
        <w:t xml:space="preserve">The Authority may also require a parent company guarantee from a Potential Provider Entity's ultimate parent company.  The Authority may require this in </w:t>
      </w:r>
      <w:proofErr w:type="gramStart"/>
      <w:r w:rsidR="009F27EC" w:rsidRPr="006B561F">
        <w:rPr>
          <w:b w:val="0"/>
          <w:sz w:val="22"/>
          <w:szCs w:val="22"/>
        </w:rPr>
        <w:t>a number of</w:t>
      </w:r>
      <w:proofErr w:type="gramEnd"/>
      <w:r w:rsidR="009F27EC" w:rsidRPr="006B561F">
        <w:rPr>
          <w:b w:val="0"/>
          <w:sz w:val="22"/>
          <w:szCs w:val="22"/>
        </w:rPr>
        <w:t xml:space="preserve"> circumstances, including where:</w:t>
      </w:r>
    </w:p>
    <w:p w14:paraId="5FC089CB" w14:textId="77777777" w:rsidR="009F27EC" w:rsidRPr="006B561F" w:rsidRDefault="009F27EC" w:rsidP="009F27EC">
      <w:pPr>
        <w:pStyle w:val="BodyText2"/>
        <w:spacing w:line="240" w:lineRule="auto"/>
        <w:contextualSpacing/>
        <w:rPr>
          <w:bCs/>
          <w:szCs w:val="22"/>
          <w:lang w:eastAsia="en-GB"/>
        </w:rPr>
      </w:pPr>
    </w:p>
    <w:p w14:paraId="7873088F" w14:textId="6AB1D651" w:rsidR="009F27EC" w:rsidRPr="006B561F" w:rsidRDefault="009C019B" w:rsidP="006B561F">
      <w:pPr>
        <w:pStyle w:val="ScheduleHeading2"/>
        <w:tabs>
          <w:tab w:val="clear" w:pos="1559"/>
          <w:tab w:val="left" w:pos="1418"/>
        </w:tabs>
        <w:spacing w:before="0" w:after="0"/>
        <w:ind w:left="720"/>
        <w:contextualSpacing/>
        <w:rPr>
          <w:rFonts w:cs="Arial"/>
          <w:b w:val="0"/>
          <w:sz w:val="22"/>
          <w:szCs w:val="22"/>
        </w:rPr>
      </w:pPr>
      <w:r>
        <w:rPr>
          <w:rFonts w:cs="Arial"/>
          <w:b w:val="0"/>
          <w:bCs/>
          <w:sz w:val="22"/>
          <w:szCs w:val="22"/>
        </w:rPr>
        <w:t>3.3</w:t>
      </w:r>
      <w:r w:rsidR="006B561F" w:rsidRPr="006B561F">
        <w:rPr>
          <w:rFonts w:cs="Arial"/>
          <w:b w:val="0"/>
          <w:bCs/>
          <w:sz w:val="22"/>
          <w:szCs w:val="22"/>
        </w:rPr>
        <w:t xml:space="preserve">.1.1. </w:t>
      </w:r>
      <w:r w:rsidR="009F27EC" w:rsidRPr="006B561F">
        <w:rPr>
          <w:rFonts w:cs="Arial"/>
          <w:b w:val="0"/>
          <w:bCs/>
          <w:sz w:val="22"/>
          <w:szCs w:val="22"/>
        </w:rPr>
        <w:t>There</w:t>
      </w:r>
      <w:r w:rsidR="009F27EC" w:rsidRPr="006B561F">
        <w:rPr>
          <w:rFonts w:cs="Arial"/>
          <w:b w:val="0"/>
          <w:sz w:val="22"/>
          <w:szCs w:val="22"/>
        </w:rPr>
        <w:t xml:space="preserve"> is a failure to meet one or more of the qualification standards described at paragraph </w:t>
      </w:r>
      <w:r w:rsidR="00ED64CC" w:rsidRPr="008C7402">
        <w:rPr>
          <w:rFonts w:cs="Arial"/>
          <w:b w:val="0"/>
          <w:sz w:val="22"/>
          <w:szCs w:val="22"/>
        </w:rPr>
        <w:t>3.2</w:t>
      </w:r>
      <w:r w:rsidR="009F27EC" w:rsidRPr="008C7402">
        <w:rPr>
          <w:rFonts w:cs="Arial"/>
          <w:b w:val="0"/>
          <w:sz w:val="22"/>
          <w:szCs w:val="22"/>
        </w:rPr>
        <w:t xml:space="preserve">.2 </w:t>
      </w:r>
      <w:proofErr w:type="gramStart"/>
      <w:r w:rsidR="009F27EC" w:rsidRPr="008C7402">
        <w:rPr>
          <w:rFonts w:cs="Arial"/>
          <w:b w:val="0"/>
          <w:sz w:val="22"/>
          <w:szCs w:val="22"/>
        </w:rPr>
        <w:t>above</w:t>
      </w:r>
      <w:r w:rsidR="009F27EC" w:rsidRPr="006B561F">
        <w:rPr>
          <w:rFonts w:cs="Arial"/>
          <w:b w:val="0"/>
          <w:sz w:val="22"/>
          <w:szCs w:val="22"/>
        </w:rPr>
        <w:t>;</w:t>
      </w:r>
      <w:proofErr w:type="gramEnd"/>
    </w:p>
    <w:p w14:paraId="701C51A7" w14:textId="77777777" w:rsidR="009F27EC" w:rsidRPr="006B561F" w:rsidRDefault="009F27EC" w:rsidP="009F27EC">
      <w:pPr>
        <w:pStyle w:val="BodyText2"/>
        <w:spacing w:line="240" w:lineRule="auto"/>
        <w:contextualSpacing/>
        <w:rPr>
          <w:bCs/>
          <w:szCs w:val="22"/>
          <w:lang w:eastAsia="en-GB"/>
        </w:rPr>
      </w:pPr>
    </w:p>
    <w:p w14:paraId="09756FAE" w14:textId="39BB2208" w:rsidR="009F27EC" w:rsidRPr="006B561F" w:rsidRDefault="009C019B" w:rsidP="00690208">
      <w:pPr>
        <w:pStyle w:val="ScheduleHeading2"/>
        <w:tabs>
          <w:tab w:val="clear" w:pos="1559"/>
          <w:tab w:val="left" w:pos="1418"/>
        </w:tabs>
        <w:spacing w:before="0" w:after="0"/>
        <w:ind w:left="709"/>
        <w:contextualSpacing/>
        <w:rPr>
          <w:rFonts w:cs="Arial"/>
          <w:b w:val="0"/>
          <w:sz w:val="22"/>
          <w:szCs w:val="22"/>
        </w:rPr>
      </w:pPr>
      <w:r>
        <w:rPr>
          <w:rFonts w:cs="Arial"/>
          <w:b w:val="0"/>
          <w:bCs/>
          <w:sz w:val="22"/>
          <w:szCs w:val="22"/>
        </w:rPr>
        <w:t>3.3</w:t>
      </w:r>
      <w:r w:rsidR="006B561F">
        <w:rPr>
          <w:rFonts w:cs="Arial"/>
          <w:b w:val="0"/>
          <w:bCs/>
          <w:sz w:val="22"/>
          <w:szCs w:val="22"/>
        </w:rPr>
        <w:t>.1</w:t>
      </w:r>
      <w:r w:rsidR="00690208">
        <w:rPr>
          <w:rFonts w:cs="Arial"/>
          <w:b w:val="0"/>
          <w:bCs/>
          <w:sz w:val="22"/>
          <w:szCs w:val="22"/>
        </w:rPr>
        <w:t xml:space="preserve">.2 </w:t>
      </w:r>
      <w:r w:rsidR="009F27EC" w:rsidRPr="006B561F">
        <w:rPr>
          <w:rFonts w:cs="Arial"/>
          <w:b w:val="0"/>
          <w:bCs/>
          <w:sz w:val="22"/>
          <w:szCs w:val="22"/>
        </w:rPr>
        <w:t xml:space="preserve">The </w:t>
      </w:r>
      <w:r w:rsidR="009F27EC" w:rsidRPr="006B561F">
        <w:rPr>
          <w:rFonts w:cs="Arial"/>
          <w:b w:val="0"/>
          <w:sz w:val="22"/>
          <w:szCs w:val="22"/>
        </w:rPr>
        <w:t xml:space="preserve">Potential Provider Entity that would contract with the Authority is a dormant or "shell" company for an intermediary </w:t>
      </w:r>
      <w:proofErr w:type="gramStart"/>
      <w:r w:rsidR="009F27EC" w:rsidRPr="006B561F">
        <w:rPr>
          <w:rFonts w:cs="Arial"/>
          <w:b w:val="0"/>
          <w:sz w:val="22"/>
          <w:szCs w:val="22"/>
        </w:rPr>
        <w:t>company;</w:t>
      </w:r>
      <w:proofErr w:type="gramEnd"/>
    </w:p>
    <w:p w14:paraId="794A0AFF" w14:textId="77777777" w:rsidR="009F27EC" w:rsidRPr="006B561F" w:rsidRDefault="009F27EC" w:rsidP="00690208">
      <w:pPr>
        <w:pStyle w:val="BodyText2"/>
        <w:spacing w:line="240" w:lineRule="auto"/>
        <w:ind w:left="709"/>
        <w:contextualSpacing/>
        <w:rPr>
          <w:bCs/>
          <w:szCs w:val="22"/>
          <w:lang w:eastAsia="en-GB"/>
        </w:rPr>
      </w:pPr>
    </w:p>
    <w:p w14:paraId="2894DFF5" w14:textId="11CC4F3B" w:rsidR="009F27EC" w:rsidRPr="006B561F" w:rsidRDefault="009C019B" w:rsidP="00690208">
      <w:pPr>
        <w:pStyle w:val="ScheduleHeading2"/>
        <w:tabs>
          <w:tab w:val="clear" w:pos="1559"/>
          <w:tab w:val="left" w:pos="1418"/>
        </w:tabs>
        <w:spacing w:before="0" w:after="0"/>
        <w:ind w:left="709"/>
        <w:contextualSpacing/>
        <w:rPr>
          <w:rFonts w:cs="Arial"/>
          <w:b w:val="0"/>
          <w:sz w:val="22"/>
          <w:szCs w:val="22"/>
        </w:rPr>
      </w:pPr>
      <w:r>
        <w:rPr>
          <w:rFonts w:cs="Arial"/>
          <w:b w:val="0"/>
          <w:bCs/>
          <w:sz w:val="22"/>
          <w:szCs w:val="22"/>
        </w:rPr>
        <w:lastRenderedPageBreak/>
        <w:t>3.3</w:t>
      </w:r>
      <w:r w:rsidR="00690208">
        <w:rPr>
          <w:rFonts w:cs="Arial"/>
          <w:b w:val="0"/>
          <w:bCs/>
          <w:sz w:val="22"/>
          <w:szCs w:val="22"/>
        </w:rPr>
        <w:t xml:space="preserve">.1.3 </w:t>
      </w:r>
      <w:r w:rsidR="009F27EC" w:rsidRPr="006B561F">
        <w:rPr>
          <w:rFonts w:cs="Arial"/>
          <w:b w:val="0"/>
          <w:bCs/>
          <w:sz w:val="22"/>
          <w:szCs w:val="22"/>
        </w:rPr>
        <w:t>The</w:t>
      </w:r>
      <w:r w:rsidR="009F27EC" w:rsidRPr="006B561F">
        <w:rPr>
          <w:rFonts w:cs="Arial"/>
          <w:b w:val="0"/>
          <w:sz w:val="22"/>
          <w:szCs w:val="22"/>
        </w:rPr>
        <w:t xml:space="preserve"> contracting entity would be a joint venture company, Consortium Member, or other special purpose vehicle; or</w:t>
      </w:r>
    </w:p>
    <w:p w14:paraId="726095A3" w14:textId="77777777" w:rsidR="009F27EC" w:rsidRPr="006B561F" w:rsidRDefault="009F27EC" w:rsidP="00690208">
      <w:pPr>
        <w:pStyle w:val="BodyText2"/>
        <w:spacing w:line="240" w:lineRule="auto"/>
        <w:ind w:left="709"/>
        <w:contextualSpacing/>
        <w:rPr>
          <w:bCs/>
          <w:szCs w:val="22"/>
          <w:lang w:eastAsia="en-GB"/>
        </w:rPr>
      </w:pPr>
    </w:p>
    <w:p w14:paraId="7E599409" w14:textId="6E39EB74" w:rsidR="009F27EC" w:rsidRPr="006B561F" w:rsidRDefault="009C019B" w:rsidP="00690208">
      <w:pPr>
        <w:pStyle w:val="ScheduleHeading2"/>
        <w:tabs>
          <w:tab w:val="clear" w:pos="1559"/>
          <w:tab w:val="left" w:pos="1418"/>
        </w:tabs>
        <w:spacing w:before="0" w:after="0"/>
        <w:ind w:left="709"/>
        <w:contextualSpacing/>
        <w:rPr>
          <w:rFonts w:cs="Arial"/>
          <w:b w:val="0"/>
          <w:sz w:val="22"/>
          <w:szCs w:val="22"/>
        </w:rPr>
      </w:pPr>
      <w:r>
        <w:rPr>
          <w:rFonts w:cs="Arial"/>
          <w:b w:val="0"/>
          <w:bCs/>
          <w:sz w:val="22"/>
          <w:szCs w:val="22"/>
        </w:rPr>
        <w:t>3.3</w:t>
      </w:r>
      <w:r w:rsidR="00690208">
        <w:rPr>
          <w:rFonts w:cs="Arial"/>
          <w:b w:val="0"/>
          <w:bCs/>
          <w:sz w:val="22"/>
          <w:szCs w:val="22"/>
        </w:rPr>
        <w:t xml:space="preserve">.1.4 </w:t>
      </w:r>
      <w:r w:rsidR="009F27EC" w:rsidRPr="006B561F">
        <w:rPr>
          <w:rFonts w:cs="Arial"/>
          <w:b w:val="0"/>
          <w:bCs/>
          <w:sz w:val="22"/>
          <w:szCs w:val="22"/>
        </w:rPr>
        <w:t>The</w:t>
      </w:r>
      <w:r w:rsidR="009F27EC" w:rsidRPr="006B561F">
        <w:rPr>
          <w:rFonts w:cs="Arial"/>
          <w:b w:val="0"/>
          <w:sz w:val="22"/>
          <w:szCs w:val="22"/>
        </w:rPr>
        <w:t xml:space="preserve"> contracting entity otherwise: </w:t>
      </w:r>
    </w:p>
    <w:p w14:paraId="4D9106FE" w14:textId="77777777" w:rsidR="009F27EC" w:rsidRPr="006B561F" w:rsidRDefault="009F27EC" w:rsidP="009F27EC">
      <w:pPr>
        <w:pStyle w:val="BodyText2"/>
        <w:spacing w:line="240" w:lineRule="auto"/>
        <w:contextualSpacing/>
        <w:rPr>
          <w:bCs/>
          <w:szCs w:val="22"/>
          <w:lang w:eastAsia="en-GB"/>
        </w:rPr>
      </w:pPr>
    </w:p>
    <w:p w14:paraId="4FC62380" w14:textId="46CADE28" w:rsidR="009F27EC" w:rsidRPr="006B561F" w:rsidRDefault="009C019B" w:rsidP="00690208">
      <w:pPr>
        <w:pStyle w:val="ScheduleHeading2"/>
        <w:tabs>
          <w:tab w:val="clear" w:pos="1559"/>
          <w:tab w:val="left" w:pos="1418"/>
        </w:tabs>
        <w:spacing w:before="0" w:after="0"/>
        <w:ind w:left="1135"/>
        <w:contextualSpacing/>
        <w:rPr>
          <w:rFonts w:cs="Arial"/>
          <w:b w:val="0"/>
          <w:sz w:val="22"/>
          <w:szCs w:val="22"/>
        </w:rPr>
      </w:pPr>
      <w:r>
        <w:rPr>
          <w:rFonts w:cs="Arial"/>
          <w:b w:val="0"/>
          <w:bCs/>
          <w:sz w:val="22"/>
          <w:szCs w:val="22"/>
        </w:rPr>
        <w:t>3.3</w:t>
      </w:r>
      <w:r w:rsidR="00690208">
        <w:rPr>
          <w:rFonts w:cs="Arial"/>
          <w:b w:val="0"/>
          <w:bCs/>
          <w:sz w:val="22"/>
          <w:szCs w:val="22"/>
        </w:rPr>
        <w:t xml:space="preserve">.1.4.1 </w:t>
      </w:r>
      <w:r w:rsidR="009F27EC" w:rsidRPr="006B561F">
        <w:rPr>
          <w:rFonts w:cs="Arial"/>
          <w:b w:val="0"/>
          <w:bCs/>
          <w:sz w:val="22"/>
          <w:szCs w:val="22"/>
        </w:rPr>
        <w:t>Has</w:t>
      </w:r>
      <w:r w:rsidR="009F27EC" w:rsidRPr="006B561F">
        <w:rPr>
          <w:rFonts w:cs="Arial"/>
          <w:b w:val="0"/>
          <w:sz w:val="22"/>
          <w:szCs w:val="22"/>
        </w:rPr>
        <w:t xml:space="preserve"> no adequate financial track record that the Authority </w:t>
      </w:r>
      <w:proofErr w:type="gramStart"/>
      <w:r w:rsidR="009F27EC" w:rsidRPr="006B561F">
        <w:rPr>
          <w:rFonts w:cs="Arial"/>
          <w:b w:val="0"/>
          <w:sz w:val="22"/>
          <w:szCs w:val="22"/>
        </w:rPr>
        <w:t>is able to</w:t>
      </w:r>
      <w:proofErr w:type="gramEnd"/>
      <w:r w:rsidR="009F27EC" w:rsidRPr="006B561F">
        <w:rPr>
          <w:rFonts w:cs="Arial"/>
          <w:b w:val="0"/>
          <w:sz w:val="22"/>
          <w:szCs w:val="22"/>
        </w:rPr>
        <w:t xml:space="preserve"> assess; or </w:t>
      </w:r>
    </w:p>
    <w:p w14:paraId="7F4CCE8C" w14:textId="77777777" w:rsidR="009F27EC" w:rsidRPr="006B561F" w:rsidRDefault="009F27EC" w:rsidP="009F27EC">
      <w:pPr>
        <w:pStyle w:val="BodyText2"/>
        <w:spacing w:line="240" w:lineRule="auto"/>
        <w:contextualSpacing/>
        <w:rPr>
          <w:bCs/>
          <w:szCs w:val="22"/>
          <w:lang w:eastAsia="en-GB"/>
        </w:rPr>
      </w:pPr>
    </w:p>
    <w:p w14:paraId="409CC406" w14:textId="4E987FF4" w:rsidR="009F27EC" w:rsidRPr="006B561F" w:rsidRDefault="009C019B" w:rsidP="00690208">
      <w:pPr>
        <w:pStyle w:val="ScheduleHeading2"/>
        <w:tabs>
          <w:tab w:val="clear" w:pos="1559"/>
          <w:tab w:val="left" w:pos="1418"/>
        </w:tabs>
        <w:spacing w:before="0" w:after="0"/>
        <w:ind w:left="1135"/>
        <w:contextualSpacing/>
        <w:rPr>
          <w:rFonts w:cs="Arial"/>
          <w:b w:val="0"/>
          <w:sz w:val="22"/>
          <w:szCs w:val="22"/>
        </w:rPr>
      </w:pPr>
      <w:r>
        <w:rPr>
          <w:rFonts w:cs="Arial"/>
          <w:b w:val="0"/>
          <w:bCs/>
          <w:sz w:val="22"/>
          <w:szCs w:val="22"/>
        </w:rPr>
        <w:t>3.3</w:t>
      </w:r>
      <w:r w:rsidR="00690208">
        <w:rPr>
          <w:rFonts w:cs="Arial"/>
          <w:b w:val="0"/>
          <w:bCs/>
          <w:sz w:val="22"/>
          <w:szCs w:val="22"/>
        </w:rPr>
        <w:t xml:space="preserve">.1.4.2 </w:t>
      </w:r>
      <w:r w:rsidR="009F27EC" w:rsidRPr="006B561F">
        <w:rPr>
          <w:rFonts w:cs="Arial"/>
          <w:b w:val="0"/>
          <w:bCs/>
          <w:sz w:val="22"/>
          <w:szCs w:val="22"/>
        </w:rPr>
        <w:t>Lacks</w:t>
      </w:r>
      <w:r w:rsidR="009F27EC" w:rsidRPr="006B561F">
        <w:rPr>
          <w:rFonts w:cs="Arial"/>
          <w:b w:val="0"/>
          <w:sz w:val="22"/>
          <w:szCs w:val="22"/>
        </w:rPr>
        <w:t xml:space="preserve"> the financial capacity required to perform the services provided under </w:t>
      </w:r>
      <w:r w:rsidR="00B204F7" w:rsidRPr="008C7402">
        <w:rPr>
          <w:rFonts w:cs="Arial"/>
          <w:b w:val="0"/>
          <w:sz w:val="22"/>
          <w:szCs w:val="22"/>
        </w:rPr>
        <w:t>Provision of Online Standards, Databases and Publications</w:t>
      </w:r>
      <w:r w:rsidR="009F27EC" w:rsidRPr="008C7402">
        <w:rPr>
          <w:rFonts w:cs="Arial"/>
          <w:b w:val="0"/>
          <w:sz w:val="22"/>
          <w:szCs w:val="22"/>
        </w:rPr>
        <w:t xml:space="preserve"> </w:t>
      </w:r>
      <w:r w:rsidR="009F27EC" w:rsidRPr="006B561F">
        <w:rPr>
          <w:rFonts w:cs="Arial"/>
          <w:b w:val="0"/>
          <w:sz w:val="22"/>
          <w:szCs w:val="22"/>
        </w:rPr>
        <w:t xml:space="preserve">but is otherwise, in the Authority's opinion, financially sound.  </w:t>
      </w:r>
    </w:p>
    <w:p w14:paraId="5918FB10" w14:textId="77777777" w:rsidR="009F27EC" w:rsidRPr="006B561F" w:rsidRDefault="009F27EC" w:rsidP="009F27EC">
      <w:pPr>
        <w:pStyle w:val="BodyText2"/>
        <w:spacing w:line="240" w:lineRule="auto"/>
        <w:contextualSpacing/>
        <w:rPr>
          <w:szCs w:val="22"/>
          <w:lang w:eastAsia="en-GB"/>
        </w:rPr>
      </w:pPr>
    </w:p>
    <w:p w14:paraId="2E646955" w14:textId="62618EE4" w:rsidR="009F27EC" w:rsidRPr="006B561F" w:rsidRDefault="009C019B" w:rsidP="00B204F7">
      <w:pPr>
        <w:pStyle w:val="ScheduleHeading2"/>
        <w:tabs>
          <w:tab w:val="clear" w:pos="1559"/>
          <w:tab w:val="left" w:pos="1418"/>
        </w:tabs>
        <w:spacing w:before="0" w:after="0"/>
        <w:ind w:left="360"/>
        <w:contextualSpacing/>
        <w:rPr>
          <w:rFonts w:cs="Arial"/>
          <w:b w:val="0"/>
          <w:sz w:val="22"/>
          <w:szCs w:val="22"/>
        </w:rPr>
      </w:pPr>
      <w:r>
        <w:rPr>
          <w:rFonts w:cs="Arial"/>
          <w:b w:val="0"/>
          <w:sz w:val="22"/>
          <w:szCs w:val="22"/>
        </w:rPr>
        <w:t>3.3</w:t>
      </w:r>
      <w:r w:rsidR="00B204F7">
        <w:rPr>
          <w:rFonts w:cs="Arial"/>
          <w:b w:val="0"/>
          <w:sz w:val="22"/>
          <w:szCs w:val="22"/>
        </w:rPr>
        <w:t xml:space="preserve">.2 </w:t>
      </w:r>
      <w:r w:rsidR="009F27EC" w:rsidRPr="006B561F">
        <w:rPr>
          <w:rFonts w:cs="Arial"/>
          <w:b w:val="0"/>
          <w:sz w:val="22"/>
          <w:szCs w:val="22"/>
        </w:rPr>
        <w:t xml:space="preserve">The financial standing of any such parent company will be assessed in the same way as if the parent company were a </w:t>
      </w:r>
      <w:r w:rsidR="009F27EC" w:rsidRPr="006B561F">
        <w:rPr>
          <w:rFonts w:eastAsia="Arial" w:cs="Arial"/>
          <w:b w:val="0"/>
          <w:bCs/>
          <w:sz w:val="22"/>
          <w:szCs w:val="22"/>
        </w:rPr>
        <w:t>Potential Provider Entity</w:t>
      </w:r>
      <w:r w:rsidR="009F27EC" w:rsidRPr="006B561F">
        <w:rPr>
          <w:rFonts w:cs="Arial"/>
          <w:b w:val="0"/>
          <w:sz w:val="22"/>
          <w:szCs w:val="22"/>
        </w:rPr>
        <w:t xml:space="preserve">. </w:t>
      </w:r>
    </w:p>
    <w:p w14:paraId="5D29B785" w14:textId="77777777" w:rsidR="009F27EC" w:rsidRPr="006B561F" w:rsidRDefault="009F27EC" w:rsidP="009F27EC">
      <w:pPr>
        <w:pStyle w:val="BodyText2"/>
        <w:spacing w:line="240" w:lineRule="auto"/>
        <w:contextualSpacing/>
        <w:rPr>
          <w:szCs w:val="22"/>
          <w:lang w:eastAsia="en-GB"/>
        </w:rPr>
      </w:pPr>
    </w:p>
    <w:p w14:paraId="24725AC3" w14:textId="4AF6B892" w:rsidR="009F27EC" w:rsidRPr="006B561F" w:rsidRDefault="009C019B" w:rsidP="00B204F7">
      <w:pPr>
        <w:pStyle w:val="ScheduleHeading2"/>
        <w:tabs>
          <w:tab w:val="clear" w:pos="1559"/>
          <w:tab w:val="left" w:pos="1418"/>
        </w:tabs>
        <w:spacing w:before="0" w:after="0"/>
        <w:ind w:left="284"/>
        <w:contextualSpacing/>
        <w:rPr>
          <w:rFonts w:eastAsia="Calibri" w:cs="Arial"/>
          <w:sz w:val="22"/>
          <w:szCs w:val="22"/>
        </w:rPr>
      </w:pPr>
      <w:r>
        <w:rPr>
          <w:rFonts w:cs="Arial"/>
          <w:b w:val="0"/>
          <w:sz w:val="22"/>
          <w:szCs w:val="22"/>
        </w:rPr>
        <w:t>3.3</w:t>
      </w:r>
      <w:r w:rsidR="00B204F7">
        <w:rPr>
          <w:rFonts w:cs="Arial"/>
          <w:b w:val="0"/>
          <w:sz w:val="22"/>
          <w:szCs w:val="22"/>
        </w:rPr>
        <w:t xml:space="preserve">.3 </w:t>
      </w:r>
      <w:r w:rsidR="009F27EC" w:rsidRPr="006B561F">
        <w:rPr>
          <w:rFonts w:cs="Arial"/>
          <w:b w:val="0"/>
          <w:sz w:val="22"/>
          <w:szCs w:val="22"/>
        </w:rPr>
        <w:t xml:space="preserve">Where a </w:t>
      </w:r>
      <w:r w:rsidR="009F27EC" w:rsidRPr="006B561F">
        <w:rPr>
          <w:rFonts w:eastAsia="Arial" w:cs="Arial"/>
          <w:b w:val="0"/>
          <w:bCs/>
          <w:sz w:val="22"/>
          <w:szCs w:val="22"/>
        </w:rPr>
        <w:t>Potential Provider</w:t>
      </w:r>
      <w:r w:rsidR="009F27EC" w:rsidRPr="006B561F">
        <w:rPr>
          <w:rFonts w:eastAsia="Arial" w:cs="Arial"/>
          <w:b w:val="0"/>
          <w:sz w:val="22"/>
          <w:szCs w:val="22"/>
        </w:rPr>
        <w:t xml:space="preserve"> Entity</w:t>
      </w:r>
      <w:r w:rsidR="009F27EC" w:rsidRPr="006B561F">
        <w:rPr>
          <w:rFonts w:eastAsia="Arial" w:cs="Arial"/>
          <w:sz w:val="22"/>
          <w:szCs w:val="22"/>
        </w:rPr>
        <w:t xml:space="preserve"> </w:t>
      </w:r>
      <w:r w:rsidR="009F27EC" w:rsidRPr="006B561F">
        <w:rPr>
          <w:rFonts w:cs="Arial"/>
          <w:b w:val="0"/>
          <w:sz w:val="22"/>
          <w:szCs w:val="22"/>
        </w:rPr>
        <w:t>does not have an ultimate parent company, the Authority may request a bank guarantee be obtained instead.</w:t>
      </w:r>
    </w:p>
    <w:p w14:paraId="3C78ABB9" w14:textId="77777777" w:rsidR="0060054F" w:rsidRPr="002343C6" w:rsidRDefault="0060054F" w:rsidP="00B204F7">
      <w:pPr>
        <w:pStyle w:val="ListParagraph"/>
        <w:overflowPunct/>
        <w:autoSpaceDE/>
        <w:adjustRightInd/>
        <w:spacing w:before="240" w:after="240"/>
        <w:ind w:left="284" w:right="-2" w:hanging="709"/>
        <w:jc w:val="both"/>
        <w:rPr>
          <w:rFonts w:cs="Arial"/>
          <w:b/>
          <w:bCs/>
          <w:szCs w:val="22"/>
        </w:rPr>
      </w:pPr>
    </w:p>
    <w:p w14:paraId="0DD87E3E" w14:textId="10D1A4AD" w:rsidR="00863735" w:rsidRDefault="00863735" w:rsidP="001B5F2C">
      <w:pPr>
        <w:pStyle w:val="ListParagraph"/>
        <w:overflowPunct/>
        <w:autoSpaceDE/>
        <w:adjustRightInd/>
        <w:spacing w:before="240" w:after="240"/>
        <w:ind w:left="567" w:right="-2"/>
        <w:jc w:val="both"/>
        <w:rPr>
          <w:rFonts w:cs="Arial"/>
          <w:b/>
          <w:bCs/>
        </w:rPr>
      </w:pPr>
      <w:r w:rsidRPr="0F632A09">
        <w:rPr>
          <w:rFonts w:cs="Arial"/>
          <w:b/>
          <w:bCs/>
          <w:u w:val="single"/>
        </w:rPr>
        <w:t>Phase 2 – Scoring of Project Specific Questions</w:t>
      </w:r>
      <w:r w:rsidR="00B204F7">
        <w:rPr>
          <w:rFonts w:cs="Arial"/>
          <w:b/>
          <w:bCs/>
          <w:u w:val="single"/>
        </w:rPr>
        <w:t xml:space="preserve"> within the Technical </w:t>
      </w:r>
      <w:r w:rsidR="00B204F7" w:rsidRPr="00A80B02">
        <w:rPr>
          <w:rFonts w:cs="Arial"/>
          <w:b/>
          <w:bCs/>
          <w:u w:val="single"/>
        </w:rPr>
        <w:t>Envelope</w:t>
      </w:r>
      <w:r w:rsidRPr="00A80B02">
        <w:rPr>
          <w:rFonts w:cs="Arial"/>
          <w:b/>
          <w:bCs/>
          <w:u w:val="single"/>
        </w:rPr>
        <w:t xml:space="preserve"> for Section 2.1 of Part </w:t>
      </w:r>
      <w:proofErr w:type="gramStart"/>
      <w:r w:rsidR="001F5238" w:rsidRPr="00A80B02">
        <w:rPr>
          <w:rFonts w:cs="Arial"/>
          <w:b/>
          <w:bCs/>
          <w:u w:val="single"/>
        </w:rPr>
        <w:t>3</w:t>
      </w:r>
      <w:r w:rsidRPr="00A80B02">
        <w:rPr>
          <w:rFonts w:cs="Arial"/>
          <w:b/>
          <w:bCs/>
          <w:u w:val="single"/>
        </w:rPr>
        <w:t xml:space="preserve">  (</w:t>
      </w:r>
      <w:proofErr w:type="gramEnd"/>
      <w:r w:rsidRPr="00A80B02">
        <w:rPr>
          <w:rFonts w:cs="Arial"/>
          <w:b/>
          <w:bCs/>
          <w:u w:val="single"/>
        </w:rPr>
        <w:t>Weighted Scores).</w:t>
      </w:r>
    </w:p>
    <w:p w14:paraId="35D14C1F" w14:textId="6EAF92EF" w:rsidR="00863735" w:rsidRDefault="00863735" w:rsidP="0F632A09">
      <w:pPr>
        <w:pStyle w:val="ListParagraph"/>
        <w:spacing w:before="240" w:after="240"/>
        <w:ind w:left="567" w:right="-2"/>
        <w:jc w:val="both"/>
        <w:rPr>
          <w:rFonts w:cs="Arial"/>
        </w:rPr>
      </w:pPr>
      <w:r w:rsidRPr="0F632A09">
        <w:rPr>
          <w:rFonts w:cs="Arial"/>
        </w:rPr>
        <w:t>Each section will be evaluated separately to assess a particular aspect of the requirement.</w:t>
      </w:r>
    </w:p>
    <w:p w14:paraId="11016EE4" w14:textId="77777777" w:rsidR="00014AAE" w:rsidRDefault="00014AAE" w:rsidP="0F632A09">
      <w:pPr>
        <w:pStyle w:val="ListParagraph"/>
        <w:spacing w:before="240" w:after="240"/>
        <w:ind w:left="567" w:right="-2"/>
        <w:jc w:val="both"/>
        <w:rPr>
          <w:rFonts w:cs="Arial"/>
        </w:rPr>
      </w:pPr>
    </w:p>
    <w:p w14:paraId="6BDE3531" w14:textId="66B4A205" w:rsidR="00014AAE" w:rsidRDefault="00CC3F6D" w:rsidP="000F2C6E">
      <w:pPr>
        <w:pStyle w:val="ListParagraph"/>
        <w:spacing w:before="240" w:after="240"/>
        <w:ind w:left="0" w:right="-2"/>
        <w:jc w:val="both"/>
      </w:pPr>
      <w:r>
        <w:t xml:space="preserve">3.4 </w:t>
      </w:r>
      <w:r w:rsidR="00752DCC">
        <w:t>Specific guidance for t</w:t>
      </w:r>
      <w:r w:rsidR="00780139">
        <w:t>hese PQQ questions are as follows:</w:t>
      </w:r>
    </w:p>
    <w:p w14:paraId="62336805" w14:textId="77777777" w:rsidR="00780139" w:rsidRDefault="00780139" w:rsidP="0F632A09">
      <w:pPr>
        <w:pStyle w:val="ListParagraph"/>
        <w:spacing w:before="240" w:after="240"/>
        <w:ind w:left="567" w:right="-2"/>
        <w:jc w:val="both"/>
      </w:pPr>
    </w:p>
    <w:p w14:paraId="2310CCA3" w14:textId="3704CD23" w:rsidR="003D2260" w:rsidRPr="00557EE9" w:rsidRDefault="00557EE9" w:rsidP="000F2C6E">
      <w:pPr>
        <w:ind w:left="284"/>
        <w:rPr>
          <w:rFonts w:ascii="Arial" w:hAnsi="Arial" w:cs="Arial"/>
        </w:rPr>
      </w:pPr>
      <w:r w:rsidRPr="00557EE9">
        <w:rPr>
          <w:rFonts w:ascii="Arial" w:hAnsi="Arial" w:cs="Arial"/>
        </w:rPr>
        <w:t xml:space="preserve">3.4.1 </w:t>
      </w:r>
      <w:r w:rsidRPr="00557EE9">
        <w:rPr>
          <w:rFonts w:ascii="Arial" w:hAnsi="Arial" w:cs="Arial"/>
        </w:rPr>
        <w:tab/>
      </w:r>
      <w:r w:rsidR="00CC7F73">
        <w:rPr>
          <w:rFonts w:ascii="Arial" w:hAnsi="Arial" w:cs="Arial"/>
        </w:rPr>
        <w:t>For questions</w:t>
      </w:r>
      <w:r w:rsidR="00F820C6">
        <w:rPr>
          <w:rFonts w:ascii="Arial" w:hAnsi="Arial" w:cs="Arial"/>
        </w:rPr>
        <w:t xml:space="preserve"> 2.1.1 – 2.1.4, </w:t>
      </w:r>
      <w:r w:rsidR="00F820C6" w:rsidRPr="00F820C6">
        <w:rPr>
          <w:rFonts w:ascii="Arial" w:hAnsi="Arial" w:cs="Arial"/>
        </w:rPr>
        <w:t>p</w:t>
      </w:r>
      <w:r w:rsidR="003D2260" w:rsidRPr="00F820C6">
        <w:rPr>
          <w:rFonts w:ascii="Arial" w:hAnsi="Arial" w:cs="Arial"/>
        </w:rPr>
        <w:t>lease provide details of up to three contracts, in any combination from either the public or private sector; voluntary,</w:t>
      </w:r>
      <w:r w:rsidR="003D2260" w:rsidRPr="00557EE9">
        <w:rPr>
          <w:rFonts w:ascii="Arial" w:hAnsi="Arial" w:cs="Arial"/>
        </w:rPr>
        <w:t xml:space="preserve"> charity or social enterprise (VCSE) that are relevant to our requirement. VCSEs may include samples of grant-funded work. Contracts for supplies or services should have been performed during the past three years. Works contracts may be from the past five years.</w:t>
      </w:r>
      <w:r w:rsidR="00286B6E">
        <w:rPr>
          <w:rFonts w:ascii="Arial" w:hAnsi="Arial" w:cs="Arial"/>
        </w:rPr>
        <w:t xml:space="preserve"> </w:t>
      </w:r>
      <w:r w:rsidR="003D2260" w:rsidRPr="00557EE9">
        <w:rPr>
          <w:rFonts w:ascii="Arial" w:eastAsia="Times New Roman" w:hAnsi="Arial" w:cs="Arial"/>
          <w:kern w:val="22"/>
          <w:szCs w:val="20"/>
        </w:rPr>
        <w:t>The named contact provided should be able to provide written evidence to confirm the accuracy of the information provided below.</w:t>
      </w:r>
    </w:p>
    <w:p w14:paraId="71B5B390" w14:textId="4A405DDC" w:rsidR="003D2260" w:rsidRPr="00557EE9" w:rsidRDefault="00557EE9" w:rsidP="000F2C6E">
      <w:pPr>
        <w:ind w:left="284"/>
        <w:rPr>
          <w:rFonts w:ascii="Arial" w:hAnsi="Arial" w:cs="Arial"/>
        </w:rPr>
      </w:pPr>
      <w:r w:rsidRPr="00557EE9">
        <w:rPr>
          <w:rFonts w:ascii="Arial" w:hAnsi="Arial" w:cs="Arial"/>
        </w:rPr>
        <w:t>3.4.2</w:t>
      </w:r>
      <w:r w:rsidRPr="00557EE9">
        <w:rPr>
          <w:rFonts w:ascii="Arial" w:hAnsi="Arial" w:cs="Arial"/>
        </w:rPr>
        <w:tab/>
      </w:r>
      <w:r w:rsidR="003D2260" w:rsidRPr="00557EE9">
        <w:rPr>
          <w:rFonts w:ascii="Arial" w:hAnsi="Arial" w:cs="Arial"/>
        </w:rPr>
        <w:t>Consortia bids should provide relevant examples of where the consortium has delivered similar requirements. If this is not possible (</w:t>
      </w:r>
      <w:proofErr w:type="gramStart"/>
      <w:r w:rsidR="003D2260" w:rsidRPr="00557EE9">
        <w:rPr>
          <w:rFonts w:ascii="Arial" w:hAnsi="Arial" w:cs="Arial"/>
        </w:rPr>
        <w:t>e.g.</w:t>
      </w:r>
      <w:proofErr w:type="gramEnd"/>
      <w:r w:rsidR="003D2260" w:rsidRPr="00557EE9">
        <w:rPr>
          <w:rFonts w:ascii="Arial" w:hAnsi="Arial" w:cs="Arial"/>
        </w:rPr>
        <w:t xml:space="preserve">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65497ECC" w14:textId="77777777" w:rsidR="003D2260" w:rsidRPr="00557EE9" w:rsidRDefault="003D2260" w:rsidP="000F2C6E">
      <w:pPr>
        <w:pStyle w:val="ListParagraph"/>
        <w:ind w:left="284"/>
        <w:rPr>
          <w:rFonts w:cs="Arial"/>
        </w:rPr>
      </w:pPr>
    </w:p>
    <w:p w14:paraId="22322A4C" w14:textId="3A9FBE4D" w:rsidR="003D2260" w:rsidRPr="00557EE9" w:rsidRDefault="00557EE9" w:rsidP="000F2C6E">
      <w:pPr>
        <w:ind w:left="284"/>
        <w:rPr>
          <w:rFonts w:ascii="Arial" w:hAnsi="Arial" w:cs="Arial"/>
        </w:rPr>
      </w:pPr>
      <w:r w:rsidRPr="00557EE9">
        <w:rPr>
          <w:rFonts w:ascii="Arial" w:hAnsi="Arial" w:cs="Arial"/>
        </w:rPr>
        <w:t>3.4.3</w:t>
      </w:r>
      <w:r w:rsidRPr="00557EE9">
        <w:rPr>
          <w:rFonts w:ascii="Arial" w:hAnsi="Arial" w:cs="Arial"/>
        </w:rPr>
        <w:tab/>
      </w:r>
      <w:r w:rsidR="003D2260" w:rsidRPr="00557EE9">
        <w:rPr>
          <w:rFonts w:ascii="Arial" w:hAnsi="Arial" w:cs="Arial"/>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206AA79" w14:textId="77777777" w:rsidR="003D2260" w:rsidRPr="00557EE9" w:rsidRDefault="003D2260" w:rsidP="003D2260">
      <w:pPr>
        <w:pStyle w:val="ListParagraph"/>
        <w:ind w:left="1080"/>
        <w:rPr>
          <w:rFonts w:cs="Arial"/>
        </w:rPr>
      </w:pPr>
    </w:p>
    <w:p w14:paraId="04E12FBF" w14:textId="7CDCED36" w:rsidR="00863735" w:rsidRPr="00557EE9" w:rsidRDefault="00557EE9" w:rsidP="00557EE9">
      <w:pPr>
        <w:ind w:left="720"/>
        <w:rPr>
          <w:rFonts w:ascii="Arial" w:hAnsi="Arial" w:cs="Arial"/>
        </w:rPr>
      </w:pPr>
      <w:r w:rsidRPr="00557EE9">
        <w:rPr>
          <w:rFonts w:ascii="Arial" w:hAnsi="Arial" w:cs="Arial"/>
        </w:rPr>
        <w:t>3.4.4</w:t>
      </w:r>
      <w:r w:rsidRPr="00557EE9">
        <w:rPr>
          <w:rFonts w:ascii="Arial" w:hAnsi="Arial" w:cs="Arial"/>
        </w:rPr>
        <w:tab/>
      </w:r>
      <w:r w:rsidR="003D2260" w:rsidRPr="00557EE9">
        <w:rPr>
          <w:rFonts w:ascii="Arial" w:hAnsi="Arial" w:cs="Arial"/>
        </w:rPr>
        <w:t xml:space="preserve">If you cannot provide at least one example for each question in this section, please provide an explanation for this per question in this section </w:t>
      </w:r>
      <w:proofErr w:type="gramStart"/>
      <w:r w:rsidR="003D2260" w:rsidRPr="00557EE9">
        <w:rPr>
          <w:rFonts w:ascii="Arial" w:hAnsi="Arial" w:cs="Arial"/>
        </w:rPr>
        <w:t>e.g.</w:t>
      </w:r>
      <w:proofErr w:type="gramEnd"/>
      <w:r w:rsidR="003D2260" w:rsidRPr="00557EE9">
        <w:rPr>
          <w:rFonts w:ascii="Arial" w:hAnsi="Arial" w:cs="Arial"/>
        </w:rPr>
        <w:t xml:space="preserve"> your </w:t>
      </w:r>
      <w:r w:rsidR="003D2260" w:rsidRPr="00557EE9">
        <w:rPr>
          <w:rFonts w:ascii="Arial" w:hAnsi="Arial" w:cs="Arial"/>
        </w:rPr>
        <w:lastRenderedPageBreak/>
        <w:t>organisation is a new start-up or you have provided services in the past but not under a contract.</w:t>
      </w:r>
    </w:p>
    <w:p w14:paraId="2EBBA2A8" w14:textId="77777777" w:rsidR="003D2260" w:rsidRDefault="003D2260" w:rsidP="003D2260">
      <w:pPr>
        <w:pStyle w:val="ListParagraph"/>
      </w:pPr>
    </w:p>
    <w:p w14:paraId="2A547A17" w14:textId="77777777" w:rsidR="003D2260" w:rsidRPr="003D2260" w:rsidRDefault="003D2260" w:rsidP="003D2260">
      <w:pPr>
        <w:pStyle w:val="ListParagraph"/>
        <w:ind w:left="1080"/>
      </w:pPr>
    </w:p>
    <w:p w14:paraId="42FCE884" w14:textId="0A5E1935" w:rsidR="00863735" w:rsidRDefault="00557EE9" w:rsidP="00E51C67">
      <w:pPr>
        <w:ind w:left="567"/>
        <w:jc w:val="both"/>
        <w:rPr>
          <w:rFonts w:ascii="Arial" w:hAnsi="Arial" w:cs="Arial"/>
          <w:bCs/>
        </w:rPr>
      </w:pPr>
      <w:r>
        <w:rPr>
          <w:rFonts w:ascii="Arial" w:hAnsi="Arial" w:cs="Arial"/>
        </w:rPr>
        <w:t xml:space="preserve">3.5 </w:t>
      </w:r>
      <w:r>
        <w:rPr>
          <w:rFonts w:ascii="Arial" w:hAnsi="Arial" w:cs="Arial"/>
        </w:rPr>
        <w:tab/>
      </w:r>
      <w:r w:rsidR="00863735">
        <w:rPr>
          <w:rFonts w:ascii="Arial" w:hAnsi="Arial" w:cs="Arial"/>
        </w:rPr>
        <w:t xml:space="preserve">A Score out of </w:t>
      </w:r>
      <w:r w:rsidR="007F535D">
        <w:rPr>
          <w:rFonts w:ascii="Arial" w:hAnsi="Arial" w:cs="Arial"/>
        </w:rPr>
        <w:t>10</w:t>
      </w:r>
      <w:r w:rsidR="00863735">
        <w:rPr>
          <w:rFonts w:ascii="Arial" w:hAnsi="Arial" w:cs="Arial"/>
        </w:rPr>
        <w:t xml:space="preserve"> will be awarded for each question by the Authority’s Subject Matter </w:t>
      </w:r>
      <w:r w:rsidR="00863735" w:rsidRPr="005C1C73">
        <w:rPr>
          <w:rFonts w:ascii="Arial" w:hAnsi="Arial" w:cs="Arial"/>
        </w:rPr>
        <w:t>Experts (SME’s) bas</w:t>
      </w:r>
      <w:r w:rsidR="007F535D">
        <w:rPr>
          <w:rFonts w:ascii="Arial" w:hAnsi="Arial" w:cs="Arial"/>
        </w:rPr>
        <w:t>ed solely</w:t>
      </w:r>
      <w:r w:rsidR="004026BE">
        <w:rPr>
          <w:rFonts w:ascii="Arial" w:hAnsi="Arial" w:cs="Arial"/>
        </w:rPr>
        <w:t xml:space="preserve"> on</w:t>
      </w:r>
      <w:r w:rsidR="00863735" w:rsidRPr="005C1C73">
        <w:rPr>
          <w:rFonts w:ascii="Arial" w:hAnsi="Arial" w:cs="Arial"/>
        </w:rPr>
        <w:t xml:space="preserve"> the responses that the potential provider has the skills, </w:t>
      </w:r>
      <w:proofErr w:type="gramStart"/>
      <w:r w:rsidR="00863735" w:rsidRPr="005C1C73">
        <w:rPr>
          <w:rFonts w:ascii="Arial" w:hAnsi="Arial" w:cs="Arial"/>
        </w:rPr>
        <w:t>knowledge</w:t>
      </w:r>
      <w:proofErr w:type="gramEnd"/>
      <w:r w:rsidR="00863735" w:rsidRPr="005C1C73">
        <w:rPr>
          <w:rFonts w:ascii="Arial" w:hAnsi="Arial" w:cs="Arial"/>
        </w:rPr>
        <w:t xml:space="preserve"> and experience to meet the requirements of the question.</w:t>
      </w:r>
      <w:r w:rsidR="00863735" w:rsidRPr="005C1C73">
        <w:rPr>
          <w:rFonts w:ascii="Arial" w:hAnsi="Arial" w:cs="Arial"/>
          <w:bCs/>
        </w:rPr>
        <w:t xml:space="preserve"> </w:t>
      </w:r>
    </w:p>
    <w:p w14:paraId="7F2610A5" w14:textId="6CE77EDC" w:rsidR="005112D6" w:rsidRPr="005C1C73" w:rsidRDefault="00557EE9" w:rsidP="00557EE9">
      <w:pPr>
        <w:ind w:left="1134"/>
        <w:jc w:val="both"/>
        <w:rPr>
          <w:rFonts w:ascii="Arial" w:hAnsi="Arial" w:cs="Arial"/>
        </w:rPr>
      </w:pPr>
      <w:r>
        <w:rPr>
          <w:rFonts w:ascii="Arial" w:hAnsi="Arial" w:cs="Arial"/>
        </w:rPr>
        <w:t>3.5.1</w:t>
      </w:r>
      <w:r>
        <w:rPr>
          <w:rFonts w:ascii="Arial" w:hAnsi="Arial" w:cs="Arial"/>
        </w:rPr>
        <w:tab/>
      </w:r>
      <w:r w:rsidR="005112D6" w:rsidRPr="22DB5FCB">
        <w:rPr>
          <w:rFonts w:ascii="Arial" w:hAnsi="Arial" w:cs="Arial"/>
        </w:rPr>
        <w:t>Please be aware that</w:t>
      </w:r>
      <w:r w:rsidR="00164206" w:rsidRPr="22DB5FCB">
        <w:rPr>
          <w:rFonts w:ascii="Arial" w:hAnsi="Arial" w:cs="Arial"/>
        </w:rPr>
        <w:t xml:space="preserve"> a</w:t>
      </w:r>
      <w:r w:rsidR="004754E1" w:rsidRPr="22DB5FCB">
        <w:rPr>
          <w:rFonts w:ascii="Arial" w:hAnsi="Arial" w:cs="Arial"/>
        </w:rPr>
        <w:t xml:space="preserve"> </w:t>
      </w:r>
      <w:r w:rsidR="00633A33">
        <w:rPr>
          <w:rFonts w:ascii="Arial" w:hAnsi="Arial" w:cs="Arial"/>
        </w:rPr>
        <w:t xml:space="preserve">score of zero (0) </w:t>
      </w:r>
      <w:r w:rsidR="00517069" w:rsidRPr="22DB5FCB">
        <w:rPr>
          <w:rFonts w:ascii="Arial" w:hAnsi="Arial" w:cs="Arial"/>
        </w:rPr>
        <w:t>for</w:t>
      </w:r>
      <w:r w:rsidR="0017422C" w:rsidRPr="22DB5FCB">
        <w:rPr>
          <w:rFonts w:ascii="Arial" w:hAnsi="Arial" w:cs="Arial"/>
        </w:rPr>
        <w:t xml:space="preserve"> any single question</w:t>
      </w:r>
      <w:r w:rsidR="0022447A" w:rsidRPr="22DB5FCB">
        <w:rPr>
          <w:rFonts w:ascii="Arial" w:hAnsi="Arial" w:cs="Arial"/>
        </w:rPr>
        <w:t xml:space="preserve">, </w:t>
      </w:r>
      <w:r w:rsidR="002959C7" w:rsidRPr="22DB5FCB">
        <w:rPr>
          <w:rFonts w:ascii="Arial" w:hAnsi="Arial" w:cs="Arial"/>
        </w:rPr>
        <w:t>will be deemed unacceptable</w:t>
      </w:r>
      <w:r w:rsidR="0022447A" w:rsidRPr="22DB5FCB">
        <w:rPr>
          <w:rFonts w:ascii="Arial" w:hAnsi="Arial" w:cs="Arial"/>
        </w:rPr>
        <w:t xml:space="preserve">, </w:t>
      </w:r>
      <w:r w:rsidR="0022447A" w:rsidRPr="008C7402">
        <w:rPr>
          <w:rFonts w:ascii="Arial" w:hAnsi="Arial" w:cs="Arial"/>
        </w:rPr>
        <w:t>therefore</w:t>
      </w:r>
      <w:r w:rsidR="00C93386" w:rsidRPr="008C7402">
        <w:rPr>
          <w:rFonts w:ascii="Arial" w:hAnsi="Arial" w:cs="Arial"/>
        </w:rPr>
        <w:t xml:space="preserve"> </w:t>
      </w:r>
      <w:r w:rsidR="00633A33">
        <w:rPr>
          <w:rFonts w:ascii="Arial" w:hAnsi="Arial" w:cs="Arial"/>
        </w:rPr>
        <w:t xml:space="preserve">the tenderer </w:t>
      </w:r>
      <w:r w:rsidR="00440E85" w:rsidRPr="008C7402">
        <w:rPr>
          <w:rFonts w:ascii="Arial" w:hAnsi="Arial" w:cs="Arial"/>
        </w:rPr>
        <w:t>will be withdrawn from the tendering process.</w:t>
      </w:r>
    </w:p>
    <w:p w14:paraId="7B70DDBA" w14:textId="43FCA52C" w:rsidR="00863735" w:rsidRPr="005C1C73" w:rsidRDefault="00B12920" w:rsidP="00863735">
      <w:pPr>
        <w:pStyle w:val="ListParagraph"/>
        <w:overflowPunct/>
        <w:autoSpaceDE/>
        <w:adjustRightInd/>
        <w:spacing w:after="240"/>
        <w:ind w:left="0" w:right="-2" w:firstLine="567"/>
        <w:jc w:val="both"/>
        <w:rPr>
          <w:rFonts w:cs="Arial"/>
          <w:szCs w:val="22"/>
        </w:rPr>
      </w:pPr>
      <w:r>
        <w:rPr>
          <w:rFonts w:cs="Arial"/>
          <w:szCs w:val="22"/>
        </w:rPr>
        <w:t>3.6</w:t>
      </w:r>
      <w:r>
        <w:rPr>
          <w:rFonts w:cs="Arial"/>
          <w:szCs w:val="22"/>
        </w:rPr>
        <w:tab/>
      </w:r>
      <w:r w:rsidR="00863735" w:rsidRPr="005C1C73">
        <w:rPr>
          <w:rFonts w:cs="Arial"/>
          <w:szCs w:val="22"/>
        </w:rPr>
        <w:t xml:space="preserve">The evaluation </w:t>
      </w:r>
      <w:r w:rsidR="00440E85">
        <w:rPr>
          <w:rFonts w:cs="Arial"/>
          <w:szCs w:val="22"/>
        </w:rPr>
        <w:t xml:space="preserve">of the DPQQ </w:t>
      </w:r>
      <w:r w:rsidR="00863735" w:rsidRPr="005C1C73">
        <w:rPr>
          <w:rFonts w:cs="Arial"/>
          <w:szCs w:val="22"/>
        </w:rPr>
        <w:t xml:space="preserve">will be carried out using the </w:t>
      </w:r>
      <w:r w:rsidR="00440E85">
        <w:rPr>
          <w:rFonts w:cs="Arial"/>
          <w:szCs w:val="22"/>
        </w:rPr>
        <w:t>scoring</w:t>
      </w:r>
      <w:r w:rsidR="00B7592A">
        <w:rPr>
          <w:rFonts w:cs="Arial"/>
          <w:szCs w:val="22"/>
        </w:rPr>
        <w:t xml:space="preserve"> </w:t>
      </w:r>
      <w:r w:rsidR="00863735" w:rsidRPr="005C1C73">
        <w:rPr>
          <w:rFonts w:cs="Arial"/>
          <w:szCs w:val="22"/>
        </w:rPr>
        <w:t>criteria within the table below:</w:t>
      </w:r>
    </w:p>
    <w:tbl>
      <w:tblPr>
        <w:tblW w:w="992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80"/>
        <w:gridCol w:w="9043"/>
      </w:tblGrid>
      <w:tr w:rsidR="00863735" w:rsidRPr="005C1C73" w14:paraId="195DD3CB" w14:textId="77777777" w:rsidTr="0F632A09">
        <w:trPr>
          <w:trHeight w:val="494"/>
        </w:trPr>
        <w:tc>
          <w:tcPr>
            <w:tcW w:w="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33F7173E" w14:textId="77777777" w:rsidR="00863735" w:rsidRPr="005C1C73" w:rsidRDefault="00863735">
            <w:pPr>
              <w:rPr>
                <w:rFonts w:ascii="Arial" w:hAnsi="Arial" w:cs="Arial"/>
                <w:szCs w:val="24"/>
              </w:rPr>
            </w:pPr>
            <w:r w:rsidRPr="005C1C73">
              <w:rPr>
                <w:rFonts w:ascii="Arial" w:hAnsi="Arial" w:cs="Arial"/>
              </w:rPr>
              <w:t>Score</w:t>
            </w:r>
          </w:p>
        </w:tc>
        <w:tc>
          <w:tcPr>
            <w:tcW w:w="9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94363F1" w14:textId="4D5F9417" w:rsidR="00863735" w:rsidRPr="005C1C73" w:rsidRDefault="00C73312">
            <w:pPr>
              <w:rPr>
                <w:rFonts w:ascii="Arial" w:hAnsi="Arial" w:cs="Arial"/>
              </w:rPr>
            </w:pPr>
            <w:r>
              <w:rPr>
                <w:rFonts w:ascii="Arial" w:hAnsi="Arial" w:cs="Arial"/>
              </w:rPr>
              <w:t>Scoring</w:t>
            </w:r>
            <w:r w:rsidR="00863735" w:rsidRPr="0F632A09">
              <w:rPr>
                <w:rFonts w:ascii="Arial" w:hAnsi="Arial" w:cs="Arial"/>
              </w:rPr>
              <w:t xml:space="preserve"> Criteria</w:t>
            </w:r>
          </w:p>
        </w:tc>
      </w:tr>
      <w:tr w:rsidR="00863735" w:rsidRPr="005C1C73" w14:paraId="5DD43E74" w14:textId="77777777" w:rsidTr="0F632A09">
        <w:tc>
          <w:tcPr>
            <w:tcW w:w="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hideMark/>
          </w:tcPr>
          <w:p w14:paraId="3F92D1E9" w14:textId="77777777" w:rsidR="00863735" w:rsidRPr="005C1C73" w:rsidRDefault="00863735">
            <w:pPr>
              <w:jc w:val="center"/>
              <w:rPr>
                <w:rFonts w:ascii="Arial" w:hAnsi="Arial" w:cs="Arial"/>
              </w:rPr>
            </w:pPr>
            <w:r w:rsidRPr="005C1C73">
              <w:rPr>
                <w:rFonts w:ascii="Arial" w:hAnsi="Arial" w:cs="Arial"/>
              </w:rPr>
              <w:t>0</w:t>
            </w:r>
          </w:p>
        </w:tc>
        <w:tc>
          <w:tcPr>
            <w:tcW w:w="9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8BB633" w14:textId="00C2949A" w:rsidR="00863735" w:rsidRPr="005C1C73" w:rsidRDefault="00B40753">
            <w:pPr>
              <w:rPr>
                <w:rFonts w:ascii="Arial" w:hAnsi="Arial" w:cs="Arial"/>
                <w:b/>
              </w:rPr>
            </w:pPr>
            <w:r>
              <w:rPr>
                <w:rFonts w:ascii="Arial" w:hAnsi="Arial" w:cs="Arial"/>
                <w:b/>
              </w:rPr>
              <w:t>Unacceptable</w:t>
            </w:r>
          </w:p>
          <w:p w14:paraId="257E111E" w14:textId="7DC5CF4D" w:rsidR="000C7D6E" w:rsidRPr="000C7D6E" w:rsidRDefault="000C7D6E" w:rsidP="000C7D6E">
            <w:pPr>
              <w:rPr>
                <w:rFonts w:ascii="Arial" w:hAnsi="Arial" w:cs="Arial"/>
              </w:rPr>
            </w:pPr>
            <w:r w:rsidRPr="000C7D6E">
              <w:rPr>
                <w:rFonts w:ascii="Arial" w:hAnsi="Arial" w:cs="Arial"/>
              </w:rPr>
              <w:t>Failure to respond or does not satisfy the question.</w:t>
            </w:r>
          </w:p>
          <w:p w14:paraId="44C31EC9" w14:textId="77777777" w:rsidR="00863735" w:rsidRDefault="00520294" w:rsidP="000C7D6E">
            <w:pPr>
              <w:rPr>
                <w:rFonts w:ascii="Arial" w:hAnsi="Arial" w:cs="Arial"/>
              </w:rPr>
            </w:pPr>
            <w:r w:rsidRPr="00520294">
              <w:rPr>
                <w:rFonts w:ascii="Arial" w:hAnsi="Arial" w:cs="Arial"/>
              </w:rPr>
              <w:t xml:space="preserve">Unsatisfactory information provided with anecdotal, </w:t>
            </w:r>
            <w:proofErr w:type="gramStart"/>
            <w:r w:rsidRPr="00520294">
              <w:rPr>
                <w:rFonts w:ascii="Arial" w:hAnsi="Arial" w:cs="Arial"/>
              </w:rPr>
              <w:t>misleading</w:t>
            </w:r>
            <w:proofErr w:type="gramEnd"/>
            <w:r w:rsidRPr="00520294">
              <w:rPr>
                <w:rFonts w:ascii="Arial" w:hAnsi="Arial" w:cs="Arial"/>
              </w:rPr>
              <w:t xml:space="preserve"> or irrelevant evidence to demonstrate the potential provider has the requisite ability, experience, skills, resources and quality measures necessary.</w:t>
            </w:r>
          </w:p>
          <w:p w14:paraId="0DC51C1D" w14:textId="71938E33" w:rsidR="00520294" w:rsidRPr="005C1C73" w:rsidRDefault="00520294" w:rsidP="000C7D6E">
            <w:pPr>
              <w:rPr>
                <w:rFonts w:ascii="Arial" w:hAnsi="Arial" w:cs="Arial"/>
              </w:rPr>
            </w:pPr>
          </w:p>
        </w:tc>
      </w:tr>
      <w:tr w:rsidR="00863735" w:rsidRPr="005C1C73" w14:paraId="0504B8EE" w14:textId="77777777" w:rsidTr="0F632A09">
        <w:tc>
          <w:tcPr>
            <w:tcW w:w="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hideMark/>
          </w:tcPr>
          <w:p w14:paraId="326CD1A4" w14:textId="449F38B3" w:rsidR="00863735" w:rsidRPr="005C1C73" w:rsidRDefault="00B40753">
            <w:pPr>
              <w:jc w:val="center"/>
              <w:rPr>
                <w:rFonts w:ascii="Arial" w:hAnsi="Arial" w:cs="Arial"/>
              </w:rPr>
            </w:pPr>
            <w:r>
              <w:rPr>
                <w:rFonts w:ascii="Arial" w:hAnsi="Arial" w:cs="Arial"/>
              </w:rPr>
              <w:t>3</w:t>
            </w:r>
          </w:p>
        </w:tc>
        <w:tc>
          <w:tcPr>
            <w:tcW w:w="9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B18963" w14:textId="133BF4D8" w:rsidR="000C7D6E" w:rsidRPr="000C7D6E" w:rsidRDefault="00B40753" w:rsidP="000C7D6E">
            <w:pPr>
              <w:rPr>
                <w:rFonts w:ascii="Arial" w:hAnsi="Arial" w:cs="Arial"/>
              </w:rPr>
            </w:pPr>
            <w:r>
              <w:rPr>
                <w:rFonts w:ascii="Arial" w:hAnsi="Arial" w:cs="Arial"/>
                <w:b/>
              </w:rPr>
              <w:t>Acceptable</w:t>
            </w:r>
          </w:p>
          <w:p w14:paraId="44DBC7A6" w14:textId="77777777" w:rsidR="00863735" w:rsidRDefault="00520294" w:rsidP="000C7D6E">
            <w:pPr>
              <w:rPr>
                <w:rFonts w:ascii="Arial" w:hAnsi="Arial" w:cs="Arial"/>
              </w:rPr>
            </w:pPr>
            <w:r w:rsidRPr="00520294">
              <w:rPr>
                <w:rFonts w:ascii="Arial" w:hAnsi="Arial" w:cs="Arial"/>
              </w:rPr>
              <w:t xml:space="preserve">Basic information provided with relevant supporting evidence to demonstrate that the potential provider has the requisite ability, experience, skills, </w:t>
            </w:r>
            <w:proofErr w:type="gramStart"/>
            <w:r w:rsidRPr="00520294">
              <w:rPr>
                <w:rFonts w:ascii="Arial" w:hAnsi="Arial" w:cs="Arial"/>
              </w:rPr>
              <w:t>resources</w:t>
            </w:r>
            <w:proofErr w:type="gramEnd"/>
            <w:r w:rsidRPr="00520294">
              <w:rPr>
                <w:rFonts w:ascii="Arial" w:hAnsi="Arial" w:cs="Arial"/>
              </w:rPr>
              <w:t xml:space="preserve"> and quality measures necessary.</w:t>
            </w:r>
          </w:p>
          <w:p w14:paraId="3D65CA0A" w14:textId="0C80D0ED" w:rsidR="00520294" w:rsidRPr="005C1C73" w:rsidRDefault="00520294" w:rsidP="000C7D6E">
            <w:pPr>
              <w:rPr>
                <w:rFonts w:ascii="Arial" w:hAnsi="Arial" w:cs="Arial"/>
              </w:rPr>
            </w:pPr>
          </w:p>
        </w:tc>
      </w:tr>
      <w:tr w:rsidR="00863735" w:rsidRPr="005C1C73" w14:paraId="2BED3E8C" w14:textId="77777777" w:rsidTr="0F632A09">
        <w:tc>
          <w:tcPr>
            <w:tcW w:w="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hideMark/>
          </w:tcPr>
          <w:p w14:paraId="21372707" w14:textId="11804A11" w:rsidR="00863735" w:rsidRPr="005C1C73" w:rsidRDefault="00B40753">
            <w:pPr>
              <w:jc w:val="center"/>
              <w:rPr>
                <w:rFonts w:ascii="Arial" w:hAnsi="Arial" w:cs="Arial"/>
              </w:rPr>
            </w:pPr>
            <w:r>
              <w:rPr>
                <w:rFonts w:ascii="Arial" w:hAnsi="Arial" w:cs="Arial"/>
              </w:rPr>
              <w:t>7</w:t>
            </w:r>
          </w:p>
        </w:tc>
        <w:tc>
          <w:tcPr>
            <w:tcW w:w="9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E10398" w14:textId="70FDE3DE" w:rsidR="00863735" w:rsidRPr="005C1C73" w:rsidRDefault="00B40753">
            <w:pPr>
              <w:rPr>
                <w:rFonts w:ascii="Arial" w:hAnsi="Arial" w:cs="Arial"/>
                <w:b/>
              </w:rPr>
            </w:pPr>
            <w:r>
              <w:rPr>
                <w:rFonts w:ascii="Arial" w:hAnsi="Arial" w:cs="Arial"/>
                <w:b/>
              </w:rPr>
              <w:t>Good</w:t>
            </w:r>
          </w:p>
          <w:p w14:paraId="1D8A5A36" w14:textId="77777777" w:rsidR="00863735" w:rsidRDefault="00C73312" w:rsidP="006A27C4">
            <w:pPr>
              <w:rPr>
                <w:rFonts w:ascii="Arial" w:hAnsi="Arial" w:cs="Arial"/>
              </w:rPr>
            </w:pPr>
            <w:r w:rsidRPr="00C73312">
              <w:rPr>
                <w:rFonts w:ascii="Arial" w:hAnsi="Arial" w:cs="Arial"/>
              </w:rPr>
              <w:t xml:space="preserve">Information provided with multiple robust, </w:t>
            </w:r>
            <w:proofErr w:type="gramStart"/>
            <w:r w:rsidRPr="00C73312">
              <w:rPr>
                <w:rFonts w:ascii="Arial" w:hAnsi="Arial" w:cs="Arial"/>
              </w:rPr>
              <w:t>relevant</w:t>
            </w:r>
            <w:proofErr w:type="gramEnd"/>
            <w:r w:rsidRPr="00C73312">
              <w:rPr>
                <w:rFonts w:ascii="Arial" w:hAnsi="Arial" w:cs="Arial"/>
              </w:rPr>
              <w:t xml:space="preserve"> and substantiated supporting evidence to demonstrate that the potential provider has the requisite ability, experience, skills, resources and quality measures necessary.</w:t>
            </w:r>
          </w:p>
          <w:p w14:paraId="5E98EDF2" w14:textId="7C81E064" w:rsidR="00C73312" w:rsidRPr="005C1C73" w:rsidRDefault="00C73312" w:rsidP="006A27C4">
            <w:pPr>
              <w:rPr>
                <w:rFonts w:ascii="Arial" w:hAnsi="Arial" w:cs="Arial"/>
              </w:rPr>
            </w:pPr>
          </w:p>
        </w:tc>
      </w:tr>
      <w:tr w:rsidR="00863735" w:rsidRPr="005C1C73" w14:paraId="5ED03AB5" w14:textId="77777777" w:rsidTr="0F632A09">
        <w:tc>
          <w:tcPr>
            <w:tcW w:w="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hideMark/>
          </w:tcPr>
          <w:p w14:paraId="47854E56" w14:textId="2ECE48AE" w:rsidR="00863735" w:rsidRPr="005C1C73" w:rsidRDefault="00B40753">
            <w:pPr>
              <w:jc w:val="center"/>
              <w:rPr>
                <w:rFonts w:ascii="Arial" w:hAnsi="Arial" w:cs="Arial"/>
              </w:rPr>
            </w:pPr>
            <w:r>
              <w:rPr>
                <w:rFonts w:ascii="Arial" w:hAnsi="Arial" w:cs="Arial"/>
              </w:rPr>
              <w:t>10</w:t>
            </w:r>
          </w:p>
        </w:tc>
        <w:tc>
          <w:tcPr>
            <w:tcW w:w="9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1B0C09" w14:textId="1CBA3B3A" w:rsidR="00863735" w:rsidRPr="005C1C73" w:rsidRDefault="00B40753">
            <w:pPr>
              <w:rPr>
                <w:rFonts w:ascii="Arial" w:hAnsi="Arial" w:cs="Arial"/>
                <w:b/>
              </w:rPr>
            </w:pPr>
            <w:r>
              <w:rPr>
                <w:rFonts w:ascii="Arial" w:hAnsi="Arial" w:cs="Arial"/>
                <w:b/>
              </w:rPr>
              <w:t>Excellent</w:t>
            </w:r>
          </w:p>
          <w:p w14:paraId="1F618DCF" w14:textId="77777777" w:rsidR="00C73312" w:rsidRPr="00C73312" w:rsidRDefault="00C73312" w:rsidP="00C73312">
            <w:pPr>
              <w:rPr>
                <w:rFonts w:ascii="Arial" w:hAnsi="Arial" w:cs="Arial"/>
              </w:rPr>
            </w:pPr>
            <w:r w:rsidRPr="00C73312">
              <w:rPr>
                <w:rFonts w:ascii="Arial" w:hAnsi="Arial" w:cs="Arial"/>
              </w:rPr>
              <w:t>Consistently and reliably exceeds the expectation of the question across multiple examples with comprehensive added value.</w:t>
            </w:r>
          </w:p>
          <w:p w14:paraId="7C89EEE6" w14:textId="77777777" w:rsidR="00C73312" w:rsidRPr="00C73312" w:rsidRDefault="00C73312" w:rsidP="00C73312">
            <w:pPr>
              <w:rPr>
                <w:rFonts w:ascii="Arial" w:hAnsi="Arial" w:cs="Arial"/>
              </w:rPr>
            </w:pPr>
          </w:p>
          <w:p w14:paraId="702F39FB" w14:textId="529EF04E" w:rsidR="00863735" w:rsidRPr="005C1C73" w:rsidRDefault="00C73312" w:rsidP="00C73312">
            <w:pPr>
              <w:rPr>
                <w:rFonts w:ascii="Arial" w:hAnsi="Arial" w:cs="Arial"/>
              </w:rPr>
            </w:pPr>
            <w:r w:rsidRPr="00C73312">
              <w:rPr>
                <w:rFonts w:ascii="Arial" w:hAnsi="Arial" w:cs="Arial"/>
              </w:rPr>
              <w:t xml:space="preserve">Information provided with multiple robust, </w:t>
            </w:r>
            <w:proofErr w:type="gramStart"/>
            <w:r w:rsidRPr="00C73312">
              <w:rPr>
                <w:rFonts w:ascii="Arial" w:hAnsi="Arial" w:cs="Arial"/>
              </w:rPr>
              <w:t>relevant</w:t>
            </w:r>
            <w:proofErr w:type="gramEnd"/>
            <w:r w:rsidRPr="00C73312">
              <w:rPr>
                <w:rFonts w:ascii="Arial" w:hAnsi="Arial" w:cs="Arial"/>
              </w:rPr>
              <w:t xml:space="preserve"> and substantiated supporting evidence to demonstrate that the potential provider exceeds the requisite ability, experience, skills, resources and quality measures necessary.</w:t>
            </w:r>
          </w:p>
        </w:tc>
      </w:tr>
    </w:tbl>
    <w:p w14:paraId="3B50B011" w14:textId="77777777" w:rsidR="00863735" w:rsidRPr="005C1C73" w:rsidRDefault="00863735" w:rsidP="00863735">
      <w:pPr>
        <w:rPr>
          <w:rFonts w:ascii="Arial" w:eastAsia="Times New Roman" w:hAnsi="Arial" w:cs="Arial"/>
        </w:rPr>
      </w:pPr>
    </w:p>
    <w:p w14:paraId="217F4A7A" w14:textId="751D7B85" w:rsidR="00863735" w:rsidRDefault="00B12920" w:rsidP="000F2C6E">
      <w:pPr>
        <w:rPr>
          <w:rFonts w:ascii="Arial" w:hAnsi="Arial" w:cs="Arial"/>
        </w:rPr>
      </w:pPr>
      <w:r>
        <w:rPr>
          <w:rFonts w:ascii="Arial" w:hAnsi="Arial" w:cs="Arial"/>
        </w:rPr>
        <w:lastRenderedPageBreak/>
        <w:t>3.7</w:t>
      </w:r>
      <w:r>
        <w:rPr>
          <w:rFonts w:ascii="Arial" w:hAnsi="Arial" w:cs="Arial"/>
        </w:rPr>
        <w:tab/>
      </w:r>
      <w:r w:rsidR="00863735" w:rsidRPr="22DB5FCB">
        <w:rPr>
          <w:rFonts w:ascii="Arial" w:hAnsi="Arial" w:cs="Arial"/>
        </w:rPr>
        <w:t xml:space="preserve">An Overall Score out of </w:t>
      </w:r>
      <w:r w:rsidR="00863735" w:rsidRPr="00C07131">
        <w:rPr>
          <w:rFonts w:ascii="Arial" w:hAnsi="Arial" w:cs="Arial"/>
        </w:rPr>
        <w:t>100</w:t>
      </w:r>
      <w:r w:rsidR="00863735" w:rsidRPr="22DB5FCB">
        <w:rPr>
          <w:rFonts w:ascii="Arial" w:hAnsi="Arial" w:cs="Arial"/>
        </w:rPr>
        <w:t xml:space="preserve"> will then be calculated using the below equation. The weightings of the sub-sections </w:t>
      </w:r>
      <w:r w:rsidR="00863735" w:rsidRPr="00C07131">
        <w:rPr>
          <w:rFonts w:ascii="Arial" w:hAnsi="Arial" w:cs="Arial"/>
        </w:rPr>
        <w:t>are</w:t>
      </w:r>
      <w:r w:rsidR="00863735" w:rsidRPr="22DB5FCB">
        <w:rPr>
          <w:rFonts w:ascii="Arial" w:hAnsi="Arial" w:cs="Arial"/>
        </w:rPr>
        <w:t xml:space="preserve"> driven directly by the requirements of the Project. The maximum ‘total actual score’ available is </w:t>
      </w:r>
      <w:r w:rsidR="00FF3369">
        <w:rPr>
          <w:rFonts w:ascii="Arial" w:hAnsi="Arial" w:cs="Arial"/>
        </w:rPr>
        <w:t>1000</w:t>
      </w:r>
      <w:r w:rsidR="00863735" w:rsidRPr="22DB5FCB">
        <w:rPr>
          <w:rFonts w:ascii="Arial" w:hAnsi="Arial" w:cs="Arial"/>
        </w:rPr>
        <w:t xml:space="preserve"> which will equate to a maximum ‘overall score’ of 100%</w:t>
      </w:r>
    </w:p>
    <w:p w14:paraId="04AD3D3D" w14:textId="1BEE793C" w:rsidR="00863735" w:rsidRDefault="00863735" w:rsidP="0F632A09">
      <w:pPr>
        <w:ind w:left="567"/>
        <w:rPr>
          <w:rFonts w:ascii="Arial" w:hAnsi="Arial" w:cs="Arial"/>
        </w:rPr>
      </w:pPr>
    </w:p>
    <w:p w14:paraId="646B6D04" w14:textId="340241AF" w:rsidR="00863735" w:rsidRDefault="0F632A09" w:rsidP="0F632A09">
      <w:pPr>
        <w:ind w:left="567"/>
        <w:rPr>
          <w:rFonts w:ascii="Arial" w:hAnsi="Arial" w:cs="Arial"/>
        </w:rPr>
      </w:pPr>
      <w:r w:rsidRPr="27EBD462">
        <w:rPr>
          <w:rFonts w:ascii="Arial" w:hAnsi="Arial" w:cs="Arial"/>
        </w:rPr>
        <w:t xml:space="preserve">Per Technical Question:  Score = Weighting (W) </w:t>
      </w:r>
      <w:proofErr w:type="gramStart"/>
      <w:r w:rsidRPr="27EBD462">
        <w:rPr>
          <w:rFonts w:ascii="Arial" w:hAnsi="Arial" w:cs="Arial"/>
        </w:rPr>
        <w:t>X  Score</w:t>
      </w:r>
      <w:proofErr w:type="gramEnd"/>
      <w:r w:rsidRPr="27EBD462">
        <w:rPr>
          <w:rFonts w:ascii="Arial" w:hAnsi="Arial" w:cs="Arial"/>
        </w:rPr>
        <w:t xml:space="preserve"> (S)</w:t>
      </w:r>
    </w:p>
    <w:p w14:paraId="2B58FD0B" w14:textId="3E15F6E2" w:rsidR="00863735" w:rsidRDefault="0F632A09" w:rsidP="0F632A09">
      <w:pPr>
        <w:ind w:left="567"/>
        <w:rPr>
          <w:rFonts w:ascii="Arial" w:hAnsi="Arial" w:cs="Arial"/>
        </w:rPr>
      </w:pPr>
      <w:r w:rsidRPr="27EBD462">
        <w:rPr>
          <w:rFonts w:ascii="Arial" w:hAnsi="Arial" w:cs="Arial"/>
        </w:rPr>
        <w:t>Total Score: Overall Score = Total Actual Score (TAS) / Total Max Score (TMS) x 100</w:t>
      </w:r>
    </w:p>
    <w:p w14:paraId="436A3E2B" w14:textId="2F77680D" w:rsidR="0F632A09" w:rsidRDefault="0F632A09" w:rsidP="000F2C6E">
      <w:pPr>
        <w:rPr>
          <w:rFonts w:ascii="Arial" w:hAnsi="Arial" w:cs="Arial"/>
        </w:rPr>
      </w:pPr>
    </w:p>
    <w:p w14:paraId="1240CA75" w14:textId="7AE6F538" w:rsidR="00863735" w:rsidRDefault="00863735" w:rsidP="000F2C6E">
      <w:pPr>
        <w:ind w:left="567" w:hanging="567"/>
        <w:rPr>
          <w:rFonts w:ascii="Arial" w:hAnsi="Arial" w:cs="Arial"/>
        </w:rPr>
      </w:pPr>
      <w:r>
        <w:rPr>
          <w:rFonts w:ascii="Arial" w:hAnsi="Arial" w:cs="Arial"/>
          <w:b/>
        </w:rPr>
        <w:t>4.</w:t>
      </w:r>
      <w:r>
        <w:rPr>
          <w:rFonts w:ascii="Arial" w:hAnsi="Arial" w:cs="Arial"/>
          <w:b/>
        </w:rPr>
        <w:tab/>
      </w:r>
      <w:r>
        <w:rPr>
          <w:rFonts w:ascii="Arial" w:hAnsi="Arial" w:cs="Arial"/>
          <w:b/>
          <w:u w:val="single"/>
        </w:rPr>
        <w:t>DOWN SELECTION PROCESS</w:t>
      </w:r>
    </w:p>
    <w:p w14:paraId="509D471D" w14:textId="26D87764" w:rsidR="00863735" w:rsidRPr="00253F84" w:rsidRDefault="00863735" w:rsidP="00EB0DF8">
      <w:pPr>
        <w:numPr>
          <w:ilvl w:val="1"/>
          <w:numId w:val="5"/>
        </w:numPr>
        <w:spacing w:after="0" w:line="240" w:lineRule="auto"/>
        <w:ind w:left="567" w:hanging="567"/>
        <w:rPr>
          <w:rFonts w:ascii="Arial" w:hAnsi="Arial" w:cs="Arial"/>
        </w:rPr>
      </w:pPr>
      <w:r w:rsidRPr="00253F84">
        <w:rPr>
          <w:rFonts w:ascii="Arial" w:hAnsi="Arial" w:cs="Arial"/>
        </w:rPr>
        <w:t xml:space="preserve">The </w:t>
      </w:r>
      <w:r w:rsidR="006762D1" w:rsidRPr="00253F84">
        <w:rPr>
          <w:rFonts w:ascii="Arial" w:hAnsi="Arial" w:cs="Arial"/>
        </w:rPr>
        <w:t>10</w:t>
      </w:r>
      <w:r w:rsidRPr="00253F84">
        <w:rPr>
          <w:rFonts w:ascii="Arial" w:hAnsi="Arial" w:cs="Arial"/>
        </w:rPr>
        <w:t xml:space="preserve"> highest scoring compliant </w:t>
      </w:r>
      <w:r w:rsidR="00D9134E" w:rsidRPr="00253F84">
        <w:rPr>
          <w:rFonts w:ascii="Arial" w:hAnsi="Arial" w:cs="Arial"/>
        </w:rPr>
        <w:t>D</w:t>
      </w:r>
      <w:r w:rsidRPr="00253F84">
        <w:rPr>
          <w:rFonts w:ascii="Arial" w:hAnsi="Arial" w:cs="Arial"/>
        </w:rPr>
        <w:t xml:space="preserve">PQQ responses will be invited to </w:t>
      </w:r>
      <w:r w:rsidR="00873AC0">
        <w:rPr>
          <w:rFonts w:ascii="Arial" w:hAnsi="Arial" w:cs="Arial"/>
        </w:rPr>
        <w:t>the ITT stage.</w:t>
      </w:r>
      <w:r w:rsidRPr="00253F84">
        <w:rPr>
          <w:rFonts w:ascii="Arial" w:hAnsi="Arial" w:cs="Arial"/>
        </w:rPr>
        <w:t xml:space="preserve"> </w:t>
      </w:r>
    </w:p>
    <w:p w14:paraId="72DA58EC" w14:textId="77777777" w:rsidR="000F2C6E" w:rsidRPr="000F2C6E" w:rsidRDefault="000F2C6E" w:rsidP="000F2C6E">
      <w:pPr>
        <w:spacing w:after="0" w:line="240" w:lineRule="auto"/>
        <w:ind w:left="567"/>
        <w:rPr>
          <w:rFonts w:ascii="Arial" w:hAnsi="Arial" w:cs="Arial"/>
        </w:rPr>
      </w:pPr>
    </w:p>
    <w:p w14:paraId="51FFD388" w14:textId="3C852AF9" w:rsidR="00863735" w:rsidRDefault="00863735" w:rsidP="00863735">
      <w:pPr>
        <w:numPr>
          <w:ilvl w:val="1"/>
          <w:numId w:val="5"/>
        </w:numPr>
        <w:spacing w:after="0" w:line="240" w:lineRule="auto"/>
        <w:ind w:left="567" w:hanging="567"/>
        <w:rPr>
          <w:rFonts w:ascii="Arial" w:hAnsi="Arial" w:cs="Arial"/>
        </w:rPr>
      </w:pPr>
      <w:r>
        <w:rPr>
          <w:rFonts w:ascii="Arial" w:hAnsi="Arial" w:cs="Arial"/>
        </w:rPr>
        <w:t>The Authority reserve</w:t>
      </w:r>
      <w:r w:rsidR="005F3213">
        <w:rPr>
          <w:rFonts w:ascii="Arial" w:hAnsi="Arial" w:cs="Arial"/>
        </w:rPr>
        <w:t>s</w:t>
      </w:r>
      <w:r>
        <w:rPr>
          <w:rFonts w:ascii="Arial" w:hAnsi="Arial" w:cs="Arial"/>
        </w:rPr>
        <w:t xml:space="preserve"> the right to seek independent financial and market advice to validate information declared, or to assist in any pre-qualification evaluation</w:t>
      </w:r>
      <w:r w:rsidR="00B21DC0">
        <w:rPr>
          <w:rFonts w:ascii="Arial" w:hAnsi="Arial" w:cs="Arial"/>
        </w:rPr>
        <w:t>.</w:t>
      </w:r>
    </w:p>
    <w:p w14:paraId="76E06FB1" w14:textId="1B29DF80" w:rsidR="00DE7044" w:rsidRDefault="00DE7044" w:rsidP="00DE7044">
      <w:pPr>
        <w:spacing w:after="0" w:line="240" w:lineRule="auto"/>
        <w:rPr>
          <w:rFonts w:ascii="Arial" w:hAnsi="Arial" w:cs="Arial"/>
        </w:rPr>
      </w:pPr>
    </w:p>
    <w:p w14:paraId="306FF144" w14:textId="77777777" w:rsidR="00DE7044" w:rsidRPr="00D31DD7" w:rsidRDefault="00DE7044" w:rsidP="00DE7044">
      <w:pPr>
        <w:spacing w:after="0" w:line="240" w:lineRule="auto"/>
        <w:rPr>
          <w:rFonts w:ascii="Arial" w:hAnsi="Arial" w:cs="Arial"/>
        </w:rPr>
      </w:pPr>
    </w:p>
    <w:p w14:paraId="5E62E311" w14:textId="77777777" w:rsidR="00863735" w:rsidRPr="008C7402" w:rsidRDefault="00863735" w:rsidP="00863735">
      <w:pPr>
        <w:overflowPunct w:val="0"/>
        <w:autoSpaceDE w:val="0"/>
        <w:autoSpaceDN w:val="0"/>
        <w:adjustRightInd w:val="0"/>
        <w:ind w:left="550" w:hanging="550"/>
        <w:contextualSpacing/>
        <w:jc w:val="both"/>
        <w:textAlignment w:val="baseline"/>
        <w:rPr>
          <w:rFonts w:ascii="Arial" w:hAnsi="Arial" w:cs="Arial"/>
          <w:b/>
          <w:kern w:val="22"/>
          <w:sz w:val="24"/>
          <w:u w:val="single"/>
        </w:rPr>
      </w:pPr>
      <w:r w:rsidRPr="008C7402">
        <w:rPr>
          <w:rFonts w:ascii="Arial" w:hAnsi="Arial" w:cs="Arial"/>
          <w:b/>
          <w:kern w:val="22"/>
        </w:rPr>
        <w:t xml:space="preserve">5. </w:t>
      </w:r>
      <w:r w:rsidRPr="008C7402">
        <w:rPr>
          <w:rFonts w:ascii="Arial" w:hAnsi="Arial" w:cs="Arial"/>
          <w:b/>
          <w:kern w:val="22"/>
        </w:rPr>
        <w:tab/>
      </w:r>
      <w:r w:rsidRPr="008C7402">
        <w:rPr>
          <w:rFonts w:ascii="Arial" w:hAnsi="Arial" w:cs="Arial"/>
          <w:b/>
          <w:kern w:val="22"/>
          <w:u w:val="single"/>
        </w:rPr>
        <w:t>CLARIFICATION QUESTIONS</w:t>
      </w:r>
    </w:p>
    <w:p w14:paraId="12ADFB24" w14:textId="77777777" w:rsidR="00863735" w:rsidRPr="008C7402" w:rsidRDefault="00863735" w:rsidP="00863735">
      <w:pPr>
        <w:overflowPunct w:val="0"/>
        <w:autoSpaceDE w:val="0"/>
        <w:autoSpaceDN w:val="0"/>
        <w:adjustRightInd w:val="0"/>
        <w:ind w:left="550" w:hanging="550"/>
        <w:contextualSpacing/>
        <w:jc w:val="both"/>
        <w:textAlignment w:val="baseline"/>
        <w:rPr>
          <w:rFonts w:ascii="Arial" w:hAnsi="Arial" w:cs="Arial"/>
          <w:b/>
          <w:kern w:val="22"/>
          <w:u w:val="single"/>
        </w:rPr>
      </w:pPr>
    </w:p>
    <w:p w14:paraId="01115111" w14:textId="41AD9E25" w:rsidR="00863735" w:rsidRDefault="00863735" w:rsidP="00863735">
      <w:pPr>
        <w:overflowPunct w:val="0"/>
        <w:autoSpaceDE w:val="0"/>
        <w:autoSpaceDN w:val="0"/>
        <w:adjustRightInd w:val="0"/>
        <w:ind w:left="550" w:hanging="550"/>
        <w:contextualSpacing/>
        <w:jc w:val="both"/>
        <w:textAlignment w:val="baseline"/>
        <w:rPr>
          <w:rFonts w:ascii="Arial" w:hAnsi="Arial" w:cs="Arial"/>
          <w:kern w:val="22"/>
        </w:rPr>
      </w:pPr>
      <w:r w:rsidRPr="008C7402">
        <w:rPr>
          <w:rFonts w:ascii="Arial" w:hAnsi="Arial" w:cs="Arial"/>
          <w:kern w:val="22"/>
        </w:rPr>
        <w:t xml:space="preserve">5.1 </w:t>
      </w:r>
      <w:r w:rsidRPr="008C7402">
        <w:rPr>
          <w:rFonts w:ascii="Arial" w:hAnsi="Arial" w:cs="Arial"/>
          <w:kern w:val="22"/>
        </w:rPr>
        <w:tab/>
        <w:t>The Authority will not accept or respond to any clarification questions on the requirement at th</w:t>
      </w:r>
      <w:r w:rsidR="002E00BE" w:rsidRPr="008C7402">
        <w:rPr>
          <w:rFonts w:ascii="Arial" w:hAnsi="Arial" w:cs="Arial"/>
          <w:kern w:val="22"/>
        </w:rPr>
        <w:t>e DPQQ</w:t>
      </w:r>
      <w:r w:rsidRPr="008C7402">
        <w:rPr>
          <w:rFonts w:ascii="Arial" w:hAnsi="Arial" w:cs="Arial"/>
          <w:kern w:val="22"/>
        </w:rPr>
        <w:t xml:space="preserve"> stage.</w:t>
      </w:r>
      <w:r>
        <w:rPr>
          <w:rFonts w:ascii="Arial" w:hAnsi="Arial" w:cs="Arial"/>
          <w:kern w:val="22"/>
        </w:rPr>
        <w:t xml:space="preserve"> </w:t>
      </w:r>
    </w:p>
    <w:p w14:paraId="105F9E32" w14:textId="77777777" w:rsidR="00863735" w:rsidRDefault="00863735" w:rsidP="00863735">
      <w:pPr>
        <w:overflowPunct w:val="0"/>
        <w:autoSpaceDE w:val="0"/>
        <w:autoSpaceDN w:val="0"/>
        <w:adjustRightInd w:val="0"/>
        <w:ind w:left="550" w:hanging="550"/>
        <w:contextualSpacing/>
        <w:jc w:val="both"/>
        <w:textAlignment w:val="baseline"/>
        <w:rPr>
          <w:rFonts w:ascii="Arial" w:hAnsi="Arial" w:cs="Arial"/>
          <w:kern w:val="22"/>
        </w:rPr>
      </w:pPr>
    </w:p>
    <w:p w14:paraId="3F448D4D" w14:textId="77777777" w:rsidR="00863735" w:rsidRDefault="00863735" w:rsidP="22DB5FCB">
      <w:pPr>
        <w:overflowPunct w:val="0"/>
        <w:autoSpaceDE w:val="0"/>
        <w:autoSpaceDN w:val="0"/>
        <w:adjustRightInd w:val="0"/>
        <w:ind w:left="550" w:hanging="550"/>
        <w:contextualSpacing/>
        <w:jc w:val="both"/>
        <w:textAlignment w:val="baseline"/>
        <w:rPr>
          <w:rFonts w:ascii="Arial" w:hAnsi="Arial" w:cs="Arial"/>
          <w:b/>
          <w:bCs/>
          <w:kern w:val="22"/>
          <w:sz w:val="24"/>
          <w:szCs w:val="24"/>
          <w:u w:val="single"/>
        </w:rPr>
      </w:pPr>
      <w:r w:rsidRPr="22DB5FCB">
        <w:rPr>
          <w:rFonts w:ascii="Arial" w:hAnsi="Arial" w:cs="Arial"/>
          <w:b/>
          <w:bCs/>
          <w:kern w:val="22"/>
        </w:rPr>
        <w:t xml:space="preserve">6. </w:t>
      </w:r>
      <w:r>
        <w:rPr>
          <w:rFonts w:ascii="Arial" w:hAnsi="Arial" w:cs="Arial"/>
          <w:b/>
          <w:kern w:val="22"/>
        </w:rPr>
        <w:tab/>
      </w:r>
      <w:r w:rsidRPr="22DB5FCB">
        <w:rPr>
          <w:rFonts w:ascii="Arial" w:hAnsi="Arial" w:cs="Arial"/>
          <w:b/>
          <w:bCs/>
          <w:kern w:val="22"/>
          <w:u w:val="single"/>
        </w:rPr>
        <w:t>RESPONSE SUBMISSION – SECURITY CLASSIFICATION</w:t>
      </w:r>
    </w:p>
    <w:p w14:paraId="43ED9D99" w14:textId="77777777" w:rsidR="00863735" w:rsidRDefault="00863735" w:rsidP="00863735">
      <w:pPr>
        <w:overflowPunct w:val="0"/>
        <w:autoSpaceDE w:val="0"/>
        <w:autoSpaceDN w:val="0"/>
        <w:adjustRightInd w:val="0"/>
        <w:ind w:left="550" w:hanging="550"/>
        <w:contextualSpacing/>
        <w:jc w:val="both"/>
        <w:textAlignment w:val="baseline"/>
        <w:rPr>
          <w:rFonts w:ascii="Arial" w:hAnsi="Arial" w:cs="Arial"/>
          <w:b/>
          <w:kern w:val="22"/>
          <w:u w:val="single"/>
        </w:rPr>
      </w:pPr>
    </w:p>
    <w:p w14:paraId="0DC3D7D8" w14:textId="77777777" w:rsidR="00863735" w:rsidRPr="00310296" w:rsidRDefault="00863735" w:rsidP="00863735">
      <w:pPr>
        <w:overflowPunct w:val="0"/>
        <w:autoSpaceDE w:val="0"/>
        <w:autoSpaceDN w:val="0"/>
        <w:adjustRightInd w:val="0"/>
        <w:ind w:left="550" w:hanging="550"/>
        <w:contextualSpacing/>
        <w:jc w:val="both"/>
        <w:textAlignment w:val="baseline"/>
        <w:rPr>
          <w:rFonts w:ascii="Arial" w:hAnsi="Arial" w:cs="Arial"/>
          <w:kern w:val="22"/>
        </w:rPr>
      </w:pPr>
      <w:r w:rsidRPr="00310296">
        <w:rPr>
          <w:rFonts w:ascii="Arial" w:hAnsi="Arial" w:cs="Arial"/>
          <w:kern w:val="22"/>
        </w:rPr>
        <w:t xml:space="preserve">6.1 </w:t>
      </w:r>
      <w:r w:rsidRPr="00310296">
        <w:rPr>
          <w:rFonts w:ascii="Arial" w:hAnsi="Arial" w:cs="Arial"/>
          <w:kern w:val="22"/>
        </w:rPr>
        <w:tab/>
        <w:t xml:space="preserve">Please submit your response using only the Defence Sourcing Portal (DSP). Emailed responses will not be accepted </w:t>
      </w:r>
      <w:r w:rsidRPr="00310296">
        <w:rPr>
          <w:rFonts w:ascii="Arial" w:hAnsi="Arial" w:cs="Arial"/>
          <w:kern w:val="22"/>
        </w:rPr>
        <w:tab/>
      </w:r>
    </w:p>
    <w:p w14:paraId="2D3C241B" w14:textId="77777777" w:rsidR="00863735" w:rsidRPr="00310296" w:rsidRDefault="00863735" w:rsidP="00863735">
      <w:pPr>
        <w:overflowPunct w:val="0"/>
        <w:autoSpaceDE w:val="0"/>
        <w:autoSpaceDN w:val="0"/>
        <w:adjustRightInd w:val="0"/>
        <w:ind w:left="550" w:hanging="550"/>
        <w:contextualSpacing/>
        <w:jc w:val="both"/>
        <w:textAlignment w:val="baseline"/>
        <w:rPr>
          <w:rFonts w:ascii="Arial" w:hAnsi="Arial" w:cs="Arial"/>
          <w:kern w:val="22"/>
        </w:rPr>
      </w:pPr>
    </w:p>
    <w:p w14:paraId="355BB1C9" w14:textId="77777777" w:rsidR="00863735" w:rsidRDefault="00863735" w:rsidP="00863735">
      <w:pPr>
        <w:overflowPunct w:val="0"/>
        <w:autoSpaceDE w:val="0"/>
        <w:autoSpaceDN w:val="0"/>
        <w:adjustRightInd w:val="0"/>
        <w:ind w:left="550" w:hanging="550"/>
        <w:contextualSpacing/>
        <w:jc w:val="both"/>
        <w:textAlignment w:val="baseline"/>
        <w:rPr>
          <w:rFonts w:ascii="Arial" w:hAnsi="Arial" w:cs="Arial"/>
          <w:lang w:eastAsia="en-GB"/>
        </w:rPr>
      </w:pPr>
      <w:r w:rsidRPr="00310296">
        <w:rPr>
          <w:rFonts w:ascii="Arial" w:hAnsi="Arial" w:cs="Arial"/>
          <w:kern w:val="22"/>
        </w:rPr>
        <w:t xml:space="preserve">6.2 </w:t>
      </w:r>
      <w:r w:rsidRPr="00310296">
        <w:rPr>
          <w:rFonts w:ascii="Arial" w:hAnsi="Arial" w:cs="Arial"/>
          <w:kern w:val="22"/>
        </w:rPr>
        <w:tab/>
        <w:t>All response should contain information with a Security Classification no higher than Official Sensitive.</w:t>
      </w:r>
    </w:p>
    <w:p w14:paraId="19C0347A" w14:textId="77777777" w:rsidR="00863735" w:rsidRDefault="00863735" w:rsidP="00863735">
      <w:pPr>
        <w:overflowPunct w:val="0"/>
        <w:autoSpaceDE w:val="0"/>
        <w:autoSpaceDN w:val="0"/>
        <w:adjustRightInd w:val="0"/>
        <w:ind w:left="550" w:hanging="550"/>
        <w:contextualSpacing/>
        <w:jc w:val="both"/>
        <w:textAlignment w:val="baseline"/>
        <w:rPr>
          <w:rFonts w:ascii="Arial" w:hAnsi="Arial" w:cs="Arial"/>
          <w:kern w:val="22"/>
        </w:rPr>
      </w:pPr>
    </w:p>
    <w:p w14:paraId="7CB2DBF9" w14:textId="52B05516" w:rsidR="00863735" w:rsidRDefault="00863735" w:rsidP="00863735">
      <w:pPr>
        <w:overflowPunct w:val="0"/>
        <w:autoSpaceDE w:val="0"/>
        <w:autoSpaceDN w:val="0"/>
        <w:adjustRightInd w:val="0"/>
        <w:ind w:left="550" w:hanging="550"/>
        <w:contextualSpacing/>
        <w:jc w:val="both"/>
        <w:textAlignment w:val="baseline"/>
        <w:rPr>
          <w:rFonts w:ascii="Arial" w:hAnsi="Arial" w:cs="Arial"/>
          <w:b/>
          <w:kern w:val="22"/>
          <w:u w:val="single"/>
        </w:rPr>
      </w:pPr>
      <w:r>
        <w:rPr>
          <w:rFonts w:ascii="Arial" w:hAnsi="Arial" w:cs="Arial"/>
          <w:b/>
          <w:kern w:val="22"/>
        </w:rPr>
        <w:t xml:space="preserve">7. </w:t>
      </w:r>
      <w:r>
        <w:rPr>
          <w:rFonts w:ascii="Arial" w:hAnsi="Arial" w:cs="Arial"/>
          <w:b/>
          <w:kern w:val="22"/>
        </w:rPr>
        <w:tab/>
      </w:r>
      <w:r>
        <w:rPr>
          <w:rFonts w:ascii="Arial" w:hAnsi="Arial" w:cs="Arial"/>
          <w:b/>
          <w:kern w:val="22"/>
          <w:u w:val="single"/>
        </w:rPr>
        <w:t>FEEDBACK</w:t>
      </w:r>
    </w:p>
    <w:p w14:paraId="4A288DA5" w14:textId="57196CBD" w:rsidR="00863735" w:rsidRDefault="00863735" w:rsidP="008C7402">
      <w:pPr>
        <w:pStyle w:val="Level1"/>
        <w:tabs>
          <w:tab w:val="clear" w:pos="720"/>
          <w:tab w:val="left" w:pos="550"/>
        </w:tabs>
        <w:ind w:left="550" w:hanging="550"/>
        <w:rPr>
          <w:rFonts w:cs="Arial"/>
          <w:b/>
          <w:szCs w:val="22"/>
        </w:rPr>
      </w:pPr>
      <w:r>
        <w:rPr>
          <w:rFonts w:ascii="Arial" w:hAnsi="Arial" w:cs="Arial"/>
          <w:bCs/>
          <w:color w:val="auto"/>
          <w:kern w:val="22"/>
          <w:sz w:val="22"/>
          <w:szCs w:val="22"/>
        </w:rPr>
        <w:t xml:space="preserve">7.1 </w:t>
      </w:r>
      <w:r>
        <w:rPr>
          <w:rFonts w:ascii="Arial" w:hAnsi="Arial" w:cs="Arial"/>
          <w:bCs/>
          <w:color w:val="auto"/>
          <w:kern w:val="22"/>
          <w:sz w:val="22"/>
          <w:szCs w:val="22"/>
        </w:rPr>
        <w:tab/>
        <w:t>Potential Providers will be notified of their success or otherwise in the Selection process. Any company not being taken forward will be issued with a debrief letter</w:t>
      </w:r>
      <w:r w:rsidR="00D9134E">
        <w:rPr>
          <w:rFonts w:ascii="Arial" w:hAnsi="Arial" w:cs="Arial"/>
          <w:bCs/>
          <w:color w:val="auto"/>
          <w:kern w:val="22"/>
          <w:sz w:val="22"/>
          <w:szCs w:val="22"/>
        </w:rPr>
        <w:t xml:space="preserve"> either via Defence Sourcing Portal or directly from the MoD Commercial officer</w:t>
      </w:r>
      <w:r>
        <w:rPr>
          <w:rFonts w:ascii="Arial" w:hAnsi="Arial" w:cs="Arial"/>
          <w:bCs/>
          <w:color w:val="auto"/>
          <w:kern w:val="22"/>
          <w:sz w:val="22"/>
          <w:szCs w:val="22"/>
        </w:rPr>
        <w:t>.</w:t>
      </w:r>
    </w:p>
    <w:p w14:paraId="6A7010DC" w14:textId="50B2B583" w:rsidR="00863735" w:rsidRDefault="00863735" w:rsidP="00863735">
      <w:pPr>
        <w:pStyle w:val="ListParagraph"/>
        <w:tabs>
          <w:tab w:val="left" w:pos="550"/>
        </w:tabs>
        <w:ind w:left="550" w:hanging="550"/>
        <w:jc w:val="both"/>
        <w:rPr>
          <w:rFonts w:cs="Arial"/>
          <w:b/>
          <w:bCs/>
          <w:sz w:val="24"/>
          <w:szCs w:val="24"/>
          <w:u w:val="single"/>
        </w:rPr>
      </w:pPr>
      <w:r w:rsidRPr="22DB5FCB">
        <w:rPr>
          <w:rFonts w:cs="Arial"/>
          <w:b/>
          <w:bCs/>
          <w:sz w:val="24"/>
          <w:szCs w:val="24"/>
        </w:rPr>
        <w:t>8</w:t>
      </w:r>
      <w:r>
        <w:tab/>
      </w:r>
      <w:r w:rsidR="74E61660" w:rsidRPr="22DB5FCB">
        <w:rPr>
          <w:rFonts w:cs="Arial"/>
          <w:b/>
          <w:bCs/>
          <w:sz w:val="24"/>
          <w:szCs w:val="24"/>
          <w:u w:val="single"/>
        </w:rPr>
        <w:t>D</w:t>
      </w:r>
      <w:r w:rsidRPr="22DB5FCB">
        <w:rPr>
          <w:rFonts w:cs="Arial"/>
          <w:b/>
          <w:bCs/>
          <w:sz w:val="24"/>
          <w:szCs w:val="24"/>
          <w:u w:val="single"/>
        </w:rPr>
        <w:t>PQQ DOCUMENTS</w:t>
      </w:r>
    </w:p>
    <w:p w14:paraId="2219B73C" w14:textId="77777777" w:rsidR="000F2C6E" w:rsidRDefault="000F2C6E" w:rsidP="00863735">
      <w:pPr>
        <w:pStyle w:val="ListParagraph"/>
        <w:tabs>
          <w:tab w:val="left" w:pos="550"/>
        </w:tabs>
        <w:ind w:left="550" w:hanging="550"/>
        <w:jc w:val="both"/>
        <w:rPr>
          <w:rFonts w:cs="Arial"/>
          <w:b/>
          <w:szCs w:val="22"/>
          <w:u w:val="single"/>
        </w:rPr>
      </w:pPr>
    </w:p>
    <w:p w14:paraId="6843A7C1" w14:textId="0F9C9A01" w:rsidR="00863735" w:rsidRDefault="00863735" w:rsidP="00863735">
      <w:pPr>
        <w:pStyle w:val="ListParagraph"/>
        <w:tabs>
          <w:tab w:val="left" w:pos="550"/>
        </w:tabs>
        <w:ind w:left="550" w:hanging="550"/>
        <w:jc w:val="both"/>
        <w:rPr>
          <w:rFonts w:cs="Arial"/>
          <w:szCs w:val="22"/>
        </w:rPr>
      </w:pPr>
      <w:r>
        <w:rPr>
          <w:rFonts w:cs="Arial"/>
          <w:bCs/>
          <w:szCs w:val="22"/>
        </w:rPr>
        <w:t xml:space="preserve">8.1 </w:t>
      </w:r>
      <w:r>
        <w:rPr>
          <w:rFonts w:cs="Arial"/>
          <w:bCs/>
          <w:szCs w:val="22"/>
        </w:rPr>
        <w:tab/>
        <w:t xml:space="preserve">This document (the </w:t>
      </w:r>
      <w:r w:rsidR="00C96485">
        <w:rPr>
          <w:rFonts w:cs="Arial"/>
          <w:bCs/>
          <w:szCs w:val="22"/>
        </w:rPr>
        <w:t>D</w:t>
      </w:r>
      <w:r>
        <w:rPr>
          <w:rFonts w:cs="Arial"/>
          <w:bCs/>
          <w:szCs w:val="22"/>
        </w:rPr>
        <w:t xml:space="preserve">PQQ Guidance Document) and the </w:t>
      </w:r>
      <w:r w:rsidR="00C96485">
        <w:rPr>
          <w:rFonts w:cs="Arial"/>
          <w:bCs/>
          <w:szCs w:val="22"/>
        </w:rPr>
        <w:t>D</w:t>
      </w:r>
      <w:r>
        <w:rPr>
          <w:rFonts w:cs="Arial"/>
          <w:bCs/>
          <w:szCs w:val="22"/>
        </w:rPr>
        <w:t>PQQ itself (collectively referred to as the “</w:t>
      </w:r>
      <w:r w:rsidR="00C96485">
        <w:rPr>
          <w:rFonts w:cs="Arial"/>
          <w:bCs/>
          <w:szCs w:val="22"/>
        </w:rPr>
        <w:t>D</w:t>
      </w:r>
      <w:r>
        <w:rPr>
          <w:rFonts w:cs="Arial"/>
          <w:bCs/>
          <w:szCs w:val="22"/>
        </w:rPr>
        <w:t>PQQ Documents”) have been prepared by the Authority for the purpose of providing an application procedure for individuals or organisations interested in tendering for this requirement and to assist Potential Providers in making their own evaluation of the potential opportunity.</w:t>
      </w:r>
    </w:p>
    <w:p w14:paraId="06877D2B" w14:textId="77777777" w:rsidR="00863735" w:rsidRDefault="00863735" w:rsidP="00863735">
      <w:pPr>
        <w:pStyle w:val="ListParagraph"/>
        <w:ind w:left="550" w:hanging="550"/>
        <w:jc w:val="both"/>
        <w:rPr>
          <w:rFonts w:cs="Arial"/>
          <w:szCs w:val="22"/>
        </w:rPr>
      </w:pPr>
    </w:p>
    <w:p w14:paraId="16D99D3C" w14:textId="77777777" w:rsidR="00863735" w:rsidRDefault="00863735" w:rsidP="00863735">
      <w:pPr>
        <w:pStyle w:val="ListParagraph"/>
        <w:ind w:left="550" w:hanging="550"/>
        <w:jc w:val="both"/>
        <w:rPr>
          <w:rFonts w:cs="Arial"/>
          <w:szCs w:val="22"/>
        </w:rPr>
      </w:pPr>
      <w:r>
        <w:rPr>
          <w:rFonts w:cs="Arial"/>
          <w:bCs/>
          <w:szCs w:val="22"/>
        </w:rPr>
        <w:t xml:space="preserve">8.2 </w:t>
      </w:r>
      <w:r>
        <w:rPr>
          <w:rFonts w:cs="Arial"/>
          <w:bCs/>
          <w:szCs w:val="22"/>
        </w:rPr>
        <w:tab/>
        <w:t xml:space="preserve">None of the Authority, its advisors, or the directors, officers, members, partners, military or civilian personnel, employees, other staff, </w:t>
      </w:r>
      <w:proofErr w:type="gramStart"/>
      <w:r>
        <w:rPr>
          <w:rFonts w:cs="Arial"/>
          <w:bCs/>
          <w:szCs w:val="22"/>
        </w:rPr>
        <w:t>agents</w:t>
      </w:r>
      <w:proofErr w:type="gramEnd"/>
      <w:r>
        <w:rPr>
          <w:rFonts w:cs="Arial"/>
          <w:bCs/>
          <w:szCs w:val="22"/>
        </w:rPr>
        <w:t xml:space="preserve"> or advisers of any such body or person:</w:t>
      </w:r>
    </w:p>
    <w:p w14:paraId="3571CCA2" w14:textId="77777777" w:rsidR="00863735" w:rsidRDefault="00863735" w:rsidP="00863735">
      <w:pPr>
        <w:pStyle w:val="ListParagraph"/>
        <w:ind w:left="550" w:hanging="550"/>
        <w:jc w:val="both"/>
        <w:rPr>
          <w:rFonts w:cs="Arial"/>
          <w:szCs w:val="22"/>
        </w:rPr>
      </w:pPr>
    </w:p>
    <w:p w14:paraId="69C4216A" w14:textId="05CCD97B" w:rsidR="00863735" w:rsidRDefault="00863735" w:rsidP="00863735">
      <w:pPr>
        <w:pStyle w:val="ListParagraph"/>
        <w:numPr>
          <w:ilvl w:val="1"/>
          <w:numId w:val="6"/>
        </w:numPr>
        <w:tabs>
          <w:tab w:val="left" w:pos="1100"/>
        </w:tabs>
        <w:ind w:left="1100" w:hanging="550"/>
        <w:jc w:val="both"/>
        <w:rPr>
          <w:rFonts w:cs="Arial"/>
          <w:bCs/>
          <w:szCs w:val="22"/>
        </w:rPr>
      </w:pPr>
      <w:r>
        <w:rPr>
          <w:rFonts w:cs="Arial"/>
          <w:bCs/>
          <w:szCs w:val="22"/>
        </w:rPr>
        <w:lastRenderedPageBreak/>
        <w:t xml:space="preserve">makes any representation or warranty (express or implied) as to the accuracy, reasonableness or completeness of the </w:t>
      </w:r>
      <w:r w:rsidR="00C96485">
        <w:rPr>
          <w:rFonts w:cs="Arial"/>
          <w:bCs/>
          <w:szCs w:val="22"/>
        </w:rPr>
        <w:t>D</w:t>
      </w:r>
      <w:r>
        <w:rPr>
          <w:rFonts w:cs="Arial"/>
          <w:bCs/>
          <w:szCs w:val="22"/>
        </w:rPr>
        <w:t xml:space="preserve">PQQ </w:t>
      </w:r>
      <w:proofErr w:type="gramStart"/>
      <w:r>
        <w:rPr>
          <w:rFonts w:cs="Arial"/>
          <w:bCs/>
          <w:szCs w:val="22"/>
        </w:rPr>
        <w:t>Documents;</w:t>
      </w:r>
      <w:proofErr w:type="gramEnd"/>
      <w:r>
        <w:rPr>
          <w:rFonts w:cs="Arial"/>
          <w:bCs/>
          <w:szCs w:val="22"/>
        </w:rPr>
        <w:t xml:space="preserve"> </w:t>
      </w:r>
    </w:p>
    <w:p w14:paraId="2442D30D" w14:textId="77777777" w:rsidR="00863735" w:rsidRDefault="00863735" w:rsidP="00863735">
      <w:pPr>
        <w:pStyle w:val="ListParagraph"/>
        <w:tabs>
          <w:tab w:val="left" w:pos="1100"/>
        </w:tabs>
        <w:ind w:left="1100" w:hanging="550"/>
        <w:jc w:val="both"/>
        <w:rPr>
          <w:rFonts w:cs="Arial"/>
          <w:bCs/>
          <w:szCs w:val="22"/>
        </w:rPr>
      </w:pPr>
    </w:p>
    <w:p w14:paraId="32A750A5" w14:textId="1EBFF13E" w:rsidR="00863735" w:rsidRDefault="00863735" w:rsidP="00863735">
      <w:pPr>
        <w:pStyle w:val="ListParagraph"/>
        <w:numPr>
          <w:ilvl w:val="1"/>
          <w:numId w:val="6"/>
        </w:numPr>
        <w:tabs>
          <w:tab w:val="left" w:pos="1100"/>
        </w:tabs>
        <w:ind w:left="1100" w:hanging="550"/>
        <w:jc w:val="both"/>
        <w:rPr>
          <w:rFonts w:cs="Arial"/>
          <w:bCs/>
          <w:szCs w:val="22"/>
        </w:rPr>
      </w:pPr>
      <w:r>
        <w:rPr>
          <w:rFonts w:cs="Arial"/>
          <w:bCs/>
          <w:szCs w:val="22"/>
        </w:rPr>
        <w:t xml:space="preserve">accepts any responsibility for the information contained in the </w:t>
      </w:r>
      <w:r w:rsidR="00C96485">
        <w:rPr>
          <w:rFonts w:cs="Arial"/>
          <w:bCs/>
          <w:szCs w:val="22"/>
        </w:rPr>
        <w:t>D</w:t>
      </w:r>
      <w:r>
        <w:rPr>
          <w:rFonts w:cs="Arial"/>
          <w:bCs/>
          <w:szCs w:val="22"/>
        </w:rPr>
        <w:t xml:space="preserve">PQQ Documents or for its accuracy or </w:t>
      </w:r>
      <w:proofErr w:type="gramStart"/>
      <w:r>
        <w:rPr>
          <w:rFonts w:cs="Arial"/>
          <w:bCs/>
          <w:szCs w:val="22"/>
        </w:rPr>
        <w:t>completeness;  or</w:t>
      </w:r>
      <w:proofErr w:type="gramEnd"/>
    </w:p>
    <w:p w14:paraId="57CDA940" w14:textId="77777777" w:rsidR="00863735" w:rsidRDefault="00863735" w:rsidP="00863735">
      <w:pPr>
        <w:pStyle w:val="ListParagraph"/>
        <w:tabs>
          <w:tab w:val="left" w:pos="1100"/>
        </w:tabs>
        <w:ind w:left="1100" w:hanging="550"/>
        <w:jc w:val="both"/>
        <w:rPr>
          <w:rFonts w:cs="Arial"/>
          <w:bCs/>
          <w:szCs w:val="22"/>
        </w:rPr>
      </w:pPr>
    </w:p>
    <w:p w14:paraId="07E2D7E4" w14:textId="77777777" w:rsidR="00863735" w:rsidRDefault="00863735" w:rsidP="00863735">
      <w:pPr>
        <w:pStyle w:val="ListParagraph"/>
        <w:numPr>
          <w:ilvl w:val="1"/>
          <w:numId w:val="6"/>
        </w:numPr>
        <w:tabs>
          <w:tab w:val="left" w:pos="1100"/>
        </w:tabs>
        <w:ind w:left="1100" w:hanging="550"/>
        <w:jc w:val="both"/>
        <w:rPr>
          <w:rFonts w:cs="Arial"/>
          <w:bCs/>
          <w:szCs w:val="22"/>
        </w:rPr>
      </w:pPr>
      <w:r>
        <w:rPr>
          <w:rFonts w:cs="Arial"/>
          <w:bCs/>
          <w:szCs w:val="22"/>
        </w:rPr>
        <w:t xml:space="preserve">shall be liable for any loss or damage (other than in respect of fraudulent misrepresentation) arising </w:t>
      </w:r>
      <w:proofErr w:type="gramStart"/>
      <w:r>
        <w:rPr>
          <w:rFonts w:cs="Arial"/>
          <w:bCs/>
          <w:szCs w:val="22"/>
        </w:rPr>
        <w:t>as a result of</w:t>
      </w:r>
      <w:proofErr w:type="gramEnd"/>
      <w:r>
        <w:rPr>
          <w:rFonts w:cs="Arial"/>
          <w:bCs/>
          <w:szCs w:val="22"/>
        </w:rPr>
        <w:t xml:space="preserve"> reliance on such information or any subsequent communication.</w:t>
      </w:r>
    </w:p>
    <w:p w14:paraId="2480FEED" w14:textId="77777777" w:rsidR="00863735" w:rsidRDefault="00863735" w:rsidP="00863735">
      <w:pPr>
        <w:pStyle w:val="ListParagraph"/>
        <w:ind w:left="550" w:hanging="550"/>
        <w:jc w:val="both"/>
        <w:rPr>
          <w:rFonts w:cs="Arial"/>
          <w:szCs w:val="22"/>
        </w:rPr>
      </w:pPr>
    </w:p>
    <w:p w14:paraId="03C08D50" w14:textId="7EEA530A" w:rsidR="00863735" w:rsidRDefault="00863735" w:rsidP="00863735">
      <w:pPr>
        <w:pStyle w:val="ListParagraph"/>
        <w:ind w:left="550" w:hanging="550"/>
        <w:jc w:val="both"/>
        <w:rPr>
          <w:rFonts w:cs="Arial"/>
          <w:bCs/>
          <w:szCs w:val="22"/>
        </w:rPr>
      </w:pPr>
      <w:r>
        <w:rPr>
          <w:rFonts w:cs="Arial"/>
          <w:bCs/>
          <w:szCs w:val="22"/>
        </w:rPr>
        <w:t xml:space="preserve">8.3 </w:t>
      </w:r>
      <w:r>
        <w:rPr>
          <w:rFonts w:cs="Arial"/>
          <w:bCs/>
          <w:szCs w:val="22"/>
        </w:rPr>
        <w:tab/>
        <w:t xml:space="preserve">Nothing in the </w:t>
      </w:r>
      <w:r w:rsidR="00C96485">
        <w:rPr>
          <w:rFonts w:cs="Arial"/>
          <w:bCs/>
          <w:szCs w:val="22"/>
        </w:rPr>
        <w:t>D</w:t>
      </w:r>
      <w:r>
        <w:rPr>
          <w:rFonts w:cs="Arial"/>
          <w:bCs/>
          <w:szCs w:val="22"/>
        </w:rPr>
        <w:t xml:space="preserve">PQQ Documents is, or should be, relied upon as a promise or a representation as to the Authority’s ultimate decisions in relation to this requirement. The publication of the </w:t>
      </w:r>
      <w:r w:rsidR="00C96485">
        <w:rPr>
          <w:rFonts w:cs="Arial"/>
          <w:bCs/>
          <w:szCs w:val="22"/>
        </w:rPr>
        <w:t>D</w:t>
      </w:r>
      <w:r>
        <w:rPr>
          <w:rFonts w:cs="Arial"/>
          <w:bCs/>
          <w:szCs w:val="22"/>
        </w:rPr>
        <w:t>PQQ Documents in no way commits the MOD to award any contract or pursue any tender process for this requirement.</w:t>
      </w:r>
    </w:p>
    <w:p w14:paraId="7E80AF60" w14:textId="29D4E2BF" w:rsidR="00C96485" w:rsidRDefault="00C96485" w:rsidP="00863735">
      <w:pPr>
        <w:pStyle w:val="ListParagraph"/>
        <w:ind w:left="550" w:hanging="550"/>
        <w:jc w:val="both"/>
        <w:rPr>
          <w:rFonts w:cs="Arial"/>
          <w:bCs/>
          <w:szCs w:val="22"/>
        </w:rPr>
      </w:pPr>
    </w:p>
    <w:p w14:paraId="670B9060" w14:textId="0DBD1EFE" w:rsidR="00C96485" w:rsidRPr="00110D96" w:rsidRDefault="00C96485" w:rsidP="00863735">
      <w:pPr>
        <w:pStyle w:val="ListParagraph"/>
        <w:ind w:left="550" w:hanging="550"/>
        <w:jc w:val="both"/>
        <w:rPr>
          <w:rFonts w:cs="Arial"/>
          <w:bCs/>
          <w:szCs w:val="22"/>
        </w:rPr>
      </w:pPr>
      <w:r w:rsidRPr="00C96485">
        <w:rPr>
          <w:rFonts w:cs="Arial"/>
          <w:b/>
          <w:sz w:val="24"/>
          <w:szCs w:val="22"/>
        </w:rPr>
        <w:t xml:space="preserve">9. </w:t>
      </w:r>
      <w:r w:rsidRPr="00C96485">
        <w:rPr>
          <w:rFonts w:cs="Arial"/>
          <w:b/>
          <w:sz w:val="24"/>
          <w:szCs w:val="22"/>
        </w:rPr>
        <w:tab/>
      </w:r>
      <w:r w:rsidRPr="00110D96">
        <w:rPr>
          <w:rFonts w:cs="Arial"/>
          <w:b/>
          <w:szCs w:val="22"/>
          <w:u w:val="single"/>
        </w:rPr>
        <w:t>CONSORTIUM ARRANGEMENTS</w:t>
      </w:r>
    </w:p>
    <w:p w14:paraId="2B5AB66A" w14:textId="5214C691" w:rsidR="00C96485" w:rsidRPr="00110D96" w:rsidRDefault="00C96485" w:rsidP="00863735">
      <w:pPr>
        <w:pStyle w:val="ListParagraph"/>
        <w:ind w:left="550" w:hanging="550"/>
        <w:jc w:val="both"/>
        <w:rPr>
          <w:rFonts w:cs="Arial"/>
          <w:bCs/>
          <w:szCs w:val="22"/>
        </w:rPr>
      </w:pPr>
    </w:p>
    <w:p w14:paraId="1A214B3A" w14:textId="1A1E403A" w:rsidR="00C96485" w:rsidRPr="00110D96" w:rsidRDefault="00C96485" w:rsidP="00B77A52">
      <w:pPr>
        <w:pStyle w:val="Heading1"/>
        <w:tabs>
          <w:tab w:val="left" w:pos="1560"/>
        </w:tabs>
        <w:spacing w:after="0" w:line="240" w:lineRule="auto"/>
        <w:ind w:left="709" w:hanging="709"/>
        <w:contextualSpacing/>
        <w:rPr>
          <w:sz w:val="22"/>
          <w:szCs w:val="22"/>
        </w:rPr>
      </w:pPr>
      <w:r w:rsidRPr="00110D96">
        <w:rPr>
          <w:bCs/>
          <w:sz w:val="22"/>
          <w:szCs w:val="22"/>
        </w:rPr>
        <w:t xml:space="preserve">9.1 </w:t>
      </w:r>
      <w:bookmarkStart w:id="0" w:name="_Toc96113363"/>
      <w:bookmarkStart w:id="1" w:name="_Toc96152513"/>
      <w:bookmarkStart w:id="2" w:name="_Toc99987938"/>
      <w:bookmarkStart w:id="3" w:name="_Toc101781642"/>
      <w:r w:rsidR="00B77A52">
        <w:rPr>
          <w:bCs/>
          <w:sz w:val="22"/>
          <w:szCs w:val="22"/>
        </w:rPr>
        <w:tab/>
      </w:r>
      <w:r w:rsidRPr="00110D96">
        <w:rPr>
          <w:b w:val="0"/>
          <w:sz w:val="22"/>
          <w:szCs w:val="22"/>
        </w:rPr>
        <w:t xml:space="preserve">Potential Provider Entities may wish to form a consortium (whether in the form of joint ventures, unincorporated </w:t>
      </w:r>
      <w:proofErr w:type="gramStart"/>
      <w:r w:rsidRPr="00110D96">
        <w:rPr>
          <w:b w:val="0"/>
          <w:sz w:val="22"/>
          <w:szCs w:val="22"/>
        </w:rPr>
        <w:t>associations</w:t>
      </w:r>
      <w:proofErr w:type="gramEnd"/>
      <w:r w:rsidRPr="00110D96">
        <w:rPr>
          <w:b w:val="0"/>
          <w:sz w:val="22"/>
          <w:szCs w:val="22"/>
        </w:rPr>
        <w:t xml:space="preserve"> or partnerships), if for instance they do not feel they have the capacity or capability to meet the Authority’s requirements on their own.</w:t>
      </w:r>
      <w:bookmarkStart w:id="4" w:name="_Toc96113364"/>
      <w:bookmarkStart w:id="5" w:name="_Toc96152514"/>
      <w:bookmarkEnd w:id="0"/>
      <w:bookmarkEnd w:id="1"/>
      <w:bookmarkEnd w:id="2"/>
      <w:bookmarkEnd w:id="3"/>
    </w:p>
    <w:bookmarkEnd w:id="4"/>
    <w:bookmarkEnd w:id="5"/>
    <w:p w14:paraId="6B129779" w14:textId="77777777" w:rsidR="00C96485" w:rsidRPr="00110D96" w:rsidRDefault="00C96485" w:rsidP="00B77A52">
      <w:pPr>
        <w:ind w:left="709" w:hanging="709"/>
        <w:rPr>
          <w:rFonts w:ascii="Arial" w:hAnsi="Arial" w:cs="Arial"/>
        </w:rPr>
      </w:pPr>
    </w:p>
    <w:p w14:paraId="4349EF5F" w14:textId="1592B9FA" w:rsidR="00C96485" w:rsidRPr="00110D96" w:rsidRDefault="00B77A52" w:rsidP="00B77A52">
      <w:pPr>
        <w:pStyle w:val="Heading1"/>
        <w:tabs>
          <w:tab w:val="left" w:pos="1560"/>
        </w:tabs>
        <w:spacing w:after="0" w:line="240" w:lineRule="auto"/>
        <w:ind w:left="709" w:hanging="709"/>
        <w:contextualSpacing/>
        <w:rPr>
          <w:b w:val="0"/>
          <w:sz w:val="22"/>
          <w:szCs w:val="22"/>
        </w:rPr>
      </w:pPr>
      <w:bookmarkStart w:id="6" w:name="_Toc96113365"/>
      <w:bookmarkStart w:id="7" w:name="_Toc96152515"/>
      <w:bookmarkStart w:id="8" w:name="_Toc99987946"/>
      <w:bookmarkStart w:id="9" w:name="_Toc101781650"/>
      <w:r>
        <w:rPr>
          <w:b w:val="0"/>
          <w:sz w:val="22"/>
          <w:szCs w:val="22"/>
        </w:rPr>
        <w:t xml:space="preserve">9.2 </w:t>
      </w:r>
      <w:r>
        <w:rPr>
          <w:b w:val="0"/>
          <w:sz w:val="22"/>
          <w:szCs w:val="22"/>
        </w:rPr>
        <w:tab/>
      </w:r>
      <w:r w:rsidR="00C96485" w:rsidRPr="00110D96">
        <w:rPr>
          <w:b w:val="0"/>
          <w:sz w:val="22"/>
          <w:szCs w:val="22"/>
        </w:rPr>
        <w:t>The Authority reserves the right to require, the adoption of joint and several liability and / or the provision of parent company guarantees, cross-guarantees or any other appropriate form of guarantee or security depending on the specific form of the Potential Provider Consortium that is proposed.</w:t>
      </w:r>
      <w:bookmarkEnd w:id="6"/>
      <w:bookmarkEnd w:id="7"/>
      <w:bookmarkEnd w:id="8"/>
      <w:bookmarkEnd w:id="9"/>
      <w:r w:rsidR="00C96485" w:rsidRPr="00110D96">
        <w:rPr>
          <w:b w:val="0"/>
          <w:sz w:val="22"/>
          <w:szCs w:val="22"/>
        </w:rPr>
        <w:t xml:space="preserve"> </w:t>
      </w:r>
    </w:p>
    <w:p w14:paraId="189EF9FC" w14:textId="77777777" w:rsidR="00C96485" w:rsidRPr="00110D96" w:rsidRDefault="00C96485" w:rsidP="00B77A52">
      <w:pPr>
        <w:ind w:left="709" w:hanging="709"/>
        <w:rPr>
          <w:rFonts w:ascii="Arial" w:hAnsi="Arial" w:cs="Arial"/>
        </w:rPr>
      </w:pPr>
      <w:bookmarkStart w:id="10" w:name="_Toc96113367"/>
      <w:bookmarkStart w:id="11" w:name="_Toc96152517"/>
    </w:p>
    <w:p w14:paraId="25E9007B" w14:textId="38F57B8B" w:rsidR="00C96485" w:rsidRPr="00110D96" w:rsidRDefault="00B77A52" w:rsidP="00B77A52">
      <w:pPr>
        <w:pStyle w:val="Heading1"/>
        <w:tabs>
          <w:tab w:val="left" w:pos="1560"/>
        </w:tabs>
        <w:spacing w:after="0" w:line="240" w:lineRule="auto"/>
        <w:ind w:left="709" w:hanging="709"/>
        <w:contextualSpacing/>
        <w:rPr>
          <w:b w:val="0"/>
          <w:sz w:val="22"/>
          <w:szCs w:val="22"/>
        </w:rPr>
      </w:pPr>
      <w:bookmarkStart w:id="12" w:name="_Toc99987948"/>
      <w:bookmarkStart w:id="13" w:name="_Toc101781652"/>
      <w:r>
        <w:rPr>
          <w:b w:val="0"/>
          <w:sz w:val="22"/>
          <w:szCs w:val="22"/>
        </w:rPr>
        <w:t xml:space="preserve">9.3 </w:t>
      </w:r>
      <w:r>
        <w:rPr>
          <w:b w:val="0"/>
          <w:sz w:val="22"/>
          <w:szCs w:val="22"/>
        </w:rPr>
        <w:tab/>
      </w:r>
      <w:r w:rsidR="00C96485" w:rsidRPr="00110D96">
        <w:rPr>
          <w:b w:val="0"/>
          <w:sz w:val="22"/>
          <w:szCs w:val="22"/>
        </w:rPr>
        <w:t>At any stage in the procurement process, Potential Providers must, as soon as possible, notify the Authority in writing of any material change in relation to the proposed consortium arrangement (including any change of roles or responsibilities and the addition or removal of Consortium Members). The Authority reserves the right to require the responses to the DPQQ to be updated to reflect the revised arrangement so that it can make a further assessment by applying the selection criteria to the new information provided, which may affect the suitability of the Potential Provider to proceed with the procurement process and so may led to the rejection of your Tender or exclusion from the procurement.</w:t>
      </w:r>
      <w:bookmarkEnd w:id="10"/>
      <w:bookmarkEnd w:id="11"/>
      <w:bookmarkEnd w:id="12"/>
      <w:bookmarkEnd w:id="13"/>
    </w:p>
    <w:p w14:paraId="76C4308B" w14:textId="77777777" w:rsidR="00C96485" w:rsidRPr="00110D96" w:rsidRDefault="00C96485" w:rsidP="00C96485">
      <w:pPr>
        <w:rPr>
          <w:rFonts w:ascii="Arial" w:hAnsi="Arial" w:cs="Arial"/>
        </w:rPr>
      </w:pPr>
      <w:bookmarkStart w:id="14" w:name="_Toc96113368"/>
      <w:bookmarkStart w:id="15" w:name="_Toc96152518"/>
    </w:p>
    <w:p w14:paraId="02127C26" w14:textId="4C5BD9DB" w:rsidR="00C96485" w:rsidRPr="00110D96" w:rsidRDefault="00B77A52" w:rsidP="00C96485">
      <w:pPr>
        <w:pStyle w:val="ListParagraph"/>
        <w:ind w:left="550" w:hanging="550"/>
        <w:jc w:val="both"/>
        <w:rPr>
          <w:rFonts w:cs="Arial"/>
          <w:bCs/>
          <w:szCs w:val="22"/>
        </w:rPr>
      </w:pPr>
      <w:bookmarkStart w:id="16" w:name="_Toc99987949"/>
      <w:bookmarkStart w:id="17" w:name="_Toc101781653"/>
      <w:r>
        <w:rPr>
          <w:rFonts w:cs="Arial"/>
          <w:szCs w:val="22"/>
        </w:rPr>
        <w:t>9.4</w:t>
      </w:r>
      <w:r>
        <w:rPr>
          <w:rFonts w:cs="Arial"/>
          <w:szCs w:val="22"/>
        </w:rPr>
        <w:tab/>
      </w:r>
      <w:r w:rsidR="00C96485" w:rsidRPr="00110D96">
        <w:rPr>
          <w:rFonts w:cs="Arial"/>
          <w:szCs w:val="22"/>
        </w:rPr>
        <w:t>All communication with the Authority during the procurement process should be through the Lead Party.</w:t>
      </w:r>
      <w:bookmarkEnd w:id="14"/>
      <w:bookmarkEnd w:id="15"/>
      <w:bookmarkEnd w:id="16"/>
      <w:bookmarkEnd w:id="17"/>
    </w:p>
    <w:p w14:paraId="7AF1B0FC" w14:textId="77777777" w:rsidR="009D7D58" w:rsidRDefault="009D7D58" w:rsidP="00863735">
      <w:pPr>
        <w:pStyle w:val="ListParagraph"/>
        <w:ind w:left="550" w:hanging="550"/>
        <w:jc w:val="both"/>
        <w:rPr>
          <w:rFonts w:cs="Arial"/>
          <w:bCs/>
          <w:szCs w:val="22"/>
        </w:rPr>
      </w:pPr>
    </w:p>
    <w:p w14:paraId="33694E2C" w14:textId="77777777" w:rsidR="000375C6" w:rsidRPr="00110D96" w:rsidRDefault="000375C6" w:rsidP="00863735">
      <w:pPr>
        <w:pStyle w:val="ListParagraph"/>
        <w:ind w:left="550" w:hanging="550"/>
        <w:jc w:val="both"/>
        <w:rPr>
          <w:rFonts w:cs="Arial"/>
          <w:bCs/>
          <w:szCs w:val="22"/>
        </w:rPr>
      </w:pPr>
    </w:p>
    <w:p w14:paraId="0D147E03" w14:textId="77777777" w:rsidR="008C7402" w:rsidRDefault="008C7402" w:rsidP="00863735">
      <w:pPr>
        <w:pStyle w:val="ListParagraph"/>
        <w:ind w:left="550" w:hanging="550"/>
        <w:jc w:val="both"/>
        <w:rPr>
          <w:rFonts w:cs="Arial"/>
          <w:bCs/>
          <w:sz w:val="24"/>
          <w:szCs w:val="22"/>
        </w:rPr>
      </w:pPr>
    </w:p>
    <w:p w14:paraId="1E9281B8" w14:textId="77777777" w:rsidR="008C7402" w:rsidRDefault="008C7402" w:rsidP="00863735">
      <w:pPr>
        <w:pStyle w:val="ListParagraph"/>
        <w:ind w:left="550" w:hanging="550"/>
        <w:jc w:val="both"/>
        <w:rPr>
          <w:rFonts w:cs="Arial"/>
          <w:bCs/>
          <w:sz w:val="24"/>
          <w:szCs w:val="22"/>
        </w:rPr>
      </w:pPr>
    </w:p>
    <w:p w14:paraId="6A1C8954" w14:textId="78C63CA0" w:rsidR="00863735" w:rsidRDefault="008E7F02" w:rsidP="00863735">
      <w:pPr>
        <w:pStyle w:val="ListParagraph"/>
        <w:tabs>
          <w:tab w:val="left" w:pos="550"/>
        </w:tabs>
        <w:ind w:left="550" w:hanging="550"/>
        <w:jc w:val="both"/>
        <w:rPr>
          <w:rFonts w:cs="Arial"/>
          <w:b/>
          <w:sz w:val="24"/>
          <w:szCs w:val="22"/>
          <w:u w:val="single"/>
        </w:rPr>
      </w:pPr>
      <w:r>
        <w:rPr>
          <w:rFonts w:cs="Arial"/>
          <w:b/>
          <w:sz w:val="24"/>
          <w:szCs w:val="22"/>
        </w:rPr>
        <w:t>10</w:t>
      </w:r>
      <w:r w:rsidR="00863735">
        <w:rPr>
          <w:rFonts w:cs="Arial"/>
          <w:b/>
          <w:sz w:val="24"/>
          <w:szCs w:val="22"/>
        </w:rPr>
        <w:tab/>
      </w:r>
      <w:r w:rsidR="00863735">
        <w:rPr>
          <w:rFonts w:cs="Arial"/>
          <w:b/>
          <w:sz w:val="24"/>
          <w:szCs w:val="22"/>
          <w:u w:val="single"/>
        </w:rPr>
        <w:t>RIGHT TO CANCEL OR VARY THE PROCESS</w:t>
      </w:r>
    </w:p>
    <w:p w14:paraId="63CD520D" w14:textId="77777777" w:rsidR="00863735" w:rsidRDefault="00863735" w:rsidP="00863735">
      <w:pPr>
        <w:pStyle w:val="ListParagraph"/>
        <w:tabs>
          <w:tab w:val="left" w:pos="550"/>
        </w:tabs>
        <w:ind w:left="550" w:hanging="550"/>
        <w:jc w:val="both"/>
        <w:rPr>
          <w:rFonts w:cs="Arial"/>
          <w:b/>
          <w:szCs w:val="22"/>
          <w:u w:val="single"/>
        </w:rPr>
      </w:pPr>
    </w:p>
    <w:p w14:paraId="56D1A433" w14:textId="4D71F338" w:rsidR="00863735" w:rsidRDefault="008E7F02" w:rsidP="00863735">
      <w:pPr>
        <w:pStyle w:val="ListParagraph"/>
        <w:ind w:left="0"/>
        <w:rPr>
          <w:rFonts w:cs="Arial"/>
          <w:bCs/>
          <w:szCs w:val="22"/>
        </w:rPr>
      </w:pPr>
      <w:proofErr w:type="gramStart"/>
      <w:r>
        <w:rPr>
          <w:rFonts w:cs="Arial"/>
          <w:szCs w:val="22"/>
        </w:rPr>
        <w:t>10</w:t>
      </w:r>
      <w:r w:rsidR="00863735">
        <w:rPr>
          <w:rFonts w:cs="Arial"/>
          <w:szCs w:val="22"/>
        </w:rPr>
        <w:t>.1  The</w:t>
      </w:r>
      <w:proofErr w:type="gramEnd"/>
      <w:r w:rsidR="00863735">
        <w:rPr>
          <w:rFonts w:cs="Arial"/>
          <w:szCs w:val="22"/>
        </w:rPr>
        <w:t xml:space="preserve"> Authority reserves the right to:</w:t>
      </w:r>
    </w:p>
    <w:p w14:paraId="43950C72" w14:textId="77777777" w:rsidR="00863735" w:rsidRDefault="00863735" w:rsidP="00863735">
      <w:pPr>
        <w:pStyle w:val="ListParagraph"/>
        <w:ind w:left="550" w:hanging="550"/>
        <w:rPr>
          <w:rFonts w:cs="Arial"/>
          <w:bCs/>
          <w:szCs w:val="22"/>
        </w:rPr>
      </w:pPr>
    </w:p>
    <w:p w14:paraId="480B5C09" w14:textId="77777777" w:rsidR="00863735" w:rsidRDefault="00863735" w:rsidP="00863735">
      <w:pPr>
        <w:pStyle w:val="ListParagraph"/>
        <w:numPr>
          <w:ilvl w:val="0"/>
          <w:numId w:val="7"/>
        </w:numPr>
        <w:ind w:left="1080"/>
        <w:rPr>
          <w:rFonts w:cs="Arial"/>
          <w:bCs/>
          <w:szCs w:val="22"/>
        </w:rPr>
      </w:pPr>
      <w:r>
        <w:rPr>
          <w:rFonts w:cs="Arial"/>
          <w:bCs/>
          <w:szCs w:val="22"/>
        </w:rPr>
        <w:t xml:space="preserve">cancel the pre-qualification process and evaluation process at any </w:t>
      </w:r>
      <w:proofErr w:type="gramStart"/>
      <w:r>
        <w:rPr>
          <w:rFonts w:cs="Arial"/>
          <w:bCs/>
          <w:szCs w:val="22"/>
        </w:rPr>
        <w:t>stage;</w:t>
      </w:r>
      <w:proofErr w:type="gramEnd"/>
      <w:r>
        <w:rPr>
          <w:rFonts w:cs="Arial"/>
          <w:bCs/>
          <w:szCs w:val="22"/>
        </w:rPr>
        <w:t xml:space="preserve"> </w:t>
      </w:r>
    </w:p>
    <w:p w14:paraId="76D6B150" w14:textId="77777777" w:rsidR="00863735" w:rsidRDefault="00863735" w:rsidP="00863735">
      <w:pPr>
        <w:pStyle w:val="ListParagraph"/>
        <w:ind w:left="910"/>
        <w:rPr>
          <w:rFonts w:cs="Arial"/>
          <w:bCs/>
          <w:szCs w:val="22"/>
        </w:rPr>
      </w:pPr>
    </w:p>
    <w:p w14:paraId="255D476B" w14:textId="77777777" w:rsidR="00863735" w:rsidRDefault="00863735" w:rsidP="00863735">
      <w:pPr>
        <w:pStyle w:val="ListParagraph"/>
        <w:numPr>
          <w:ilvl w:val="0"/>
          <w:numId w:val="7"/>
        </w:numPr>
        <w:ind w:left="1080"/>
        <w:rPr>
          <w:rFonts w:cs="Arial"/>
          <w:bCs/>
          <w:szCs w:val="22"/>
        </w:rPr>
      </w:pPr>
      <w:r>
        <w:rPr>
          <w:rFonts w:cs="Arial"/>
          <w:bCs/>
          <w:szCs w:val="22"/>
        </w:rPr>
        <w:t>amend the terms and conditions of the procurement process; and</w:t>
      </w:r>
    </w:p>
    <w:p w14:paraId="0689A95E" w14:textId="77777777" w:rsidR="00863735" w:rsidRDefault="00863735" w:rsidP="00863735">
      <w:pPr>
        <w:pStyle w:val="ListParagraph"/>
        <w:ind w:left="910"/>
        <w:rPr>
          <w:rFonts w:cs="Arial"/>
          <w:bCs/>
          <w:szCs w:val="22"/>
        </w:rPr>
      </w:pPr>
    </w:p>
    <w:p w14:paraId="6A33384A" w14:textId="77777777" w:rsidR="00863735" w:rsidRDefault="00863735" w:rsidP="00863735">
      <w:pPr>
        <w:pStyle w:val="ListParagraph"/>
        <w:numPr>
          <w:ilvl w:val="0"/>
          <w:numId w:val="7"/>
        </w:numPr>
        <w:ind w:left="1080"/>
        <w:rPr>
          <w:rFonts w:cs="Arial"/>
          <w:bCs/>
          <w:szCs w:val="22"/>
        </w:rPr>
      </w:pPr>
      <w:r>
        <w:rPr>
          <w:rFonts w:cs="Arial"/>
          <w:bCs/>
          <w:szCs w:val="22"/>
        </w:rPr>
        <w:t>not to award a contract following the procurement process.</w:t>
      </w:r>
    </w:p>
    <w:p w14:paraId="4A03511D" w14:textId="77777777" w:rsidR="00863735" w:rsidRDefault="00863735" w:rsidP="00863735">
      <w:pPr>
        <w:pStyle w:val="ListParagraph"/>
        <w:ind w:left="550" w:hanging="550"/>
        <w:rPr>
          <w:rFonts w:cs="Arial"/>
          <w:bCs/>
          <w:szCs w:val="22"/>
        </w:rPr>
      </w:pPr>
    </w:p>
    <w:p w14:paraId="7C4BA464" w14:textId="6BF84169" w:rsidR="00863735" w:rsidRDefault="008E7F02" w:rsidP="00863735">
      <w:pPr>
        <w:pStyle w:val="ListParagraph"/>
        <w:ind w:left="550" w:hanging="550"/>
        <w:jc w:val="both"/>
        <w:rPr>
          <w:rFonts w:cs="Arial"/>
          <w:bCs/>
          <w:szCs w:val="22"/>
        </w:rPr>
      </w:pPr>
      <w:r>
        <w:rPr>
          <w:rFonts w:cs="Arial"/>
          <w:bCs/>
          <w:szCs w:val="22"/>
        </w:rPr>
        <w:t>10</w:t>
      </w:r>
      <w:r w:rsidR="00863735">
        <w:rPr>
          <w:rFonts w:cs="Arial"/>
          <w:bCs/>
          <w:szCs w:val="22"/>
        </w:rPr>
        <w:t xml:space="preserve">.2 </w:t>
      </w:r>
      <w:r w:rsidR="00863735">
        <w:rPr>
          <w:rFonts w:cs="Arial"/>
          <w:bCs/>
          <w:szCs w:val="22"/>
        </w:rPr>
        <w:tab/>
        <w:t>For the avoidance of doubt, in the event of the circumstances detailed in i), ii) and iii) above occurring, Potential Providers will be solely responsible for any costs and expenses incurred through participating in this process.</w:t>
      </w:r>
    </w:p>
    <w:p w14:paraId="7CEE8EE1" w14:textId="77777777" w:rsidR="00863735" w:rsidRDefault="00863735" w:rsidP="00863735">
      <w:pPr>
        <w:pStyle w:val="ListParagraph"/>
        <w:ind w:left="550" w:hanging="550"/>
        <w:jc w:val="both"/>
        <w:rPr>
          <w:rFonts w:cs="Arial"/>
          <w:bCs/>
          <w:szCs w:val="22"/>
        </w:rPr>
      </w:pPr>
    </w:p>
    <w:p w14:paraId="66EC45FF" w14:textId="42FBF84B" w:rsidR="00863735" w:rsidRDefault="00863735" w:rsidP="00863735">
      <w:pPr>
        <w:pStyle w:val="ListParagraph"/>
        <w:ind w:left="550" w:hanging="550"/>
        <w:jc w:val="both"/>
        <w:rPr>
          <w:rFonts w:cs="Arial"/>
          <w:b/>
          <w:bCs/>
          <w:sz w:val="24"/>
          <w:szCs w:val="22"/>
          <w:u w:val="single"/>
        </w:rPr>
      </w:pPr>
      <w:r>
        <w:rPr>
          <w:rFonts w:cs="Arial"/>
          <w:b/>
          <w:bCs/>
          <w:sz w:val="24"/>
          <w:szCs w:val="22"/>
        </w:rPr>
        <w:t>1</w:t>
      </w:r>
      <w:r w:rsidR="008E7F02">
        <w:rPr>
          <w:rFonts w:cs="Arial"/>
          <w:b/>
          <w:bCs/>
          <w:sz w:val="24"/>
          <w:szCs w:val="22"/>
        </w:rPr>
        <w:t>1</w:t>
      </w:r>
      <w:r>
        <w:rPr>
          <w:rFonts w:cs="Arial"/>
          <w:b/>
          <w:bCs/>
          <w:sz w:val="24"/>
          <w:szCs w:val="22"/>
        </w:rPr>
        <w:t>.</w:t>
      </w:r>
      <w:r>
        <w:rPr>
          <w:rFonts w:cs="Arial"/>
          <w:b/>
          <w:bCs/>
          <w:sz w:val="24"/>
          <w:szCs w:val="22"/>
        </w:rPr>
        <w:tab/>
      </w:r>
      <w:r>
        <w:rPr>
          <w:rFonts w:cs="Arial"/>
          <w:b/>
          <w:bCs/>
          <w:sz w:val="24"/>
          <w:szCs w:val="22"/>
          <w:u w:val="single"/>
        </w:rPr>
        <w:t>RIGHT TO REJECT AND/OR DISQUALIFY</w:t>
      </w:r>
    </w:p>
    <w:p w14:paraId="11463602" w14:textId="77777777" w:rsidR="00863735" w:rsidRDefault="00863735" w:rsidP="00863735">
      <w:pPr>
        <w:pStyle w:val="ListParagraph"/>
        <w:ind w:left="550" w:hanging="550"/>
        <w:jc w:val="both"/>
        <w:rPr>
          <w:rFonts w:cs="Arial"/>
          <w:b/>
          <w:bCs/>
          <w:sz w:val="24"/>
          <w:szCs w:val="22"/>
          <w:u w:val="single"/>
        </w:rPr>
      </w:pPr>
    </w:p>
    <w:p w14:paraId="4D92B38E" w14:textId="2A2B678E" w:rsidR="00863735" w:rsidRDefault="00863735" w:rsidP="00863735">
      <w:pPr>
        <w:pStyle w:val="ListParagraph"/>
        <w:ind w:left="0"/>
        <w:jc w:val="both"/>
        <w:rPr>
          <w:rFonts w:cs="Arial"/>
          <w:bCs/>
          <w:szCs w:val="22"/>
        </w:rPr>
      </w:pPr>
      <w:proofErr w:type="gramStart"/>
      <w:r>
        <w:rPr>
          <w:rFonts w:cs="Arial"/>
          <w:szCs w:val="22"/>
        </w:rPr>
        <w:t>1</w:t>
      </w:r>
      <w:r w:rsidR="008E7F02">
        <w:rPr>
          <w:rFonts w:cs="Arial"/>
          <w:szCs w:val="22"/>
        </w:rPr>
        <w:t>1</w:t>
      </w:r>
      <w:r>
        <w:rPr>
          <w:rFonts w:cs="Arial"/>
          <w:szCs w:val="22"/>
        </w:rPr>
        <w:t>.1  The</w:t>
      </w:r>
      <w:proofErr w:type="gramEnd"/>
      <w:r>
        <w:rPr>
          <w:rFonts w:cs="Arial"/>
          <w:szCs w:val="22"/>
        </w:rPr>
        <w:t xml:space="preserve"> Authority reserves the right to reject or disqualify a Potential Provider where:</w:t>
      </w:r>
    </w:p>
    <w:p w14:paraId="0FFF3DB5" w14:textId="77777777" w:rsidR="00863735" w:rsidRDefault="00863735" w:rsidP="00863735">
      <w:pPr>
        <w:pStyle w:val="ListParagraph"/>
        <w:ind w:left="550" w:hanging="550"/>
        <w:jc w:val="both"/>
        <w:rPr>
          <w:rFonts w:cs="Arial"/>
          <w:bCs/>
          <w:szCs w:val="22"/>
        </w:rPr>
      </w:pPr>
    </w:p>
    <w:p w14:paraId="4DEF0A8A" w14:textId="4C67FCD2" w:rsidR="00863735" w:rsidRDefault="00863735" w:rsidP="00863735">
      <w:pPr>
        <w:pStyle w:val="ListParagraph"/>
        <w:numPr>
          <w:ilvl w:val="2"/>
          <w:numId w:val="8"/>
        </w:numPr>
        <w:tabs>
          <w:tab w:val="left" w:pos="1100"/>
        </w:tabs>
        <w:jc w:val="both"/>
        <w:rPr>
          <w:rFonts w:cs="Arial"/>
          <w:szCs w:val="22"/>
        </w:rPr>
      </w:pPr>
      <w:r>
        <w:rPr>
          <w:rFonts w:cs="Arial"/>
          <w:szCs w:val="22"/>
        </w:rPr>
        <w:t xml:space="preserve">the </w:t>
      </w:r>
      <w:r w:rsidR="00C96485">
        <w:rPr>
          <w:rFonts w:cs="Arial"/>
          <w:szCs w:val="22"/>
        </w:rPr>
        <w:t>D</w:t>
      </w:r>
      <w:r>
        <w:rPr>
          <w:rFonts w:cs="Arial"/>
          <w:szCs w:val="22"/>
        </w:rPr>
        <w:t xml:space="preserve">PQQ response is submitted late, is completed incorrectly, is incomplete or fails to meet the Authority’s submission requirements in the </w:t>
      </w:r>
      <w:r w:rsidR="00C96485">
        <w:rPr>
          <w:rFonts w:cs="Arial"/>
          <w:szCs w:val="22"/>
        </w:rPr>
        <w:t>D</w:t>
      </w:r>
      <w:r>
        <w:rPr>
          <w:rFonts w:cs="Arial"/>
          <w:szCs w:val="22"/>
        </w:rPr>
        <w:t xml:space="preserve">PQQ </w:t>
      </w:r>
      <w:proofErr w:type="gramStart"/>
      <w:r>
        <w:rPr>
          <w:rFonts w:cs="Arial"/>
          <w:szCs w:val="22"/>
        </w:rPr>
        <w:t>responses</w:t>
      </w:r>
      <w:r w:rsidR="00333F9D">
        <w:rPr>
          <w:rFonts w:cs="Arial"/>
          <w:szCs w:val="22"/>
        </w:rPr>
        <w:t>;</w:t>
      </w:r>
      <w:proofErr w:type="gramEnd"/>
    </w:p>
    <w:p w14:paraId="2F77177B" w14:textId="6B7BAE63" w:rsidR="00863735" w:rsidRPr="006762D1" w:rsidRDefault="00863735" w:rsidP="006762D1">
      <w:pPr>
        <w:pStyle w:val="ListParagraph"/>
        <w:tabs>
          <w:tab w:val="left" w:pos="1100"/>
        </w:tabs>
        <w:ind w:left="1100" w:hanging="550"/>
        <w:jc w:val="both"/>
        <w:rPr>
          <w:rFonts w:cs="Arial"/>
          <w:szCs w:val="22"/>
        </w:rPr>
      </w:pPr>
      <w:r>
        <w:rPr>
          <w:rFonts w:cs="Arial"/>
          <w:szCs w:val="22"/>
        </w:rPr>
        <w:t xml:space="preserve"> </w:t>
      </w:r>
    </w:p>
    <w:p w14:paraId="06CCA759" w14:textId="77777777" w:rsidR="00863735" w:rsidRDefault="00863735" w:rsidP="00863735">
      <w:pPr>
        <w:pStyle w:val="ListParagraph"/>
        <w:numPr>
          <w:ilvl w:val="2"/>
          <w:numId w:val="8"/>
        </w:numPr>
        <w:tabs>
          <w:tab w:val="left" w:pos="1100"/>
        </w:tabs>
        <w:jc w:val="both"/>
        <w:rPr>
          <w:rFonts w:cs="Arial"/>
          <w:szCs w:val="22"/>
        </w:rPr>
      </w:pPr>
      <w:r>
        <w:rPr>
          <w:rFonts w:cs="Arial"/>
          <w:szCs w:val="22"/>
        </w:rPr>
        <w:t xml:space="preserve">the Potential Provider is guilty of serious misrepresentation in relation to its application and/or the </w:t>
      </w:r>
      <w:proofErr w:type="gramStart"/>
      <w:r>
        <w:rPr>
          <w:rFonts w:cs="Arial"/>
          <w:szCs w:val="22"/>
        </w:rPr>
        <w:t>process;</w:t>
      </w:r>
      <w:proofErr w:type="gramEnd"/>
      <w:r>
        <w:rPr>
          <w:rFonts w:cs="Arial"/>
          <w:szCs w:val="22"/>
        </w:rPr>
        <w:t xml:space="preserve"> </w:t>
      </w:r>
    </w:p>
    <w:p w14:paraId="743CB6C1" w14:textId="77777777" w:rsidR="00863735" w:rsidRDefault="00863735" w:rsidP="00863735">
      <w:pPr>
        <w:pStyle w:val="ListParagraph"/>
        <w:tabs>
          <w:tab w:val="left" w:pos="1100"/>
        </w:tabs>
        <w:ind w:left="1100" w:hanging="550"/>
        <w:jc w:val="both"/>
        <w:rPr>
          <w:rFonts w:cs="Arial"/>
          <w:szCs w:val="22"/>
        </w:rPr>
      </w:pPr>
    </w:p>
    <w:p w14:paraId="583BF782" w14:textId="02DDFC23" w:rsidR="00863735" w:rsidRDefault="00863735" w:rsidP="00863735">
      <w:pPr>
        <w:pStyle w:val="ListParagraph"/>
        <w:numPr>
          <w:ilvl w:val="2"/>
          <w:numId w:val="8"/>
        </w:numPr>
        <w:tabs>
          <w:tab w:val="left" w:pos="1100"/>
        </w:tabs>
        <w:jc w:val="both"/>
        <w:rPr>
          <w:rFonts w:cs="Arial"/>
          <w:szCs w:val="22"/>
        </w:rPr>
      </w:pPr>
      <w:r>
        <w:rPr>
          <w:rFonts w:cs="Arial"/>
          <w:szCs w:val="22"/>
        </w:rPr>
        <w:t xml:space="preserve">following pre-qualification of a Potential Provider for the next stage of the procurement there is a change in identity, control, financial standing or </w:t>
      </w:r>
      <w:proofErr w:type="gramStart"/>
      <w:r>
        <w:rPr>
          <w:rFonts w:cs="Arial"/>
          <w:szCs w:val="22"/>
        </w:rPr>
        <w:t>other</w:t>
      </w:r>
      <w:proofErr w:type="gramEnd"/>
      <w:r>
        <w:rPr>
          <w:rFonts w:cs="Arial"/>
          <w:szCs w:val="22"/>
        </w:rPr>
        <w:t xml:space="preserve"> factor affecting the Potential Provider unless approved by the Authority; </w:t>
      </w:r>
    </w:p>
    <w:p w14:paraId="416334E8" w14:textId="77777777" w:rsidR="006762D1" w:rsidRPr="006762D1" w:rsidRDefault="006762D1" w:rsidP="006762D1">
      <w:pPr>
        <w:pStyle w:val="ListParagraph"/>
        <w:rPr>
          <w:rFonts w:cs="Arial"/>
          <w:szCs w:val="22"/>
        </w:rPr>
      </w:pPr>
    </w:p>
    <w:p w14:paraId="18FBA0EB" w14:textId="5D413D07" w:rsidR="00863735" w:rsidRPr="006762D1" w:rsidRDefault="00863735" w:rsidP="006762D1">
      <w:pPr>
        <w:pStyle w:val="ListParagraph"/>
        <w:numPr>
          <w:ilvl w:val="2"/>
          <w:numId w:val="8"/>
        </w:numPr>
        <w:tabs>
          <w:tab w:val="left" w:pos="1100"/>
        </w:tabs>
        <w:jc w:val="both"/>
        <w:rPr>
          <w:rFonts w:cs="Arial"/>
          <w:szCs w:val="22"/>
        </w:rPr>
      </w:pPr>
      <w:r w:rsidRPr="006762D1">
        <w:rPr>
          <w:rFonts w:cs="Arial"/>
        </w:rPr>
        <w:t xml:space="preserve">the Authority becomes aware that information provided by the Potential Provider in response to the </w:t>
      </w:r>
      <w:r w:rsidR="00C96485" w:rsidRPr="006762D1">
        <w:rPr>
          <w:rFonts w:cs="Arial"/>
        </w:rPr>
        <w:t>D</w:t>
      </w:r>
      <w:r w:rsidRPr="006762D1">
        <w:rPr>
          <w:rFonts w:cs="Arial"/>
        </w:rPr>
        <w:t xml:space="preserve">PQQ is intentionally or unintentionally false, </w:t>
      </w:r>
      <w:proofErr w:type="gramStart"/>
      <w:r w:rsidRPr="006762D1">
        <w:rPr>
          <w:rFonts w:cs="Arial"/>
        </w:rPr>
        <w:t>misleading</w:t>
      </w:r>
      <w:proofErr w:type="gramEnd"/>
      <w:r w:rsidRPr="006762D1">
        <w:rPr>
          <w:rFonts w:cs="Arial"/>
        </w:rPr>
        <w:t xml:space="preserve"> or incorrect.</w:t>
      </w:r>
    </w:p>
    <w:p w14:paraId="0859144B" w14:textId="77777777" w:rsidR="00863735" w:rsidRDefault="00863735" w:rsidP="00863735">
      <w:pPr>
        <w:pStyle w:val="ListParagraph"/>
        <w:ind w:left="0"/>
        <w:jc w:val="both"/>
        <w:rPr>
          <w:rFonts w:cs="Arial"/>
          <w:b/>
          <w:szCs w:val="22"/>
        </w:rPr>
      </w:pPr>
    </w:p>
    <w:p w14:paraId="5C6C2835" w14:textId="078AE325" w:rsidR="00863735" w:rsidRPr="00873AC0" w:rsidRDefault="00863735" w:rsidP="00863735">
      <w:pPr>
        <w:pStyle w:val="ListParagraph"/>
        <w:ind w:left="0"/>
        <w:jc w:val="both"/>
        <w:rPr>
          <w:rFonts w:cs="Arial"/>
          <w:b/>
          <w:sz w:val="24"/>
          <w:szCs w:val="22"/>
          <w:u w:val="single"/>
        </w:rPr>
      </w:pPr>
      <w:r>
        <w:rPr>
          <w:rFonts w:cs="Arial"/>
          <w:b/>
          <w:szCs w:val="22"/>
        </w:rPr>
        <w:t>1</w:t>
      </w:r>
      <w:r w:rsidR="008E7F02">
        <w:rPr>
          <w:rFonts w:cs="Arial"/>
          <w:b/>
          <w:szCs w:val="22"/>
        </w:rPr>
        <w:t>2</w:t>
      </w:r>
      <w:r>
        <w:rPr>
          <w:rFonts w:cs="Arial"/>
          <w:b/>
          <w:szCs w:val="22"/>
        </w:rPr>
        <w:t>.</w:t>
      </w:r>
      <w:r>
        <w:rPr>
          <w:rFonts w:cs="Arial"/>
          <w:b/>
          <w:sz w:val="24"/>
          <w:szCs w:val="22"/>
        </w:rPr>
        <w:tab/>
      </w:r>
      <w:r w:rsidRPr="00873AC0">
        <w:rPr>
          <w:rFonts w:cs="Arial"/>
          <w:b/>
          <w:sz w:val="24"/>
          <w:szCs w:val="22"/>
          <w:u w:val="single"/>
        </w:rPr>
        <w:t xml:space="preserve">RIGHT TO REVISIT </w:t>
      </w:r>
      <w:r w:rsidR="00C96485" w:rsidRPr="00873AC0">
        <w:rPr>
          <w:rFonts w:cs="Arial"/>
          <w:b/>
          <w:sz w:val="24"/>
          <w:szCs w:val="22"/>
          <w:u w:val="single"/>
        </w:rPr>
        <w:t>D</w:t>
      </w:r>
      <w:r w:rsidRPr="00873AC0">
        <w:rPr>
          <w:rFonts w:cs="Arial"/>
          <w:b/>
          <w:sz w:val="24"/>
          <w:szCs w:val="22"/>
          <w:u w:val="single"/>
        </w:rPr>
        <w:t>PQQ EVALUATION</w:t>
      </w:r>
    </w:p>
    <w:p w14:paraId="3C4F647A" w14:textId="77777777" w:rsidR="00863735" w:rsidRPr="00873AC0" w:rsidRDefault="00863735" w:rsidP="00863735">
      <w:pPr>
        <w:pStyle w:val="ListParagraph"/>
        <w:ind w:left="0"/>
        <w:jc w:val="both"/>
        <w:rPr>
          <w:rFonts w:cs="Arial"/>
          <w:b/>
          <w:szCs w:val="22"/>
          <w:u w:val="single"/>
        </w:rPr>
      </w:pPr>
    </w:p>
    <w:p w14:paraId="4CCE7363" w14:textId="77F871EE" w:rsidR="00863735" w:rsidRPr="00873AC0" w:rsidRDefault="00863735" w:rsidP="00863735">
      <w:pPr>
        <w:pStyle w:val="ListParagraph"/>
        <w:tabs>
          <w:tab w:val="left" w:pos="550"/>
        </w:tabs>
        <w:ind w:left="550" w:hanging="550"/>
        <w:jc w:val="both"/>
        <w:rPr>
          <w:rFonts w:cs="Arial"/>
          <w:bCs/>
          <w:szCs w:val="22"/>
        </w:rPr>
      </w:pPr>
      <w:proofErr w:type="gramStart"/>
      <w:r w:rsidRPr="00873AC0">
        <w:rPr>
          <w:rFonts w:cs="Arial"/>
          <w:szCs w:val="22"/>
        </w:rPr>
        <w:t>1</w:t>
      </w:r>
      <w:r w:rsidR="008E7F02" w:rsidRPr="00873AC0">
        <w:rPr>
          <w:rFonts w:cs="Arial"/>
          <w:szCs w:val="22"/>
        </w:rPr>
        <w:t>2</w:t>
      </w:r>
      <w:r w:rsidRPr="00873AC0">
        <w:rPr>
          <w:rFonts w:cs="Arial"/>
          <w:szCs w:val="22"/>
        </w:rPr>
        <w:t>.1  The</w:t>
      </w:r>
      <w:proofErr w:type="gramEnd"/>
      <w:r w:rsidRPr="00873AC0">
        <w:rPr>
          <w:rFonts w:cs="Arial"/>
          <w:szCs w:val="22"/>
        </w:rPr>
        <w:t xml:space="preserve"> Authority reserves the right to revisit, and if necessary amend the result of, the evaluation if after completion of the evaluation:</w:t>
      </w:r>
    </w:p>
    <w:p w14:paraId="272D795A" w14:textId="77777777" w:rsidR="00863735" w:rsidRPr="00873AC0" w:rsidRDefault="00863735" w:rsidP="00863735">
      <w:pPr>
        <w:pStyle w:val="ListParagraph"/>
        <w:tabs>
          <w:tab w:val="left" w:pos="550"/>
        </w:tabs>
        <w:ind w:left="550" w:hanging="550"/>
        <w:jc w:val="both"/>
        <w:rPr>
          <w:rFonts w:cs="Arial"/>
          <w:bCs/>
          <w:szCs w:val="22"/>
        </w:rPr>
      </w:pPr>
    </w:p>
    <w:p w14:paraId="16954A1D" w14:textId="77777777" w:rsidR="00863735" w:rsidRPr="00873AC0" w:rsidRDefault="00863735" w:rsidP="00863735">
      <w:pPr>
        <w:pStyle w:val="ListParagraph"/>
        <w:numPr>
          <w:ilvl w:val="2"/>
          <w:numId w:val="9"/>
        </w:numPr>
        <w:tabs>
          <w:tab w:val="left" w:pos="1100"/>
        </w:tabs>
        <w:jc w:val="both"/>
        <w:rPr>
          <w:rFonts w:cs="Arial"/>
          <w:szCs w:val="22"/>
        </w:rPr>
      </w:pPr>
      <w:r w:rsidRPr="00873AC0">
        <w:rPr>
          <w:rFonts w:cs="Arial"/>
          <w:szCs w:val="22"/>
        </w:rPr>
        <w:t xml:space="preserve">new information emerges which gives the Authority reason to doubt the original pre-qualification; or </w:t>
      </w:r>
    </w:p>
    <w:p w14:paraId="7848FAE5" w14:textId="77777777" w:rsidR="00863735" w:rsidRDefault="00863735" w:rsidP="00863735">
      <w:pPr>
        <w:pStyle w:val="ListParagraph"/>
        <w:tabs>
          <w:tab w:val="left" w:pos="1100"/>
        </w:tabs>
        <w:ind w:left="1080"/>
        <w:jc w:val="both"/>
        <w:rPr>
          <w:rFonts w:cs="Arial"/>
          <w:szCs w:val="22"/>
        </w:rPr>
      </w:pPr>
    </w:p>
    <w:p w14:paraId="22CE2485" w14:textId="77777777" w:rsidR="00863735" w:rsidRDefault="00863735" w:rsidP="00863735">
      <w:pPr>
        <w:pStyle w:val="ListParagraph"/>
        <w:numPr>
          <w:ilvl w:val="2"/>
          <w:numId w:val="9"/>
        </w:numPr>
        <w:tabs>
          <w:tab w:val="left" w:pos="1100"/>
        </w:tabs>
        <w:jc w:val="both"/>
        <w:rPr>
          <w:rFonts w:cs="Arial"/>
          <w:szCs w:val="22"/>
        </w:rPr>
      </w:pPr>
      <w:r>
        <w:rPr>
          <w:rFonts w:cs="Arial"/>
          <w:szCs w:val="22"/>
        </w:rPr>
        <w:t>in relation to a bid by a consortium, a member of the consortium changes (where approved by the Authority).</w:t>
      </w:r>
    </w:p>
    <w:p w14:paraId="595BC992" w14:textId="77777777" w:rsidR="00863735" w:rsidRDefault="00863735" w:rsidP="00863735">
      <w:pPr>
        <w:pStyle w:val="ListParagraph"/>
        <w:tabs>
          <w:tab w:val="left" w:pos="550"/>
        </w:tabs>
        <w:ind w:left="550" w:hanging="550"/>
        <w:jc w:val="both"/>
        <w:rPr>
          <w:rFonts w:cs="Arial"/>
          <w:bCs/>
          <w:szCs w:val="22"/>
        </w:rPr>
      </w:pPr>
    </w:p>
    <w:p w14:paraId="3150DC47" w14:textId="1EED24C5" w:rsidR="00863735" w:rsidRDefault="00863735" w:rsidP="00863735">
      <w:pPr>
        <w:pStyle w:val="ListParagraph"/>
        <w:tabs>
          <w:tab w:val="left" w:pos="550"/>
        </w:tabs>
        <w:ind w:left="550" w:hanging="550"/>
        <w:jc w:val="both"/>
        <w:rPr>
          <w:rFonts w:cs="Arial"/>
          <w:bCs/>
          <w:szCs w:val="22"/>
        </w:rPr>
      </w:pPr>
      <w:r>
        <w:rPr>
          <w:rFonts w:cs="Arial"/>
          <w:szCs w:val="22"/>
        </w:rPr>
        <w:t>1</w:t>
      </w:r>
      <w:r w:rsidR="008E7F02">
        <w:rPr>
          <w:rFonts w:cs="Arial"/>
          <w:szCs w:val="22"/>
        </w:rPr>
        <w:t>2</w:t>
      </w:r>
      <w:r>
        <w:rPr>
          <w:rFonts w:cs="Arial"/>
          <w:szCs w:val="22"/>
        </w:rPr>
        <w:t>.2</w:t>
      </w:r>
      <w:r>
        <w:rPr>
          <w:rFonts w:cs="Arial"/>
          <w:szCs w:val="22"/>
        </w:rPr>
        <w:tab/>
        <w:t xml:space="preserve">The MOD also reserves the right at a later stage of this process to ask for evidence as to the claims made by and information provided by the Potential Provider pursuant to the </w:t>
      </w:r>
      <w:r w:rsidR="00C96485">
        <w:rPr>
          <w:rFonts w:cs="Arial"/>
          <w:szCs w:val="22"/>
        </w:rPr>
        <w:t>D</w:t>
      </w:r>
      <w:r>
        <w:rPr>
          <w:rFonts w:cs="Arial"/>
          <w:szCs w:val="22"/>
        </w:rPr>
        <w:t>PQQ.</w:t>
      </w:r>
    </w:p>
    <w:p w14:paraId="061F5B66" w14:textId="77777777" w:rsidR="00863735" w:rsidRPr="00863735" w:rsidRDefault="00863735">
      <w:pPr>
        <w:rPr>
          <w:b/>
        </w:rPr>
      </w:pPr>
    </w:p>
    <w:sectPr w:rsidR="00863735" w:rsidRPr="0086373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E4A8" w14:textId="77777777" w:rsidR="00C52716" w:rsidRDefault="00C52716" w:rsidP="00863735">
      <w:pPr>
        <w:spacing w:after="0" w:line="240" w:lineRule="auto"/>
      </w:pPr>
      <w:r>
        <w:separator/>
      </w:r>
    </w:p>
  </w:endnote>
  <w:endnote w:type="continuationSeparator" w:id="0">
    <w:p w14:paraId="2746AFEC" w14:textId="77777777" w:rsidR="00C52716" w:rsidRDefault="00C52716" w:rsidP="00863735">
      <w:pPr>
        <w:spacing w:after="0" w:line="240" w:lineRule="auto"/>
      </w:pPr>
      <w:r>
        <w:continuationSeparator/>
      </w:r>
    </w:p>
  </w:endnote>
  <w:endnote w:type="continuationNotice" w:id="1">
    <w:p w14:paraId="383035D8" w14:textId="77777777" w:rsidR="00C52716" w:rsidRDefault="00C52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EC9F" w14:textId="77777777" w:rsidR="00863735" w:rsidRDefault="00863735" w:rsidP="00863735">
    <w:pPr>
      <w:pStyle w:val="Footer"/>
      <w:jc w:val="center"/>
      <w:rPr>
        <w:rFonts w:ascii="Arial" w:hAnsi="Arial" w:cs="Arial"/>
        <w:sz w:val="20"/>
        <w:szCs w:val="20"/>
      </w:rPr>
    </w:pPr>
    <w:r>
      <w:rPr>
        <w:rFonts w:ascii="Arial" w:hAnsi="Arial" w:cs="Arial"/>
        <w:sz w:val="20"/>
        <w:szCs w:val="20"/>
      </w:rPr>
      <w:t>OFFICIAL – SENSITIVE – COMMERCIAL</w:t>
    </w:r>
  </w:p>
  <w:p w14:paraId="6CA74D6D" w14:textId="77777777" w:rsidR="00863735" w:rsidRDefault="00863735" w:rsidP="00863735">
    <w:pPr>
      <w:pStyle w:val="Footer"/>
      <w:jc w:val="center"/>
      <w:rPr>
        <w:rFonts w:ascii="Arial" w:hAnsi="Arial" w:cs="Arial"/>
        <w:sz w:val="20"/>
        <w:szCs w:val="20"/>
      </w:rPr>
    </w:pPr>
  </w:p>
  <w:p w14:paraId="69523B3E" w14:textId="77777777" w:rsidR="00863735" w:rsidRDefault="00863735" w:rsidP="00863735">
    <w:pPr>
      <w:pStyle w:val="Footer"/>
      <w:jc w:val="center"/>
      <w:rPr>
        <w:rFonts w:ascii="Arial" w:hAnsi="Arial" w:cs="Arial"/>
        <w:b/>
        <w:bCs/>
        <w:sz w:val="20"/>
        <w:szCs w:val="20"/>
      </w:rPr>
    </w:pPr>
    <w:r>
      <w:rPr>
        <w:rFonts w:ascii="Arial" w:hAnsi="Arial" w:cs="Arial"/>
        <w:sz w:val="20"/>
        <w:szCs w:val="20"/>
      </w:rPr>
      <w:t xml:space="preserve">Page </w:t>
    </w: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Pr>
        <w:rFonts w:ascii="Arial" w:hAnsi="Arial" w:cs="Arial"/>
        <w:b/>
        <w:bCs/>
        <w:sz w:val="20"/>
        <w:szCs w:val="20"/>
      </w:rPr>
      <w:t>1</w:t>
    </w:r>
    <w:r>
      <w:rPr>
        <w:rFonts w:ascii="Arial" w:hAnsi="Arial" w:cs="Arial"/>
        <w:b/>
        <w:bCs/>
        <w:sz w:val="20"/>
        <w:szCs w:val="20"/>
      </w:rPr>
      <w:fldChar w:fldCharType="end"/>
    </w:r>
    <w:r>
      <w:rPr>
        <w:rFonts w:ascii="Arial" w:hAnsi="Arial" w:cs="Arial"/>
        <w:sz w:val="20"/>
        <w:szCs w:val="20"/>
      </w:rPr>
      <w:t xml:space="preserve"> of </w:t>
    </w:r>
    <w:r>
      <w:rPr>
        <w:rFonts w:ascii="Arial" w:hAnsi="Arial" w:cs="Arial"/>
        <w:b/>
        <w:bCs/>
        <w:sz w:val="20"/>
        <w:szCs w:val="20"/>
      </w:rPr>
      <w:fldChar w:fldCharType="begin"/>
    </w:r>
    <w:r>
      <w:rPr>
        <w:rFonts w:ascii="Arial" w:hAnsi="Arial" w:cs="Arial"/>
        <w:b/>
        <w:bCs/>
        <w:sz w:val="20"/>
        <w:szCs w:val="20"/>
      </w:rPr>
      <w:instrText xml:space="preserve"> NUMPAGES  </w:instrText>
    </w:r>
    <w:r>
      <w:rPr>
        <w:rFonts w:ascii="Arial" w:hAnsi="Arial" w:cs="Arial"/>
        <w:b/>
        <w:bCs/>
        <w:sz w:val="20"/>
        <w:szCs w:val="20"/>
      </w:rPr>
      <w:fldChar w:fldCharType="separate"/>
    </w:r>
    <w:r>
      <w:rPr>
        <w:rFonts w:ascii="Arial" w:hAnsi="Arial" w:cs="Arial"/>
        <w:b/>
        <w:bCs/>
        <w:sz w:val="20"/>
        <w:szCs w:val="20"/>
      </w:rPr>
      <w:t>6</w:t>
    </w:r>
    <w:r>
      <w:rPr>
        <w:rFonts w:ascii="Arial" w:hAnsi="Arial" w:cs="Arial"/>
        <w:b/>
        <w:bCs/>
        <w:sz w:val="20"/>
        <w:szCs w:val="20"/>
      </w:rPr>
      <w:fldChar w:fldCharType="end"/>
    </w:r>
  </w:p>
  <w:p w14:paraId="12B7A20D" w14:textId="77777777" w:rsidR="00863735" w:rsidRDefault="00863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0766" w14:textId="77777777" w:rsidR="00C52716" w:rsidRDefault="00C52716" w:rsidP="00863735">
      <w:pPr>
        <w:spacing w:after="0" w:line="240" w:lineRule="auto"/>
      </w:pPr>
      <w:r>
        <w:separator/>
      </w:r>
    </w:p>
  </w:footnote>
  <w:footnote w:type="continuationSeparator" w:id="0">
    <w:p w14:paraId="3287A098" w14:textId="77777777" w:rsidR="00C52716" w:rsidRDefault="00C52716" w:rsidP="00863735">
      <w:pPr>
        <w:spacing w:after="0" w:line="240" w:lineRule="auto"/>
      </w:pPr>
      <w:r>
        <w:continuationSeparator/>
      </w:r>
    </w:p>
  </w:footnote>
  <w:footnote w:type="continuationNotice" w:id="1">
    <w:p w14:paraId="6B9D8F7C" w14:textId="77777777" w:rsidR="00C52716" w:rsidRDefault="00C527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8794" w14:textId="77777777" w:rsidR="00863735" w:rsidRDefault="00863735" w:rsidP="00863735">
    <w:pPr>
      <w:pStyle w:val="Header"/>
      <w:jc w:val="center"/>
      <w:rPr>
        <w:rFonts w:ascii="Arial" w:hAnsi="Arial" w:cs="Arial"/>
        <w:sz w:val="20"/>
      </w:rPr>
    </w:pPr>
    <w:r>
      <w:t>OFFICIAL - SENSITIVE - COMMERCIAL</w:t>
    </w:r>
  </w:p>
  <w:p w14:paraId="06FE2963" w14:textId="77777777" w:rsidR="00863735" w:rsidRDefault="00863735" w:rsidP="00863735">
    <w:pPr>
      <w:pStyle w:val="Header"/>
      <w:jc w:val="right"/>
      <w:rPr>
        <w:rFonts w:ascii="Arial" w:hAnsi="Arial" w:cs="Arial"/>
        <w:sz w:val="20"/>
      </w:rPr>
    </w:pPr>
    <w:r>
      <w:rPr>
        <w:rFonts w:ascii="Arial" w:hAnsi="Arial" w:cs="Arial"/>
        <w:sz w:val="20"/>
      </w:rPr>
      <w:t>ANNEX A To</w:t>
    </w:r>
  </w:p>
  <w:p w14:paraId="5F866EBD" w14:textId="6B5C2C88" w:rsidR="00863735" w:rsidRPr="008C7402" w:rsidRDefault="00E400DC" w:rsidP="00863735">
    <w:pPr>
      <w:pStyle w:val="Header"/>
      <w:jc w:val="right"/>
      <w:rPr>
        <w:rFonts w:ascii="Arial" w:hAnsi="Arial" w:cs="Arial"/>
        <w:sz w:val="20"/>
      </w:rPr>
    </w:pPr>
    <w:r w:rsidRPr="008C7402">
      <w:rPr>
        <w:rFonts w:ascii="Arial" w:hAnsi="Arial" w:cs="Arial"/>
        <w:sz w:val="20"/>
      </w:rPr>
      <w:t>703793451</w:t>
    </w:r>
    <w:r w:rsidR="00863735" w:rsidRPr="008C7402">
      <w:rPr>
        <w:rFonts w:ascii="Arial" w:hAnsi="Arial" w:cs="Arial"/>
        <w:sz w:val="20"/>
      </w:rPr>
      <w:t xml:space="preserve"> </w:t>
    </w:r>
    <w:r w:rsidRPr="008C7402">
      <w:rPr>
        <w:rFonts w:ascii="Arial" w:hAnsi="Arial" w:cs="Arial"/>
        <w:sz w:val="20"/>
      </w:rPr>
      <w:t>D</w:t>
    </w:r>
    <w:r w:rsidR="00863735" w:rsidRPr="008C7402">
      <w:rPr>
        <w:rFonts w:ascii="Arial" w:hAnsi="Arial" w:cs="Arial"/>
        <w:sz w:val="20"/>
      </w:rPr>
      <w:t>PQQ</w:t>
    </w:r>
  </w:p>
  <w:p w14:paraId="43533635" w14:textId="77777777" w:rsidR="00863735" w:rsidRDefault="00863735" w:rsidP="0086373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0D"/>
    <w:multiLevelType w:val="multilevel"/>
    <w:tmpl w:val="54CEBE8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F907C6"/>
    <w:multiLevelType w:val="multilevel"/>
    <w:tmpl w:val="F31E5CDE"/>
    <w:lvl w:ilvl="0">
      <w:start w:val="1"/>
      <w:numFmt w:val="lowerLetter"/>
      <w:lvlText w:val="%1)"/>
      <w:lvlJc w:val="left"/>
      <w:pPr>
        <w:ind w:left="360" w:hanging="360"/>
      </w:pPr>
    </w:lvl>
    <w:lvl w:ilvl="1">
      <w:start w:val="1"/>
      <w:numFmt w:val="lowerRoman"/>
      <w:lvlText w:val="%2."/>
      <w:lvlJc w:val="right"/>
      <w:pPr>
        <w:ind w:left="19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8974035"/>
    <w:multiLevelType w:val="hybridMultilevel"/>
    <w:tmpl w:val="6B1C8424"/>
    <w:name w:val="Schedule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05871"/>
    <w:multiLevelType w:val="hybridMultilevel"/>
    <w:tmpl w:val="5A04AF7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C9617B9"/>
    <w:multiLevelType w:val="hybridMultilevel"/>
    <w:tmpl w:val="F238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D41E1"/>
    <w:multiLevelType w:val="multilevel"/>
    <w:tmpl w:val="E098E058"/>
    <w:lvl w:ilvl="0">
      <w:start w:val="75"/>
      <w:numFmt w:val="decimal"/>
      <w:lvlText w:val="%1)"/>
      <w:lvlJc w:val="left"/>
      <w:pPr>
        <w:ind w:left="360" w:hanging="360"/>
      </w:pPr>
      <w:rPr>
        <w:rFonts w:cs="Times New Roman"/>
      </w:rPr>
    </w:lvl>
    <w:lvl w:ilvl="1">
      <w:start w:val="1"/>
      <w:numFmt w:val="lowerRoman"/>
      <w:lvlText w:val="%2."/>
      <w:lvlJc w:val="righ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5A34200"/>
    <w:multiLevelType w:val="multilevel"/>
    <w:tmpl w:val="18A0FAC4"/>
    <w:lvl w:ilvl="0">
      <w:start w:val="75"/>
      <w:numFmt w:val="decimal"/>
      <w:lvlText w:val="%1)"/>
      <w:lvlJc w:val="left"/>
      <w:pPr>
        <w:ind w:left="360" w:hanging="360"/>
      </w:pPr>
      <w:rPr>
        <w:rFonts w:cs="Times New Roman"/>
      </w:rPr>
    </w:lvl>
    <w:lvl w:ilvl="1">
      <w:start w:val="1"/>
      <w:numFmt w:val="lowerRoman"/>
      <w:lvlText w:val="%2."/>
      <w:lvlJc w:val="righ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3128146D"/>
    <w:multiLevelType w:val="hybridMultilevel"/>
    <w:tmpl w:val="60840862"/>
    <w:lvl w:ilvl="0" w:tplc="E5EE9BE0">
      <w:start w:val="2"/>
      <w:numFmt w:val="decimal"/>
      <w:lvlText w:val="%1.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75B6723"/>
    <w:multiLevelType w:val="multilevel"/>
    <w:tmpl w:val="04AEC2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7DB7251"/>
    <w:multiLevelType w:val="multilevel"/>
    <w:tmpl w:val="54CEBE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2206" w:hanging="504"/>
      </w:pPr>
      <w:rPr>
        <w:rFonts w:hint="default"/>
        <w:b w:val="0"/>
        <w:bCs/>
      </w:rPr>
    </w:lvl>
    <w:lvl w:ilvl="3">
      <w:start w:val="1"/>
      <w:numFmt w:val="decimal"/>
      <w:lvlText w:val="%1.%2.%3.%4."/>
      <w:lvlJc w:val="left"/>
      <w:pPr>
        <w:ind w:left="1783"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F7100E"/>
    <w:multiLevelType w:val="multilevel"/>
    <w:tmpl w:val="3FE0C46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E8E453D"/>
    <w:multiLevelType w:val="multilevel"/>
    <w:tmpl w:val="3888392E"/>
    <w:lvl w:ilvl="0">
      <w:start w:val="3"/>
      <w:numFmt w:val="decimal"/>
      <w:lvlText w:val="%1."/>
      <w:lvlJc w:val="left"/>
      <w:pPr>
        <w:ind w:left="360" w:hanging="360"/>
      </w:pPr>
      <w:rPr>
        <w:rFonts w:hint="default"/>
      </w:rPr>
    </w:lvl>
    <w:lvl w:ilvl="1">
      <w:start w:val="1"/>
      <w:numFmt w:val="decimal"/>
      <w:lvlText w:val="%1.%2."/>
      <w:lvlJc w:val="left"/>
      <w:pPr>
        <w:ind w:left="858" w:hanging="432"/>
      </w:pPr>
      <w:rPr>
        <w:rFonts w:hint="default"/>
        <w:b w:val="0"/>
        <w:bCs/>
        <w:color w:val="auto"/>
        <w:sz w:val="24"/>
        <w:szCs w:val="24"/>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3E7A4E"/>
    <w:multiLevelType w:val="multilevel"/>
    <w:tmpl w:val="F440D9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7E61374"/>
    <w:multiLevelType w:val="multilevel"/>
    <w:tmpl w:val="F440D93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B6A520E"/>
    <w:multiLevelType w:val="hybridMultilevel"/>
    <w:tmpl w:val="DD6C33B6"/>
    <w:lvl w:ilvl="0" w:tplc="08090019">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11"/>
  </w:num>
  <w:num w:numId="13">
    <w:abstractNumId w:val="4"/>
  </w:num>
  <w:num w:numId="14">
    <w:abstractNumId w:val="0"/>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35"/>
    <w:rsid w:val="0000339A"/>
    <w:rsid w:val="0000383B"/>
    <w:rsid w:val="00014AAE"/>
    <w:rsid w:val="00015D39"/>
    <w:rsid w:val="000375C6"/>
    <w:rsid w:val="0007433F"/>
    <w:rsid w:val="00075E26"/>
    <w:rsid w:val="000B003F"/>
    <w:rsid w:val="000C7D6E"/>
    <w:rsid w:val="000F2C6E"/>
    <w:rsid w:val="00110D96"/>
    <w:rsid w:val="00112C4D"/>
    <w:rsid w:val="00121208"/>
    <w:rsid w:val="001229A4"/>
    <w:rsid w:val="00155257"/>
    <w:rsid w:val="00164206"/>
    <w:rsid w:val="0017422C"/>
    <w:rsid w:val="001B5F2C"/>
    <w:rsid w:val="001F5238"/>
    <w:rsid w:val="002159F8"/>
    <w:rsid w:val="00216C68"/>
    <w:rsid w:val="0022447A"/>
    <w:rsid w:val="0023145D"/>
    <w:rsid w:val="002343C6"/>
    <w:rsid w:val="00253F84"/>
    <w:rsid w:val="00286B6E"/>
    <w:rsid w:val="002959C7"/>
    <w:rsid w:val="002E00BE"/>
    <w:rsid w:val="00310296"/>
    <w:rsid w:val="00333F9D"/>
    <w:rsid w:val="003403FC"/>
    <w:rsid w:val="00351B07"/>
    <w:rsid w:val="00361E48"/>
    <w:rsid w:val="003D2260"/>
    <w:rsid w:val="003E4DF4"/>
    <w:rsid w:val="003E53D0"/>
    <w:rsid w:val="003F76B6"/>
    <w:rsid w:val="004026BE"/>
    <w:rsid w:val="00402A5B"/>
    <w:rsid w:val="00406D12"/>
    <w:rsid w:val="00416189"/>
    <w:rsid w:val="00440E85"/>
    <w:rsid w:val="004754E1"/>
    <w:rsid w:val="00477E97"/>
    <w:rsid w:val="00490EF2"/>
    <w:rsid w:val="004B3413"/>
    <w:rsid w:val="004E14CE"/>
    <w:rsid w:val="00507829"/>
    <w:rsid w:val="005112D6"/>
    <w:rsid w:val="00517069"/>
    <w:rsid w:val="00520294"/>
    <w:rsid w:val="005207C7"/>
    <w:rsid w:val="00557EE9"/>
    <w:rsid w:val="00592297"/>
    <w:rsid w:val="005C1C73"/>
    <w:rsid w:val="005C5801"/>
    <w:rsid w:val="005E1469"/>
    <w:rsid w:val="005E566E"/>
    <w:rsid w:val="005F3213"/>
    <w:rsid w:val="0060054F"/>
    <w:rsid w:val="006107C0"/>
    <w:rsid w:val="00613A73"/>
    <w:rsid w:val="00633A33"/>
    <w:rsid w:val="006762D1"/>
    <w:rsid w:val="00690208"/>
    <w:rsid w:val="006A27C4"/>
    <w:rsid w:val="006B561F"/>
    <w:rsid w:val="006D54C7"/>
    <w:rsid w:val="006D7A6F"/>
    <w:rsid w:val="0070364F"/>
    <w:rsid w:val="007417CF"/>
    <w:rsid w:val="00747A69"/>
    <w:rsid w:val="00752DCC"/>
    <w:rsid w:val="00776670"/>
    <w:rsid w:val="00780139"/>
    <w:rsid w:val="007A494A"/>
    <w:rsid w:val="007F1DFD"/>
    <w:rsid w:val="007F535D"/>
    <w:rsid w:val="008164DB"/>
    <w:rsid w:val="00831C3B"/>
    <w:rsid w:val="00835EC9"/>
    <w:rsid w:val="0084515C"/>
    <w:rsid w:val="0084553E"/>
    <w:rsid w:val="00863735"/>
    <w:rsid w:val="00873AC0"/>
    <w:rsid w:val="008762AC"/>
    <w:rsid w:val="00886655"/>
    <w:rsid w:val="008C7402"/>
    <w:rsid w:val="008E7F02"/>
    <w:rsid w:val="0090776E"/>
    <w:rsid w:val="00911727"/>
    <w:rsid w:val="00912312"/>
    <w:rsid w:val="00923936"/>
    <w:rsid w:val="00937DC2"/>
    <w:rsid w:val="00953701"/>
    <w:rsid w:val="0097768E"/>
    <w:rsid w:val="009A1FC5"/>
    <w:rsid w:val="009C019B"/>
    <w:rsid w:val="009C60B8"/>
    <w:rsid w:val="009D7D58"/>
    <w:rsid w:val="009F27EC"/>
    <w:rsid w:val="00A22155"/>
    <w:rsid w:val="00A80B02"/>
    <w:rsid w:val="00AA664C"/>
    <w:rsid w:val="00B10966"/>
    <w:rsid w:val="00B12920"/>
    <w:rsid w:val="00B204F7"/>
    <w:rsid w:val="00B21DC0"/>
    <w:rsid w:val="00B40753"/>
    <w:rsid w:val="00B521B9"/>
    <w:rsid w:val="00B7592A"/>
    <w:rsid w:val="00B77A52"/>
    <w:rsid w:val="00BB16BE"/>
    <w:rsid w:val="00C07131"/>
    <w:rsid w:val="00C52716"/>
    <w:rsid w:val="00C73312"/>
    <w:rsid w:val="00C838E2"/>
    <w:rsid w:val="00C93386"/>
    <w:rsid w:val="00C96485"/>
    <w:rsid w:val="00CA19AC"/>
    <w:rsid w:val="00CC3F6D"/>
    <w:rsid w:val="00CC7F73"/>
    <w:rsid w:val="00CD4125"/>
    <w:rsid w:val="00CE1FA3"/>
    <w:rsid w:val="00CE44C9"/>
    <w:rsid w:val="00D258BA"/>
    <w:rsid w:val="00D31DD7"/>
    <w:rsid w:val="00D32B66"/>
    <w:rsid w:val="00D64D3A"/>
    <w:rsid w:val="00D75C2E"/>
    <w:rsid w:val="00D9134E"/>
    <w:rsid w:val="00DA31BB"/>
    <w:rsid w:val="00DE0D05"/>
    <w:rsid w:val="00DE4E51"/>
    <w:rsid w:val="00DE7044"/>
    <w:rsid w:val="00DE7FCC"/>
    <w:rsid w:val="00E400DC"/>
    <w:rsid w:val="00E44659"/>
    <w:rsid w:val="00E51C67"/>
    <w:rsid w:val="00E70645"/>
    <w:rsid w:val="00EA3575"/>
    <w:rsid w:val="00ED64CC"/>
    <w:rsid w:val="00EE5FE7"/>
    <w:rsid w:val="00EF5139"/>
    <w:rsid w:val="00F242B3"/>
    <w:rsid w:val="00F42986"/>
    <w:rsid w:val="00F820C6"/>
    <w:rsid w:val="00F93BE2"/>
    <w:rsid w:val="00F94801"/>
    <w:rsid w:val="00FF3369"/>
    <w:rsid w:val="0230D048"/>
    <w:rsid w:val="0568710A"/>
    <w:rsid w:val="05C6C599"/>
    <w:rsid w:val="067FB69F"/>
    <w:rsid w:val="08F3E885"/>
    <w:rsid w:val="0A3BE22D"/>
    <w:rsid w:val="0AD849AC"/>
    <w:rsid w:val="0F632A09"/>
    <w:rsid w:val="15B94330"/>
    <w:rsid w:val="167257C7"/>
    <w:rsid w:val="170239F2"/>
    <w:rsid w:val="1B589AC5"/>
    <w:rsid w:val="1BD5AB15"/>
    <w:rsid w:val="1FA3BF09"/>
    <w:rsid w:val="20DC06DC"/>
    <w:rsid w:val="22DB5FCB"/>
    <w:rsid w:val="27EBD462"/>
    <w:rsid w:val="29E1A252"/>
    <w:rsid w:val="2B7D72B3"/>
    <w:rsid w:val="30F0CF5D"/>
    <w:rsid w:val="31ECB437"/>
    <w:rsid w:val="3335AAF9"/>
    <w:rsid w:val="3441992F"/>
    <w:rsid w:val="3A13278A"/>
    <w:rsid w:val="3D8FB2CE"/>
    <w:rsid w:val="3F6C2093"/>
    <w:rsid w:val="45426649"/>
    <w:rsid w:val="494E90F1"/>
    <w:rsid w:val="4E7D4693"/>
    <w:rsid w:val="52C0D58B"/>
    <w:rsid w:val="5E95A546"/>
    <w:rsid w:val="5FA74619"/>
    <w:rsid w:val="62DEE6DB"/>
    <w:rsid w:val="6609A556"/>
    <w:rsid w:val="6F2EF4EE"/>
    <w:rsid w:val="73523CB1"/>
    <w:rsid w:val="749906D2"/>
    <w:rsid w:val="74E61660"/>
    <w:rsid w:val="7D5D5E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ECF3"/>
  <w15:chartTrackingRefBased/>
  <w15:docId w15:val="{104896E0-C49A-4FF8-84DE-377EDA55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35"/>
  </w:style>
  <w:style w:type="paragraph" w:styleId="Heading1">
    <w:name w:val="heading 1"/>
    <w:basedOn w:val="Normal"/>
    <w:next w:val="Normal"/>
    <w:link w:val="Heading1Char"/>
    <w:qFormat/>
    <w:rsid w:val="00C96485"/>
    <w:pPr>
      <w:spacing w:after="240" w:line="276" w:lineRule="auto"/>
      <w:ind w:left="360" w:hanging="360"/>
      <w:outlineLvl w:val="0"/>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735"/>
  </w:style>
  <w:style w:type="paragraph" w:styleId="Footer">
    <w:name w:val="footer"/>
    <w:basedOn w:val="Normal"/>
    <w:link w:val="FooterChar"/>
    <w:uiPriority w:val="99"/>
    <w:unhideWhenUsed/>
    <w:rsid w:val="00863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735"/>
  </w:style>
  <w:style w:type="paragraph" w:styleId="ListParagraph">
    <w:name w:val="List Paragraph"/>
    <w:basedOn w:val="Normal"/>
    <w:link w:val="ListParagraphChar"/>
    <w:uiPriority w:val="34"/>
    <w:qFormat/>
    <w:rsid w:val="00863735"/>
    <w:pPr>
      <w:overflowPunct w:val="0"/>
      <w:autoSpaceDE w:val="0"/>
      <w:autoSpaceDN w:val="0"/>
      <w:adjustRightInd w:val="0"/>
      <w:spacing w:after="0" w:line="240" w:lineRule="auto"/>
      <w:ind w:left="720"/>
      <w:contextualSpacing/>
    </w:pPr>
    <w:rPr>
      <w:rFonts w:ascii="Arial" w:eastAsia="Times New Roman" w:hAnsi="Arial" w:cs="Times New Roman"/>
      <w:kern w:val="22"/>
      <w:szCs w:val="20"/>
    </w:rPr>
  </w:style>
  <w:style w:type="paragraph" w:customStyle="1" w:styleId="Level1">
    <w:name w:val="Level 1"/>
    <w:rsid w:val="00863735"/>
    <w:pPr>
      <w:tabs>
        <w:tab w:val="left" w:pos="720"/>
        <w:tab w:val="left" w:pos="1425"/>
        <w:tab w:val="left" w:pos="2355"/>
        <w:tab w:val="right" w:pos="10440"/>
      </w:tabs>
      <w:spacing w:after="288" w:line="240" w:lineRule="auto"/>
      <w:jc w:val="both"/>
    </w:pPr>
    <w:rPr>
      <w:rFonts w:ascii="Times New Roman" w:eastAsia="Times New Roman" w:hAnsi="Times New Roman" w:cs="Times New Roman"/>
      <w:color w:val="000000"/>
      <w:sz w:val="24"/>
      <w:szCs w:val="20"/>
    </w:rPr>
  </w:style>
  <w:style w:type="character" w:styleId="Emphasis">
    <w:name w:val="Emphasis"/>
    <w:basedOn w:val="DefaultParagraphFont"/>
    <w:qFormat/>
    <w:rsid w:val="00863735"/>
    <w:rPr>
      <w:i/>
      <w:iCs/>
    </w:rPr>
  </w:style>
  <w:style w:type="paragraph" w:styleId="BalloonText">
    <w:name w:val="Balloon Text"/>
    <w:basedOn w:val="Normal"/>
    <w:link w:val="BalloonTextChar"/>
    <w:uiPriority w:val="99"/>
    <w:semiHidden/>
    <w:unhideWhenUsed/>
    <w:rsid w:val="00E51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C67"/>
    <w:rPr>
      <w:rFonts w:ascii="Segoe UI" w:hAnsi="Segoe UI" w:cs="Segoe UI"/>
      <w:sz w:val="18"/>
      <w:szCs w:val="18"/>
    </w:rPr>
  </w:style>
  <w:style w:type="character" w:styleId="CommentReference">
    <w:name w:val="annotation reference"/>
    <w:basedOn w:val="DefaultParagraphFont"/>
    <w:uiPriority w:val="99"/>
    <w:semiHidden/>
    <w:unhideWhenUsed/>
    <w:rsid w:val="00351B07"/>
    <w:rPr>
      <w:sz w:val="16"/>
      <w:szCs w:val="16"/>
    </w:rPr>
  </w:style>
  <w:style w:type="paragraph" w:styleId="CommentText">
    <w:name w:val="annotation text"/>
    <w:basedOn w:val="Normal"/>
    <w:link w:val="CommentTextChar"/>
    <w:uiPriority w:val="99"/>
    <w:unhideWhenUsed/>
    <w:rsid w:val="00351B07"/>
    <w:pPr>
      <w:spacing w:line="240" w:lineRule="auto"/>
    </w:pPr>
    <w:rPr>
      <w:sz w:val="20"/>
      <w:szCs w:val="20"/>
    </w:rPr>
  </w:style>
  <w:style w:type="character" w:customStyle="1" w:styleId="CommentTextChar">
    <w:name w:val="Comment Text Char"/>
    <w:basedOn w:val="DefaultParagraphFont"/>
    <w:link w:val="CommentText"/>
    <w:uiPriority w:val="99"/>
    <w:rsid w:val="00351B07"/>
    <w:rPr>
      <w:sz w:val="20"/>
      <w:szCs w:val="20"/>
    </w:rPr>
  </w:style>
  <w:style w:type="paragraph" w:styleId="CommentSubject">
    <w:name w:val="annotation subject"/>
    <w:basedOn w:val="CommentText"/>
    <w:next w:val="CommentText"/>
    <w:link w:val="CommentSubjectChar"/>
    <w:uiPriority w:val="99"/>
    <w:semiHidden/>
    <w:unhideWhenUsed/>
    <w:rsid w:val="00351B07"/>
    <w:rPr>
      <w:b/>
      <w:bCs/>
    </w:rPr>
  </w:style>
  <w:style w:type="character" w:customStyle="1" w:styleId="CommentSubjectChar">
    <w:name w:val="Comment Subject Char"/>
    <w:basedOn w:val="CommentTextChar"/>
    <w:link w:val="CommentSubject"/>
    <w:uiPriority w:val="99"/>
    <w:semiHidden/>
    <w:rsid w:val="00351B07"/>
    <w:rPr>
      <w:b/>
      <w:bCs/>
      <w:sz w:val="20"/>
      <w:szCs w:val="20"/>
    </w:rPr>
  </w:style>
  <w:style w:type="character" w:customStyle="1" w:styleId="Heading1Char">
    <w:name w:val="Heading 1 Char"/>
    <w:basedOn w:val="DefaultParagraphFont"/>
    <w:link w:val="Heading1"/>
    <w:rsid w:val="00C96485"/>
    <w:rPr>
      <w:rFonts w:ascii="Arial" w:eastAsia="Arial" w:hAnsi="Arial" w:cs="Arial"/>
      <w:b/>
      <w:sz w:val="20"/>
      <w:szCs w:val="20"/>
    </w:rPr>
  </w:style>
  <w:style w:type="table" w:styleId="TableGrid">
    <w:name w:val="Table Grid"/>
    <w:basedOn w:val="TableNormal"/>
    <w:rsid w:val="00C96485"/>
    <w:pPr>
      <w:numPr>
        <w:numId w:val="4"/>
      </w:numPr>
      <w:tabs>
        <w:tab w:val="num" w:pos="567"/>
      </w:tabs>
      <w:spacing w:before="120" w:after="120" w:line="240" w:lineRule="auto"/>
      <w:ind w:left="567" w:hanging="567"/>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343C6"/>
    <w:rPr>
      <w:rFonts w:ascii="Arial" w:eastAsia="Times New Roman" w:hAnsi="Arial" w:cs="Times New Roman"/>
      <w:kern w:val="22"/>
      <w:szCs w:val="20"/>
    </w:rPr>
  </w:style>
  <w:style w:type="character" w:styleId="Hyperlink">
    <w:name w:val="Hyperlink"/>
    <w:uiPriority w:val="99"/>
    <w:rsid w:val="0060054F"/>
    <w:rPr>
      <w:color w:val="0000FF"/>
      <w:u w:val="single"/>
    </w:rPr>
  </w:style>
  <w:style w:type="table" w:customStyle="1" w:styleId="TableGrid2">
    <w:name w:val="Table Grid2"/>
    <w:basedOn w:val="TableNormal"/>
    <w:next w:val="TableGrid"/>
    <w:rsid w:val="00600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ing2">
    <w:name w:val="Schedule Heading 2"/>
    <w:basedOn w:val="BodyText"/>
    <w:next w:val="BodyText2"/>
    <w:qFormat/>
    <w:rsid w:val="009F27EC"/>
    <w:pPr>
      <w:keepNext/>
      <w:tabs>
        <w:tab w:val="left" w:pos="1559"/>
        <w:tab w:val="left" w:pos="2268"/>
        <w:tab w:val="left" w:pos="2977"/>
        <w:tab w:val="left" w:pos="3686"/>
        <w:tab w:val="left" w:pos="4394"/>
        <w:tab w:val="right" w:pos="8789"/>
      </w:tabs>
      <w:spacing w:before="200" w:after="100" w:line="240" w:lineRule="auto"/>
    </w:pPr>
    <w:rPr>
      <w:rFonts w:ascii="Arial" w:eastAsia="Batang" w:hAnsi="Arial" w:cs="Times New Roman"/>
      <w:b/>
      <w:sz w:val="20"/>
      <w:szCs w:val="20"/>
      <w:lang w:eastAsia="en-GB"/>
    </w:rPr>
  </w:style>
  <w:style w:type="paragraph" w:styleId="BodyText2">
    <w:name w:val="Body Text 2"/>
    <w:basedOn w:val="Normal"/>
    <w:link w:val="BodyText2Char"/>
    <w:semiHidden/>
    <w:unhideWhenUsed/>
    <w:rsid w:val="009F27EC"/>
    <w:pPr>
      <w:spacing w:after="0" w:line="480" w:lineRule="auto"/>
    </w:pPr>
    <w:rPr>
      <w:rFonts w:ascii="Verdana" w:eastAsia="Times New Roman" w:hAnsi="Verdana" w:cs="Times New Roman"/>
      <w:szCs w:val="24"/>
      <w:lang w:eastAsia="ko-KR"/>
    </w:rPr>
  </w:style>
  <w:style w:type="character" w:customStyle="1" w:styleId="BodyText2Char">
    <w:name w:val="Body Text 2 Char"/>
    <w:basedOn w:val="DefaultParagraphFont"/>
    <w:link w:val="BodyText2"/>
    <w:semiHidden/>
    <w:rsid w:val="009F27EC"/>
    <w:rPr>
      <w:rFonts w:ascii="Verdana" w:eastAsia="Times New Roman" w:hAnsi="Verdana" w:cs="Times New Roman"/>
      <w:szCs w:val="24"/>
      <w:lang w:eastAsia="ko-KR"/>
    </w:rPr>
  </w:style>
  <w:style w:type="paragraph" w:styleId="BodyText">
    <w:name w:val="Body Text"/>
    <w:basedOn w:val="Normal"/>
    <w:link w:val="BodyTextChar"/>
    <w:uiPriority w:val="99"/>
    <w:semiHidden/>
    <w:unhideWhenUsed/>
    <w:rsid w:val="009F27EC"/>
    <w:pPr>
      <w:spacing w:after="120"/>
    </w:pPr>
  </w:style>
  <w:style w:type="character" w:customStyle="1" w:styleId="BodyTextChar">
    <w:name w:val="Body Text Char"/>
    <w:basedOn w:val="DefaultParagraphFont"/>
    <w:link w:val="BodyText"/>
    <w:uiPriority w:val="99"/>
    <w:semiHidden/>
    <w:rsid w:val="009F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73281">
      <w:bodyDiv w:val="1"/>
      <w:marLeft w:val="0"/>
      <w:marRight w:val="0"/>
      <w:marTop w:val="0"/>
      <w:marBottom w:val="0"/>
      <w:divBdr>
        <w:top w:val="none" w:sz="0" w:space="0" w:color="auto"/>
        <w:left w:val="none" w:sz="0" w:space="0" w:color="auto"/>
        <w:bottom w:val="none" w:sz="0" w:space="0" w:color="auto"/>
        <w:right w:val="none" w:sz="0" w:space="0" w:color="auto"/>
      </w:divBdr>
    </w:div>
    <w:div w:id="294599535">
      <w:bodyDiv w:val="1"/>
      <w:marLeft w:val="0"/>
      <w:marRight w:val="0"/>
      <w:marTop w:val="0"/>
      <w:marBottom w:val="0"/>
      <w:divBdr>
        <w:top w:val="none" w:sz="0" w:space="0" w:color="auto"/>
        <w:left w:val="none" w:sz="0" w:space="0" w:color="auto"/>
        <w:bottom w:val="none" w:sz="0" w:space="0" w:color="auto"/>
        <w:right w:val="none" w:sz="0" w:space="0" w:color="auto"/>
      </w:divBdr>
    </w:div>
    <w:div w:id="1305236276">
      <w:bodyDiv w:val="1"/>
      <w:marLeft w:val="0"/>
      <w:marRight w:val="0"/>
      <w:marTop w:val="0"/>
      <w:marBottom w:val="0"/>
      <w:divBdr>
        <w:top w:val="none" w:sz="0" w:space="0" w:color="auto"/>
        <w:left w:val="none" w:sz="0" w:space="0" w:color="auto"/>
        <w:bottom w:val="none" w:sz="0" w:space="0" w:color="auto"/>
        <w:right w:val="none" w:sz="0" w:space="0" w:color="auto"/>
      </w:divBdr>
      <w:divsChild>
        <w:div w:id="912816212">
          <w:marLeft w:val="0"/>
          <w:marRight w:val="0"/>
          <w:marTop w:val="0"/>
          <w:marBottom w:val="0"/>
          <w:divBdr>
            <w:top w:val="none" w:sz="0" w:space="0" w:color="auto"/>
            <w:left w:val="none" w:sz="0" w:space="0" w:color="auto"/>
            <w:bottom w:val="none" w:sz="0" w:space="0" w:color="auto"/>
            <w:right w:val="none" w:sz="0" w:space="0" w:color="auto"/>
          </w:divBdr>
        </w:div>
      </w:divsChild>
    </w:div>
    <w:div w:id="18739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ompanywatch.net/analytics-insight/h-sco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F9B932FA595408652B082CA621598" ma:contentTypeVersion="6" ma:contentTypeDescription="Create a new document." ma:contentTypeScope="" ma:versionID="70155490888c8f9f9062932f4a93ee4c">
  <xsd:schema xmlns:xsd="http://www.w3.org/2001/XMLSchema" xmlns:xs="http://www.w3.org/2001/XMLSchema" xmlns:p="http://schemas.microsoft.com/office/2006/metadata/properties" xmlns:ns2="99147835-c1f9-4d41-9144-6091bc6c493c" xmlns:ns3="e8251010-904c-4b49-a917-744f106950dd" targetNamespace="http://schemas.microsoft.com/office/2006/metadata/properties" ma:root="true" ma:fieldsID="ab23fabd253e95c5c54983fa6f663f08" ns2:_="" ns3:_="">
    <xsd:import namespace="99147835-c1f9-4d41-9144-6091bc6c493c"/>
    <xsd:import namespace="e8251010-904c-4b49-a917-744f106950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47835-c1f9-4d41-9144-6091bc6c4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51010-904c-4b49-a917-744f106950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003BB-A88A-433B-A853-3BABC545A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47835-c1f9-4d41-9144-6091bc6c493c"/>
    <ds:schemaRef ds:uri="e8251010-904c-4b49-a917-744f10695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67BF6-4B06-4697-B739-43BAAB089274}">
  <ds:schemaRefs>
    <ds:schemaRef ds:uri="http://schemas.microsoft.com/sharepoint/v3/contenttype/forms"/>
  </ds:schemaRefs>
</ds:datastoreItem>
</file>

<file path=customXml/itemProps3.xml><?xml version="1.0" encoding="utf-8"?>
<ds:datastoreItem xmlns:ds="http://schemas.openxmlformats.org/officeDocument/2006/customXml" ds:itemID="{650B7AFC-1742-48F7-BE66-7E6C1B736D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Hodgkinson, Cara D (Def Comrcl DCGP-19-13)</dc:creator>
  <cp:keywords/>
  <dc:description/>
  <cp:lastModifiedBy>Stone, Stacey D (Def Comrcl-HO BP1-4a)</cp:lastModifiedBy>
  <cp:revision>2</cp:revision>
  <dcterms:created xsi:type="dcterms:W3CDTF">2022-09-12T15:51:00Z</dcterms:created>
  <dcterms:modified xsi:type="dcterms:W3CDTF">2022-09-12T15:51:00Z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0x010100C1AF9B932FA595408652B082CA621598</vt:lpwstr>
  </property>
  <property fmtid="{D5CDD505-2E9C-101B-9397-08002B2CF9AE}" pid="3" name="MSIP_Label_d8a60473-494b-4586-a1bb-b0e663054676_Enabled">
    <vt:lpwstr>true</vt:lpwstr>
  </property>
  <property fmtid="{D5CDD505-2E9C-101B-9397-08002B2CF9AE}" pid="4" name="MSIP_Label_d8a60473-494b-4586-a1bb-b0e663054676_SetDate">
    <vt:lpwstr>2022-06-22T07:57:20Z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c1576f82-f562-4295-b34d-2e6d9b47aac3</vt:lpwstr>
  </property>
  <property fmtid="{D5CDD505-2E9C-101B-9397-08002B2CF9AE}" pid="9" name="MSIP_Label_d8a60473-494b-4586-a1bb-b0e663054676_ContentBits">
    <vt:lpwstr>0</vt:lpwstr>
  </property>
</Properties>
</file>