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FC70" w14:textId="19101250"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183FEB6A" w14:textId="34C82C43" w:rsidR="00AA1382" w:rsidRPr="00E7693A" w:rsidRDefault="00AA1382" w:rsidP="00AA1382">
      <w:pPr>
        <w:spacing w:line="360" w:lineRule="auto"/>
        <w:ind w:left="2835" w:hanging="2835"/>
        <w:rPr>
          <w:sz w:val="32"/>
          <w:szCs w:val="32"/>
          <w:highlight w:val="white"/>
        </w:rPr>
      </w:pPr>
      <w:bookmarkStart w:id="1" w:name="_1fob9te" w:colFirst="0" w:colLast="0"/>
      <w:bookmarkEnd w:id="1"/>
      <w:r w:rsidRPr="0037419F">
        <w:rPr>
          <w:sz w:val="32"/>
          <w:szCs w:val="32"/>
          <w:highlight w:val="white"/>
        </w:rPr>
        <w:t>Contract Reference:</w:t>
      </w:r>
      <w:r w:rsidRPr="00B76BB3">
        <w:rPr>
          <w:sz w:val="32"/>
          <w:szCs w:val="32"/>
        </w:rPr>
        <w:t xml:space="preserve"> </w:t>
      </w:r>
      <w:r w:rsidR="00E7693A">
        <w:rPr>
          <w:sz w:val="32"/>
          <w:szCs w:val="32"/>
        </w:rPr>
        <w:t xml:space="preserve">CCZN21A75 </w:t>
      </w:r>
      <w:r w:rsidR="00E8009B" w:rsidRPr="00E7693A">
        <w:rPr>
          <w:sz w:val="32"/>
          <w:szCs w:val="32"/>
          <w:highlight w:val="white"/>
        </w:rPr>
        <w:t xml:space="preserve">Procurement of Geopolitical Data and Analysis. </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1ABD13B" w14:textId="71C98B51"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C03259">
          <w:rPr>
            <w:noProof/>
            <w:webHidden/>
          </w:rPr>
          <w:t>3</w:t>
        </w:r>
        <w:r w:rsidR="00252FFC">
          <w:rPr>
            <w:noProof/>
            <w:webHidden/>
          </w:rPr>
          <w:fldChar w:fldCharType="end"/>
        </w:r>
      </w:hyperlink>
    </w:p>
    <w:p w14:paraId="77869DAC" w14:textId="12EE8128" w:rsidR="00252FFC" w:rsidRDefault="0011055F">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C03259">
          <w:rPr>
            <w:noProof/>
            <w:webHidden/>
          </w:rPr>
          <w:t>3</w:t>
        </w:r>
        <w:r w:rsidR="00252FFC">
          <w:rPr>
            <w:noProof/>
            <w:webHidden/>
          </w:rPr>
          <w:fldChar w:fldCharType="end"/>
        </w:r>
      </w:hyperlink>
    </w:p>
    <w:p w14:paraId="025BB624" w14:textId="03E8DD6B" w:rsidR="00252FFC" w:rsidRDefault="0011055F">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C03259">
          <w:rPr>
            <w:noProof/>
            <w:webHidden/>
          </w:rPr>
          <w:t>3</w:t>
        </w:r>
        <w:r w:rsidR="00252FFC">
          <w:rPr>
            <w:noProof/>
            <w:webHidden/>
          </w:rPr>
          <w:fldChar w:fldCharType="end"/>
        </w:r>
      </w:hyperlink>
    </w:p>
    <w:p w14:paraId="136730DD" w14:textId="37AA1D8B" w:rsidR="00252FFC" w:rsidRDefault="0011055F">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C03259">
          <w:rPr>
            <w:noProof/>
            <w:webHidden/>
          </w:rPr>
          <w:t>3</w:t>
        </w:r>
        <w:r w:rsidR="00252FFC">
          <w:rPr>
            <w:noProof/>
            <w:webHidden/>
          </w:rPr>
          <w:fldChar w:fldCharType="end"/>
        </w:r>
      </w:hyperlink>
    </w:p>
    <w:p w14:paraId="78CA4116" w14:textId="4B353C52" w:rsidR="00252FFC" w:rsidRDefault="0011055F">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C03259">
          <w:rPr>
            <w:noProof/>
            <w:webHidden/>
          </w:rPr>
          <w:t>3</w:t>
        </w:r>
        <w:r w:rsidR="00252FFC">
          <w:rPr>
            <w:noProof/>
            <w:webHidden/>
          </w:rPr>
          <w:fldChar w:fldCharType="end"/>
        </w:r>
      </w:hyperlink>
    </w:p>
    <w:p w14:paraId="022FDFAF" w14:textId="15FD4CEF" w:rsidR="00252FFC" w:rsidRDefault="0011055F">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C03259">
          <w:rPr>
            <w:noProof/>
            <w:webHidden/>
          </w:rPr>
          <w:t>4</w:t>
        </w:r>
        <w:r w:rsidR="00252FFC">
          <w:rPr>
            <w:noProof/>
            <w:webHidden/>
          </w:rPr>
          <w:fldChar w:fldCharType="end"/>
        </w:r>
      </w:hyperlink>
    </w:p>
    <w:p w14:paraId="01A4E544" w14:textId="3C50917C" w:rsidR="00252FFC" w:rsidRDefault="0011055F">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C03259">
          <w:rPr>
            <w:noProof/>
            <w:webHidden/>
          </w:rPr>
          <w:t>4</w:t>
        </w:r>
        <w:r w:rsidR="00252FFC">
          <w:rPr>
            <w:noProof/>
            <w:webHidden/>
          </w:rPr>
          <w:fldChar w:fldCharType="end"/>
        </w:r>
      </w:hyperlink>
    </w:p>
    <w:p w14:paraId="2DFC0705" w14:textId="3A82BFE9" w:rsidR="00252FFC" w:rsidRDefault="0011055F">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C03259">
          <w:rPr>
            <w:noProof/>
            <w:webHidden/>
          </w:rPr>
          <w:t>5</w:t>
        </w:r>
        <w:r w:rsidR="00252FFC">
          <w:rPr>
            <w:noProof/>
            <w:webHidden/>
          </w:rPr>
          <w:fldChar w:fldCharType="end"/>
        </w:r>
      </w:hyperlink>
    </w:p>
    <w:p w14:paraId="38A626D3" w14:textId="7D0ACDAC" w:rsidR="00252FFC" w:rsidRDefault="0011055F">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C03259">
          <w:rPr>
            <w:noProof/>
            <w:webHidden/>
          </w:rPr>
          <w:t>5</w:t>
        </w:r>
        <w:r w:rsidR="00252FFC">
          <w:rPr>
            <w:noProof/>
            <w:webHidden/>
          </w:rPr>
          <w:fldChar w:fldCharType="end"/>
        </w:r>
      </w:hyperlink>
    </w:p>
    <w:p w14:paraId="592C3572" w14:textId="3C4B1F25" w:rsidR="00252FFC" w:rsidRDefault="0011055F">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C03259">
          <w:rPr>
            <w:noProof/>
            <w:webHidden/>
          </w:rPr>
          <w:t>5</w:t>
        </w:r>
        <w:r w:rsidR="00252FFC">
          <w:rPr>
            <w:noProof/>
            <w:webHidden/>
          </w:rPr>
          <w:fldChar w:fldCharType="end"/>
        </w:r>
      </w:hyperlink>
    </w:p>
    <w:p w14:paraId="100B2ED5" w14:textId="5C8B4E76" w:rsidR="00252FFC" w:rsidRDefault="0011055F">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C03259">
          <w:rPr>
            <w:noProof/>
            <w:webHidden/>
          </w:rPr>
          <w:t>5</w:t>
        </w:r>
        <w:r w:rsidR="00252FFC">
          <w:rPr>
            <w:noProof/>
            <w:webHidden/>
          </w:rPr>
          <w:fldChar w:fldCharType="end"/>
        </w:r>
      </w:hyperlink>
    </w:p>
    <w:p w14:paraId="181061BF" w14:textId="77E9DA41" w:rsidR="00252FFC" w:rsidRDefault="0011055F">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C03259">
          <w:rPr>
            <w:noProof/>
            <w:webHidden/>
          </w:rPr>
          <w:t>5</w:t>
        </w:r>
        <w:r w:rsidR="00252FFC">
          <w:rPr>
            <w:noProof/>
            <w:webHidden/>
          </w:rPr>
          <w:fldChar w:fldCharType="end"/>
        </w:r>
      </w:hyperlink>
    </w:p>
    <w:p w14:paraId="478290FC" w14:textId="2F96311E" w:rsidR="00252FFC" w:rsidRDefault="0011055F">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C03259">
          <w:rPr>
            <w:noProof/>
            <w:webHidden/>
          </w:rPr>
          <w:t>6</w:t>
        </w:r>
        <w:r w:rsidR="00252FFC">
          <w:rPr>
            <w:noProof/>
            <w:webHidden/>
          </w:rPr>
          <w:fldChar w:fldCharType="end"/>
        </w:r>
      </w:hyperlink>
    </w:p>
    <w:p w14:paraId="77010104" w14:textId="70C647A1" w:rsidR="00252FFC" w:rsidRDefault="0011055F">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C03259">
          <w:rPr>
            <w:noProof/>
            <w:webHidden/>
          </w:rPr>
          <w:t>6</w:t>
        </w:r>
        <w:r w:rsidR="00252FFC">
          <w:rPr>
            <w:noProof/>
            <w:webHidden/>
          </w:rPr>
          <w:fldChar w:fldCharType="end"/>
        </w:r>
      </w:hyperlink>
    </w:p>
    <w:p w14:paraId="7C90DEC0" w14:textId="634954AC" w:rsidR="00252FFC" w:rsidRDefault="0011055F">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C03259">
          <w:rPr>
            <w:noProof/>
            <w:webHidden/>
          </w:rPr>
          <w:t>6</w:t>
        </w:r>
        <w:r w:rsidR="00252FFC">
          <w:rPr>
            <w:noProof/>
            <w:webHidden/>
          </w:rPr>
          <w:fldChar w:fldCharType="end"/>
        </w:r>
      </w:hyperlink>
    </w:p>
    <w:p w14:paraId="5CBE65F5" w14:textId="2AFD4091" w:rsidR="00252FFC" w:rsidRDefault="0011055F">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C03259">
          <w:rPr>
            <w:noProof/>
            <w:webHidden/>
          </w:rPr>
          <w:t>7</w:t>
        </w:r>
        <w:r w:rsidR="00252FFC">
          <w:rPr>
            <w:noProof/>
            <w:webHidden/>
          </w:rPr>
          <w:fldChar w:fldCharType="end"/>
        </w:r>
      </w:hyperlink>
    </w:p>
    <w:p w14:paraId="0F5A4BBD" w14:textId="7BBD88D0" w:rsidR="00252FFC" w:rsidRDefault="0011055F">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C03259">
          <w:rPr>
            <w:noProof/>
            <w:webHidden/>
          </w:rPr>
          <w:t>7</w:t>
        </w:r>
        <w:r w:rsidR="00252FFC">
          <w:rPr>
            <w:noProof/>
            <w:webHidden/>
          </w:rPr>
          <w:fldChar w:fldCharType="end"/>
        </w:r>
      </w:hyperlink>
    </w:p>
    <w:p w14:paraId="16183C13" w14:textId="2944DE45" w:rsidR="00252FFC" w:rsidRDefault="0011055F">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C03259">
          <w:rPr>
            <w:noProof/>
            <w:webHidden/>
          </w:rPr>
          <w:t>7</w:t>
        </w:r>
        <w:r w:rsidR="00252FFC">
          <w:rPr>
            <w:noProof/>
            <w:webHidden/>
          </w:rPr>
          <w:fldChar w:fldCharType="end"/>
        </w:r>
      </w:hyperlink>
    </w:p>
    <w:p w14:paraId="3AC55109" w14:textId="4D2BC68F" w:rsidR="00252FFC" w:rsidRDefault="0011055F">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C03259">
          <w:rPr>
            <w:noProof/>
            <w:webHidden/>
          </w:rPr>
          <w:t>8</w:t>
        </w:r>
        <w:r w:rsidR="00252FFC">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3" w:name="_Toc368573027"/>
      <w:bookmarkStart w:id="4" w:name="_Toc522714834"/>
      <w:r w:rsidRPr="001A45DF">
        <w:rPr>
          <w:caps w:val="0"/>
          <w:sz w:val="32"/>
          <w:szCs w:val="32"/>
        </w:rPr>
        <w:lastRenderedPageBreak/>
        <w:t>PURPOSE</w:t>
      </w:r>
      <w:bookmarkEnd w:id="2"/>
      <w:bookmarkEnd w:id="3"/>
      <w:bookmarkEnd w:id="4"/>
    </w:p>
    <w:p w14:paraId="3BDB92AC" w14:textId="4B9C0FD4" w:rsidR="00FE18AC" w:rsidRPr="00E8009B" w:rsidRDefault="00E8009B" w:rsidP="008F3470">
      <w:pPr>
        <w:pStyle w:val="Heading2"/>
        <w:tabs>
          <w:tab w:val="clear" w:pos="720"/>
          <w:tab w:val="num" w:pos="709"/>
        </w:tabs>
        <w:overflowPunct w:val="0"/>
        <w:autoSpaceDE w:val="0"/>
        <w:autoSpaceDN w:val="0"/>
        <w:spacing w:after="120"/>
        <w:ind w:left="709" w:hanging="709"/>
        <w:textAlignment w:val="baseline"/>
        <w:rPr>
          <w:sz w:val="24"/>
          <w:szCs w:val="24"/>
        </w:rPr>
      </w:pPr>
      <w:bookmarkStart w:id="5" w:name="_Toc296415791"/>
      <w:r w:rsidRPr="00F12372">
        <w:rPr>
          <w:sz w:val="24"/>
          <w:szCs w:val="24"/>
        </w:rPr>
        <w:t>The Cabinet Office’s new Information and Data Exchange (INDEX) is looking to procure a series of commercial contracts with</w:t>
      </w:r>
      <w:r w:rsidR="00230AB5">
        <w:rPr>
          <w:sz w:val="24"/>
          <w:szCs w:val="24"/>
        </w:rPr>
        <w:t xml:space="preserve"> up to three</w:t>
      </w:r>
      <w:r w:rsidRPr="00F12372">
        <w:rPr>
          <w:sz w:val="24"/>
          <w:szCs w:val="24"/>
        </w:rPr>
        <w:t xml:space="preserve"> </w:t>
      </w:r>
      <w:r w:rsidR="00230AB5">
        <w:rPr>
          <w:sz w:val="24"/>
          <w:szCs w:val="24"/>
        </w:rPr>
        <w:t>Suppliers</w:t>
      </w:r>
      <w:r w:rsidRPr="00F12372">
        <w:rPr>
          <w:sz w:val="24"/>
          <w:szCs w:val="24"/>
        </w:rPr>
        <w:t xml:space="preserve"> of information and</w:t>
      </w:r>
      <w:r w:rsidR="004C6809" w:rsidRPr="00F12372">
        <w:rPr>
          <w:sz w:val="24"/>
          <w:szCs w:val="24"/>
        </w:rPr>
        <w:t>/or</w:t>
      </w:r>
      <w:r w:rsidRPr="00F12372">
        <w:rPr>
          <w:sz w:val="24"/>
          <w:szCs w:val="24"/>
        </w:rPr>
        <w:t xml:space="preserve"> d</w:t>
      </w:r>
      <w:r w:rsidR="004C6809" w:rsidRPr="00F12372">
        <w:rPr>
          <w:sz w:val="24"/>
          <w:szCs w:val="24"/>
        </w:rPr>
        <w:t xml:space="preserve">ata related to geopolitical </w:t>
      </w:r>
      <w:r w:rsidRPr="00F12372">
        <w:rPr>
          <w:sz w:val="24"/>
          <w:szCs w:val="24"/>
        </w:rPr>
        <w:t xml:space="preserve">and </w:t>
      </w:r>
      <w:r w:rsidR="004C6809" w:rsidRPr="00F12372">
        <w:rPr>
          <w:sz w:val="24"/>
          <w:szCs w:val="24"/>
        </w:rPr>
        <w:t xml:space="preserve">foreign affairs </w:t>
      </w:r>
      <w:r w:rsidRPr="00F12372">
        <w:rPr>
          <w:sz w:val="24"/>
          <w:szCs w:val="24"/>
        </w:rPr>
        <w:t>analysis.</w:t>
      </w:r>
      <w:r w:rsidR="00DC3CF7" w:rsidRPr="00F12372">
        <w:rPr>
          <w:sz w:val="24"/>
          <w:szCs w:val="24"/>
        </w:rPr>
        <w:t xml:space="preserve"> The Contract duration is for twelve months</w:t>
      </w:r>
      <w:r w:rsidR="005F0208" w:rsidRPr="00F12372">
        <w:rPr>
          <w:sz w:val="24"/>
          <w:szCs w:val="24"/>
        </w:rPr>
        <w:t xml:space="preserve"> </w:t>
      </w:r>
      <w:r w:rsidR="00DE40F0" w:rsidRPr="00F12372">
        <w:rPr>
          <w:sz w:val="24"/>
          <w:szCs w:val="24"/>
        </w:rPr>
        <w:t>only</w:t>
      </w:r>
      <w:r w:rsidR="00DC3CF7" w:rsidRPr="00F12372">
        <w:rPr>
          <w:sz w:val="24"/>
          <w:szCs w:val="24"/>
        </w:rPr>
        <w:t>.</w:t>
      </w:r>
    </w:p>
    <w:p w14:paraId="1193CA98" w14:textId="0A55F59D" w:rsidR="00E8009B" w:rsidRPr="00B76BB3" w:rsidRDefault="00E8009B" w:rsidP="008F3470">
      <w:pPr>
        <w:pStyle w:val="Heading2"/>
        <w:tabs>
          <w:tab w:val="clear" w:pos="720"/>
          <w:tab w:val="num" w:pos="709"/>
        </w:tabs>
        <w:overflowPunct w:val="0"/>
        <w:autoSpaceDE w:val="0"/>
        <w:autoSpaceDN w:val="0"/>
        <w:spacing w:after="120"/>
        <w:ind w:left="709" w:hanging="709"/>
        <w:textAlignment w:val="baseline"/>
        <w:rPr>
          <w:sz w:val="24"/>
          <w:szCs w:val="24"/>
        </w:rPr>
      </w:pPr>
      <w:r w:rsidRPr="00F12372">
        <w:rPr>
          <w:sz w:val="24"/>
          <w:szCs w:val="24"/>
        </w:rPr>
        <w:t>INDEX will be a cross-government platform that enables the sharing of information and data from across departments. The platform will aim to provide users with a single entry point to information and data from the public domain both free to access and</w:t>
      </w:r>
      <w:r w:rsidR="004C6809" w:rsidRPr="00F12372">
        <w:rPr>
          <w:sz w:val="24"/>
          <w:szCs w:val="24"/>
        </w:rPr>
        <w:t xml:space="preserve"> accessed through a</w:t>
      </w:r>
      <w:r w:rsidRPr="00F12372">
        <w:rPr>
          <w:sz w:val="24"/>
          <w:szCs w:val="24"/>
        </w:rPr>
        <w:t xml:space="preserve"> paywall. </w:t>
      </w:r>
    </w:p>
    <w:p w14:paraId="7196B137" w14:textId="77777777" w:rsidR="00671798" w:rsidRPr="001A45DF" w:rsidRDefault="00FE18AC">
      <w:pPr>
        <w:pStyle w:val="Heading1"/>
        <w:tabs>
          <w:tab w:val="clear" w:pos="720"/>
        </w:tabs>
        <w:overflowPunct w:val="0"/>
        <w:autoSpaceDE w:val="0"/>
        <w:autoSpaceDN w:val="0"/>
        <w:spacing w:after="120"/>
        <w:textAlignment w:val="baseline"/>
        <w:rPr>
          <w:sz w:val="32"/>
          <w:szCs w:val="32"/>
        </w:rPr>
      </w:pPr>
      <w:bookmarkStart w:id="6" w:name="_Toc368573028"/>
      <w:bookmarkStart w:id="7" w:name="_Toc522714835"/>
      <w:bookmarkStart w:id="8" w:name="_Toc297554773"/>
      <w:bookmarkStart w:id="9" w:name="_Toc296415805"/>
      <w:bookmarkStart w:id="10" w:name="_Toc296415793"/>
      <w:bookmarkEnd w:id="5"/>
      <w:r w:rsidRPr="001A45DF">
        <w:rPr>
          <w:sz w:val="32"/>
          <w:szCs w:val="32"/>
        </w:rPr>
        <w:t>BACKGROUND TO THE CONTRACTING aUTHORITY</w:t>
      </w:r>
      <w:bookmarkEnd w:id="6"/>
      <w:bookmarkEnd w:id="7"/>
    </w:p>
    <w:p w14:paraId="3811A6A8" w14:textId="3A221D85" w:rsidR="00E8009B" w:rsidRPr="00DD0922" w:rsidRDefault="00E8009B" w:rsidP="00E8009B">
      <w:pPr>
        <w:pStyle w:val="Heading2"/>
        <w:overflowPunct w:val="0"/>
        <w:autoSpaceDE w:val="0"/>
        <w:autoSpaceDN w:val="0"/>
        <w:spacing w:after="120"/>
        <w:ind w:left="709" w:hanging="709"/>
        <w:textAlignment w:val="baseline"/>
        <w:rPr>
          <w:sz w:val="24"/>
          <w:szCs w:val="24"/>
        </w:rPr>
      </w:pPr>
      <w:r>
        <w:rPr>
          <w:sz w:val="24"/>
          <w:szCs w:val="24"/>
        </w:rPr>
        <w:t>INDEX is part of the</w:t>
      </w:r>
      <w:r w:rsidRPr="000C0DBA">
        <w:rPr>
          <w:sz w:val="24"/>
          <w:szCs w:val="24"/>
        </w:rPr>
        <w:t xml:space="preserve"> Professional Head of Intelligence Assessment (PHIA) within the Cabinet Office</w:t>
      </w:r>
      <w:r>
        <w:rPr>
          <w:sz w:val="24"/>
          <w:szCs w:val="24"/>
        </w:rPr>
        <w:t>. PHIA</w:t>
      </w:r>
      <w:r w:rsidRPr="000C0DBA">
        <w:rPr>
          <w:sz w:val="24"/>
          <w:szCs w:val="24"/>
        </w:rPr>
        <w:t xml:space="preserve"> develops and defines the professional standards for intelligence assessment across the UK</w:t>
      </w:r>
      <w:r>
        <w:rPr>
          <w:sz w:val="24"/>
          <w:szCs w:val="24"/>
        </w:rPr>
        <w:t>, representing and serving a community of analysts across government.</w:t>
      </w:r>
    </w:p>
    <w:p w14:paraId="1833406B" w14:textId="4EB8A288" w:rsidR="00E8009B" w:rsidRPr="00DD0922" w:rsidRDefault="00567430" w:rsidP="00E8009B">
      <w:pPr>
        <w:pStyle w:val="Heading2"/>
        <w:spacing w:before="240" w:after="120"/>
        <w:ind w:left="709" w:hanging="709"/>
        <w:textAlignment w:val="baseline"/>
        <w:rPr>
          <w:rFonts w:eastAsia="Times New Roman" w:cs="Arial"/>
          <w:color w:val="000000"/>
          <w:sz w:val="24"/>
          <w:szCs w:val="24"/>
          <w:lang w:eastAsia="en-GB"/>
        </w:rPr>
      </w:pPr>
      <w:r>
        <w:rPr>
          <w:rFonts w:eastAsia="Times New Roman" w:cs="Arial"/>
          <w:color w:val="000000"/>
          <w:sz w:val="24"/>
          <w:szCs w:val="24"/>
          <w:lang w:eastAsia="en-GB"/>
        </w:rPr>
        <w:t>The INDEX project will empower analysts from across the community to better make use of information and data from the public domain</w:t>
      </w:r>
      <w:r w:rsidR="00E8009B" w:rsidRPr="000C0DBA">
        <w:rPr>
          <w:rFonts w:eastAsia="Times New Roman" w:cs="Arial"/>
          <w:color w:val="000000"/>
          <w:sz w:val="24"/>
          <w:szCs w:val="24"/>
          <w:lang w:eastAsia="en-GB"/>
        </w:rPr>
        <w:t xml:space="preserve">. </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1" w:name="_Toc368573029"/>
      <w:bookmarkStart w:id="12" w:name="_Toc522714836"/>
      <w:r w:rsidRPr="001A45DF">
        <w:rPr>
          <w:sz w:val="32"/>
          <w:szCs w:val="32"/>
        </w:rPr>
        <w:t>Background to requirement/OVERVIEW</w:t>
      </w:r>
      <w:bookmarkEnd w:id="8"/>
      <w:r w:rsidRPr="001A45DF">
        <w:rPr>
          <w:sz w:val="32"/>
          <w:szCs w:val="32"/>
        </w:rPr>
        <w:t xml:space="preserve"> of requirement</w:t>
      </w:r>
      <w:bookmarkEnd w:id="11"/>
      <w:bookmarkEnd w:id="12"/>
    </w:p>
    <w:p w14:paraId="390AF99E" w14:textId="23535E99" w:rsidR="00671798" w:rsidRPr="00B76BB3" w:rsidRDefault="00567430">
      <w:pPr>
        <w:pStyle w:val="Heading2"/>
        <w:tabs>
          <w:tab w:val="clear" w:pos="720"/>
          <w:tab w:val="num" w:pos="709"/>
        </w:tabs>
        <w:spacing w:after="120"/>
        <w:ind w:left="709" w:hanging="709"/>
        <w:rPr>
          <w:sz w:val="24"/>
          <w:szCs w:val="24"/>
        </w:rPr>
      </w:pPr>
      <w:bookmarkStart w:id="13" w:name="_Toc297554774"/>
      <w:bookmarkEnd w:id="9"/>
      <w:r w:rsidRPr="000E6653">
        <w:rPr>
          <w:sz w:val="24"/>
          <w:szCs w:val="24"/>
        </w:rPr>
        <w:t xml:space="preserve">The use of </w:t>
      </w:r>
      <w:r w:rsidR="00E06505" w:rsidRPr="000E6653">
        <w:rPr>
          <w:sz w:val="24"/>
          <w:szCs w:val="24"/>
        </w:rPr>
        <w:t>publicly</w:t>
      </w:r>
      <w:r w:rsidRPr="000E6653">
        <w:rPr>
          <w:sz w:val="24"/>
          <w:szCs w:val="24"/>
        </w:rPr>
        <w:t xml:space="preserve"> available information and data across government is currently incoherent and siloed. INDEX has been identified as a potential solution to this: helping users understand the information landscape – platforms, people, products and sources</w:t>
      </w:r>
      <w:r w:rsidR="00FE18AC" w:rsidRPr="000E6653">
        <w:rPr>
          <w:sz w:val="24"/>
          <w:szCs w:val="24"/>
        </w:rPr>
        <w:t>.</w:t>
      </w:r>
    </w:p>
    <w:p w14:paraId="58E09560" w14:textId="68D6B43C" w:rsidR="00724D4D" w:rsidRPr="00724D4D" w:rsidRDefault="00724D4D">
      <w:pPr>
        <w:pStyle w:val="Heading2"/>
        <w:tabs>
          <w:tab w:val="clear" w:pos="720"/>
          <w:tab w:val="num" w:pos="709"/>
        </w:tabs>
        <w:spacing w:after="120"/>
        <w:ind w:left="709" w:hanging="709"/>
        <w:rPr>
          <w:sz w:val="24"/>
          <w:szCs w:val="24"/>
        </w:rPr>
      </w:pPr>
      <w:r>
        <w:rPr>
          <w:sz w:val="24"/>
          <w:szCs w:val="24"/>
        </w:rPr>
        <w:t xml:space="preserve">INDEX will look to identify sources of information and data related to geopolitics and foreign affairs that are relevant to analysts and desk officers. </w:t>
      </w:r>
      <w:r w:rsidR="004C6809">
        <w:rPr>
          <w:sz w:val="24"/>
          <w:szCs w:val="24"/>
        </w:rPr>
        <w:t xml:space="preserve">INDEX will </w:t>
      </w:r>
      <w:r>
        <w:rPr>
          <w:sz w:val="24"/>
          <w:szCs w:val="24"/>
        </w:rPr>
        <w:t xml:space="preserve">explore with providers how this can be done in a way to allow multiple users access to sources of information and data – essentially enterprise solutions. </w:t>
      </w:r>
    </w:p>
    <w:p w14:paraId="7516FB30" w14:textId="67E86110" w:rsidR="00671798" w:rsidRPr="00B76BB3" w:rsidRDefault="00567430">
      <w:pPr>
        <w:pStyle w:val="Heading2"/>
        <w:tabs>
          <w:tab w:val="clear" w:pos="720"/>
          <w:tab w:val="num" w:pos="709"/>
        </w:tabs>
        <w:spacing w:after="120"/>
        <w:ind w:left="709" w:hanging="709"/>
        <w:rPr>
          <w:sz w:val="24"/>
          <w:szCs w:val="24"/>
        </w:rPr>
      </w:pPr>
      <w:r w:rsidRPr="000E6653">
        <w:rPr>
          <w:sz w:val="24"/>
          <w:szCs w:val="24"/>
        </w:rPr>
        <w:t>INDEX secured funding as part of SR20, along the National Situation Centre (SitCen)</w:t>
      </w:r>
      <w:r w:rsidR="00CA3806" w:rsidRPr="000E6653">
        <w:rPr>
          <w:sz w:val="24"/>
          <w:szCs w:val="24"/>
        </w:rPr>
        <w:t>.</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4" w:name="_Toc522714837"/>
      <w:bookmarkStart w:id="15" w:name="_Toc368573030"/>
      <w:r w:rsidRPr="001A45DF">
        <w:rPr>
          <w:sz w:val="32"/>
          <w:szCs w:val="32"/>
        </w:rPr>
        <w:t>definitions</w:t>
      </w:r>
      <w:bookmarkEnd w:id="14"/>
      <w:r w:rsidRPr="001A45DF">
        <w:rPr>
          <w:sz w:val="32"/>
          <w:szCs w:val="32"/>
        </w:rPr>
        <w:t xml:space="preserve"> </w:t>
      </w:r>
    </w:p>
    <w:tbl>
      <w:tblPr>
        <w:tblStyle w:val="TableGrid"/>
        <w:tblW w:w="0" w:type="auto"/>
        <w:tblInd w:w="720" w:type="dxa"/>
        <w:tblLook w:val="04A0" w:firstRow="1" w:lastRow="0" w:firstColumn="1" w:lastColumn="0" w:noHBand="0" w:noVBand="1"/>
      </w:tblPr>
      <w:tblGrid>
        <w:gridCol w:w="2034"/>
        <w:gridCol w:w="6265"/>
      </w:tblGrid>
      <w:tr w:rsidR="00106F24" w14:paraId="553CCD95" w14:textId="77777777" w:rsidTr="00CF2DE7">
        <w:tc>
          <w:tcPr>
            <w:tcW w:w="2034"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265"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106F24" w14:paraId="722819D3" w14:textId="77777777" w:rsidTr="00CF2DE7">
        <w:tc>
          <w:tcPr>
            <w:tcW w:w="2034" w:type="dxa"/>
          </w:tcPr>
          <w:p w14:paraId="18A7B53F" w14:textId="72E8B31E" w:rsidR="00106F24" w:rsidRPr="00132831" w:rsidRDefault="00567430" w:rsidP="0081061A">
            <w:pPr>
              <w:pStyle w:val="Heading2"/>
              <w:numPr>
                <w:ilvl w:val="0"/>
                <w:numId w:val="0"/>
              </w:numPr>
              <w:spacing w:after="120"/>
              <w:ind w:left="720" w:hanging="720"/>
              <w:outlineLvl w:val="1"/>
              <w:rPr>
                <w:sz w:val="24"/>
                <w:szCs w:val="24"/>
              </w:rPr>
            </w:pPr>
            <w:r w:rsidRPr="00132831">
              <w:rPr>
                <w:sz w:val="24"/>
                <w:szCs w:val="24"/>
              </w:rPr>
              <w:t xml:space="preserve">INDEX </w:t>
            </w:r>
          </w:p>
        </w:tc>
        <w:tc>
          <w:tcPr>
            <w:tcW w:w="6265" w:type="dxa"/>
          </w:tcPr>
          <w:p w14:paraId="74E0E117" w14:textId="7E552E29" w:rsidR="00106F24" w:rsidRPr="001A45DF" w:rsidRDefault="0095308D" w:rsidP="00E24EE7">
            <w:pPr>
              <w:pStyle w:val="Heading2"/>
              <w:numPr>
                <w:ilvl w:val="0"/>
                <w:numId w:val="0"/>
              </w:numPr>
              <w:spacing w:after="120"/>
              <w:outlineLvl w:val="1"/>
              <w:rPr>
                <w:sz w:val="24"/>
                <w:szCs w:val="24"/>
                <w:highlight w:val="yellow"/>
              </w:rPr>
            </w:pPr>
            <w:r>
              <w:rPr>
                <w:sz w:val="24"/>
                <w:szCs w:val="24"/>
              </w:rPr>
              <w:t xml:space="preserve">means </w:t>
            </w:r>
            <w:r w:rsidR="00724D4D">
              <w:rPr>
                <w:sz w:val="24"/>
                <w:szCs w:val="24"/>
              </w:rPr>
              <w:t>The Information and Data Exchange</w:t>
            </w:r>
          </w:p>
        </w:tc>
      </w:tr>
      <w:tr w:rsidR="00082732" w14:paraId="7C71AE7F" w14:textId="77777777" w:rsidTr="00CF2DE7">
        <w:tc>
          <w:tcPr>
            <w:tcW w:w="2034" w:type="dxa"/>
          </w:tcPr>
          <w:p w14:paraId="0904CB47" w14:textId="0BABEC6F" w:rsidR="00082732" w:rsidRPr="00132831" w:rsidRDefault="00724D4D" w:rsidP="00082732">
            <w:pPr>
              <w:pStyle w:val="Heading2"/>
              <w:numPr>
                <w:ilvl w:val="0"/>
                <w:numId w:val="0"/>
              </w:numPr>
              <w:spacing w:after="120"/>
              <w:ind w:left="720" w:hanging="720"/>
              <w:outlineLvl w:val="1"/>
              <w:rPr>
                <w:sz w:val="24"/>
                <w:szCs w:val="24"/>
              </w:rPr>
            </w:pPr>
            <w:r w:rsidRPr="00132831">
              <w:rPr>
                <w:sz w:val="24"/>
                <w:szCs w:val="24"/>
              </w:rPr>
              <w:t>API</w:t>
            </w:r>
          </w:p>
        </w:tc>
        <w:tc>
          <w:tcPr>
            <w:tcW w:w="6265" w:type="dxa"/>
          </w:tcPr>
          <w:p w14:paraId="17F711C7" w14:textId="3056E8DD" w:rsidR="00082732" w:rsidRPr="001A45DF" w:rsidRDefault="0095308D" w:rsidP="00082732">
            <w:pPr>
              <w:pStyle w:val="Heading2"/>
              <w:numPr>
                <w:ilvl w:val="0"/>
                <w:numId w:val="0"/>
              </w:numPr>
              <w:spacing w:after="120"/>
              <w:outlineLvl w:val="1"/>
              <w:rPr>
                <w:sz w:val="24"/>
                <w:szCs w:val="24"/>
              </w:rPr>
            </w:pPr>
            <w:r>
              <w:rPr>
                <w:sz w:val="24"/>
                <w:szCs w:val="24"/>
              </w:rPr>
              <w:t xml:space="preserve">means </w:t>
            </w:r>
            <w:r w:rsidR="00724D4D">
              <w:rPr>
                <w:sz w:val="24"/>
                <w:szCs w:val="24"/>
              </w:rPr>
              <w:t>Application Programming Interface</w:t>
            </w:r>
          </w:p>
        </w:tc>
      </w:tr>
      <w:tr w:rsidR="00027B46" w14:paraId="74A864EA" w14:textId="77777777" w:rsidTr="00CF2DE7">
        <w:tc>
          <w:tcPr>
            <w:tcW w:w="2034" w:type="dxa"/>
          </w:tcPr>
          <w:p w14:paraId="2568EF15" w14:textId="05C78C00" w:rsidR="00027B46" w:rsidRPr="00132831" w:rsidRDefault="00027B46" w:rsidP="00082732">
            <w:pPr>
              <w:pStyle w:val="Heading2"/>
              <w:numPr>
                <w:ilvl w:val="0"/>
                <w:numId w:val="0"/>
              </w:numPr>
              <w:spacing w:after="120"/>
              <w:ind w:left="720" w:hanging="720"/>
              <w:outlineLvl w:val="1"/>
              <w:rPr>
                <w:sz w:val="24"/>
                <w:szCs w:val="24"/>
              </w:rPr>
            </w:pPr>
            <w:r>
              <w:rPr>
                <w:sz w:val="24"/>
                <w:szCs w:val="24"/>
              </w:rPr>
              <w:t xml:space="preserve">RSS </w:t>
            </w:r>
          </w:p>
        </w:tc>
        <w:tc>
          <w:tcPr>
            <w:tcW w:w="6265" w:type="dxa"/>
          </w:tcPr>
          <w:p w14:paraId="45A8B805" w14:textId="2820F20D" w:rsidR="00027B46" w:rsidRDefault="005F7442" w:rsidP="00082732">
            <w:pPr>
              <w:pStyle w:val="Heading2"/>
              <w:numPr>
                <w:ilvl w:val="0"/>
                <w:numId w:val="0"/>
              </w:numPr>
              <w:spacing w:after="120"/>
              <w:outlineLvl w:val="1"/>
              <w:rPr>
                <w:sz w:val="24"/>
                <w:szCs w:val="24"/>
              </w:rPr>
            </w:pPr>
            <w:r>
              <w:rPr>
                <w:sz w:val="24"/>
                <w:szCs w:val="24"/>
              </w:rPr>
              <w:t>m</w:t>
            </w:r>
            <w:r w:rsidR="00027B46">
              <w:rPr>
                <w:sz w:val="24"/>
                <w:szCs w:val="24"/>
              </w:rPr>
              <w:t>eans Really Simple Syndication</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6" w:name="_Toc522714838"/>
      <w:r w:rsidRPr="001A45DF">
        <w:rPr>
          <w:sz w:val="32"/>
          <w:szCs w:val="32"/>
        </w:rPr>
        <w:lastRenderedPageBreak/>
        <w:t>scope of requirement</w:t>
      </w:r>
      <w:bookmarkEnd w:id="13"/>
      <w:bookmarkEnd w:id="15"/>
      <w:bookmarkEnd w:id="16"/>
      <w:r w:rsidRPr="001A45DF">
        <w:rPr>
          <w:sz w:val="32"/>
          <w:szCs w:val="32"/>
        </w:rPr>
        <w:t xml:space="preserve"> </w:t>
      </w:r>
    </w:p>
    <w:bookmarkEnd w:id="10"/>
    <w:p w14:paraId="17C2D74D" w14:textId="0A94DF13" w:rsidR="00671798" w:rsidRPr="00F91D85" w:rsidRDefault="00724D4D">
      <w:pPr>
        <w:pStyle w:val="Heading2"/>
        <w:tabs>
          <w:tab w:val="clear" w:pos="720"/>
          <w:tab w:val="num" w:pos="862"/>
        </w:tabs>
        <w:overflowPunct w:val="0"/>
        <w:autoSpaceDE w:val="0"/>
        <w:autoSpaceDN w:val="0"/>
        <w:spacing w:after="120"/>
        <w:ind w:left="709" w:hanging="709"/>
        <w:textAlignment w:val="baseline"/>
        <w:rPr>
          <w:sz w:val="24"/>
          <w:szCs w:val="24"/>
        </w:rPr>
      </w:pPr>
      <w:r w:rsidRPr="00D235BF">
        <w:rPr>
          <w:sz w:val="24"/>
          <w:szCs w:val="24"/>
        </w:rPr>
        <w:t xml:space="preserve">INDEX is looking for </w:t>
      </w:r>
      <w:r w:rsidR="00230AB5">
        <w:rPr>
          <w:sz w:val="24"/>
          <w:szCs w:val="24"/>
        </w:rPr>
        <w:t xml:space="preserve">up to three </w:t>
      </w:r>
      <w:r w:rsidR="00541A7A">
        <w:rPr>
          <w:sz w:val="24"/>
          <w:szCs w:val="24"/>
        </w:rPr>
        <w:t>S</w:t>
      </w:r>
      <w:r w:rsidRPr="00D235BF">
        <w:rPr>
          <w:sz w:val="24"/>
          <w:szCs w:val="24"/>
        </w:rPr>
        <w:t xml:space="preserve">uppliers of information (e.g. analysis) or data relating to geopolitics and foreign affairs. This includes but is not restricted to news reporting, </w:t>
      </w:r>
      <w:r w:rsidR="005F0208" w:rsidRPr="00D235BF">
        <w:rPr>
          <w:sz w:val="24"/>
          <w:szCs w:val="24"/>
        </w:rPr>
        <w:t xml:space="preserve">public </w:t>
      </w:r>
      <w:r w:rsidRPr="00D235BF">
        <w:rPr>
          <w:sz w:val="24"/>
          <w:szCs w:val="24"/>
        </w:rPr>
        <w:t>social media data, academic and think tank sources</w:t>
      </w:r>
      <w:r w:rsidR="00F91D85" w:rsidRPr="00D235BF">
        <w:rPr>
          <w:sz w:val="24"/>
          <w:szCs w:val="24"/>
        </w:rPr>
        <w:t xml:space="preserve">. </w:t>
      </w:r>
      <w:r w:rsidRPr="00D235BF">
        <w:rPr>
          <w:sz w:val="24"/>
          <w:szCs w:val="24"/>
        </w:rPr>
        <w:t xml:space="preserve"> </w:t>
      </w:r>
    </w:p>
    <w:p w14:paraId="1DBE9CCA" w14:textId="0C3E81F8" w:rsidR="00671798" w:rsidRPr="00F91D85" w:rsidRDefault="00F91D85" w:rsidP="00F91D85">
      <w:pPr>
        <w:pStyle w:val="Heading2"/>
        <w:tabs>
          <w:tab w:val="clear" w:pos="720"/>
          <w:tab w:val="num" w:pos="862"/>
        </w:tabs>
        <w:overflowPunct w:val="0"/>
        <w:autoSpaceDE w:val="0"/>
        <w:autoSpaceDN w:val="0"/>
        <w:spacing w:after="120"/>
        <w:ind w:left="709" w:hanging="709"/>
        <w:textAlignment w:val="baseline"/>
        <w:rPr>
          <w:sz w:val="24"/>
          <w:szCs w:val="24"/>
        </w:rPr>
      </w:pPr>
      <w:r w:rsidRPr="00D235BF">
        <w:rPr>
          <w:sz w:val="24"/>
          <w:szCs w:val="24"/>
        </w:rPr>
        <w:t>Where data is provided (for example social media data) this should be in the form of anonymised and aggregated data, where user details are not identifiable</w:t>
      </w:r>
      <w:r w:rsidR="005F0208" w:rsidRPr="00D235BF">
        <w:rPr>
          <w:sz w:val="24"/>
          <w:szCs w:val="24"/>
        </w:rPr>
        <w:t xml:space="preserve"> or shared in a way compliant with GDPR (e.g. analysed or assessed by the </w:t>
      </w:r>
      <w:r w:rsidR="00BB6364">
        <w:rPr>
          <w:sz w:val="24"/>
          <w:szCs w:val="24"/>
        </w:rPr>
        <w:t>S</w:t>
      </w:r>
      <w:r w:rsidR="005F0208" w:rsidRPr="00D235BF">
        <w:rPr>
          <w:sz w:val="24"/>
          <w:szCs w:val="24"/>
        </w:rPr>
        <w:t>upplier)</w:t>
      </w:r>
      <w:r w:rsidR="00E24EE7" w:rsidRPr="00D235BF">
        <w:rPr>
          <w:sz w:val="24"/>
          <w:szCs w:val="24"/>
        </w:rPr>
        <w:t>.</w:t>
      </w:r>
    </w:p>
    <w:p w14:paraId="3491B80B" w14:textId="77777777" w:rsidR="00671798" w:rsidRPr="001A45DF" w:rsidRDefault="00FE18AC">
      <w:pPr>
        <w:pStyle w:val="Heading1"/>
        <w:spacing w:after="120"/>
        <w:rPr>
          <w:sz w:val="32"/>
          <w:szCs w:val="32"/>
        </w:rPr>
      </w:pPr>
      <w:bookmarkStart w:id="17" w:name="_Toc368573031"/>
      <w:bookmarkStart w:id="18" w:name="_Toc522714839"/>
      <w:r w:rsidRPr="001A45DF">
        <w:rPr>
          <w:sz w:val="32"/>
          <w:szCs w:val="32"/>
        </w:rPr>
        <w:t>The requirement</w:t>
      </w:r>
      <w:bookmarkEnd w:id="17"/>
      <w:bookmarkEnd w:id="18"/>
    </w:p>
    <w:p w14:paraId="2B3A6064" w14:textId="550CC50F" w:rsidR="00C812FE" w:rsidRDefault="00C812FE" w:rsidP="00CF2DE7">
      <w:pPr>
        <w:pStyle w:val="Heading2"/>
        <w:spacing w:after="120"/>
        <w:ind w:left="709" w:hanging="709"/>
        <w:rPr>
          <w:sz w:val="24"/>
          <w:szCs w:val="24"/>
        </w:rPr>
      </w:pPr>
      <w:r w:rsidRPr="001A4CA0">
        <w:rPr>
          <w:sz w:val="24"/>
          <w:szCs w:val="24"/>
        </w:rPr>
        <w:t>The Contracting Authority</w:t>
      </w:r>
      <w:r w:rsidR="00F91D85" w:rsidRPr="001A4CA0">
        <w:rPr>
          <w:sz w:val="24"/>
          <w:szCs w:val="24"/>
        </w:rPr>
        <w:t xml:space="preserve"> requires information and data related to geopolitics and foreign affairs. The </w:t>
      </w:r>
      <w:r w:rsidR="00413D91">
        <w:rPr>
          <w:sz w:val="24"/>
          <w:szCs w:val="24"/>
        </w:rPr>
        <w:t>S</w:t>
      </w:r>
      <w:r w:rsidR="00F91D85" w:rsidRPr="001A4CA0">
        <w:rPr>
          <w:sz w:val="24"/>
          <w:szCs w:val="24"/>
        </w:rPr>
        <w:t xml:space="preserve">upplier must be able </w:t>
      </w:r>
      <w:r w:rsidR="004C6809" w:rsidRPr="001A4CA0">
        <w:rPr>
          <w:sz w:val="24"/>
          <w:szCs w:val="24"/>
        </w:rPr>
        <w:t xml:space="preserve">to be </w:t>
      </w:r>
      <w:r w:rsidR="005F0208" w:rsidRPr="001A4CA0">
        <w:rPr>
          <w:sz w:val="24"/>
          <w:szCs w:val="24"/>
        </w:rPr>
        <w:t>connected t</w:t>
      </w:r>
      <w:r w:rsidRPr="001A4CA0">
        <w:rPr>
          <w:sz w:val="24"/>
          <w:szCs w:val="24"/>
        </w:rPr>
        <w:t xml:space="preserve">he INDEX </w:t>
      </w:r>
      <w:r w:rsidR="00F91D85" w:rsidRPr="001A4CA0">
        <w:rPr>
          <w:sz w:val="24"/>
          <w:szCs w:val="24"/>
        </w:rPr>
        <w:t>cross-government platform, accessible by multiple users across different departments</w:t>
      </w:r>
      <w:r w:rsidR="00D71B5C">
        <w:rPr>
          <w:sz w:val="24"/>
          <w:szCs w:val="24"/>
        </w:rPr>
        <w:t>, to upload the information and data on to INDEX</w:t>
      </w:r>
      <w:r w:rsidR="00F91D85" w:rsidRPr="001A4CA0">
        <w:rPr>
          <w:sz w:val="24"/>
          <w:szCs w:val="24"/>
        </w:rPr>
        <w:t xml:space="preserve">. </w:t>
      </w:r>
    </w:p>
    <w:p w14:paraId="0FB22854" w14:textId="58777862" w:rsidR="00D71B5C" w:rsidRDefault="00D71B5C" w:rsidP="00CF2DE7">
      <w:pPr>
        <w:pStyle w:val="Heading2"/>
        <w:spacing w:after="120"/>
        <w:ind w:left="709" w:hanging="709"/>
        <w:rPr>
          <w:sz w:val="24"/>
          <w:szCs w:val="24"/>
        </w:rPr>
      </w:pPr>
      <w:r>
        <w:rPr>
          <w:sz w:val="24"/>
          <w:szCs w:val="24"/>
        </w:rPr>
        <w:t>The Supplier</w:t>
      </w:r>
      <w:r w:rsidR="008D1C57">
        <w:rPr>
          <w:sz w:val="24"/>
          <w:szCs w:val="24"/>
        </w:rPr>
        <w:t xml:space="preserve"> working with the Contracting Authority</w:t>
      </w:r>
      <w:r>
        <w:rPr>
          <w:sz w:val="24"/>
          <w:szCs w:val="24"/>
        </w:rPr>
        <w:t xml:space="preserve"> will be required to provide a technical solution that allows the uploading of the information and data onto INDEX.</w:t>
      </w:r>
    </w:p>
    <w:p w14:paraId="08036665" w14:textId="69056505" w:rsidR="00D71B5C" w:rsidRPr="00C812FE" w:rsidRDefault="00D71B5C" w:rsidP="00CF2DE7">
      <w:pPr>
        <w:pStyle w:val="Heading2"/>
        <w:spacing w:after="120"/>
        <w:ind w:left="709" w:hanging="709"/>
        <w:rPr>
          <w:sz w:val="24"/>
          <w:szCs w:val="24"/>
        </w:rPr>
      </w:pPr>
      <w:r>
        <w:rPr>
          <w:sz w:val="24"/>
          <w:szCs w:val="24"/>
        </w:rPr>
        <w:t xml:space="preserve"> The winning Suppliers will be provided with details of the INDEX platform to ensure technical compatibility is achieved.</w:t>
      </w:r>
    </w:p>
    <w:p w14:paraId="32B5DAF8" w14:textId="65F0B29A" w:rsidR="00C812FE" w:rsidRPr="00C812FE" w:rsidRDefault="002860A5" w:rsidP="00CF2DE7">
      <w:pPr>
        <w:pStyle w:val="Heading2"/>
        <w:spacing w:after="120"/>
        <w:ind w:left="709" w:hanging="709"/>
        <w:rPr>
          <w:sz w:val="24"/>
          <w:szCs w:val="24"/>
        </w:rPr>
      </w:pPr>
      <w:r w:rsidRPr="001A4CA0">
        <w:rPr>
          <w:sz w:val="24"/>
          <w:szCs w:val="24"/>
        </w:rPr>
        <w:t>It is anticipated that this would be delivered through licence access to a platform or dashboard, RSS feeds</w:t>
      </w:r>
      <w:r w:rsidR="005F0208" w:rsidRPr="001A4CA0">
        <w:rPr>
          <w:sz w:val="24"/>
          <w:szCs w:val="24"/>
        </w:rPr>
        <w:t xml:space="preserve">, </w:t>
      </w:r>
      <w:r w:rsidR="0052159C" w:rsidRPr="001A4CA0">
        <w:rPr>
          <w:sz w:val="24"/>
          <w:szCs w:val="24"/>
        </w:rPr>
        <w:t>web scraping</w:t>
      </w:r>
      <w:r w:rsidRPr="001A4CA0">
        <w:rPr>
          <w:sz w:val="24"/>
          <w:szCs w:val="24"/>
        </w:rPr>
        <w:t xml:space="preserve"> or through API access</w:t>
      </w:r>
      <w:r w:rsidR="00D46693">
        <w:rPr>
          <w:sz w:val="24"/>
          <w:szCs w:val="24"/>
        </w:rPr>
        <w:t>,</w:t>
      </w:r>
      <w:r w:rsidRPr="001A4CA0">
        <w:rPr>
          <w:sz w:val="24"/>
          <w:szCs w:val="24"/>
        </w:rPr>
        <w:t xml:space="preserve"> </w:t>
      </w:r>
      <w:r w:rsidR="00D46693">
        <w:rPr>
          <w:sz w:val="24"/>
          <w:szCs w:val="24"/>
        </w:rPr>
        <w:t>b</w:t>
      </w:r>
      <w:r w:rsidR="00D46693" w:rsidRPr="001A4CA0">
        <w:rPr>
          <w:sz w:val="24"/>
          <w:szCs w:val="24"/>
        </w:rPr>
        <w:t>ut alternative</w:t>
      </w:r>
      <w:r w:rsidRPr="001A4CA0">
        <w:rPr>
          <w:sz w:val="24"/>
          <w:szCs w:val="24"/>
        </w:rPr>
        <w:t xml:space="preserve"> solutions from suppliers</w:t>
      </w:r>
      <w:r w:rsidR="00C812FE" w:rsidRPr="001A4CA0">
        <w:rPr>
          <w:sz w:val="24"/>
          <w:szCs w:val="24"/>
        </w:rPr>
        <w:t xml:space="preserve"> are welcome</w:t>
      </w:r>
      <w:r w:rsidRPr="001A4CA0">
        <w:rPr>
          <w:sz w:val="24"/>
          <w:szCs w:val="24"/>
        </w:rPr>
        <w:t xml:space="preserve">. </w:t>
      </w:r>
    </w:p>
    <w:p w14:paraId="5749D688" w14:textId="12C53603" w:rsidR="002860A5" w:rsidRPr="00CF2DE7" w:rsidRDefault="005F0208" w:rsidP="00CF2DE7">
      <w:pPr>
        <w:pStyle w:val="Heading2"/>
        <w:spacing w:after="120"/>
        <w:ind w:left="709" w:hanging="709"/>
        <w:rPr>
          <w:sz w:val="24"/>
          <w:szCs w:val="24"/>
        </w:rPr>
      </w:pPr>
      <w:r w:rsidRPr="001A4CA0">
        <w:rPr>
          <w:sz w:val="24"/>
          <w:szCs w:val="24"/>
        </w:rPr>
        <w:t xml:space="preserve">Data should be in the form of analysed, assessed or curated data and not raw data. </w:t>
      </w:r>
    </w:p>
    <w:p w14:paraId="77D7E8EB" w14:textId="5E00BC33" w:rsidR="00C812FE" w:rsidRDefault="002860A5" w:rsidP="00CF2DE7">
      <w:pPr>
        <w:pStyle w:val="Heading2"/>
        <w:spacing w:after="120"/>
        <w:ind w:left="709" w:hanging="709"/>
        <w:rPr>
          <w:sz w:val="24"/>
          <w:szCs w:val="24"/>
        </w:rPr>
      </w:pPr>
      <w:r>
        <w:rPr>
          <w:sz w:val="24"/>
          <w:szCs w:val="24"/>
        </w:rPr>
        <w:t xml:space="preserve">The </w:t>
      </w:r>
      <w:r w:rsidR="00006F61">
        <w:rPr>
          <w:sz w:val="24"/>
          <w:szCs w:val="24"/>
        </w:rPr>
        <w:t>S</w:t>
      </w:r>
      <w:r>
        <w:rPr>
          <w:sz w:val="24"/>
          <w:szCs w:val="24"/>
        </w:rPr>
        <w:t xml:space="preserve">upplier will be required to provide continuous (daily) access to the information and data </w:t>
      </w:r>
      <w:r w:rsidR="00A575BC">
        <w:rPr>
          <w:sz w:val="24"/>
          <w:szCs w:val="24"/>
        </w:rPr>
        <w:t>and</w:t>
      </w:r>
      <w:r>
        <w:rPr>
          <w:sz w:val="24"/>
          <w:szCs w:val="24"/>
        </w:rPr>
        <w:t xml:space="preserve"> regular (</w:t>
      </w:r>
      <w:r w:rsidR="007811B8">
        <w:rPr>
          <w:sz w:val="24"/>
          <w:szCs w:val="24"/>
        </w:rPr>
        <w:t>at le</w:t>
      </w:r>
      <w:r w:rsidR="00FB2634">
        <w:rPr>
          <w:sz w:val="24"/>
          <w:szCs w:val="24"/>
        </w:rPr>
        <w:t>a</w:t>
      </w:r>
      <w:r w:rsidR="007811B8">
        <w:rPr>
          <w:sz w:val="24"/>
          <w:szCs w:val="24"/>
        </w:rPr>
        <w:t xml:space="preserve">st </w:t>
      </w:r>
      <w:r>
        <w:rPr>
          <w:sz w:val="24"/>
          <w:szCs w:val="24"/>
        </w:rPr>
        <w:t>weekly) sharing of data and information updates.</w:t>
      </w:r>
    </w:p>
    <w:p w14:paraId="291A31DA" w14:textId="5D40CCD6" w:rsidR="00C812FE" w:rsidRDefault="00C812FE" w:rsidP="00C812FE">
      <w:pPr>
        <w:pStyle w:val="Heading2"/>
        <w:spacing w:after="120"/>
        <w:ind w:left="709" w:hanging="709"/>
        <w:rPr>
          <w:sz w:val="24"/>
          <w:szCs w:val="24"/>
        </w:rPr>
      </w:pPr>
      <w:r w:rsidRPr="00055EDF">
        <w:rPr>
          <w:sz w:val="24"/>
          <w:szCs w:val="24"/>
        </w:rPr>
        <w:t xml:space="preserve">The </w:t>
      </w:r>
      <w:r w:rsidR="00006F61">
        <w:rPr>
          <w:sz w:val="24"/>
          <w:szCs w:val="24"/>
        </w:rPr>
        <w:t>S</w:t>
      </w:r>
      <w:r w:rsidRPr="00055EDF">
        <w:rPr>
          <w:sz w:val="24"/>
          <w:szCs w:val="24"/>
        </w:rPr>
        <w:t>upplier</w:t>
      </w:r>
      <w:r>
        <w:rPr>
          <w:sz w:val="24"/>
          <w:szCs w:val="24"/>
        </w:rPr>
        <w:t xml:space="preserve"> and </w:t>
      </w:r>
      <w:r w:rsidRPr="00055EDF">
        <w:rPr>
          <w:sz w:val="24"/>
          <w:szCs w:val="24"/>
        </w:rPr>
        <w:t>the C</w:t>
      </w:r>
      <w:r>
        <w:rPr>
          <w:sz w:val="24"/>
          <w:szCs w:val="24"/>
        </w:rPr>
        <w:t>ontracting Authority</w:t>
      </w:r>
      <w:r w:rsidRPr="00055EDF">
        <w:rPr>
          <w:sz w:val="24"/>
          <w:szCs w:val="24"/>
        </w:rPr>
        <w:t xml:space="preserve"> will undertake </w:t>
      </w:r>
      <w:r>
        <w:rPr>
          <w:sz w:val="24"/>
          <w:szCs w:val="24"/>
        </w:rPr>
        <w:t>a</w:t>
      </w:r>
      <w:r w:rsidRPr="00055EDF">
        <w:rPr>
          <w:sz w:val="24"/>
          <w:szCs w:val="24"/>
        </w:rPr>
        <w:t xml:space="preserve"> scoping exercise</w:t>
      </w:r>
      <w:r>
        <w:rPr>
          <w:sz w:val="24"/>
          <w:szCs w:val="24"/>
        </w:rPr>
        <w:t xml:space="preserve"> at the commencement of the Contract</w:t>
      </w:r>
      <w:r w:rsidRPr="00055EDF">
        <w:rPr>
          <w:sz w:val="24"/>
          <w:szCs w:val="24"/>
        </w:rPr>
        <w:t>. This approach will ensure that the data</w:t>
      </w:r>
      <w:r>
        <w:rPr>
          <w:sz w:val="24"/>
          <w:szCs w:val="24"/>
        </w:rPr>
        <w:t xml:space="preserve"> and information</w:t>
      </w:r>
      <w:r w:rsidRPr="00055EDF">
        <w:rPr>
          <w:sz w:val="24"/>
          <w:szCs w:val="24"/>
        </w:rPr>
        <w:t xml:space="preserve"> is provided in an appropriate format, subject to agreement</w:t>
      </w:r>
      <w:r>
        <w:rPr>
          <w:sz w:val="24"/>
          <w:szCs w:val="24"/>
        </w:rPr>
        <w:t>, to be uploaded on to the INDEX platform</w:t>
      </w:r>
      <w:r w:rsidRPr="00055EDF">
        <w:rPr>
          <w:sz w:val="24"/>
          <w:szCs w:val="24"/>
        </w:rPr>
        <w:t xml:space="preserve">. </w:t>
      </w:r>
    </w:p>
    <w:p w14:paraId="310F681F" w14:textId="480A025B" w:rsidR="00C812FE" w:rsidRPr="00055EDF" w:rsidRDefault="00C812FE" w:rsidP="00C812FE">
      <w:pPr>
        <w:pStyle w:val="Heading2"/>
        <w:spacing w:after="120"/>
        <w:ind w:left="709" w:hanging="709"/>
        <w:rPr>
          <w:sz w:val="24"/>
          <w:szCs w:val="24"/>
        </w:rPr>
      </w:pPr>
      <w:r w:rsidRPr="00055EDF">
        <w:rPr>
          <w:sz w:val="24"/>
          <w:szCs w:val="24"/>
        </w:rPr>
        <w:t>Upon agreement of the data</w:t>
      </w:r>
      <w:r>
        <w:rPr>
          <w:sz w:val="24"/>
          <w:szCs w:val="24"/>
        </w:rPr>
        <w:t>, information</w:t>
      </w:r>
      <w:r w:rsidRPr="00055EDF">
        <w:rPr>
          <w:sz w:val="24"/>
          <w:szCs w:val="24"/>
        </w:rPr>
        <w:t xml:space="preserve"> and format, the supplier will provide appropriate resources and engineering time to facilitate th</w:t>
      </w:r>
      <w:r>
        <w:rPr>
          <w:sz w:val="24"/>
          <w:szCs w:val="24"/>
        </w:rPr>
        <w:t>e regular</w:t>
      </w:r>
      <w:r w:rsidRPr="00055EDF">
        <w:rPr>
          <w:sz w:val="24"/>
          <w:szCs w:val="24"/>
        </w:rPr>
        <w:t xml:space="preserve"> export</w:t>
      </w:r>
      <w:r>
        <w:rPr>
          <w:sz w:val="24"/>
          <w:szCs w:val="24"/>
        </w:rPr>
        <w:t xml:space="preserve"> of data and information on to the INDEX platform</w:t>
      </w:r>
      <w:r w:rsidRPr="00055EDF">
        <w:rPr>
          <w:sz w:val="24"/>
          <w:szCs w:val="24"/>
        </w:rPr>
        <w:t xml:space="preserve">. </w:t>
      </w:r>
    </w:p>
    <w:p w14:paraId="2392FB20" w14:textId="256391AA" w:rsidR="002860A5" w:rsidRPr="002860A5" w:rsidRDefault="002860A5" w:rsidP="005F7442">
      <w:pPr>
        <w:pStyle w:val="Heading2"/>
        <w:numPr>
          <w:ilvl w:val="0"/>
          <w:numId w:val="0"/>
        </w:numPr>
        <w:spacing w:after="120"/>
        <w:rPr>
          <w:sz w:val="24"/>
          <w:szCs w:val="24"/>
        </w:rPr>
      </w:pPr>
      <w:r>
        <w:rPr>
          <w:sz w:val="24"/>
          <w:szCs w:val="24"/>
        </w:rPr>
        <w:t xml:space="preserve"> </w:t>
      </w:r>
    </w:p>
    <w:p w14:paraId="35734D9E" w14:textId="54CCFB79" w:rsidR="00671798" w:rsidRPr="001A45DF" w:rsidRDefault="00FE18AC">
      <w:pPr>
        <w:pStyle w:val="Heading1"/>
        <w:spacing w:after="120"/>
        <w:rPr>
          <w:sz w:val="32"/>
          <w:szCs w:val="32"/>
        </w:rPr>
      </w:pPr>
      <w:bookmarkStart w:id="19" w:name="_Toc368573032"/>
      <w:bookmarkStart w:id="20" w:name="_Toc522714840"/>
      <w:r w:rsidRPr="001A45DF">
        <w:rPr>
          <w:sz w:val="32"/>
          <w:szCs w:val="32"/>
        </w:rPr>
        <w:t>key milestones</w:t>
      </w:r>
      <w:bookmarkEnd w:id="19"/>
      <w:r w:rsidR="00F0311A" w:rsidRPr="001A45DF">
        <w:rPr>
          <w:sz w:val="32"/>
          <w:szCs w:val="32"/>
        </w:rPr>
        <w:t xml:space="preserve"> and Deliverables</w:t>
      </w:r>
      <w:bookmarkEnd w:id="20"/>
    </w:p>
    <w:p w14:paraId="4D0E0CBA" w14:textId="26AA0102"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2860A5">
        <w:rPr>
          <w:rFonts w:cs="Arial"/>
          <w:sz w:val="24"/>
          <w:szCs w:val="24"/>
        </w:rPr>
        <w:t xml:space="preserve">; </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192DB4">
        <w:tc>
          <w:tcPr>
            <w:tcW w:w="1481"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t>Milestone</w:t>
            </w:r>
            <w:r w:rsidR="00F0311A" w:rsidRPr="002C0A45">
              <w:rPr>
                <w:b/>
                <w:sz w:val="24"/>
                <w:szCs w:val="24"/>
              </w:rPr>
              <w:t>/Deliverable</w:t>
            </w:r>
          </w:p>
        </w:tc>
        <w:tc>
          <w:tcPr>
            <w:tcW w:w="2188"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1331" w:type="pct"/>
            <w:shd w:val="clear" w:color="auto" w:fill="B8CCE4" w:themeFill="accent1" w:themeFillTint="66"/>
            <w:vAlign w:val="center"/>
          </w:tcPr>
          <w:p w14:paraId="0EABB2D0" w14:textId="37F8D3A0" w:rsidR="00671798" w:rsidRPr="002C0A45" w:rsidRDefault="00FE18AC" w:rsidP="007E5DC2">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or Delivery Date</w:t>
            </w:r>
          </w:p>
        </w:tc>
      </w:tr>
      <w:tr w:rsidR="001C13F8" w:rsidRPr="001A45DF" w14:paraId="5FC77F4F" w14:textId="77777777" w:rsidTr="00071586">
        <w:tc>
          <w:tcPr>
            <w:tcW w:w="1481" w:type="pct"/>
            <w:shd w:val="clear" w:color="auto" w:fill="auto"/>
            <w:vAlign w:val="center"/>
          </w:tcPr>
          <w:p w14:paraId="597E5F37" w14:textId="036BE79F" w:rsidR="001C13F8" w:rsidRPr="005F7442" w:rsidRDefault="001C13F8">
            <w:pPr>
              <w:pStyle w:val="Heading3"/>
              <w:numPr>
                <w:ilvl w:val="0"/>
                <w:numId w:val="0"/>
              </w:numPr>
              <w:spacing w:after="120"/>
              <w:jc w:val="center"/>
              <w:outlineLvl w:val="2"/>
              <w:rPr>
                <w:sz w:val="24"/>
                <w:szCs w:val="24"/>
              </w:rPr>
            </w:pPr>
            <w:r w:rsidRPr="005F7442">
              <w:rPr>
                <w:sz w:val="24"/>
                <w:szCs w:val="24"/>
              </w:rPr>
              <w:lastRenderedPageBreak/>
              <w:t>1</w:t>
            </w:r>
          </w:p>
        </w:tc>
        <w:tc>
          <w:tcPr>
            <w:tcW w:w="2188" w:type="pct"/>
            <w:vAlign w:val="center"/>
          </w:tcPr>
          <w:p w14:paraId="6017A8D4" w14:textId="4A6A3950" w:rsidR="001C13F8" w:rsidRPr="005F7442" w:rsidRDefault="001C13F8" w:rsidP="00192DB4">
            <w:pPr>
              <w:pStyle w:val="Heading3"/>
              <w:numPr>
                <w:ilvl w:val="0"/>
                <w:numId w:val="0"/>
              </w:numPr>
              <w:spacing w:after="120"/>
              <w:jc w:val="left"/>
              <w:outlineLvl w:val="2"/>
              <w:rPr>
                <w:sz w:val="24"/>
                <w:szCs w:val="24"/>
              </w:rPr>
            </w:pPr>
            <w:r w:rsidRPr="005F7442">
              <w:rPr>
                <w:sz w:val="24"/>
                <w:szCs w:val="24"/>
              </w:rPr>
              <w:t xml:space="preserve">Attendance at Contract Initiation meeting </w:t>
            </w:r>
          </w:p>
        </w:tc>
        <w:tc>
          <w:tcPr>
            <w:tcW w:w="1331" w:type="pct"/>
            <w:vAlign w:val="center"/>
          </w:tcPr>
          <w:p w14:paraId="06B4C3C8" w14:textId="3871272D" w:rsidR="001C13F8" w:rsidRPr="005F7442" w:rsidRDefault="001C13F8" w:rsidP="00192DB4">
            <w:pPr>
              <w:pStyle w:val="Heading3"/>
              <w:numPr>
                <w:ilvl w:val="0"/>
                <w:numId w:val="0"/>
              </w:numPr>
              <w:spacing w:after="120"/>
              <w:jc w:val="center"/>
              <w:outlineLvl w:val="2"/>
              <w:rPr>
                <w:sz w:val="24"/>
                <w:szCs w:val="24"/>
              </w:rPr>
            </w:pPr>
            <w:r w:rsidRPr="005F7442">
              <w:rPr>
                <w:sz w:val="24"/>
                <w:szCs w:val="24"/>
              </w:rPr>
              <w:t>Within one week of Contract Commencement</w:t>
            </w:r>
          </w:p>
        </w:tc>
      </w:tr>
      <w:tr w:rsidR="001C13F8" w:rsidRPr="001A45DF" w14:paraId="7D656552" w14:textId="77777777" w:rsidTr="00071586">
        <w:tc>
          <w:tcPr>
            <w:tcW w:w="1481" w:type="pct"/>
            <w:shd w:val="clear" w:color="auto" w:fill="auto"/>
            <w:vAlign w:val="center"/>
          </w:tcPr>
          <w:p w14:paraId="67D96853" w14:textId="79DEBD02" w:rsidR="001C13F8" w:rsidRPr="005F7442" w:rsidRDefault="001C13F8">
            <w:pPr>
              <w:pStyle w:val="Heading3"/>
              <w:numPr>
                <w:ilvl w:val="0"/>
                <w:numId w:val="0"/>
              </w:numPr>
              <w:spacing w:after="120"/>
              <w:jc w:val="center"/>
              <w:outlineLvl w:val="2"/>
              <w:rPr>
                <w:sz w:val="24"/>
                <w:szCs w:val="24"/>
              </w:rPr>
            </w:pPr>
            <w:r w:rsidRPr="005F7442">
              <w:rPr>
                <w:sz w:val="24"/>
                <w:szCs w:val="24"/>
              </w:rPr>
              <w:t>2</w:t>
            </w:r>
          </w:p>
        </w:tc>
        <w:tc>
          <w:tcPr>
            <w:tcW w:w="2188" w:type="pct"/>
            <w:vAlign w:val="center"/>
          </w:tcPr>
          <w:p w14:paraId="1A841777" w14:textId="5F998622" w:rsidR="001C13F8" w:rsidRPr="005F7442" w:rsidRDefault="001C13F8" w:rsidP="00192DB4">
            <w:pPr>
              <w:pStyle w:val="Heading3"/>
              <w:numPr>
                <w:ilvl w:val="0"/>
                <w:numId w:val="0"/>
              </w:numPr>
              <w:spacing w:after="120"/>
              <w:jc w:val="left"/>
              <w:outlineLvl w:val="2"/>
              <w:rPr>
                <w:sz w:val="24"/>
                <w:szCs w:val="24"/>
              </w:rPr>
            </w:pPr>
            <w:r w:rsidRPr="005F7442">
              <w:rPr>
                <w:sz w:val="24"/>
                <w:szCs w:val="24"/>
              </w:rPr>
              <w:t>Provision of Security Management Plan</w:t>
            </w:r>
          </w:p>
        </w:tc>
        <w:tc>
          <w:tcPr>
            <w:tcW w:w="1331" w:type="pct"/>
            <w:vAlign w:val="center"/>
          </w:tcPr>
          <w:p w14:paraId="5884E581" w14:textId="53C28161" w:rsidR="001C13F8" w:rsidRPr="005F7442" w:rsidRDefault="001C13F8" w:rsidP="00192DB4">
            <w:pPr>
              <w:pStyle w:val="Heading3"/>
              <w:numPr>
                <w:ilvl w:val="0"/>
                <w:numId w:val="0"/>
              </w:numPr>
              <w:spacing w:after="120"/>
              <w:jc w:val="center"/>
              <w:outlineLvl w:val="2"/>
              <w:rPr>
                <w:sz w:val="24"/>
                <w:szCs w:val="24"/>
              </w:rPr>
            </w:pPr>
            <w:r w:rsidRPr="005F7442">
              <w:rPr>
                <w:sz w:val="24"/>
                <w:szCs w:val="24"/>
              </w:rPr>
              <w:t>Within four weeks of Contract Commencement</w:t>
            </w:r>
          </w:p>
        </w:tc>
      </w:tr>
      <w:tr w:rsidR="00FE18AC" w:rsidRPr="001A45DF" w14:paraId="2B6EAC37" w14:textId="77777777" w:rsidTr="00071586">
        <w:tc>
          <w:tcPr>
            <w:tcW w:w="1481" w:type="pct"/>
            <w:shd w:val="clear" w:color="auto" w:fill="auto"/>
            <w:vAlign w:val="center"/>
          </w:tcPr>
          <w:p w14:paraId="13176D62" w14:textId="707A3075" w:rsidR="00671798" w:rsidRPr="005F7442" w:rsidRDefault="00585BE4">
            <w:pPr>
              <w:pStyle w:val="Heading3"/>
              <w:numPr>
                <w:ilvl w:val="0"/>
                <w:numId w:val="0"/>
              </w:numPr>
              <w:spacing w:after="120"/>
              <w:jc w:val="center"/>
              <w:outlineLvl w:val="2"/>
              <w:rPr>
                <w:sz w:val="24"/>
                <w:szCs w:val="24"/>
              </w:rPr>
            </w:pPr>
            <w:r w:rsidRPr="005F7442">
              <w:rPr>
                <w:sz w:val="24"/>
                <w:szCs w:val="24"/>
              </w:rPr>
              <w:t>3</w:t>
            </w:r>
          </w:p>
        </w:tc>
        <w:tc>
          <w:tcPr>
            <w:tcW w:w="2188" w:type="pct"/>
            <w:vAlign w:val="center"/>
          </w:tcPr>
          <w:p w14:paraId="04CC1243" w14:textId="527F3B25" w:rsidR="00671798" w:rsidRPr="005F7442" w:rsidRDefault="00192DB4" w:rsidP="00192DB4">
            <w:pPr>
              <w:pStyle w:val="Heading3"/>
              <w:numPr>
                <w:ilvl w:val="0"/>
                <w:numId w:val="0"/>
              </w:numPr>
              <w:spacing w:after="120"/>
              <w:jc w:val="left"/>
              <w:outlineLvl w:val="2"/>
              <w:rPr>
                <w:sz w:val="24"/>
                <w:szCs w:val="24"/>
              </w:rPr>
            </w:pPr>
            <w:r w:rsidRPr="005F7442">
              <w:rPr>
                <w:sz w:val="24"/>
                <w:szCs w:val="24"/>
              </w:rPr>
              <w:t xml:space="preserve">Proof of concept for access to information and data sources. </w:t>
            </w:r>
          </w:p>
        </w:tc>
        <w:tc>
          <w:tcPr>
            <w:tcW w:w="1331" w:type="pct"/>
            <w:vAlign w:val="center"/>
          </w:tcPr>
          <w:p w14:paraId="23E536A9" w14:textId="58A9F486" w:rsidR="00671798" w:rsidRPr="005F7442" w:rsidRDefault="00FE18AC" w:rsidP="00192DB4">
            <w:pPr>
              <w:pStyle w:val="Heading3"/>
              <w:numPr>
                <w:ilvl w:val="0"/>
                <w:numId w:val="0"/>
              </w:numPr>
              <w:spacing w:after="120"/>
              <w:jc w:val="center"/>
              <w:outlineLvl w:val="2"/>
              <w:rPr>
                <w:sz w:val="24"/>
                <w:szCs w:val="24"/>
              </w:rPr>
            </w:pPr>
            <w:r w:rsidRPr="005F7442">
              <w:rPr>
                <w:sz w:val="24"/>
                <w:szCs w:val="24"/>
              </w:rPr>
              <w:t>W</w:t>
            </w:r>
            <w:r w:rsidR="00192DB4" w:rsidRPr="005F7442">
              <w:rPr>
                <w:sz w:val="24"/>
                <w:szCs w:val="24"/>
              </w:rPr>
              <w:t xml:space="preserve">ithin </w:t>
            </w:r>
            <w:r w:rsidR="001C13F8" w:rsidRPr="005F7442">
              <w:rPr>
                <w:sz w:val="24"/>
                <w:szCs w:val="24"/>
              </w:rPr>
              <w:t xml:space="preserve">four </w:t>
            </w:r>
            <w:r w:rsidR="00192DB4" w:rsidRPr="005F7442">
              <w:rPr>
                <w:sz w:val="24"/>
                <w:szCs w:val="24"/>
              </w:rPr>
              <w:t>week</w:t>
            </w:r>
            <w:r w:rsidR="001C13F8" w:rsidRPr="005F7442">
              <w:rPr>
                <w:sz w:val="24"/>
                <w:szCs w:val="24"/>
              </w:rPr>
              <w:t>s</w:t>
            </w:r>
            <w:r w:rsidRPr="005F7442">
              <w:rPr>
                <w:sz w:val="24"/>
                <w:szCs w:val="24"/>
              </w:rPr>
              <w:t xml:space="preserve"> of Contract </w:t>
            </w:r>
            <w:r w:rsidR="001C13F8" w:rsidRPr="005F7442">
              <w:rPr>
                <w:sz w:val="24"/>
                <w:szCs w:val="24"/>
              </w:rPr>
              <w:t>Commencement</w:t>
            </w:r>
            <w:r w:rsidR="00F0311A" w:rsidRPr="005F7442">
              <w:rPr>
                <w:sz w:val="24"/>
                <w:szCs w:val="24"/>
              </w:rPr>
              <w:t xml:space="preserve"> </w:t>
            </w:r>
          </w:p>
        </w:tc>
      </w:tr>
      <w:tr w:rsidR="00FE18AC" w:rsidRPr="001A45DF" w14:paraId="16F113EC" w14:textId="77777777" w:rsidTr="00071586">
        <w:tc>
          <w:tcPr>
            <w:tcW w:w="1481" w:type="pct"/>
            <w:shd w:val="clear" w:color="auto" w:fill="auto"/>
            <w:vAlign w:val="center"/>
          </w:tcPr>
          <w:p w14:paraId="4FD18402" w14:textId="36A3EF84" w:rsidR="00671798" w:rsidRPr="005F7442" w:rsidRDefault="00585BE4">
            <w:pPr>
              <w:pStyle w:val="Heading3"/>
              <w:numPr>
                <w:ilvl w:val="0"/>
                <w:numId w:val="0"/>
              </w:numPr>
              <w:spacing w:after="120"/>
              <w:jc w:val="center"/>
              <w:outlineLvl w:val="2"/>
              <w:rPr>
                <w:sz w:val="24"/>
                <w:szCs w:val="24"/>
              </w:rPr>
            </w:pPr>
            <w:r w:rsidRPr="005F7442">
              <w:rPr>
                <w:sz w:val="24"/>
                <w:szCs w:val="24"/>
              </w:rPr>
              <w:t>4</w:t>
            </w:r>
          </w:p>
        </w:tc>
        <w:tc>
          <w:tcPr>
            <w:tcW w:w="2188" w:type="pct"/>
            <w:vAlign w:val="center"/>
          </w:tcPr>
          <w:p w14:paraId="33C22C40" w14:textId="00FF69DC" w:rsidR="00671798" w:rsidRPr="005F7442" w:rsidRDefault="00192DB4" w:rsidP="00F0311A">
            <w:pPr>
              <w:pStyle w:val="Heading3"/>
              <w:numPr>
                <w:ilvl w:val="0"/>
                <w:numId w:val="0"/>
              </w:numPr>
              <w:spacing w:after="120"/>
              <w:jc w:val="left"/>
              <w:outlineLvl w:val="2"/>
              <w:rPr>
                <w:sz w:val="24"/>
                <w:szCs w:val="24"/>
              </w:rPr>
            </w:pPr>
            <w:r w:rsidRPr="005F7442">
              <w:rPr>
                <w:sz w:val="24"/>
                <w:szCs w:val="24"/>
              </w:rPr>
              <w:t xml:space="preserve">Fully integrated information and data sources. </w:t>
            </w:r>
          </w:p>
        </w:tc>
        <w:tc>
          <w:tcPr>
            <w:tcW w:w="1331" w:type="pct"/>
            <w:vAlign w:val="center"/>
          </w:tcPr>
          <w:p w14:paraId="3B285FD4" w14:textId="7AD3E6E2" w:rsidR="00671798" w:rsidRPr="005F7442" w:rsidRDefault="00192DB4" w:rsidP="00192DB4">
            <w:pPr>
              <w:pStyle w:val="Heading3"/>
              <w:numPr>
                <w:ilvl w:val="0"/>
                <w:numId w:val="0"/>
              </w:numPr>
              <w:spacing w:after="120"/>
              <w:jc w:val="center"/>
              <w:outlineLvl w:val="2"/>
              <w:rPr>
                <w:sz w:val="24"/>
                <w:szCs w:val="24"/>
              </w:rPr>
            </w:pPr>
            <w:r w:rsidRPr="005F7442">
              <w:rPr>
                <w:sz w:val="24"/>
                <w:szCs w:val="24"/>
              </w:rPr>
              <w:t xml:space="preserve">Within </w:t>
            </w:r>
            <w:r w:rsidR="001C13F8" w:rsidRPr="005F7442">
              <w:rPr>
                <w:sz w:val="24"/>
                <w:szCs w:val="24"/>
              </w:rPr>
              <w:t xml:space="preserve">eight </w:t>
            </w:r>
            <w:r w:rsidRPr="005F7442">
              <w:rPr>
                <w:sz w:val="24"/>
                <w:szCs w:val="24"/>
              </w:rPr>
              <w:t>week</w:t>
            </w:r>
            <w:r w:rsidR="001C13F8" w:rsidRPr="005F7442">
              <w:rPr>
                <w:sz w:val="24"/>
                <w:szCs w:val="24"/>
              </w:rPr>
              <w:t>s</w:t>
            </w:r>
            <w:r w:rsidRPr="005F7442">
              <w:rPr>
                <w:sz w:val="24"/>
                <w:szCs w:val="24"/>
              </w:rPr>
              <w:t xml:space="preserve"> </w:t>
            </w:r>
            <w:r w:rsidR="00F0311A" w:rsidRPr="005F7442">
              <w:rPr>
                <w:sz w:val="24"/>
                <w:szCs w:val="24"/>
              </w:rPr>
              <w:t xml:space="preserve">of Contract </w:t>
            </w:r>
            <w:r w:rsidR="001C13F8" w:rsidRPr="005F7442">
              <w:rPr>
                <w:sz w:val="24"/>
                <w:szCs w:val="24"/>
              </w:rPr>
              <w:t>Commencement</w:t>
            </w:r>
            <w:r w:rsidR="00F0311A" w:rsidRPr="005F7442">
              <w:rPr>
                <w:sz w:val="24"/>
                <w:szCs w:val="24"/>
              </w:rPr>
              <w:t xml:space="preserve"> </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3"/>
      <w:bookmarkStart w:id="23" w:name="_Toc522714841"/>
      <w:r w:rsidRPr="001A45DF">
        <w:rPr>
          <w:rFonts w:cs="Arial"/>
          <w:sz w:val="32"/>
          <w:szCs w:val="32"/>
        </w:rPr>
        <w:t>MANAGEMENT INFORMATION/</w:t>
      </w:r>
      <w:r w:rsidR="00FE18AC" w:rsidRPr="001A45DF">
        <w:rPr>
          <w:rFonts w:cs="Arial"/>
          <w:sz w:val="32"/>
          <w:szCs w:val="32"/>
        </w:rPr>
        <w:t>reporting</w:t>
      </w:r>
      <w:bookmarkEnd w:id="22"/>
      <w:bookmarkEnd w:id="23"/>
    </w:p>
    <w:p w14:paraId="22C08F65" w14:textId="33D3D230" w:rsidR="00671798" w:rsidRPr="00CB10BC" w:rsidRDefault="00F45E8A">
      <w:pPr>
        <w:pStyle w:val="Heading2"/>
        <w:tabs>
          <w:tab w:val="clear" w:pos="720"/>
          <w:tab w:val="num" w:pos="709"/>
        </w:tabs>
        <w:spacing w:after="120"/>
        <w:ind w:left="709" w:hanging="709"/>
        <w:rPr>
          <w:sz w:val="24"/>
          <w:szCs w:val="24"/>
        </w:rPr>
      </w:pPr>
      <w:r w:rsidRPr="00CB10BC">
        <w:rPr>
          <w:sz w:val="24"/>
          <w:szCs w:val="24"/>
        </w:rPr>
        <w:t>The information and data must be searchable through the INDEX platform; and fit with the information management structures of the platform</w:t>
      </w:r>
      <w:r w:rsidR="00E24EE7" w:rsidRPr="00CB10BC">
        <w:rPr>
          <w:sz w:val="24"/>
          <w:szCs w:val="24"/>
        </w:rPr>
        <w:t>.</w:t>
      </w:r>
      <w:r w:rsidR="00A016C4">
        <w:rPr>
          <w:sz w:val="24"/>
          <w:szCs w:val="24"/>
        </w:rPr>
        <w:t xml:space="preserve"> Winning Suppliers will be provided with details of the platform to ensure technical compatibility is achieved.</w:t>
      </w:r>
    </w:p>
    <w:p w14:paraId="4E81B58E" w14:textId="77777777" w:rsidR="00DE40F0" w:rsidRPr="00CB10BC" w:rsidRDefault="00DE40F0">
      <w:pPr>
        <w:pStyle w:val="Heading2"/>
        <w:tabs>
          <w:tab w:val="clear" w:pos="720"/>
          <w:tab w:val="num" w:pos="709"/>
        </w:tabs>
        <w:spacing w:after="120"/>
        <w:ind w:left="709" w:hanging="709"/>
        <w:rPr>
          <w:sz w:val="24"/>
          <w:szCs w:val="24"/>
        </w:rPr>
      </w:pPr>
      <w:r w:rsidRPr="00CB10BC">
        <w:rPr>
          <w:sz w:val="24"/>
          <w:szCs w:val="24"/>
        </w:rPr>
        <w:t>Weekly reports covering the following shall be provided:</w:t>
      </w:r>
    </w:p>
    <w:p w14:paraId="705D4BF1" w14:textId="77777777" w:rsidR="00DE40F0" w:rsidRPr="00CB10BC" w:rsidRDefault="00DE40F0" w:rsidP="00DE40F0">
      <w:pPr>
        <w:pStyle w:val="Heading3"/>
        <w:rPr>
          <w:sz w:val="24"/>
          <w:szCs w:val="24"/>
        </w:rPr>
      </w:pPr>
      <w:r w:rsidRPr="00CB10BC">
        <w:rPr>
          <w:sz w:val="24"/>
          <w:szCs w:val="24"/>
        </w:rPr>
        <w:t>Volumes of data and information uploaded to the INDEX platform in the previous week.</w:t>
      </w:r>
    </w:p>
    <w:p w14:paraId="4888D99F" w14:textId="77777777" w:rsidR="00DE40F0" w:rsidRPr="00CB10BC" w:rsidRDefault="00DE40F0" w:rsidP="00DE40F0">
      <w:pPr>
        <w:pStyle w:val="Heading3"/>
        <w:rPr>
          <w:sz w:val="24"/>
          <w:szCs w:val="24"/>
        </w:rPr>
      </w:pPr>
      <w:r w:rsidRPr="00CB10BC">
        <w:rPr>
          <w:sz w:val="24"/>
          <w:szCs w:val="24"/>
        </w:rPr>
        <w:t>Data and Information subject matter provided over the previous week.</w:t>
      </w:r>
    </w:p>
    <w:p w14:paraId="0C692992" w14:textId="2EB25DE0" w:rsidR="00DE40F0" w:rsidRPr="00CB10BC" w:rsidRDefault="00DE40F0" w:rsidP="00DE40F0">
      <w:pPr>
        <w:pStyle w:val="Heading3"/>
        <w:rPr>
          <w:sz w:val="24"/>
          <w:szCs w:val="24"/>
        </w:rPr>
      </w:pPr>
      <w:r w:rsidRPr="00CB10BC">
        <w:rPr>
          <w:sz w:val="24"/>
          <w:szCs w:val="24"/>
        </w:rPr>
        <w:t>Details of any issues restricting the uploaded of information and data over the previous week</w:t>
      </w:r>
      <w:r w:rsidR="00CA66A9">
        <w:rPr>
          <w:sz w:val="24"/>
          <w:szCs w:val="24"/>
        </w:rPr>
        <w:t>.</w:t>
      </w:r>
      <w:r w:rsidRPr="00CB10BC">
        <w:rPr>
          <w:sz w:val="24"/>
          <w:szCs w:val="24"/>
        </w:rPr>
        <w:t xml:space="preserve">  </w:t>
      </w: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4"/>
      <w:bookmarkStart w:id="25" w:name="_Toc522714842"/>
      <w:r w:rsidRPr="001A45DF">
        <w:rPr>
          <w:rFonts w:cs="Arial"/>
          <w:sz w:val="32"/>
          <w:szCs w:val="32"/>
        </w:rPr>
        <w:t>volumes</w:t>
      </w:r>
      <w:bookmarkEnd w:id="24"/>
      <w:bookmarkEnd w:id="25"/>
    </w:p>
    <w:p w14:paraId="3AB9FCA7" w14:textId="64CBA1A9" w:rsidR="00671798" w:rsidRPr="008B39C7" w:rsidRDefault="00F45E8A" w:rsidP="00E24EE7">
      <w:pPr>
        <w:pStyle w:val="Heading2"/>
        <w:rPr>
          <w:rFonts w:cs="Arial"/>
          <w:sz w:val="24"/>
          <w:szCs w:val="24"/>
        </w:rPr>
      </w:pPr>
      <w:r w:rsidRPr="00555889">
        <w:rPr>
          <w:rFonts w:cs="Arial"/>
          <w:sz w:val="24"/>
          <w:szCs w:val="24"/>
        </w:rPr>
        <w:t>Relevance is critical, and as such there is no upper or lower limit on volume of information or data that can be supplied, but information and data must be relevant</w:t>
      </w:r>
      <w:r w:rsidR="004C6809" w:rsidRPr="00555889">
        <w:rPr>
          <w:rFonts w:cs="Arial"/>
          <w:sz w:val="24"/>
          <w:szCs w:val="24"/>
        </w:rPr>
        <w:t xml:space="preserve"> to the topics of geopolitics or foreign affairs</w:t>
      </w:r>
      <w:r w:rsidRPr="00555889">
        <w:rPr>
          <w:rFonts w:cs="Arial"/>
          <w:sz w:val="24"/>
          <w:szCs w:val="24"/>
        </w:rPr>
        <w:t>.</w:t>
      </w:r>
      <w:r w:rsidR="00CF2DE7" w:rsidRPr="00555889">
        <w:rPr>
          <w:rFonts w:cs="Arial"/>
          <w:sz w:val="24"/>
          <w:szCs w:val="24"/>
        </w:rPr>
        <w:t xml:space="preserve"> </w:t>
      </w:r>
      <w:r w:rsidRPr="00555889">
        <w:rPr>
          <w:rFonts w:cs="Arial"/>
          <w:sz w:val="24"/>
          <w:szCs w:val="24"/>
        </w:rPr>
        <w:t xml:space="preserve"> </w:t>
      </w:r>
    </w:p>
    <w:p w14:paraId="7305CEA5" w14:textId="06168DCD" w:rsidR="00CC55BC" w:rsidRPr="001A45DF" w:rsidRDefault="004F08D6" w:rsidP="00E24EE7">
      <w:pPr>
        <w:pStyle w:val="Heading2"/>
        <w:rPr>
          <w:rFonts w:cs="Arial"/>
          <w:sz w:val="24"/>
          <w:szCs w:val="24"/>
        </w:rPr>
      </w:pPr>
      <w:r>
        <w:rPr>
          <w:rFonts w:cs="Arial"/>
          <w:sz w:val="24"/>
          <w:szCs w:val="24"/>
        </w:rPr>
        <w:t>Volumes of information and data provided will be monitored on a weekly basis as set out in Section 8 – Management Information/Reporting above.</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6" w:name="_Toc368573035"/>
      <w:bookmarkStart w:id="27" w:name="_Toc522714843"/>
      <w:r w:rsidRPr="001A45DF">
        <w:rPr>
          <w:rFonts w:cs="Arial"/>
          <w:sz w:val="32"/>
          <w:szCs w:val="32"/>
        </w:rPr>
        <w:t>continuous improvement</w:t>
      </w:r>
      <w:bookmarkEnd w:id="26"/>
      <w:bookmarkEnd w:id="27"/>
    </w:p>
    <w:p w14:paraId="73ED8F03" w14:textId="16BD45CD"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improve the way in which the required Services are to be delivered throughout the </w:t>
      </w:r>
      <w:r w:rsidR="0052086C" w:rsidRPr="001A45DF">
        <w:rPr>
          <w:sz w:val="24"/>
          <w:szCs w:val="24"/>
        </w:rPr>
        <w:t xml:space="preserve">Contract </w:t>
      </w:r>
      <w:r w:rsidRPr="001A45DF">
        <w:rPr>
          <w:sz w:val="24"/>
          <w:szCs w:val="24"/>
        </w:rPr>
        <w:t>duration.</w:t>
      </w:r>
    </w:p>
    <w:p w14:paraId="031D2B5A" w14:textId="6E1F43DF" w:rsidR="00671798" w:rsidRPr="001A45DF" w:rsidRDefault="00FE18AC">
      <w:pPr>
        <w:pStyle w:val="Heading2"/>
        <w:tabs>
          <w:tab w:val="clear" w:pos="720"/>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7CC141C7" w14:textId="3806E783" w:rsidR="004E78BC" w:rsidRPr="001A45DF" w:rsidRDefault="004E78BC" w:rsidP="004E78BC">
      <w:pPr>
        <w:pStyle w:val="Heading1"/>
        <w:rPr>
          <w:sz w:val="32"/>
          <w:szCs w:val="32"/>
        </w:rPr>
      </w:pPr>
      <w:bookmarkStart w:id="28" w:name="_Toc522714844"/>
      <w:r w:rsidRPr="001A45DF">
        <w:rPr>
          <w:sz w:val="32"/>
          <w:szCs w:val="32"/>
        </w:rPr>
        <w:lastRenderedPageBreak/>
        <w:t>Sustainability</w:t>
      </w:r>
      <w:bookmarkEnd w:id="28"/>
    </w:p>
    <w:p w14:paraId="286B266F" w14:textId="30C60593" w:rsidR="00D5137F" w:rsidRDefault="0007252B" w:rsidP="0007252B">
      <w:pPr>
        <w:pStyle w:val="Heading2"/>
        <w:rPr>
          <w:sz w:val="24"/>
          <w:szCs w:val="24"/>
        </w:rPr>
      </w:pPr>
      <w:bookmarkStart w:id="29" w:name="_Toc368573036"/>
      <w:bookmarkStart w:id="30" w:name="_Toc522714845"/>
      <w:r w:rsidRPr="00CB2861">
        <w:rPr>
          <w:sz w:val="24"/>
          <w:szCs w:val="24"/>
        </w:rPr>
        <w:t>The</w:t>
      </w:r>
      <w:r w:rsidR="002B2623">
        <w:rPr>
          <w:sz w:val="24"/>
          <w:szCs w:val="24"/>
        </w:rPr>
        <w:t xml:space="preserve"> </w:t>
      </w:r>
      <w:r w:rsidR="009E3DD7">
        <w:rPr>
          <w:sz w:val="24"/>
          <w:szCs w:val="24"/>
        </w:rPr>
        <w:t xml:space="preserve">Contracting </w:t>
      </w:r>
      <w:r w:rsidR="002B2623">
        <w:rPr>
          <w:sz w:val="24"/>
          <w:szCs w:val="24"/>
        </w:rPr>
        <w:t xml:space="preserve">Authority has a responsibility to act and support nature, the environment and its vital contribution to biodiversity. The Supplier is required to act in a sustainable manner in the delivery of the requirement, particularly in terms of eliminating waste, reducing travel and minimising energy consumption. </w:t>
      </w:r>
      <w:r w:rsidR="00D5137F">
        <w:rPr>
          <w:sz w:val="24"/>
          <w:szCs w:val="24"/>
        </w:rPr>
        <w:t>The Supplier must comply with all current legislation regarding sustainability and legislation introduced or amended during the period of the contract.</w:t>
      </w:r>
    </w:p>
    <w:p w14:paraId="059E42D0" w14:textId="77777777" w:rsidR="00D5137F" w:rsidRDefault="00D5137F" w:rsidP="0007252B">
      <w:pPr>
        <w:pStyle w:val="Heading2"/>
        <w:rPr>
          <w:sz w:val="24"/>
          <w:szCs w:val="24"/>
        </w:rPr>
      </w:pPr>
      <w:r>
        <w:rPr>
          <w:sz w:val="24"/>
          <w:szCs w:val="24"/>
        </w:rPr>
        <w:t>This must include compliance with the Modern Slavery Act 2015 and climate Change Act 2008.</w:t>
      </w:r>
    </w:p>
    <w:p w14:paraId="49F7D927" w14:textId="1A2D94B5" w:rsidR="0007252B" w:rsidRPr="00CB2861" w:rsidRDefault="00D5137F" w:rsidP="0007252B">
      <w:pPr>
        <w:pStyle w:val="Heading2"/>
        <w:rPr>
          <w:sz w:val="24"/>
          <w:szCs w:val="24"/>
        </w:rPr>
      </w:pPr>
      <w:r>
        <w:rPr>
          <w:sz w:val="24"/>
          <w:szCs w:val="24"/>
        </w:rPr>
        <w:t>The Supplier must consider their carbon footprint in allocating and deploying resources to undertake the requirement.</w:t>
      </w:r>
      <w:r w:rsidR="0007252B" w:rsidRPr="00CB2861">
        <w:rPr>
          <w:sz w:val="24"/>
          <w:szCs w:val="24"/>
        </w:rPr>
        <w:t xml:space="preserve"> </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quality</w:t>
      </w:r>
      <w:bookmarkEnd w:id="29"/>
      <w:bookmarkEnd w:id="30"/>
    </w:p>
    <w:p w14:paraId="3E8C5B44" w14:textId="425C5A6A" w:rsidR="005C2A84" w:rsidRPr="00B76BB3" w:rsidRDefault="0007252B" w:rsidP="00BE5FEF">
      <w:pPr>
        <w:pStyle w:val="Heading2"/>
        <w:spacing w:after="120"/>
        <w:ind w:left="709" w:hanging="709"/>
        <w:rPr>
          <w:sz w:val="24"/>
          <w:szCs w:val="24"/>
        </w:rPr>
      </w:pPr>
      <w:r w:rsidRPr="004F08D6">
        <w:rPr>
          <w:sz w:val="24"/>
          <w:szCs w:val="24"/>
        </w:rPr>
        <w:t>Information</w:t>
      </w:r>
      <w:r w:rsidRPr="00A80423">
        <w:rPr>
          <w:sz w:val="24"/>
          <w:szCs w:val="24"/>
        </w:rPr>
        <w:t xml:space="preserve"> and data</w:t>
      </w:r>
      <w:r w:rsidR="00E14FC2" w:rsidRPr="00A80423">
        <w:rPr>
          <w:sz w:val="24"/>
          <w:szCs w:val="24"/>
        </w:rPr>
        <w:t xml:space="preserve"> provide by </w:t>
      </w:r>
      <w:r w:rsidR="00D50539">
        <w:rPr>
          <w:sz w:val="24"/>
          <w:szCs w:val="24"/>
        </w:rPr>
        <w:t>S</w:t>
      </w:r>
      <w:r w:rsidR="00E14FC2" w:rsidRPr="00A80423">
        <w:rPr>
          <w:sz w:val="24"/>
          <w:szCs w:val="24"/>
        </w:rPr>
        <w:t>uppliers</w:t>
      </w:r>
      <w:r w:rsidRPr="00A80423">
        <w:rPr>
          <w:sz w:val="24"/>
          <w:szCs w:val="24"/>
        </w:rPr>
        <w:t xml:space="preserve"> must be relevant to geopolitics and foreign affairs. It must be useable by analysts through a single platform and comply with </w:t>
      </w:r>
      <w:r w:rsidR="008A620D" w:rsidRPr="00A80423">
        <w:rPr>
          <w:sz w:val="24"/>
          <w:szCs w:val="24"/>
        </w:rPr>
        <w:t>GDPR</w:t>
      </w:r>
      <w:r w:rsidRPr="00A80423">
        <w:rPr>
          <w:sz w:val="24"/>
          <w:szCs w:val="24"/>
        </w:rPr>
        <w:t>.</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7"/>
      <w:bookmarkStart w:id="32" w:name="_Toc522714846"/>
      <w:r w:rsidRPr="001A45DF">
        <w:rPr>
          <w:rFonts w:cs="Arial"/>
          <w:sz w:val="32"/>
          <w:szCs w:val="32"/>
        </w:rPr>
        <w:t>PRICE</w:t>
      </w:r>
      <w:bookmarkEnd w:id="31"/>
      <w:bookmarkEnd w:id="32"/>
    </w:p>
    <w:p w14:paraId="645D51EC" w14:textId="133813C2" w:rsidR="00671798" w:rsidRDefault="00FE18AC">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w:t>
      </w:r>
      <w:r w:rsidR="00F44D62" w:rsidRPr="009106C8">
        <w:rPr>
          <w:sz w:val="24"/>
          <w:szCs w:val="24"/>
        </w:rPr>
        <w:t>-</w:t>
      </w:r>
      <w:r w:rsidRPr="009106C8">
        <w:rPr>
          <w:sz w:val="24"/>
          <w:szCs w:val="24"/>
        </w:rPr>
        <w:t>Sourcing Suite</w:t>
      </w:r>
      <w:r w:rsidR="004A3BE6" w:rsidRPr="009106C8">
        <w:rPr>
          <w:sz w:val="24"/>
          <w:szCs w:val="24"/>
        </w:rPr>
        <w:t xml:space="preserve"> Attachment 4</w:t>
      </w:r>
      <w:r w:rsidR="001A45DF" w:rsidRPr="009106C8">
        <w:rPr>
          <w:sz w:val="24"/>
          <w:szCs w:val="24"/>
        </w:rPr>
        <w:t xml:space="preserve"> – Price Schedule</w:t>
      </w:r>
      <w:r w:rsidRPr="001A45DF">
        <w:rPr>
          <w:sz w:val="24"/>
          <w:szCs w:val="24"/>
        </w:rPr>
        <w:t xml:space="preserve"> excluding VAT</w:t>
      </w:r>
      <w:r w:rsidR="008E77CC" w:rsidRPr="001A45DF">
        <w:rPr>
          <w:sz w:val="24"/>
          <w:szCs w:val="24"/>
        </w:rPr>
        <w:t xml:space="preserve"> and including all other expenses relating to Contract delivery</w:t>
      </w:r>
      <w:r w:rsidR="00AE3C65" w:rsidRPr="001A45DF">
        <w:rPr>
          <w:sz w:val="24"/>
          <w:szCs w:val="24"/>
        </w:rPr>
        <w:t>.</w:t>
      </w:r>
    </w:p>
    <w:p w14:paraId="61FF4741" w14:textId="2E87BA32" w:rsidR="00230AB5" w:rsidRDefault="00230AB5">
      <w:pPr>
        <w:pStyle w:val="Heading2"/>
        <w:tabs>
          <w:tab w:val="clear" w:pos="720"/>
          <w:tab w:val="num" w:pos="709"/>
        </w:tabs>
        <w:spacing w:after="120"/>
        <w:ind w:left="709" w:hanging="709"/>
        <w:rPr>
          <w:sz w:val="24"/>
          <w:szCs w:val="24"/>
        </w:rPr>
      </w:pPr>
      <w:r>
        <w:rPr>
          <w:sz w:val="24"/>
          <w:szCs w:val="24"/>
        </w:rPr>
        <w:t>The Contracting Authority has a maximum budget of £120,000.00 for twelve months</w:t>
      </w:r>
      <w:r w:rsidR="0079481F">
        <w:rPr>
          <w:sz w:val="24"/>
          <w:szCs w:val="24"/>
        </w:rPr>
        <w:t xml:space="preserve"> for all Suppliers who are successful in their </w:t>
      </w:r>
      <w:r w:rsidR="00DB3499">
        <w:rPr>
          <w:sz w:val="24"/>
          <w:szCs w:val="24"/>
        </w:rPr>
        <w:t>b</w:t>
      </w:r>
      <w:r w:rsidR="0079481F">
        <w:rPr>
          <w:sz w:val="24"/>
          <w:szCs w:val="24"/>
        </w:rPr>
        <w:t>ids</w:t>
      </w:r>
      <w:r>
        <w:rPr>
          <w:sz w:val="24"/>
          <w:szCs w:val="24"/>
        </w:rPr>
        <w:t>.</w:t>
      </w:r>
      <w:r w:rsidR="00FE0401">
        <w:rPr>
          <w:sz w:val="24"/>
          <w:szCs w:val="24"/>
        </w:rPr>
        <w:t xml:space="preserve"> </w:t>
      </w:r>
      <w:r w:rsidR="0079481F">
        <w:rPr>
          <w:sz w:val="24"/>
          <w:szCs w:val="24"/>
        </w:rPr>
        <w:t xml:space="preserve">With a maximum budget of £60,000.00 for individual Supplier </w:t>
      </w:r>
      <w:r w:rsidR="00DB3499">
        <w:rPr>
          <w:sz w:val="24"/>
          <w:szCs w:val="24"/>
        </w:rPr>
        <w:t>bids.</w:t>
      </w:r>
      <w:r w:rsidR="0079481F">
        <w:rPr>
          <w:sz w:val="24"/>
          <w:szCs w:val="24"/>
        </w:rPr>
        <w:t xml:space="preserve">  </w:t>
      </w:r>
    </w:p>
    <w:p w14:paraId="46C9D323" w14:textId="77777777" w:rsidR="00FE0401" w:rsidRDefault="00230AB5">
      <w:pPr>
        <w:pStyle w:val="Heading2"/>
        <w:tabs>
          <w:tab w:val="clear" w:pos="720"/>
          <w:tab w:val="num" w:pos="709"/>
        </w:tabs>
        <w:spacing w:after="120"/>
        <w:ind w:left="709" w:hanging="709"/>
        <w:rPr>
          <w:sz w:val="24"/>
          <w:szCs w:val="24"/>
        </w:rPr>
      </w:pPr>
      <w:r>
        <w:rPr>
          <w:sz w:val="24"/>
          <w:szCs w:val="24"/>
        </w:rPr>
        <w:t xml:space="preserve">The number of Suppliers appointed will be dependant on the prices submitted by the top ranked scores of Suppliers following the Technical and Commercial evaluation of the bids received. </w:t>
      </w:r>
    </w:p>
    <w:p w14:paraId="695AB125" w14:textId="30FA3920" w:rsidR="00230AB5" w:rsidRPr="001A45DF" w:rsidRDefault="00FE0401">
      <w:pPr>
        <w:pStyle w:val="Heading2"/>
        <w:tabs>
          <w:tab w:val="clear" w:pos="720"/>
          <w:tab w:val="num" w:pos="709"/>
        </w:tabs>
        <w:spacing w:after="120"/>
        <w:ind w:left="709" w:hanging="709"/>
        <w:rPr>
          <w:sz w:val="24"/>
          <w:szCs w:val="24"/>
        </w:rPr>
      </w:pPr>
      <w:r>
        <w:rPr>
          <w:sz w:val="24"/>
          <w:szCs w:val="24"/>
        </w:rPr>
        <w:t>Ideally the Contracting Authority wishes to appoint three Suppliers however, if prices submitted by the two top ranked Suppliers does not leave sufficient budget to cover the price submitted by the third ranked Supplier, only two Suppliers will be appointed.</w:t>
      </w:r>
      <w:r w:rsidR="00230AB5">
        <w:rPr>
          <w:sz w:val="24"/>
          <w:szCs w:val="24"/>
        </w:rPr>
        <w:t xml:space="preserve"> </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8"/>
      <w:bookmarkStart w:id="34" w:name="_Toc522714847"/>
      <w:r w:rsidRPr="001A45DF">
        <w:rPr>
          <w:rFonts w:cs="Arial"/>
          <w:sz w:val="32"/>
          <w:szCs w:val="32"/>
        </w:rPr>
        <w:t>STAFF AND CUSTOMER SERVICE</w:t>
      </w:r>
      <w:bookmarkEnd w:id="33"/>
      <w:bookmarkEnd w:id="34"/>
    </w:p>
    <w:p w14:paraId="473FF9D3" w14:textId="319E851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5" w:name="_Toc368573039"/>
      <w:bookmarkStart w:id="36" w:name="_Toc522714848"/>
      <w:r w:rsidRPr="001A45DF">
        <w:rPr>
          <w:rFonts w:cs="Arial"/>
          <w:sz w:val="32"/>
          <w:szCs w:val="32"/>
        </w:rPr>
        <w:lastRenderedPageBreak/>
        <w:t>service levels and performance</w:t>
      </w:r>
      <w:bookmarkEnd w:id="35"/>
      <w:bookmarkEnd w:id="36"/>
    </w:p>
    <w:p w14:paraId="65E93A82" w14:textId="7619BBFD" w:rsidR="00671798" w:rsidRPr="00E14FC2" w:rsidRDefault="00FE18AC" w:rsidP="00E14FC2">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56"/>
        <w:gridCol w:w="3746"/>
        <w:gridCol w:w="1634"/>
      </w:tblGrid>
      <w:tr w:rsidR="00B13763" w14:paraId="1D82B23D" w14:textId="77777777" w:rsidTr="00E14FC2">
        <w:tc>
          <w:tcPr>
            <w:tcW w:w="1163" w:type="dxa"/>
            <w:shd w:val="clear" w:color="auto" w:fill="B8CCE4" w:themeFill="accent1" w:themeFillTint="66"/>
          </w:tcPr>
          <w:p w14:paraId="4E16E6B9" w14:textId="29E5F590" w:rsidR="00B13763" w:rsidRPr="002C0A45" w:rsidRDefault="00B13763" w:rsidP="00B13763">
            <w:pPr>
              <w:pStyle w:val="Heading2"/>
              <w:numPr>
                <w:ilvl w:val="0"/>
                <w:numId w:val="0"/>
              </w:numPr>
              <w:jc w:val="center"/>
              <w:outlineLvl w:val="1"/>
              <w:rPr>
                <w:b/>
                <w:sz w:val="24"/>
                <w:szCs w:val="24"/>
              </w:rPr>
            </w:pPr>
            <w:r w:rsidRPr="002C0A45">
              <w:rPr>
                <w:b/>
                <w:sz w:val="24"/>
                <w:szCs w:val="24"/>
              </w:rPr>
              <w:t>KPI/SLA</w:t>
            </w:r>
          </w:p>
        </w:tc>
        <w:tc>
          <w:tcPr>
            <w:tcW w:w="1756" w:type="dxa"/>
            <w:shd w:val="clear" w:color="auto" w:fill="B8CCE4" w:themeFill="accent1" w:themeFillTint="66"/>
          </w:tcPr>
          <w:p w14:paraId="5F9E1BA6" w14:textId="07EC3F76" w:rsidR="00B13763" w:rsidRPr="002C0A45" w:rsidRDefault="00B13763" w:rsidP="00B13763">
            <w:pPr>
              <w:pStyle w:val="Heading2"/>
              <w:numPr>
                <w:ilvl w:val="0"/>
                <w:numId w:val="0"/>
              </w:numPr>
              <w:jc w:val="center"/>
              <w:outlineLvl w:val="1"/>
              <w:rPr>
                <w:b/>
                <w:sz w:val="24"/>
                <w:szCs w:val="24"/>
              </w:rPr>
            </w:pPr>
            <w:r w:rsidRPr="002C0A45">
              <w:rPr>
                <w:b/>
                <w:sz w:val="24"/>
                <w:szCs w:val="24"/>
              </w:rPr>
              <w:t>Service Area</w:t>
            </w:r>
          </w:p>
        </w:tc>
        <w:tc>
          <w:tcPr>
            <w:tcW w:w="3746" w:type="dxa"/>
            <w:shd w:val="clear" w:color="auto" w:fill="B8CCE4" w:themeFill="accent1" w:themeFillTint="66"/>
          </w:tcPr>
          <w:p w14:paraId="4F97A458" w14:textId="14CFE965" w:rsidR="00B13763" w:rsidRPr="002C0A45" w:rsidRDefault="00B13763" w:rsidP="00B13763">
            <w:pPr>
              <w:pStyle w:val="Heading2"/>
              <w:numPr>
                <w:ilvl w:val="0"/>
                <w:numId w:val="0"/>
              </w:numPr>
              <w:jc w:val="center"/>
              <w:outlineLvl w:val="1"/>
              <w:rPr>
                <w:b/>
                <w:sz w:val="24"/>
                <w:szCs w:val="24"/>
              </w:rPr>
            </w:pPr>
            <w:r w:rsidRPr="002C0A45">
              <w:rPr>
                <w:b/>
                <w:sz w:val="24"/>
                <w:szCs w:val="24"/>
              </w:rPr>
              <w:t>KPI/SLA description</w:t>
            </w:r>
          </w:p>
        </w:tc>
        <w:tc>
          <w:tcPr>
            <w:tcW w:w="1634" w:type="dxa"/>
            <w:shd w:val="clear" w:color="auto" w:fill="B8CCE4" w:themeFill="accent1" w:themeFillTint="66"/>
          </w:tcPr>
          <w:p w14:paraId="0788932C" w14:textId="07398BA8" w:rsidR="00B13763" w:rsidRPr="002C0A45" w:rsidRDefault="00B13763" w:rsidP="00B13763">
            <w:pPr>
              <w:pStyle w:val="Heading2"/>
              <w:numPr>
                <w:ilvl w:val="0"/>
                <w:numId w:val="0"/>
              </w:numPr>
              <w:jc w:val="center"/>
              <w:outlineLvl w:val="1"/>
              <w:rPr>
                <w:b/>
                <w:sz w:val="24"/>
                <w:szCs w:val="24"/>
              </w:rPr>
            </w:pPr>
            <w:r w:rsidRPr="002C0A45">
              <w:rPr>
                <w:b/>
                <w:sz w:val="24"/>
                <w:szCs w:val="24"/>
              </w:rPr>
              <w:t>Target</w:t>
            </w:r>
          </w:p>
        </w:tc>
      </w:tr>
      <w:tr w:rsidR="00B13763" w14:paraId="136B0B88" w14:textId="77777777" w:rsidTr="00E14FC2">
        <w:tc>
          <w:tcPr>
            <w:tcW w:w="1163" w:type="dxa"/>
          </w:tcPr>
          <w:p w14:paraId="39FC8AED" w14:textId="303CF9DF" w:rsidR="00B13763" w:rsidRPr="001A45DF" w:rsidRDefault="00B13763" w:rsidP="00B13763">
            <w:pPr>
              <w:pStyle w:val="Heading2"/>
              <w:numPr>
                <w:ilvl w:val="0"/>
                <w:numId w:val="0"/>
              </w:numPr>
              <w:jc w:val="center"/>
              <w:outlineLvl w:val="1"/>
              <w:rPr>
                <w:sz w:val="24"/>
                <w:szCs w:val="24"/>
              </w:rPr>
            </w:pPr>
            <w:r w:rsidRPr="001A45DF">
              <w:rPr>
                <w:sz w:val="24"/>
                <w:szCs w:val="24"/>
              </w:rPr>
              <w:t>1</w:t>
            </w:r>
          </w:p>
        </w:tc>
        <w:tc>
          <w:tcPr>
            <w:tcW w:w="1756" w:type="dxa"/>
          </w:tcPr>
          <w:p w14:paraId="286A8BDA" w14:textId="6AE8C6D3" w:rsidR="00B13763" w:rsidRPr="001A45DF" w:rsidRDefault="004C6809" w:rsidP="00B13763">
            <w:pPr>
              <w:pStyle w:val="Heading2"/>
              <w:numPr>
                <w:ilvl w:val="0"/>
                <w:numId w:val="0"/>
              </w:numPr>
              <w:jc w:val="left"/>
              <w:outlineLvl w:val="1"/>
              <w:rPr>
                <w:sz w:val="24"/>
                <w:szCs w:val="24"/>
              </w:rPr>
            </w:pPr>
            <w:r w:rsidRPr="00555889">
              <w:rPr>
                <w:sz w:val="24"/>
                <w:szCs w:val="24"/>
              </w:rPr>
              <w:t>Availability</w:t>
            </w:r>
            <w:r w:rsidR="00E14FC2" w:rsidRPr="00555889">
              <w:rPr>
                <w:sz w:val="24"/>
                <w:szCs w:val="24"/>
              </w:rPr>
              <w:t xml:space="preserve"> of relevant information or data</w:t>
            </w:r>
          </w:p>
        </w:tc>
        <w:tc>
          <w:tcPr>
            <w:tcW w:w="3746" w:type="dxa"/>
          </w:tcPr>
          <w:p w14:paraId="1A83F74D" w14:textId="7FB588D2" w:rsidR="00B13763" w:rsidRPr="001A45DF" w:rsidRDefault="00E14FC2" w:rsidP="00B13763">
            <w:pPr>
              <w:pStyle w:val="Heading2"/>
              <w:numPr>
                <w:ilvl w:val="0"/>
                <w:numId w:val="0"/>
              </w:numPr>
              <w:jc w:val="left"/>
              <w:outlineLvl w:val="1"/>
              <w:rPr>
                <w:sz w:val="24"/>
                <w:szCs w:val="24"/>
              </w:rPr>
            </w:pPr>
            <w:r w:rsidRPr="00555889">
              <w:rPr>
                <w:sz w:val="24"/>
                <w:szCs w:val="24"/>
              </w:rPr>
              <w:t>Supplier to provide</w:t>
            </w:r>
            <w:r w:rsidR="004C6809" w:rsidRPr="00555889">
              <w:rPr>
                <w:sz w:val="24"/>
                <w:szCs w:val="24"/>
              </w:rPr>
              <w:t xml:space="preserve"> seamless access to information and/or data related to geopolitics and foreign affairs</w:t>
            </w:r>
            <w:r w:rsidR="000939FB" w:rsidRPr="00555889">
              <w:rPr>
                <w:sz w:val="24"/>
                <w:szCs w:val="24"/>
              </w:rPr>
              <w:t xml:space="preserve"> 24 hours a day 7 days a week</w:t>
            </w:r>
            <w:r w:rsidR="004C6809" w:rsidRPr="00555889">
              <w:rPr>
                <w:sz w:val="24"/>
                <w:szCs w:val="24"/>
              </w:rPr>
              <w:t xml:space="preserve"> </w:t>
            </w:r>
          </w:p>
        </w:tc>
        <w:tc>
          <w:tcPr>
            <w:tcW w:w="1634" w:type="dxa"/>
          </w:tcPr>
          <w:p w14:paraId="53B2F4ED" w14:textId="4EE35B41" w:rsidR="00B13763" w:rsidRPr="00CB10BC" w:rsidRDefault="004C6809" w:rsidP="00CB10BC">
            <w:pPr>
              <w:pStyle w:val="Heading2"/>
              <w:numPr>
                <w:ilvl w:val="0"/>
                <w:numId w:val="0"/>
              </w:numPr>
              <w:jc w:val="center"/>
              <w:outlineLvl w:val="1"/>
              <w:rPr>
                <w:sz w:val="24"/>
                <w:szCs w:val="24"/>
              </w:rPr>
            </w:pPr>
            <w:r w:rsidRPr="00CB10BC">
              <w:rPr>
                <w:sz w:val="24"/>
                <w:szCs w:val="24"/>
              </w:rPr>
              <w:t xml:space="preserve">99.5% </w:t>
            </w:r>
          </w:p>
        </w:tc>
      </w:tr>
      <w:tr w:rsidR="008A620D" w14:paraId="75BD4B0B" w14:textId="77777777" w:rsidTr="00E14FC2">
        <w:tc>
          <w:tcPr>
            <w:tcW w:w="1163" w:type="dxa"/>
          </w:tcPr>
          <w:p w14:paraId="614E860A" w14:textId="3FB3DC4F" w:rsidR="008A620D" w:rsidRPr="001A45DF" w:rsidRDefault="008A620D" w:rsidP="00B13763">
            <w:pPr>
              <w:pStyle w:val="Heading2"/>
              <w:numPr>
                <w:ilvl w:val="0"/>
                <w:numId w:val="0"/>
              </w:numPr>
              <w:jc w:val="center"/>
              <w:outlineLvl w:val="1"/>
              <w:rPr>
                <w:sz w:val="24"/>
                <w:szCs w:val="24"/>
              </w:rPr>
            </w:pPr>
            <w:r>
              <w:rPr>
                <w:sz w:val="24"/>
                <w:szCs w:val="24"/>
              </w:rPr>
              <w:t>2</w:t>
            </w:r>
          </w:p>
        </w:tc>
        <w:tc>
          <w:tcPr>
            <w:tcW w:w="1756" w:type="dxa"/>
          </w:tcPr>
          <w:p w14:paraId="1C7919FB" w14:textId="07D5F024" w:rsidR="008A620D" w:rsidRPr="00555889" w:rsidRDefault="008A620D" w:rsidP="00B13763">
            <w:pPr>
              <w:pStyle w:val="Heading2"/>
              <w:numPr>
                <w:ilvl w:val="0"/>
                <w:numId w:val="0"/>
              </w:numPr>
              <w:jc w:val="left"/>
              <w:outlineLvl w:val="1"/>
              <w:rPr>
                <w:sz w:val="24"/>
                <w:szCs w:val="24"/>
              </w:rPr>
            </w:pPr>
            <w:r w:rsidRPr="00555889">
              <w:rPr>
                <w:sz w:val="24"/>
                <w:szCs w:val="24"/>
              </w:rPr>
              <w:t>Resolution of complaints</w:t>
            </w:r>
          </w:p>
        </w:tc>
        <w:tc>
          <w:tcPr>
            <w:tcW w:w="3746" w:type="dxa"/>
          </w:tcPr>
          <w:p w14:paraId="6CE67EAF" w14:textId="48E3EAD4" w:rsidR="008A620D" w:rsidRPr="00555889" w:rsidRDefault="008A620D" w:rsidP="00B13763">
            <w:pPr>
              <w:pStyle w:val="Heading2"/>
              <w:numPr>
                <w:ilvl w:val="0"/>
                <w:numId w:val="0"/>
              </w:numPr>
              <w:jc w:val="left"/>
              <w:outlineLvl w:val="1"/>
              <w:rPr>
                <w:sz w:val="24"/>
                <w:szCs w:val="24"/>
              </w:rPr>
            </w:pPr>
            <w:r w:rsidRPr="00555889">
              <w:rPr>
                <w:sz w:val="24"/>
                <w:szCs w:val="24"/>
              </w:rPr>
              <w:t>Supplier to respond to complaints</w:t>
            </w:r>
            <w:r w:rsidR="006048D9" w:rsidRPr="00555889">
              <w:rPr>
                <w:sz w:val="24"/>
                <w:szCs w:val="24"/>
              </w:rPr>
              <w:t xml:space="preserve"> within</w:t>
            </w:r>
          </w:p>
        </w:tc>
        <w:tc>
          <w:tcPr>
            <w:tcW w:w="1634" w:type="dxa"/>
          </w:tcPr>
          <w:p w14:paraId="6196EADF" w14:textId="3F35BA65" w:rsidR="008A620D" w:rsidRPr="00CB10BC" w:rsidRDefault="008A620D" w:rsidP="00CB10BC">
            <w:pPr>
              <w:pStyle w:val="Heading2"/>
              <w:numPr>
                <w:ilvl w:val="0"/>
                <w:numId w:val="0"/>
              </w:numPr>
              <w:jc w:val="center"/>
              <w:outlineLvl w:val="1"/>
              <w:rPr>
                <w:sz w:val="24"/>
                <w:szCs w:val="24"/>
              </w:rPr>
            </w:pPr>
            <w:r w:rsidRPr="00CB10BC">
              <w:rPr>
                <w:sz w:val="24"/>
                <w:szCs w:val="24"/>
              </w:rPr>
              <w:t>24 hours</w:t>
            </w:r>
          </w:p>
        </w:tc>
      </w:tr>
      <w:tr w:rsidR="005F0208" w14:paraId="2CC25AF0" w14:textId="77777777" w:rsidTr="00E14FC2">
        <w:tc>
          <w:tcPr>
            <w:tcW w:w="1163" w:type="dxa"/>
          </w:tcPr>
          <w:p w14:paraId="42C4AB99" w14:textId="66FCF697" w:rsidR="005F0208" w:rsidRDefault="005F0208" w:rsidP="00B13763">
            <w:pPr>
              <w:pStyle w:val="Heading2"/>
              <w:numPr>
                <w:ilvl w:val="0"/>
                <w:numId w:val="0"/>
              </w:numPr>
              <w:jc w:val="center"/>
              <w:outlineLvl w:val="1"/>
              <w:rPr>
                <w:sz w:val="24"/>
                <w:szCs w:val="24"/>
              </w:rPr>
            </w:pPr>
            <w:r>
              <w:rPr>
                <w:sz w:val="24"/>
                <w:szCs w:val="24"/>
              </w:rPr>
              <w:t>3</w:t>
            </w:r>
          </w:p>
        </w:tc>
        <w:tc>
          <w:tcPr>
            <w:tcW w:w="1756" w:type="dxa"/>
          </w:tcPr>
          <w:p w14:paraId="0DF7DA49" w14:textId="6405060E" w:rsidR="005F0208" w:rsidRPr="00555889" w:rsidRDefault="005F0208" w:rsidP="00B13763">
            <w:pPr>
              <w:pStyle w:val="Heading2"/>
              <w:numPr>
                <w:ilvl w:val="0"/>
                <w:numId w:val="0"/>
              </w:numPr>
              <w:jc w:val="left"/>
              <w:outlineLvl w:val="1"/>
              <w:rPr>
                <w:sz w:val="24"/>
                <w:szCs w:val="24"/>
              </w:rPr>
            </w:pPr>
            <w:r w:rsidRPr="00555889">
              <w:rPr>
                <w:sz w:val="24"/>
                <w:szCs w:val="24"/>
              </w:rPr>
              <w:t>Resolution of technical faults</w:t>
            </w:r>
          </w:p>
        </w:tc>
        <w:tc>
          <w:tcPr>
            <w:tcW w:w="3746" w:type="dxa"/>
          </w:tcPr>
          <w:p w14:paraId="787DE3DB" w14:textId="42CE4EE5" w:rsidR="005F0208" w:rsidRPr="00555889" w:rsidRDefault="005F0208" w:rsidP="00B13763">
            <w:pPr>
              <w:pStyle w:val="Heading2"/>
              <w:numPr>
                <w:ilvl w:val="0"/>
                <w:numId w:val="0"/>
              </w:numPr>
              <w:jc w:val="left"/>
              <w:outlineLvl w:val="1"/>
              <w:rPr>
                <w:sz w:val="24"/>
                <w:szCs w:val="24"/>
              </w:rPr>
            </w:pPr>
            <w:r w:rsidRPr="00555889">
              <w:rPr>
                <w:sz w:val="24"/>
                <w:szCs w:val="24"/>
              </w:rPr>
              <w:t>Supplier to respond to technical failure</w:t>
            </w:r>
            <w:r w:rsidR="006048D9" w:rsidRPr="00555889">
              <w:rPr>
                <w:sz w:val="24"/>
                <w:szCs w:val="24"/>
              </w:rPr>
              <w:t xml:space="preserve"> within</w:t>
            </w:r>
          </w:p>
        </w:tc>
        <w:tc>
          <w:tcPr>
            <w:tcW w:w="1634" w:type="dxa"/>
          </w:tcPr>
          <w:p w14:paraId="109B3163" w14:textId="79C31F6E" w:rsidR="005F0208" w:rsidRPr="00CB10BC" w:rsidRDefault="005F0208" w:rsidP="00CB10BC">
            <w:pPr>
              <w:pStyle w:val="Heading2"/>
              <w:numPr>
                <w:ilvl w:val="0"/>
                <w:numId w:val="0"/>
              </w:numPr>
              <w:jc w:val="center"/>
              <w:outlineLvl w:val="1"/>
              <w:rPr>
                <w:sz w:val="24"/>
                <w:szCs w:val="24"/>
              </w:rPr>
            </w:pPr>
            <w:r w:rsidRPr="00CB10BC">
              <w:rPr>
                <w:sz w:val="24"/>
                <w:szCs w:val="24"/>
              </w:rPr>
              <w:t>24 hours</w:t>
            </w:r>
          </w:p>
        </w:tc>
      </w:tr>
      <w:tr w:rsidR="009467B3" w14:paraId="032D43E4" w14:textId="77777777" w:rsidTr="00E14FC2">
        <w:tc>
          <w:tcPr>
            <w:tcW w:w="1163" w:type="dxa"/>
          </w:tcPr>
          <w:p w14:paraId="4235E4A3" w14:textId="7A923C0B" w:rsidR="009467B3" w:rsidRDefault="009467B3" w:rsidP="00B13763">
            <w:pPr>
              <w:pStyle w:val="Heading2"/>
              <w:numPr>
                <w:ilvl w:val="0"/>
                <w:numId w:val="0"/>
              </w:numPr>
              <w:jc w:val="center"/>
              <w:outlineLvl w:val="1"/>
              <w:rPr>
                <w:sz w:val="24"/>
                <w:szCs w:val="24"/>
              </w:rPr>
            </w:pPr>
            <w:r>
              <w:rPr>
                <w:sz w:val="24"/>
                <w:szCs w:val="24"/>
              </w:rPr>
              <w:t>4</w:t>
            </w:r>
          </w:p>
        </w:tc>
        <w:tc>
          <w:tcPr>
            <w:tcW w:w="1756" w:type="dxa"/>
          </w:tcPr>
          <w:p w14:paraId="28911B6E" w14:textId="64249ADD" w:rsidR="009467B3" w:rsidRPr="00555889" w:rsidRDefault="009467B3" w:rsidP="00B13763">
            <w:pPr>
              <w:pStyle w:val="Heading2"/>
              <w:numPr>
                <w:ilvl w:val="0"/>
                <w:numId w:val="0"/>
              </w:numPr>
              <w:jc w:val="left"/>
              <w:outlineLvl w:val="1"/>
              <w:rPr>
                <w:sz w:val="24"/>
                <w:szCs w:val="24"/>
              </w:rPr>
            </w:pPr>
            <w:r w:rsidRPr="00555889">
              <w:rPr>
                <w:sz w:val="24"/>
                <w:szCs w:val="24"/>
              </w:rPr>
              <w:t>Reporting</w:t>
            </w:r>
          </w:p>
        </w:tc>
        <w:tc>
          <w:tcPr>
            <w:tcW w:w="3746" w:type="dxa"/>
          </w:tcPr>
          <w:p w14:paraId="61D6191C" w14:textId="1AAB6A5E" w:rsidR="009467B3" w:rsidRPr="00555889" w:rsidRDefault="009467B3" w:rsidP="00B13763">
            <w:pPr>
              <w:pStyle w:val="Heading2"/>
              <w:numPr>
                <w:ilvl w:val="0"/>
                <w:numId w:val="0"/>
              </w:numPr>
              <w:jc w:val="left"/>
              <w:outlineLvl w:val="1"/>
              <w:rPr>
                <w:sz w:val="24"/>
                <w:szCs w:val="24"/>
              </w:rPr>
            </w:pPr>
            <w:r w:rsidRPr="00555889">
              <w:rPr>
                <w:sz w:val="24"/>
                <w:szCs w:val="24"/>
              </w:rPr>
              <w:t>Weekly reports to be provided covering data and information volumes, subject matter and issues affecting uploading of information</w:t>
            </w:r>
          </w:p>
        </w:tc>
        <w:tc>
          <w:tcPr>
            <w:tcW w:w="1634" w:type="dxa"/>
          </w:tcPr>
          <w:p w14:paraId="6D8E3251" w14:textId="5321B6A0" w:rsidR="009467B3" w:rsidRPr="00CB10BC" w:rsidRDefault="009467B3" w:rsidP="00CB10BC">
            <w:pPr>
              <w:pStyle w:val="Heading2"/>
              <w:numPr>
                <w:ilvl w:val="0"/>
                <w:numId w:val="0"/>
              </w:numPr>
              <w:jc w:val="center"/>
              <w:outlineLvl w:val="1"/>
              <w:rPr>
                <w:sz w:val="24"/>
                <w:szCs w:val="24"/>
              </w:rPr>
            </w:pPr>
            <w:r w:rsidRPr="00CB10BC">
              <w:rPr>
                <w:sz w:val="24"/>
                <w:szCs w:val="24"/>
              </w:rPr>
              <w:t>100%</w:t>
            </w:r>
          </w:p>
        </w:tc>
      </w:tr>
      <w:tr w:rsidR="006048D9" w14:paraId="0F239E19" w14:textId="77777777" w:rsidTr="00E14FC2">
        <w:tc>
          <w:tcPr>
            <w:tcW w:w="1163" w:type="dxa"/>
          </w:tcPr>
          <w:p w14:paraId="3023A8B4" w14:textId="6474D08A" w:rsidR="006048D9" w:rsidRDefault="006048D9" w:rsidP="00B13763">
            <w:pPr>
              <w:pStyle w:val="Heading2"/>
              <w:numPr>
                <w:ilvl w:val="0"/>
                <w:numId w:val="0"/>
              </w:numPr>
              <w:jc w:val="center"/>
              <w:outlineLvl w:val="1"/>
              <w:rPr>
                <w:sz w:val="24"/>
                <w:szCs w:val="24"/>
              </w:rPr>
            </w:pPr>
            <w:r>
              <w:rPr>
                <w:sz w:val="24"/>
                <w:szCs w:val="24"/>
              </w:rPr>
              <w:t>5</w:t>
            </w:r>
          </w:p>
        </w:tc>
        <w:tc>
          <w:tcPr>
            <w:tcW w:w="1756" w:type="dxa"/>
          </w:tcPr>
          <w:p w14:paraId="630BBE88" w14:textId="69F78192" w:rsidR="006048D9" w:rsidRPr="00555889" w:rsidRDefault="006048D9" w:rsidP="00B13763">
            <w:pPr>
              <w:pStyle w:val="Heading2"/>
              <w:numPr>
                <w:ilvl w:val="0"/>
                <w:numId w:val="0"/>
              </w:numPr>
              <w:jc w:val="left"/>
              <w:outlineLvl w:val="1"/>
              <w:rPr>
                <w:sz w:val="24"/>
                <w:szCs w:val="24"/>
              </w:rPr>
            </w:pPr>
            <w:r w:rsidRPr="00555889">
              <w:rPr>
                <w:sz w:val="24"/>
                <w:szCs w:val="24"/>
              </w:rPr>
              <w:t xml:space="preserve">Reporting </w:t>
            </w:r>
          </w:p>
        </w:tc>
        <w:tc>
          <w:tcPr>
            <w:tcW w:w="3746" w:type="dxa"/>
          </w:tcPr>
          <w:p w14:paraId="549949A3" w14:textId="5F8C0BBE" w:rsidR="006048D9" w:rsidRPr="00555889" w:rsidRDefault="006048D9" w:rsidP="00B13763">
            <w:pPr>
              <w:pStyle w:val="Heading2"/>
              <w:numPr>
                <w:ilvl w:val="0"/>
                <w:numId w:val="0"/>
              </w:numPr>
              <w:jc w:val="left"/>
              <w:outlineLvl w:val="1"/>
              <w:rPr>
                <w:sz w:val="24"/>
                <w:szCs w:val="24"/>
              </w:rPr>
            </w:pPr>
            <w:r w:rsidRPr="00555889">
              <w:rPr>
                <w:sz w:val="24"/>
                <w:szCs w:val="24"/>
              </w:rPr>
              <w:t>Attendance at quarterly contract meetings</w:t>
            </w:r>
          </w:p>
        </w:tc>
        <w:tc>
          <w:tcPr>
            <w:tcW w:w="1634" w:type="dxa"/>
          </w:tcPr>
          <w:p w14:paraId="17AAD114" w14:textId="3BB2E911" w:rsidR="006048D9" w:rsidRPr="00CB10BC" w:rsidRDefault="006048D9" w:rsidP="00CB10BC">
            <w:pPr>
              <w:pStyle w:val="Heading2"/>
              <w:numPr>
                <w:ilvl w:val="0"/>
                <w:numId w:val="0"/>
              </w:numPr>
              <w:jc w:val="center"/>
              <w:outlineLvl w:val="1"/>
              <w:rPr>
                <w:sz w:val="24"/>
                <w:szCs w:val="24"/>
              </w:rPr>
            </w:pPr>
            <w:r w:rsidRPr="00CB10BC">
              <w:rPr>
                <w:sz w:val="24"/>
                <w:szCs w:val="24"/>
              </w:rPr>
              <w:t>100</w:t>
            </w:r>
            <w:r w:rsidR="00C812FE" w:rsidRPr="00CB10BC">
              <w:rPr>
                <w:sz w:val="24"/>
                <w:szCs w:val="24"/>
              </w:rPr>
              <w:t>%</w:t>
            </w:r>
          </w:p>
        </w:tc>
      </w:tr>
    </w:tbl>
    <w:p w14:paraId="45101B17" w14:textId="77777777" w:rsidR="000977B0" w:rsidRDefault="000977B0" w:rsidP="00E14FC2">
      <w:pPr>
        <w:pStyle w:val="Heading2"/>
        <w:spacing w:after="120"/>
        <w:ind w:left="709" w:hanging="709"/>
        <w:rPr>
          <w:sz w:val="24"/>
          <w:szCs w:val="24"/>
        </w:rPr>
      </w:pPr>
      <w:bookmarkStart w:id="37" w:name="_Toc368573040"/>
      <w:bookmarkStart w:id="38" w:name="_Toc522714849"/>
    </w:p>
    <w:p w14:paraId="29F1B9FB" w14:textId="25D1D03E" w:rsidR="00E14FC2" w:rsidRPr="00055EDF" w:rsidRDefault="00B11C80" w:rsidP="00E14FC2">
      <w:pPr>
        <w:pStyle w:val="Heading2"/>
        <w:spacing w:after="120"/>
        <w:ind w:left="709" w:hanging="709"/>
        <w:rPr>
          <w:sz w:val="24"/>
          <w:szCs w:val="24"/>
        </w:rPr>
      </w:pPr>
      <w:r>
        <w:rPr>
          <w:sz w:val="24"/>
          <w:szCs w:val="24"/>
        </w:rPr>
        <w:t xml:space="preserve">Where </w:t>
      </w:r>
      <w:r w:rsidRPr="006F62B8">
        <w:rPr>
          <w:sz w:val="24"/>
          <w:szCs w:val="24"/>
        </w:rPr>
        <w:t xml:space="preserve">the Successful Supplier fails the KPIs as outlined above, the Contracting Authority agrees to work with </w:t>
      </w:r>
      <w:proofErr w:type="gramStart"/>
      <w:r w:rsidRPr="006F62B8">
        <w:rPr>
          <w:sz w:val="24"/>
          <w:szCs w:val="24"/>
        </w:rPr>
        <w:t>the  Supplier</w:t>
      </w:r>
      <w:proofErr w:type="gramEnd"/>
      <w:r w:rsidRPr="006F62B8">
        <w:rPr>
          <w:sz w:val="24"/>
          <w:szCs w:val="24"/>
        </w:rPr>
        <w:t xml:space="preserve"> to resolve service failure issues and to seek a mutual agreeable resolution in line with terms and conditions.  However, it will remain the Supplier’s sole responsibility to resolve any such service failures and if resolution is not possible, the Contracting Authority reserves its right under the</w:t>
      </w:r>
      <w:r w:rsidR="003E78FE">
        <w:rPr>
          <w:sz w:val="24"/>
          <w:szCs w:val="24"/>
        </w:rPr>
        <w:t xml:space="preserve"> </w:t>
      </w:r>
      <w:r>
        <w:rPr>
          <w:sz w:val="24"/>
          <w:szCs w:val="24"/>
        </w:rPr>
        <w:t>Contract</w:t>
      </w:r>
      <w:r w:rsidR="00E14FC2" w:rsidRPr="00055EDF">
        <w:rPr>
          <w:sz w:val="24"/>
          <w:szCs w:val="24"/>
        </w:rPr>
        <w:t xml:space="preserve">. </w:t>
      </w:r>
    </w:p>
    <w:p w14:paraId="3F767EF8" w14:textId="19C77641" w:rsidR="00671798" w:rsidRPr="001A45DF" w:rsidRDefault="00FE18AC">
      <w:pPr>
        <w:pStyle w:val="Heading1"/>
        <w:spacing w:after="120"/>
        <w:rPr>
          <w:sz w:val="32"/>
          <w:szCs w:val="32"/>
        </w:rPr>
      </w:pPr>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7"/>
      <w:bookmarkEnd w:id="38"/>
    </w:p>
    <w:p w14:paraId="3FF1BF98" w14:textId="7D2E933E" w:rsidR="00671798" w:rsidRPr="00D46693" w:rsidRDefault="00CF2DE7" w:rsidP="00CF2DE7">
      <w:pPr>
        <w:pStyle w:val="Heading2"/>
        <w:rPr>
          <w:sz w:val="24"/>
          <w:szCs w:val="24"/>
        </w:rPr>
      </w:pPr>
      <w:r w:rsidRPr="00D46693">
        <w:rPr>
          <w:sz w:val="24"/>
          <w:szCs w:val="24"/>
        </w:rPr>
        <w:t xml:space="preserve">The Supplier must produce a Security Management Plan to be agreed with </w:t>
      </w:r>
      <w:proofErr w:type="gramStart"/>
      <w:r w:rsidRPr="00D46693">
        <w:rPr>
          <w:sz w:val="24"/>
          <w:szCs w:val="24"/>
        </w:rPr>
        <w:t xml:space="preserve">the </w:t>
      </w:r>
      <w:r w:rsidR="00B81480">
        <w:rPr>
          <w:sz w:val="24"/>
          <w:szCs w:val="24"/>
        </w:rPr>
        <w:t xml:space="preserve"> Contracting</w:t>
      </w:r>
      <w:proofErr w:type="gramEnd"/>
      <w:r w:rsidR="00B81480">
        <w:rPr>
          <w:sz w:val="24"/>
          <w:szCs w:val="24"/>
        </w:rPr>
        <w:t xml:space="preserve"> Authority </w:t>
      </w:r>
      <w:r w:rsidR="0069014C" w:rsidRPr="00D46693">
        <w:rPr>
          <w:sz w:val="24"/>
          <w:szCs w:val="24"/>
        </w:rPr>
        <w:t xml:space="preserve"> </w:t>
      </w:r>
      <w:r w:rsidR="00F404E2" w:rsidRPr="00D46693">
        <w:rPr>
          <w:sz w:val="24"/>
          <w:szCs w:val="24"/>
        </w:rPr>
        <w:t xml:space="preserve">within </w:t>
      </w:r>
      <w:r w:rsidR="00CB10BC" w:rsidRPr="00D46693">
        <w:rPr>
          <w:sz w:val="24"/>
          <w:szCs w:val="24"/>
        </w:rPr>
        <w:t>four weeks</w:t>
      </w:r>
      <w:r w:rsidR="00F404E2" w:rsidRPr="00D46693">
        <w:rPr>
          <w:sz w:val="24"/>
          <w:szCs w:val="24"/>
        </w:rPr>
        <w:t xml:space="preserve"> of Contract </w:t>
      </w:r>
      <w:r w:rsidR="00CB10BC" w:rsidRPr="00D46693">
        <w:rPr>
          <w:sz w:val="24"/>
          <w:szCs w:val="24"/>
        </w:rPr>
        <w:t>C</w:t>
      </w:r>
      <w:r w:rsidR="00F404E2" w:rsidRPr="00D46693">
        <w:rPr>
          <w:sz w:val="24"/>
          <w:szCs w:val="24"/>
        </w:rPr>
        <w:t xml:space="preserve">ommencement. </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522714850"/>
      <w:bookmarkStart w:id="40" w:name="_Toc368573042"/>
      <w:r w:rsidRPr="001A45DF">
        <w:rPr>
          <w:rFonts w:cs="Arial"/>
          <w:sz w:val="32"/>
          <w:szCs w:val="32"/>
        </w:rPr>
        <w:t>payment</w:t>
      </w:r>
      <w:r w:rsidR="00ED2129" w:rsidRPr="001A45DF">
        <w:rPr>
          <w:rFonts w:cs="Arial"/>
          <w:sz w:val="32"/>
          <w:szCs w:val="32"/>
        </w:rPr>
        <w:t xml:space="preserve"> AND INVOICING</w:t>
      </w:r>
      <w:bookmarkEnd w:id="39"/>
      <w:r w:rsidR="00ED2129" w:rsidRPr="001A45DF">
        <w:rPr>
          <w:rFonts w:cs="Arial"/>
          <w:sz w:val="32"/>
          <w:szCs w:val="32"/>
        </w:rPr>
        <w:t xml:space="preserve"> </w:t>
      </w:r>
    </w:p>
    <w:p w14:paraId="780F7247" w14:textId="77777777" w:rsidR="005F7442" w:rsidRDefault="0069014C" w:rsidP="00331523">
      <w:pPr>
        <w:pStyle w:val="Heading2"/>
        <w:rPr>
          <w:sz w:val="24"/>
          <w:szCs w:val="24"/>
        </w:rPr>
      </w:pPr>
      <w:r w:rsidRPr="00D46693">
        <w:rPr>
          <w:sz w:val="24"/>
          <w:szCs w:val="24"/>
        </w:rPr>
        <w:t>Suppliers will receive</w:t>
      </w:r>
      <w:r w:rsidR="009B0EB2" w:rsidRPr="00D46693">
        <w:rPr>
          <w:sz w:val="24"/>
          <w:szCs w:val="24"/>
        </w:rPr>
        <w:t xml:space="preserve"> an annual payment </w:t>
      </w:r>
      <w:r w:rsidRPr="00D46693">
        <w:rPr>
          <w:sz w:val="24"/>
          <w:szCs w:val="24"/>
        </w:rPr>
        <w:t xml:space="preserve">in advance </w:t>
      </w:r>
      <w:r w:rsidR="009B0EB2" w:rsidRPr="00D46693">
        <w:rPr>
          <w:sz w:val="24"/>
          <w:szCs w:val="24"/>
        </w:rPr>
        <w:t>for access to information and data</w:t>
      </w:r>
      <w:r w:rsidR="00E24EE7" w:rsidRPr="00D46693">
        <w:rPr>
          <w:sz w:val="24"/>
          <w:szCs w:val="24"/>
        </w:rPr>
        <w:t>.</w:t>
      </w:r>
      <w:r w:rsidR="00813FC8">
        <w:rPr>
          <w:sz w:val="24"/>
          <w:szCs w:val="24"/>
        </w:rPr>
        <w:t xml:space="preserve"> Payment will be</w:t>
      </w:r>
      <w:r w:rsidR="005F7442">
        <w:rPr>
          <w:sz w:val="24"/>
          <w:szCs w:val="24"/>
        </w:rPr>
        <w:t xml:space="preserve"> made following proof of concept for access to information and data sources.</w:t>
      </w:r>
    </w:p>
    <w:p w14:paraId="7ECB204E" w14:textId="143145EC" w:rsidR="00AD54FB" w:rsidRPr="00B76BB3" w:rsidRDefault="005F7442" w:rsidP="00331523">
      <w:pPr>
        <w:pStyle w:val="Heading2"/>
        <w:rPr>
          <w:sz w:val="24"/>
          <w:szCs w:val="24"/>
        </w:rPr>
      </w:pPr>
      <w:r>
        <w:rPr>
          <w:sz w:val="24"/>
          <w:szCs w:val="24"/>
        </w:rPr>
        <w:lastRenderedPageBreak/>
        <w:t>Before payment can be considered an invoice must include a detailed elemental breakdown of work completed and work to be undertaken during the duration of the contract and the associated costs.</w:t>
      </w:r>
      <w:bookmarkStart w:id="41" w:name="_GoBack"/>
      <w:bookmarkEnd w:id="41"/>
      <w:r>
        <w:rPr>
          <w:sz w:val="24"/>
          <w:szCs w:val="24"/>
        </w:rPr>
        <w:t xml:space="preserve"> </w:t>
      </w:r>
      <w:r w:rsidR="00813FC8">
        <w:rPr>
          <w:sz w:val="24"/>
          <w:szCs w:val="24"/>
        </w:rPr>
        <w:t xml:space="preserve"> </w:t>
      </w:r>
    </w:p>
    <w:p w14:paraId="73DDA45F" w14:textId="3EB24E3E" w:rsidR="00ED2129" w:rsidRPr="001A45DF" w:rsidRDefault="00ED2129" w:rsidP="0081061A">
      <w:pPr>
        <w:pStyle w:val="Heading2"/>
        <w:rPr>
          <w:sz w:val="24"/>
          <w:szCs w:val="24"/>
        </w:rPr>
      </w:pPr>
      <w:r w:rsidRPr="001A45DF">
        <w:rPr>
          <w:rFonts w:cs="Arial"/>
          <w:color w:val="000000"/>
          <w:sz w:val="24"/>
          <w:szCs w:val="24"/>
          <w:shd w:val="clear" w:color="auto" w:fill="FFFFFF"/>
        </w:rPr>
        <w:t xml:space="preserve">Invoices should be submitted to: </w:t>
      </w:r>
      <w:r w:rsidR="00CF2DE7">
        <w:rPr>
          <w:rFonts w:cs="Arial"/>
          <w:color w:val="000000"/>
          <w:sz w:val="24"/>
          <w:szCs w:val="24"/>
          <w:shd w:val="clear" w:color="auto" w:fill="FFFFFF"/>
        </w:rPr>
        <w:t xml:space="preserve">PHIA </w:t>
      </w:r>
      <w:r w:rsidR="009B0EB2" w:rsidRPr="00EA08D3">
        <w:rPr>
          <w:rFonts w:cs="Arial"/>
          <w:color w:val="000000"/>
          <w:sz w:val="24"/>
          <w:szCs w:val="24"/>
          <w:shd w:val="clear" w:color="auto" w:fill="FFFFFF"/>
        </w:rPr>
        <w:t>70 Whitehall, London SW1A 2BQ</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2" w:name="_Toc522714851"/>
      <w:bookmarkEnd w:id="40"/>
      <w:r w:rsidRPr="001A45DF">
        <w:rPr>
          <w:rFonts w:cs="Arial"/>
          <w:sz w:val="32"/>
          <w:szCs w:val="32"/>
        </w:rPr>
        <w:t>CONTRACT MANAGEMENT</w:t>
      </w:r>
      <w:bookmarkEnd w:id="42"/>
      <w:r w:rsidR="00FE18AC" w:rsidRPr="001A45DF">
        <w:rPr>
          <w:rFonts w:cs="Arial"/>
          <w:sz w:val="32"/>
          <w:szCs w:val="32"/>
        </w:rPr>
        <w:t xml:space="preserve"> </w:t>
      </w:r>
    </w:p>
    <w:p w14:paraId="74768698" w14:textId="6952DD48" w:rsidR="00BE5FEF" w:rsidRPr="00CF1719" w:rsidRDefault="009B0EB2" w:rsidP="00E24EE7">
      <w:pPr>
        <w:pStyle w:val="Heading2"/>
        <w:rPr>
          <w:rFonts w:cs="Arial"/>
          <w:color w:val="000000"/>
          <w:sz w:val="24"/>
          <w:szCs w:val="24"/>
          <w:shd w:val="clear" w:color="auto" w:fill="FFFFFF"/>
        </w:rPr>
      </w:pPr>
      <w:r w:rsidRPr="00CF1719">
        <w:rPr>
          <w:rFonts w:cs="Arial"/>
          <w:color w:val="000000"/>
          <w:sz w:val="24"/>
          <w:szCs w:val="24"/>
          <w:shd w:val="clear" w:color="auto" w:fill="FFFFFF"/>
        </w:rPr>
        <w:t xml:space="preserve">Suppliers </w:t>
      </w:r>
      <w:r w:rsidR="00CF1719" w:rsidRPr="00CF1719">
        <w:rPr>
          <w:rFonts w:cs="Arial"/>
          <w:color w:val="000000"/>
          <w:sz w:val="24"/>
          <w:szCs w:val="24"/>
          <w:shd w:val="clear" w:color="auto" w:fill="FFFFFF"/>
        </w:rPr>
        <w:t>shall</w:t>
      </w:r>
      <w:r w:rsidRPr="00CF1719">
        <w:rPr>
          <w:rFonts w:cs="Arial"/>
          <w:color w:val="000000"/>
          <w:sz w:val="24"/>
          <w:szCs w:val="24"/>
          <w:shd w:val="clear" w:color="auto" w:fill="FFFFFF"/>
        </w:rPr>
        <w:t xml:space="preserve"> provide a named contract manager, to meet quarterly with </w:t>
      </w:r>
      <w:r w:rsidR="00DB3499">
        <w:rPr>
          <w:rFonts w:cs="Arial"/>
          <w:color w:val="000000"/>
          <w:sz w:val="24"/>
          <w:szCs w:val="24"/>
          <w:shd w:val="clear" w:color="auto" w:fill="FFFFFF"/>
        </w:rPr>
        <w:t>the Contract Authority</w:t>
      </w:r>
      <w:r w:rsidRPr="00CF1719">
        <w:rPr>
          <w:rFonts w:cs="Arial"/>
          <w:color w:val="000000"/>
          <w:sz w:val="24"/>
          <w:szCs w:val="24"/>
          <w:shd w:val="clear" w:color="auto" w:fill="FFFFFF"/>
        </w:rPr>
        <w:t xml:space="preserve"> to review the delivery</w:t>
      </w:r>
      <w:r w:rsidR="00E24EE7" w:rsidRPr="00CF1719">
        <w:rPr>
          <w:rFonts w:cs="Arial"/>
          <w:color w:val="000000"/>
          <w:sz w:val="24"/>
          <w:szCs w:val="24"/>
          <w:shd w:val="clear" w:color="auto" w:fill="FFFFFF"/>
        </w:rPr>
        <w:t>.</w:t>
      </w:r>
    </w:p>
    <w:p w14:paraId="788E4129" w14:textId="09AF3944" w:rsidR="00BE5FEF" w:rsidRPr="009106C8"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04BBE808" w14:textId="77777777" w:rsidR="00671798" w:rsidRPr="009106C8" w:rsidRDefault="00FE18AC">
      <w:pPr>
        <w:pStyle w:val="Heading1"/>
        <w:spacing w:after="120"/>
        <w:rPr>
          <w:sz w:val="32"/>
          <w:szCs w:val="32"/>
        </w:rPr>
      </w:pPr>
      <w:bookmarkStart w:id="43" w:name="_Toc368573043"/>
      <w:bookmarkStart w:id="44" w:name="_Toc522714852"/>
      <w:bookmarkEnd w:id="21"/>
      <w:r w:rsidRPr="009106C8">
        <w:rPr>
          <w:sz w:val="32"/>
          <w:szCs w:val="32"/>
        </w:rPr>
        <w:t>Location</w:t>
      </w:r>
      <w:bookmarkEnd w:id="43"/>
      <w:bookmarkEnd w:id="44"/>
      <w:r w:rsidRPr="009106C8">
        <w:rPr>
          <w:sz w:val="32"/>
          <w:szCs w:val="32"/>
        </w:rPr>
        <w:t xml:space="preserve"> </w:t>
      </w:r>
    </w:p>
    <w:p w14:paraId="37C13A5F" w14:textId="2FEE2F33" w:rsidR="00671798" w:rsidRPr="009106C8" w:rsidRDefault="00FE18AC">
      <w:pPr>
        <w:pStyle w:val="Heading2"/>
        <w:tabs>
          <w:tab w:val="clear" w:pos="720"/>
          <w:tab w:val="num" w:pos="709"/>
        </w:tabs>
        <w:spacing w:after="120"/>
        <w:ind w:left="709" w:hanging="709"/>
        <w:rPr>
          <w:sz w:val="24"/>
          <w:szCs w:val="24"/>
        </w:rPr>
      </w:pPr>
      <w:r w:rsidRPr="009106C8">
        <w:rPr>
          <w:sz w:val="24"/>
          <w:szCs w:val="24"/>
        </w:rPr>
        <w:t xml:space="preserve">The location of the Services will be carried out at </w:t>
      </w:r>
      <w:r w:rsidR="00CF1719">
        <w:rPr>
          <w:sz w:val="24"/>
          <w:szCs w:val="24"/>
        </w:rPr>
        <w:t>S</w:t>
      </w:r>
      <w:r w:rsidR="00CF1719" w:rsidRPr="00CF1719">
        <w:rPr>
          <w:sz w:val="24"/>
          <w:szCs w:val="24"/>
        </w:rPr>
        <w:t>uppliers’</w:t>
      </w:r>
      <w:r w:rsidR="009B0EB2" w:rsidRPr="00CF1719">
        <w:rPr>
          <w:sz w:val="24"/>
          <w:szCs w:val="24"/>
        </w:rPr>
        <w:t xml:space="preserve"> offices.</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CB99A" w14:textId="77777777" w:rsidR="0011055F" w:rsidRDefault="0011055F">
      <w:pPr>
        <w:spacing w:line="20" w:lineRule="exact"/>
      </w:pPr>
    </w:p>
  </w:endnote>
  <w:endnote w:type="continuationSeparator" w:id="0">
    <w:p w14:paraId="2712086C" w14:textId="77777777" w:rsidR="0011055F" w:rsidRDefault="0011055F">
      <w:pPr>
        <w:spacing w:line="20" w:lineRule="exact"/>
      </w:pPr>
      <w:r>
        <w:t xml:space="preserve"> </w:t>
      </w:r>
    </w:p>
  </w:endnote>
  <w:endnote w:type="continuationNotice" w:id="1">
    <w:p w14:paraId="3641F743" w14:textId="77777777" w:rsidR="0011055F" w:rsidRDefault="0011055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6F724001" w14:textId="4A7EACE5" w:rsidR="000B5A25" w:rsidRPr="00681CFF"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Bid pack for </w:t>
        </w:r>
        <w:r w:rsidR="0077003C" w:rsidRPr="00681CFF">
          <w:rPr>
            <w:sz w:val="20"/>
            <w:szCs w:val="20"/>
          </w:rPr>
          <w:t>Procurement of Geospatial Data and Analysis</w:t>
        </w:r>
        <w:r w:rsidRPr="00B76BB3">
          <w:rPr>
            <w:sz w:val="20"/>
            <w:szCs w:val="20"/>
          </w:rPr>
          <w:t xml:space="preserve"> </w:t>
        </w:r>
      </w:p>
      <w:p w14:paraId="475E2209" w14:textId="18DAF523" w:rsidR="00B574FD"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681CFF">
          <w:rPr>
            <w:sz w:val="20"/>
            <w:szCs w:val="20"/>
          </w:rPr>
          <w:t>Contract Reference</w:t>
        </w:r>
        <w:r>
          <w:rPr>
            <w:sz w:val="20"/>
            <w:szCs w:val="20"/>
          </w:rPr>
          <w:t xml:space="preserve">: </w:t>
        </w:r>
        <w:r w:rsidR="0077003C" w:rsidRPr="00681CFF">
          <w:rPr>
            <w:sz w:val="20"/>
            <w:szCs w:val="20"/>
          </w:rPr>
          <w:t>CCZ</w:t>
        </w:r>
        <w:r w:rsidR="00F16E3B">
          <w:rPr>
            <w:sz w:val="20"/>
            <w:szCs w:val="20"/>
          </w:rPr>
          <w:t>N</w:t>
        </w:r>
        <w:r w:rsidR="0077003C" w:rsidRPr="00681CFF">
          <w:rPr>
            <w:sz w:val="20"/>
            <w:szCs w:val="20"/>
          </w:rPr>
          <w:t>21A75</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69014C">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69014C">
          <w:rPr>
            <w:noProof/>
            <w:sz w:val="20"/>
            <w:szCs w:val="20"/>
          </w:rPr>
          <w:t>6</w:t>
        </w:r>
        <w:r>
          <w:rPr>
            <w:sz w:val="20"/>
            <w:szCs w:val="20"/>
          </w:rPr>
          <w:fldChar w:fldCharType="end"/>
        </w:r>
        <w:r>
          <w:rPr>
            <w:sz w:val="20"/>
            <w:szCs w:val="20"/>
          </w:rPr>
          <w:t xml:space="preserve"> </w:t>
        </w:r>
      </w:p>
      <w:p w14:paraId="014C7B5B" w14:textId="1E760067" w:rsidR="00B574FD" w:rsidRDefault="000B5A25"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GWG T15 </w:t>
        </w:r>
        <w:r w:rsidR="00B574FD">
          <w:rPr>
            <w:sz w:val="20"/>
            <w:szCs w:val="20"/>
          </w:rPr>
          <w:t>v</w:t>
        </w:r>
        <w:r w:rsidR="004652CB">
          <w:rPr>
            <w:sz w:val="20"/>
            <w:szCs w:val="20"/>
          </w:rPr>
          <w:t>2</w:t>
        </w:r>
        <w:r w:rsidR="00B574FD">
          <w:rPr>
            <w:sz w:val="20"/>
            <w:szCs w:val="20"/>
          </w:rPr>
          <w:t>.</w:t>
        </w:r>
        <w:proofErr w:type="gramStart"/>
        <w:r w:rsidR="00B574FD">
          <w:rPr>
            <w:sz w:val="20"/>
            <w:szCs w:val="20"/>
          </w:rPr>
          <w:t xml:space="preserve">0 </w:t>
        </w:r>
        <w:r w:rsidR="00045781">
          <w:rPr>
            <w:sz w:val="20"/>
            <w:szCs w:val="20"/>
          </w:rPr>
          <w:t xml:space="preserve"> 28.10.2021</w:t>
        </w:r>
        <w:proofErr w:type="gramEnd"/>
      </w:p>
      <w:p w14:paraId="42D6E6E6" w14:textId="0EA5D23B" w:rsidR="00C52C2C" w:rsidRPr="00985B4D" w:rsidRDefault="00B574FD" w:rsidP="00B574FD">
        <w:pPr>
          <w:pStyle w:val="Footer"/>
          <w:rPr>
            <w:sz w:val="20"/>
            <w:szCs w:val="20"/>
          </w:rPr>
        </w:pPr>
        <w:r>
          <w:rPr>
            <w:sz w:val="20"/>
            <w:szCs w:val="20"/>
          </w:rPr>
          <w:t>© Crown Copyright 20</w:t>
        </w:r>
        <w:r w:rsidR="000B5A25">
          <w:rPr>
            <w:sz w:val="20"/>
            <w:szCs w:val="20"/>
          </w:rPr>
          <w:t>20</w:t>
        </w:r>
        <w:r>
          <w:rPr>
            <w:sz w:val="20"/>
            <w:szCs w:val="20"/>
          </w:rPr>
          <w:tab/>
        </w:r>
      </w:p>
      <w:p w14:paraId="5214230D" w14:textId="0A7ED596" w:rsidR="00C52C2C" w:rsidRDefault="0011055F" w:rsidP="00985B4D">
        <w:pPr>
          <w:pStyle w:val="Footer"/>
          <w:jc w:val="center"/>
        </w:pP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278E" w14:textId="77777777" w:rsidR="0011055F" w:rsidRDefault="0011055F">
      <w:r>
        <w:separator/>
      </w:r>
    </w:p>
  </w:footnote>
  <w:footnote w:type="continuationSeparator" w:id="0">
    <w:p w14:paraId="44D87793" w14:textId="77777777" w:rsidR="0011055F" w:rsidRDefault="0011055F">
      <w:r>
        <w:continuationSeparator/>
      </w:r>
    </w:p>
  </w:footnote>
  <w:footnote w:type="continuationNotice" w:id="1">
    <w:p w14:paraId="4A20B1E5" w14:textId="77777777" w:rsidR="0011055F" w:rsidRDefault="00110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6FF"/>
    <w:rsid w:val="00002A5E"/>
    <w:rsid w:val="000033CA"/>
    <w:rsid w:val="00004DDC"/>
    <w:rsid w:val="0000639C"/>
    <w:rsid w:val="000067FA"/>
    <w:rsid w:val="00006F61"/>
    <w:rsid w:val="000072A6"/>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B46"/>
    <w:rsid w:val="00027C05"/>
    <w:rsid w:val="000318CA"/>
    <w:rsid w:val="0003289F"/>
    <w:rsid w:val="00033742"/>
    <w:rsid w:val="00035A45"/>
    <w:rsid w:val="00037CB6"/>
    <w:rsid w:val="00040A60"/>
    <w:rsid w:val="00045781"/>
    <w:rsid w:val="000459DD"/>
    <w:rsid w:val="00050768"/>
    <w:rsid w:val="00051303"/>
    <w:rsid w:val="00052A65"/>
    <w:rsid w:val="00053DF7"/>
    <w:rsid w:val="0005414E"/>
    <w:rsid w:val="00056F7F"/>
    <w:rsid w:val="00060D0E"/>
    <w:rsid w:val="000645CC"/>
    <w:rsid w:val="00066D70"/>
    <w:rsid w:val="0007040F"/>
    <w:rsid w:val="00071586"/>
    <w:rsid w:val="000717BE"/>
    <w:rsid w:val="0007252B"/>
    <w:rsid w:val="0007280F"/>
    <w:rsid w:val="00072D38"/>
    <w:rsid w:val="00074357"/>
    <w:rsid w:val="00074D97"/>
    <w:rsid w:val="00074DC0"/>
    <w:rsid w:val="000763EA"/>
    <w:rsid w:val="00076448"/>
    <w:rsid w:val="000812AE"/>
    <w:rsid w:val="00082732"/>
    <w:rsid w:val="0008330B"/>
    <w:rsid w:val="00090D6B"/>
    <w:rsid w:val="000910A7"/>
    <w:rsid w:val="00092145"/>
    <w:rsid w:val="00092C56"/>
    <w:rsid w:val="000939FB"/>
    <w:rsid w:val="00094E2D"/>
    <w:rsid w:val="00095BEC"/>
    <w:rsid w:val="00096F76"/>
    <w:rsid w:val="000977B0"/>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A25"/>
    <w:rsid w:val="000B5C9F"/>
    <w:rsid w:val="000B7E75"/>
    <w:rsid w:val="000C1D0A"/>
    <w:rsid w:val="000C2484"/>
    <w:rsid w:val="000C2E05"/>
    <w:rsid w:val="000C68BF"/>
    <w:rsid w:val="000C6BD6"/>
    <w:rsid w:val="000C7C2B"/>
    <w:rsid w:val="000D3719"/>
    <w:rsid w:val="000D383E"/>
    <w:rsid w:val="000D4605"/>
    <w:rsid w:val="000E031B"/>
    <w:rsid w:val="000E4C53"/>
    <w:rsid w:val="000E6052"/>
    <w:rsid w:val="000E6653"/>
    <w:rsid w:val="000F232D"/>
    <w:rsid w:val="000F3348"/>
    <w:rsid w:val="000F3500"/>
    <w:rsid w:val="000F3E1D"/>
    <w:rsid w:val="000F52E6"/>
    <w:rsid w:val="00100B77"/>
    <w:rsid w:val="0010318E"/>
    <w:rsid w:val="001040CE"/>
    <w:rsid w:val="0010453E"/>
    <w:rsid w:val="0010577C"/>
    <w:rsid w:val="00105FBC"/>
    <w:rsid w:val="00106F24"/>
    <w:rsid w:val="0011055F"/>
    <w:rsid w:val="00110F67"/>
    <w:rsid w:val="00113459"/>
    <w:rsid w:val="00113CF2"/>
    <w:rsid w:val="001173D2"/>
    <w:rsid w:val="001223EC"/>
    <w:rsid w:val="00122891"/>
    <w:rsid w:val="00123FAD"/>
    <w:rsid w:val="001245F5"/>
    <w:rsid w:val="001256D9"/>
    <w:rsid w:val="0012683D"/>
    <w:rsid w:val="001313AB"/>
    <w:rsid w:val="00131AF8"/>
    <w:rsid w:val="001321F1"/>
    <w:rsid w:val="0013283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414"/>
    <w:rsid w:val="00147DA6"/>
    <w:rsid w:val="001548AC"/>
    <w:rsid w:val="00156231"/>
    <w:rsid w:val="0015696A"/>
    <w:rsid w:val="00156E2F"/>
    <w:rsid w:val="00157D99"/>
    <w:rsid w:val="00161A2F"/>
    <w:rsid w:val="0016322B"/>
    <w:rsid w:val="0016383C"/>
    <w:rsid w:val="00164F66"/>
    <w:rsid w:val="00166299"/>
    <w:rsid w:val="0017017C"/>
    <w:rsid w:val="00171DD1"/>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2DB4"/>
    <w:rsid w:val="00193FB5"/>
    <w:rsid w:val="001962E6"/>
    <w:rsid w:val="001A1780"/>
    <w:rsid w:val="001A3C4D"/>
    <w:rsid w:val="001A45DF"/>
    <w:rsid w:val="001A4CA0"/>
    <w:rsid w:val="001A7AB1"/>
    <w:rsid w:val="001B0587"/>
    <w:rsid w:val="001B26CE"/>
    <w:rsid w:val="001B2EA8"/>
    <w:rsid w:val="001B3C1C"/>
    <w:rsid w:val="001B485F"/>
    <w:rsid w:val="001B4B79"/>
    <w:rsid w:val="001B52D8"/>
    <w:rsid w:val="001B62DA"/>
    <w:rsid w:val="001B7109"/>
    <w:rsid w:val="001B7657"/>
    <w:rsid w:val="001C13F8"/>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2EAC"/>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0AB5"/>
    <w:rsid w:val="00233206"/>
    <w:rsid w:val="00233F3B"/>
    <w:rsid w:val="00234955"/>
    <w:rsid w:val="00235462"/>
    <w:rsid w:val="00241853"/>
    <w:rsid w:val="00243547"/>
    <w:rsid w:val="00245B30"/>
    <w:rsid w:val="00246795"/>
    <w:rsid w:val="00250446"/>
    <w:rsid w:val="00251900"/>
    <w:rsid w:val="00252FFC"/>
    <w:rsid w:val="00255A6A"/>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0A5"/>
    <w:rsid w:val="0028697F"/>
    <w:rsid w:val="00286F62"/>
    <w:rsid w:val="002876FE"/>
    <w:rsid w:val="00287C83"/>
    <w:rsid w:val="00291584"/>
    <w:rsid w:val="002933F8"/>
    <w:rsid w:val="00293D9F"/>
    <w:rsid w:val="00297D77"/>
    <w:rsid w:val="002A0783"/>
    <w:rsid w:val="002A08BF"/>
    <w:rsid w:val="002A5258"/>
    <w:rsid w:val="002A7D10"/>
    <w:rsid w:val="002A7DA6"/>
    <w:rsid w:val="002B1E1B"/>
    <w:rsid w:val="002B2623"/>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0284"/>
    <w:rsid w:val="002D268A"/>
    <w:rsid w:val="002D2841"/>
    <w:rsid w:val="002D3A27"/>
    <w:rsid w:val="002D3D05"/>
    <w:rsid w:val="002D7AC9"/>
    <w:rsid w:val="002E05A6"/>
    <w:rsid w:val="002E32D8"/>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44"/>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21A3"/>
    <w:rsid w:val="00396B62"/>
    <w:rsid w:val="003A0CDA"/>
    <w:rsid w:val="003A199A"/>
    <w:rsid w:val="003A21C8"/>
    <w:rsid w:val="003A2C48"/>
    <w:rsid w:val="003A3933"/>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CC8"/>
    <w:rsid w:val="003D6D0B"/>
    <w:rsid w:val="003E3E8C"/>
    <w:rsid w:val="003E4FA3"/>
    <w:rsid w:val="003E7509"/>
    <w:rsid w:val="003E78FE"/>
    <w:rsid w:val="003F06FF"/>
    <w:rsid w:val="003F1C5D"/>
    <w:rsid w:val="003F389B"/>
    <w:rsid w:val="003F626A"/>
    <w:rsid w:val="00400F7C"/>
    <w:rsid w:val="00401C86"/>
    <w:rsid w:val="00402F0D"/>
    <w:rsid w:val="00404F9C"/>
    <w:rsid w:val="0040508D"/>
    <w:rsid w:val="00405A77"/>
    <w:rsid w:val="004126C0"/>
    <w:rsid w:val="004128DA"/>
    <w:rsid w:val="00413A43"/>
    <w:rsid w:val="00413D91"/>
    <w:rsid w:val="004147A7"/>
    <w:rsid w:val="00415016"/>
    <w:rsid w:val="0041576D"/>
    <w:rsid w:val="00416045"/>
    <w:rsid w:val="00422823"/>
    <w:rsid w:val="0042602C"/>
    <w:rsid w:val="004269A8"/>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652CB"/>
    <w:rsid w:val="00470A2A"/>
    <w:rsid w:val="004722DA"/>
    <w:rsid w:val="00476F39"/>
    <w:rsid w:val="004771C4"/>
    <w:rsid w:val="00477C7D"/>
    <w:rsid w:val="00480506"/>
    <w:rsid w:val="00480E50"/>
    <w:rsid w:val="00485D64"/>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C6809"/>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08D6"/>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159C"/>
    <w:rsid w:val="00522AAC"/>
    <w:rsid w:val="0052365A"/>
    <w:rsid w:val="0052487A"/>
    <w:rsid w:val="00527040"/>
    <w:rsid w:val="00531417"/>
    <w:rsid w:val="0053220D"/>
    <w:rsid w:val="005334EA"/>
    <w:rsid w:val="00533F76"/>
    <w:rsid w:val="005364E3"/>
    <w:rsid w:val="00541A7A"/>
    <w:rsid w:val="0055006C"/>
    <w:rsid w:val="00551203"/>
    <w:rsid w:val="00551397"/>
    <w:rsid w:val="00555889"/>
    <w:rsid w:val="005571B2"/>
    <w:rsid w:val="00561AE0"/>
    <w:rsid w:val="00561BB6"/>
    <w:rsid w:val="00563F76"/>
    <w:rsid w:val="00564CCA"/>
    <w:rsid w:val="0056660C"/>
    <w:rsid w:val="00567430"/>
    <w:rsid w:val="005750D7"/>
    <w:rsid w:val="005750F5"/>
    <w:rsid w:val="005759DD"/>
    <w:rsid w:val="00576C34"/>
    <w:rsid w:val="00581887"/>
    <w:rsid w:val="005821EF"/>
    <w:rsid w:val="0058297A"/>
    <w:rsid w:val="0058409F"/>
    <w:rsid w:val="00585BE4"/>
    <w:rsid w:val="00586640"/>
    <w:rsid w:val="00586CC2"/>
    <w:rsid w:val="00590FFC"/>
    <w:rsid w:val="005924FF"/>
    <w:rsid w:val="00593CFF"/>
    <w:rsid w:val="00596C21"/>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0E1E"/>
    <w:rsid w:val="005E2029"/>
    <w:rsid w:val="005E29A1"/>
    <w:rsid w:val="005E4205"/>
    <w:rsid w:val="005E4793"/>
    <w:rsid w:val="005E4B73"/>
    <w:rsid w:val="005E4F6C"/>
    <w:rsid w:val="005E5DD9"/>
    <w:rsid w:val="005E77ED"/>
    <w:rsid w:val="005E7C19"/>
    <w:rsid w:val="005F0208"/>
    <w:rsid w:val="005F03AB"/>
    <w:rsid w:val="005F11AF"/>
    <w:rsid w:val="005F162D"/>
    <w:rsid w:val="005F2A14"/>
    <w:rsid w:val="005F2F66"/>
    <w:rsid w:val="005F3867"/>
    <w:rsid w:val="005F3E1B"/>
    <w:rsid w:val="005F52F5"/>
    <w:rsid w:val="005F6E6D"/>
    <w:rsid w:val="005F7442"/>
    <w:rsid w:val="005F79C0"/>
    <w:rsid w:val="00600D97"/>
    <w:rsid w:val="00600EA9"/>
    <w:rsid w:val="0060374B"/>
    <w:rsid w:val="006048D9"/>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5CA"/>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8D0"/>
    <w:rsid w:val="00660E0B"/>
    <w:rsid w:val="00661240"/>
    <w:rsid w:val="006641E1"/>
    <w:rsid w:val="006645BF"/>
    <w:rsid w:val="00671798"/>
    <w:rsid w:val="00671C2E"/>
    <w:rsid w:val="006754B9"/>
    <w:rsid w:val="006772C0"/>
    <w:rsid w:val="00680C72"/>
    <w:rsid w:val="00681CFF"/>
    <w:rsid w:val="00682677"/>
    <w:rsid w:val="00683380"/>
    <w:rsid w:val="006849F7"/>
    <w:rsid w:val="00684CF6"/>
    <w:rsid w:val="00684FF6"/>
    <w:rsid w:val="0068585D"/>
    <w:rsid w:val="00685E8D"/>
    <w:rsid w:val="0068678A"/>
    <w:rsid w:val="0069014C"/>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3068"/>
    <w:rsid w:val="006E5B51"/>
    <w:rsid w:val="006E5FFB"/>
    <w:rsid w:val="006F098A"/>
    <w:rsid w:val="006F0C06"/>
    <w:rsid w:val="006F220A"/>
    <w:rsid w:val="006F299C"/>
    <w:rsid w:val="006F46DC"/>
    <w:rsid w:val="006F490F"/>
    <w:rsid w:val="006F4A44"/>
    <w:rsid w:val="006F5CE9"/>
    <w:rsid w:val="006F6878"/>
    <w:rsid w:val="006F6F85"/>
    <w:rsid w:val="007003CC"/>
    <w:rsid w:val="00700F23"/>
    <w:rsid w:val="00702C1F"/>
    <w:rsid w:val="00703BFD"/>
    <w:rsid w:val="00704A4D"/>
    <w:rsid w:val="00706FCC"/>
    <w:rsid w:val="007110A9"/>
    <w:rsid w:val="007116AE"/>
    <w:rsid w:val="007145F1"/>
    <w:rsid w:val="0072081F"/>
    <w:rsid w:val="007217F8"/>
    <w:rsid w:val="00724885"/>
    <w:rsid w:val="00724D4D"/>
    <w:rsid w:val="00727143"/>
    <w:rsid w:val="00727558"/>
    <w:rsid w:val="00731863"/>
    <w:rsid w:val="00733ACF"/>
    <w:rsid w:val="00733E94"/>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03C"/>
    <w:rsid w:val="0077082E"/>
    <w:rsid w:val="00770F75"/>
    <w:rsid w:val="0077138F"/>
    <w:rsid w:val="00772062"/>
    <w:rsid w:val="007723BF"/>
    <w:rsid w:val="007734F9"/>
    <w:rsid w:val="00773C5A"/>
    <w:rsid w:val="007742BD"/>
    <w:rsid w:val="007811B8"/>
    <w:rsid w:val="0078132F"/>
    <w:rsid w:val="00781B53"/>
    <w:rsid w:val="00781F72"/>
    <w:rsid w:val="007838E0"/>
    <w:rsid w:val="00784548"/>
    <w:rsid w:val="007902CE"/>
    <w:rsid w:val="00791568"/>
    <w:rsid w:val="00791F7F"/>
    <w:rsid w:val="00792660"/>
    <w:rsid w:val="00792A76"/>
    <w:rsid w:val="00792F41"/>
    <w:rsid w:val="00793CFE"/>
    <w:rsid w:val="0079481F"/>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0D7"/>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DC2"/>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1D4A"/>
    <w:rsid w:val="00813FC8"/>
    <w:rsid w:val="0081457C"/>
    <w:rsid w:val="008174FC"/>
    <w:rsid w:val="00817B1E"/>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4EC6"/>
    <w:rsid w:val="00845DE9"/>
    <w:rsid w:val="00846256"/>
    <w:rsid w:val="008465F9"/>
    <w:rsid w:val="008519A1"/>
    <w:rsid w:val="0085331D"/>
    <w:rsid w:val="00854513"/>
    <w:rsid w:val="008556F2"/>
    <w:rsid w:val="00861D08"/>
    <w:rsid w:val="00862C72"/>
    <w:rsid w:val="00862E1D"/>
    <w:rsid w:val="008633FF"/>
    <w:rsid w:val="00867F30"/>
    <w:rsid w:val="00870C91"/>
    <w:rsid w:val="00871033"/>
    <w:rsid w:val="00873E83"/>
    <w:rsid w:val="00874062"/>
    <w:rsid w:val="0087463E"/>
    <w:rsid w:val="00874B74"/>
    <w:rsid w:val="00874ED6"/>
    <w:rsid w:val="00877AA1"/>
    <w:rsid w:val="00880C0D"/>
    <w:rsid w:val="00881157"/>
    <w:rsid w:val="0088161D"/>
    <w:rsid w:val="00882465"/>
    <w:rsid w:val="00890886"/>
    <w:rsid w:val="008916A4"/>
    <w:rsid w:val="00892894"/>
    <w:rsid w:val="008943BB"/>
    <w:rsid w:val="00897DB5"/>
    <w:rsid w:val="008A004A"/>
    <w:rsid w:val="008A17B5"/>
    <w:rsid w:val="008A20B1"/>
    <w:rsid w:val="008A3F1A"/>
    <w:rsid w:val="008A3FCF"/>
    <w:rsid w:val="008A41ED"/>
    <w:rsid w:val="008A5EAC"/>
    <w:rsid w:val="008A620D"/>
    <w:rsid w:val="008A74AE"/>
    <w:rsid w:val="008A7C5C"/>
    <w:rsid w:val="008B2760"/>
    <w:rsid w:val="008B39C7"/>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C57"/>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396"/>
    <w:rsid w:val="009317B0"/>
    <w:rsid w:val="00932346"/>
    <w:rsid w:val="0093247C"/>
    <w:rsid w:val="00932D6C"/>
    <w:rsid w:val="00934359"/>
    <w:rsid w:val="009347A2"/>
    <w:rsid w:val="009372EF"/>
    <w:rsid w:val="00943815"/>
    <w:rsid w:val="009448C5"/>
    <w:rsid w:val="0094512F"/>
    <w:rsid w:val="009467B3"/>
    <w:rsid w:val="009509D8"/>
    <w:rsid w:val="00951437"/>
    <w:rsid w:val="00951FEC"/>
    <w:rsid w:val="0095308D"/>
    <w:rsid w:val="00953FE8"/>
    <w:rsid w:val="0095484B"/>
    <w:rsid w:val="009572E2"/>
    <w:rsid w:val="00962171"/>
    <w:rsid w:val="00964906"/>
    <w:rsid w:val="00965F55"/>
    <w:rsid w:val="00970943"/>
    <w:rsid w:val="00970C86"/>
    <w:rsid w:val="00971A11"/>
    <w:rsid w:val="009738CD"/>
    <w:rsid w:val="0097454F"/>
    <w:rsid w:val="0097525F"/>
    <w:rsid w:val="0097705B"/>
    <w:rsid w:val="00981008"/>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0EB2"/>
    <w:rsid w:val="009C1684"/>
    <w:rsid w:val="009C2B62"/>
    <w:rsid w:val="009C3578"/>
    <w:rsid w:val="009C3DAF"/>
    <w:rsid w:val="009C3E01"/>
    <w:rsid w:val="009C426E"/>
    <w:rsid w:val="009C747B"/>
    <w:rsid w:val="009D08E6"/>
    <w:rsid w:val="009D12CD"/>
    <w:rsid w:val="009D4394"/>
    <w:rsid w:val="009D737E"/>
    <w:rsid w:val="009D7801"/>
    <w:rsid w:val="009E1BA0"/>
    <w:rsid w:val="009E2289"/>
    <w:rsid w:val="009E22EF"/>
    <w:rsid w:val="009E2B2D"/>
    <w:rsid w:val="009E3739"/>
    <w:rsid w:val="009E38B3"/>
    <w:rsid w:val="009E3DD7"/>
    <w:rsid w:val="009E46E8"/>
    <w:rsid w:val="009E7CA6"/>
    <w:rsid w:val="009F0B88"/>
    <w:rsid w:val="009F0C3F"/>
    <w:rsid w:val="009F0C62"/>
    <w:rsid w:val="009F0DAB"/>
    <w:rsid w:val="009F44CA"/>
    <w:rsid w:val="00A016C4"/>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5E05"/>
    <w:rsid w:val="00A3630D"/>
    <w:rsid w:val="00A363DA"/>
    <w:rsid w:val="00A37384"/>
    <w:rsid w:val="00A4055F"/>
    <w:rsid w:val="00A425FC"/>
    <w:rsid w:val="00A46AE8"/>
    <w:rsid w:val="00A520BB"/>
    <w:rsid w:val="00A53C90"/>
    <w:rsid w:val="00A544DF"/>
    <w:rsid w:val="00A54C8F"/>
    <w:rsid w:val="00A5594A"/>
    <w:rsid w:val="00A55D22"/>
    <w:rsid w:val="00A575BC"/>
    <w:rsid w:val="00A57890"/>
    <w:rsid w:val="00A57B4E"/>
    <w:rsid w:val="00A61283"/>
    <w:rsid w:val="00A6219D"/>
    <w:rsid w:val="00A63F3F"/>
    <w:rsid w:val="00A646DE"/>
    <w:rsid w:val="00A72352"/>
    <w:rsid w:val="00A72AE0"/>
    <w:rsid w:val="00A73E58"/>
    <w:rsid w:val="00A74FE3"/>
    <w:rsid w:val="00A8042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0BA"/>
    <w:rsid w:val="00AD3355"/>
    <w:rsid w:val="00AD376A"/>
    <w:rsid w:val="00AD54FB"/>
    <w:rsid w:val="00AD5F2B"/>
    <w:rsid w:val="00AD6003"/>
    <w:rsid w:val="00AD6C7F"/>
    <w:rsid w:val="00AE0361"/>
    <w:rsid w:val="00AE169A"/>
    <w:rsid w:val="00AE1C64"/>
    <w:rsid w:val="00AE2742"/>
    <w:rsid w:val="00AE2E10"/>
    <w:rsid w:val="00AE3312"/>
    <w:rsid w:val="00AE3547"/>
    <w:rsid w:val="00AE36E5"/>
    <w:rsid w:val="00AE3C65"/>
    <w:rsid w:val="00AF0BC0"/>
    <w:rsid w:val="00AF21E6"/>
    <w:rsid w:val="00AF2BB0"/>
    <w:rsid w:val="00AF5288"/>
    <w:rsid w:val="00AF5D31"/>
    <w:rsid w:val="00AF655B"/>
    <w:rsid w:val="00AF75E2"/>
    <w:rsid w:val="00AF7B04"/>
    <w:rsid w:val="00B008C0"/>
    <w:rsid w:val="00B00D65"/>
    <w:rsid w:val="00B0302C"/>
    <w:rsid w:val="00B06365"/>
    <w:rsid w:val="00B1155E"/>
    <w:rsid w:val="00B11C80"/>
    <w:rsid w:val="00B1289A"/>
    <w:rsid w:val="00B12987"/>
    <w:rsid w:val="00B13340"/>
    <w:rsid w:val="00B13763"/>
    <w:rsid w:val="00B238B0"/>
    <w:rsid w:val="00B240CE"/>
    <w:rsid w:val="00B25132"/>
    <w:rsid w:val="00B2520D"/>
    <w:rsid w:val="00B25BB6"/>
    <w:rsid w:val="00B262F8"/>
    <w:rsid w:val="00B27A67"/>
    <w:rsid w:val="00B316A1"/>
    <w:rsid w:val="00B319BF"/>
    <w:rsid w:val="00B3564C"/>
    <w:rsid w:val="00B35BFC"/>
    <w:rsid w:val="00B366A1"/>
    <w:rsid w:val="00B37052"/>
    <w:rsid w:val="00B40CCC"/>
    <w:rsid w:val="00B42707"/>
    <w:rsid w:val="00B432A0"/>
    <w:rsid w:val="00B46D5E"/>
    <w:rsid w:val="00B4720A"/>
    <w:rsid w:val="00B50716"/>
    <w:rsid w:val="00B50FC5"/>
    <w:rsid w:val="00B55F78"/>
    <w:rsid w:val="00B561E8"/>
    <w:rsid w:val="00B574FD"/>
    <w:rsid w:val="00B57549"/>
    <w:rsid w:val="00B60A7D"/>
    <w:rsid w:val="00B64C19"/>
    <w:rsid w:val="00B67970"/>
    <w:rsid w:val="00B67996"/>
    <w:rsid w:val="00B720D3"/>
    <w:rsid w:val="00B7286F"/>
    <w:rsid w:val="00B72C7B"/>
    <w:rsid w:val="00B7431E"/>
    <w:rsid w:val="00B74E47"/>
    <w:rsid w:val="00B75AE8"/>
    <w:rsid w:val="00B768E2"/>
    <w:rsid w:val="00B769AD"/>
    <w:rsid w:val="00B76BB3"/>
    <w:rsid w:val="00B81025"/>
    <w:rsid w:val="00B81480"/>
    <w:rsid w:val="00B81D11"/>
    <w:rsid w:val="00B82F46"/>
    <w:rsid w:val="00B905EC"/>
    <w:rsid w:val="00B90C10"/>
    <w:rsid w:val="00B919C4"/>
    <w:rsid w:val="00B9252C"/>
    <w:rsid w:val="00B92A35"/>
    <w:rsid w:val="00B9498B"/>
    <w:rsid w:val="00B951B1"/>
    <w:rsid w:val="00B96277"/>
    <w:rsid w:val="00B979BD"/>
    <w:rsid w:val="00B97A23"/>
    <w:rsid w:val="00BA0162"/>
    <w:rsid w:val="00BA4A84"/>
    <w:rsid w:val="00BA4C9A"/>
    <w:rsid w:val="00BA53B5"/>
    <w:rsid w:val="00BA68DB"/>
    <w:rsid w:val="00BA7ABE"/>
    <w:rsid w:val="00BB0A71"/>
    <w:rsid w:val="00BB201E"/>
    <w:rsid w:val="00BB3E2D"/>
    <w:rsid w:val="00BB3E77"/>
    <w:rsid w:val="00BB5C1E"/>
    <w:rsid w:val="00BB6364"/>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D2D"/>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59"/>
    <w:rsid w:val="00C0327F"/>
    <w:rsid w:val="00C0387E"/>
    <w:rsid w:val="00C12504"/>
    <w:rsid w:val="00C167C1"/>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5B1"/>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2FE"/>
    <w:rsid w:val="00C81EC7"/>
    <w:rsid w:val="00C847AF"/>
    <w:rsid w:val="00C860DD"/>
    <w:rsid w:val="00C8752E"/>
    <w:rsid w:val="00C901B4"/>
    <w:rsid w:val="00C92F49"/>
    <w:rsid w:val="00C944BE"/>
    <w:rsid w:val="00C959C7"/>
    <w:rsid w:val="00CA2595"/>
    <w:rsid w:val="00CA3052"/>
    <w:rsid w:val="00CA3130"/>
    <w:rsid w:val="00CA3806"/>
    <w:rsid w:val="00CA66A9"/>
    <w:rsid w:val="00CA69F1"/>
    <w:rsid w:val="00CB0B3E"/>
    <w:rsid w:val="00CB10BC"/>
    <w:rsid w:val="00CB14F9"/>
    <w:rsid w:val="00CB1680"/>
    <w:rsid w:val="00CB3318"/>
    <w:rsid w:val="00CB6C6D"/>
    <w:rsid w:val="00CC05D0"/>
    <w:rsid w:val="00CC2078"/>
    <w:rsid w:val="00CC4EA5"/>
    <w:rsid w:val="00CC55BC"/>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D89"/>
    <w:rsid w:val="00CF0F7A"/>
    <w:rsid w:val="00CF1719"/>
    <w:rsid w:val="00CF199D"/>
    <w:rsid w:val="00CF2DE7"/>
    <w:rsid w:val="00CF3095"/>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35BF"/>
    <w:rsid w:val="00D25E4D"/>
    <w:rsid w:val="00D26A0C"/>
    <w:rsid w:val="00D2700C"/>
    <w:rsid w:val="00D32B32"/>
    <w:rsid w:val="00D336B8"/>
    <w:rsid w:val="00D353B7"/>
    <w:rsid w:val="00D37365"/>
    <w:rsid w:val="00D3778B"/>
    <w:rsid w:val="00D37F0C"/>
    <w:rsid w:val="00D4133C"/>
    <w:rsid w:val="00D42A06"/>
    <w:rsid w:val="00D440C9"/>
    <w:rsid w:val="00D44A45"/>
    <w:rsid w:val="00D46693"/>
    <w:rsid w:val="00D47B67"/>
    <w:rsid w:val="00D50539"/>
    <w:rsid w:val="00D5114F"/>
    <w:rsid w:val="00D5137F"/>
    <w:rsid w:val="00D53F84"/>
    <w:rsid w:val="00D551DF"/>
    <w:rsid w:val="00D56944"/>
    <w:rsid w:val="00D56954"/>
    <w:rsid w:val="00D62E47"/>
    <w:rsid w:val="00D658AD"/>
    <w:rsid w:val="00D70A58"/>
    <w:rsid w:val="00D71B5C"/>
    <w:rsid w:val="00D7211C"/>
    <w:rsid w:val="00D73229"/>
    <w:rsid w:val="00D74BF3"/>
    <w:rsid w:val="00D74C4C"/>
    <w:rsid w:val="00D75C1C"/>
    <w:rsid w:val="00D80252"/>
    <w:rsid w:val="00D8251C"/>
    <w:rsid w:val="00D82A24"/>
    <w:rsid w:val="00D82DB4"/>
    <w:rsid w:val="00D83B95"/>
    <w:rsid w:val="00D83D32"/>
    <w:rsid w:val="00D846CA"/>
    <w:rsid w:val="00D84A3C"/>
    <w:rsid w:val="00D92179"/>
    <w:rsid w:val="00D94567"/>
    <w:rsid w:val="00D9647E"/>
    <w:rsid w:val="00DA5C32"/>
    <w:rsid w:val="00DA6D7B"/>
    <w:rsid w:val="00DA770E"/>
    <w:rsid w:val="00DB0BF5"/>
    <w:rsid w:val="00DB0CEC"/>
    <w:rsid w:val="00DB1185"/>
    <w:rsid w:val="00DB3499"/>
    <w:rsid w:val="00DB3C6E"/>
    <w:rsid w:val="00DB3D51"/>
    <w:rsid w:val="00DB4281"/>
    <w:rsid w:val="00DB7133"/>
    <w:rsid w:val="00DC0208"/>
    <w:rsid w:val="00DC3CF7"/>
    <w:rsid w:val="00DC465C"/>
    <w:rsid w:val="00DC4F6F"/>
    <w:rsid w:val="00DC6E1E"/>
    <w:rsid w:val="00DD4374"/>
    <w:rsid w:val="00DD6502"/>
    <w:rsid w:val="00DD6E07"/>
    <w:rsid w:val="00DD714C"/>
    <w:rsid w:val="00DE0CDD"/>
    <w:rsid w:val="00DE1254"/>
    <w:rsid w:val="00DE29D7"/>
    <w:rsid w:val="00DE3681"/>
    <w:rsid w:val="00DE40F0"/>
    <w:rsid w:val="00DE4B4B"/>
    <w:rsid w:val="00DE4B85"/>
    <w:rsid w:val="00DF55DF"/>
    <w:rsid w:val="00DF5A32"/>
    <w:rsid w:val="00DF61D8"/>
    <w:rsid w:val="00E0083E"/>
    <w:rsid w:val="00E024D2"/>
    <w:rsid w:val="00E030C9"/>
    <w:rsid w:val="00E05439"/>
    <w:rsid w:val="00E05F1D"/>
    <w:rsid w:val="00E06505"/>
    <w:rsid w:val="00E10534"/>
    <w:rsid w:val="00E10E97"/>
    <w:rsid w:val="00E13CFC"/>
    <w:rsid w:val="00E14310"/>
    <w:rsid w:val="00E14FC2"/>
    <w:rsid w:val="00E20D35"/>
    <w:rsid w:val="00E22084"/>
    <w:rsid w:val="00E22767"/>
    <w:rsid w:val="00E245A6"/>
    <w:rsid w:val="00E24EE7"/>
    <w:rsid w:val="00E25C2D"/>
    <w:rsid w:val="00E2791D"/>
    <w:rsid w:val="00E32A1D"/>
    <w:rsid w:val="00E33788"/>
    <w:rsid w:val="00E3410E"/>
    <w:rsid w:val="00E3799B"/>
    <w:rsid w:val="00E4045B"/>
    <w:rsid w:val="00E41D60"/>
    <w:rsid w:val="00E420B0"/>
    <w:rsid w:val="00E42A3E"/>
    <w:rsid w:val="00E43E82"/>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7693A"/>
    <w:rsid w:val="00E8003D"/>
    <w:rsid w:val="00E8009B"/>
    <w:rsid w:val="00E83567"/>
    <w:rsid w:val="00E84FBC"/>
    <w:rsid w:val="00E8578F"/>
    <w:rsid w:val="00E876BF"/>
    <w:rsid w:val="00E90397"/>
    <w:rsid w:val="00E90BDB"/>
    <w:rsid w:val="00E9160D"/>
    <w:rsid w:val="00E91B23"/>
    <w:rsid w:val="00E92407"/>
    <w:rsid w:val="00E9262A"/>
    <w:rsid w:val="00E927E9"/>
    <w:rsid w:val="00E966A8"/>
    <w:rsid w:val="00EA08D3"/>
    <w:rsid w:val="00EA0A6E"/>
    <w:rsid w:val="00EA3CBF"/>
    <w:rsid w:val="00EA6A93"/>
    <w:rsid w:val="00EB1275"/>
    <w:rsid w:val="00EB3DA4"/>
    <w:rsid w:val="00EB512C"/>
    <w:rsid w:val="00EB5CE0"/>
    <w:rsid w:val="00EB6096"/>
    <w:rsid w:val="00EB6DB1"/>
    <w:rsid w:val="00EC1B98"/>
    <w:rsid w:val="00EC212C"/>
    <w:rsid w:val="00EC3A14"/>
    <w:rsid w:val="00EC6507"/>
    <w:rsid w:val="00ED08E0"/>
    <w:rsid w:val="00ED0A35"/>
    <w:rsid w:val="00ED0E52"/>
    <w:rsid w:val="00ED208B"/>
    <w:rsid w:val="00ED2129"/>
    <w:rsid w:val="00ED3242"/>
    <w:rsid w:val="00ED3E54"/>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2372"/>
    <w:rsid w:val="00F1392B"/>
    <w:rsid w:val="00F15160"/>
    <w:rsid w:val="00F16205"/>
    <w:rsid w:val="00F1633B"/>
    <w:rsid w:val="00F16E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4E2"/>
    <w:rsid w:val="00F40B47"/>
    <w:rsid w:val="00F439AD"/>
    <w:rsid w:val="00F44D62"/>
    <w:rsid w:val="00F45A2A"/>
    <w:rsid w:val="00F45E8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1D85"/>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B2634"/>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401"/>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6969B-63A2-4A2D-90F2-1A9A86D3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Neil Willis</cp:lastModifiedBy>
  <cp:revision>64</cp:revision>
  <dcterms:created xsi:type="dcterms:W3CDTF">2021-09-21T12:03:00Z</dcterms:created>
  <dcterms:modified xsi:type="dcterms:W3CDTF">2021-10-29T10:06:00Z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