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D58E7" w14:textId="77777777" w:rsidR="004B1C7D" w:rsidRDefault="004B1C7D" w:rsidP="00492933">
      <w:pPr>
        <w:pStyle w:val="Title"/>
      </w:pPr>
    </w:p>
    <w:p w14:paraId="70D88901" w14:textId="77777777" w:rsidR="004B1C7D" w:rsidRPr="00730903" w:rsidRDefault="00730903" w:rsidP="00492933">
      <w:pPr>
        <w:pStyle w:val="Title"/>
      </w:pPr>
      <w:r w:rsidRPr="00730903">
        <w:t>Cornwall Development Company</w:t>
      </w:r>
    </w:p>
    <w:p w14:paraId="3E0CEB91" w14:textId="77777777" w:rsidR="004B1C7D" w:rsidRDefault="004B1C7D" w:rsidP="00492933"/>
    <w:p w14:paraId="10B5EB6D" w14:textId="77777777" w:rsidR="004B1C7D" w:rsidRPr="004B1C7D" w:rsidRDefault="004B1C7D" w:rsidP="00492933"/>
    <w:p w14:paraId="2E156E98" w14:textId="77777777" w:rsidR="00144732" w:rsidRPr="00144732" w:rsidRDefault="00144732" w:rsidP="00492933">
      <w:pPr>
        <w:pStyle w:val="Title"/>
      </w:pPr>
      <w:r w:rsidRPr="00144732">
        <w:t xml:space="preserve">Invitation to </w:t>
      </w:r>
      <w:r w:rsidR="00636E66">
        <w:t>Tender</w:t>
      </w:r>
      <w:r w:rsidR="00321947">
        <w:t xml:space="preserve"> (IT</w:t>
      </w:r>
      <w:r w:rsidR="00636E66">
        <w:t>T</w:t>
      </w:r>
      <w:r w:rsidR="00211FE5">
        <w:t>)</w:t>
      </w:r>
    </w:p>
    <w:p w14:paraId="07408754" w14:textId="77777777" w:rsidR="00144732" w:rsidRPr="002E53DD" w:rsidRDefault="00FE3D19" w:rsidP="00492933">
      <w:pPr>
        <w:pStyle w:val="Title"/>
      </w:pPr>
      <w:r>
        <w:t>Business Fact Sheets</w:t>
      </w:r>
      <w:r w:rsidR="00144732" w:rsidRPr="002E53DD">
        <w:t xml:space="preserve"> for </w:t>
      </w:r>
    </w:p>
    <w:p w14:paraId="51944747" w14:textId="77777777" w:rsidR="00A2687D" w:rsidRPr="002E53DD" w:rsidRDefault="00A2687D" w:rsidP="00492933">
      <w:pPr>
        <w:pStyle w:val="Title"/>
      </w:pPr>
      <w:r w:rsidRPr="002E53DD">
        <w:t xml:space="preserve">Cornwall &amp; Isles of Scilly </w:t>
      </w:r>
    </w:p>
    <w:p w14:paraId="407F5D9D" w14:textId="77777777" w:rsidR="0073426B" w:rsidRDefault="00A2687D" w:rsidP="00492933">
      <w:pPr>
        <w:pStyle w:val="Title"/>
      </w:pPr>
      <w:r w:rsidRPr="002E53DD">
        <w:t xml:space="preserve">Growth Hub </w:t>
      </w:r>
    </w:p>
    <w:p w14:paraId="71371C4F" w14:textId="77777777" w:rsidR="00FF415C" w:rsidRPr="002E53DD" w:rsidRDefault="0073426B" w:rsidP="00492933">
      <w:pPr>
        <w:pStyle w:val="Title"/>
      </w:pPr>
      <w:r w:rsidRPr="00002C65">
        <w:t>(TE</w:t>
      </w:r>
      <w:r w:rsidR="00470389" w:rsidRPr="00002C65">
        <w:t>N</w:t>
      </w:r>
      <w:r w:rsidR="0020336A" w:rsidRPr="00002C65">
        <w:t>443</w:t>
      </w:r>
      <w:r w:rsidRPr="00002C65">
        <w:t>)</w:t>
      </w:r>
    </w:p>
    <w:p w14:paraId="6A45FF74" w14:textId="77777777" w:rsidR="00A2687D" w:rsidRPr="00A2687D" w:rsidRDefault="00A2687D" w:rsidP="00492933"/>
    <w:p w14:paraId="1A65EF9E" w14:textId="77777777" w:rsidR="00FF415C" w:rsidRPr="00CB5C71" w:rsidRDefault="00FF415C" w:rsidP="00492933">
      <w:pPr>
        <w:pStyle w:val="Title"/>
      </w:pPr>
    </w:p>
    <w:p w14:paraId="53A63825" w14:textId="77777777" w:rsidR="00FF415C" w:rsidRPr="00CB5C71" w:rsidRDefault="00FF415C" w:rsidP="00492933">
      <w:pPr>
        <w:pStyle w:val="Title"/>
      </w:pPr>
    </w:p>
    <w:p w14:paraId="2AC4C2AD" w14:textId="77777777" w:rsidR="00FF415C" w:rsidRDefault="009F19A6" w:rsidP="00492933">
      <w:pPr>
        <w:pStyle w:val="Title"/>
      </w:pPr>
      <w:r>
        <w:t>December</w:t>
      </w:r>
      <w:r w:rsidR="009A7F47">
        <w:t xml:space="preserve"> 201</w:t>
      </w:r>
      <w:r w:rsidR="00111F96">
        <w:t>8</w:t>
      </w:r>
    </w:p>
    <w:p w14:paraId="596D3B84" w14:textId="77777777" w:rsidR="004B1C7D" w:rsidRDefault="004B1C7D" w:rsidP="00492933"/>
    <w:p w14:paraId="4E911A88" w14:textId="77777777" w:rsidR="004B1C7D" w:rsidRDefault="004B1C7D" w:rsidP="00492933"/>
    <w:p w14:paraId="2FB3BC9B" w14:textId="77777777" w:rsidR="004B1C7D" w:rsidRDefault="004B1C7D" w:rsidP="00492933"/>
    <w:p w14:paraId="1D57610D" w14:textId="77777777" w:rsidR="004B1C7D" w:rsidRDefault="004B1C7D" w:rsidP="00492933"/>
    <w:p w14:paraId="3C32E1ED" w14:textId="77777777" w:rsidR="004B1C7D" w:rsidRDefault="004B1C7D" w:rsidP="00492933"/>
    <w:p w14:paraId="07120F67" w14:textId="77777777" w:rsidR="004B1C7D" w:rsidRDefault="004B1C7D" w:rsidP="00492933"/>
    <w:p w14:paraId="5AE58EC6" w14:textId="77777777" w:rsidR="004B1C7D" w:rsidRDefault="004B1C7D" w:rsidP="00492933"/>
    <w:p w14:paraId="33A33026" w14:textId="77777777" w:rsidR="004B1C7D" w:rsidRDefault="004B1C7D" w:rsidP="00492933"/>
    <w:p w14:paraId="167B0311" w14:textId="77777777" w:rsidR="004B1C7D" w:rsidRDefault="004B1C7D" w:rsidP="00492933"/>
    <w:p w14:paraId="08314DD0" w14:textId="77777777" w:rsidR="004B1C7D" w:rsidRDefault="004B1C7D" w:rsidP="00492933"/>
    <w:p w14:paraId="6682E599" w14:textId="77777777" w:rsidR="00710579" w:rsidRDefault="00710579" w:rsidP="00492933"/>
    <w:p w14:paraId="46AF11E6" w14:textId="77777777" w:rsidR="004B1C7D" w:rsidRDefault="004B1C7D" w:rsidP="00492933"/>
    <w:p w14:paraId="454E6CEF" w14:textId="77777777" w:rsidR="00EF560A" w:rsidRDefault="00EF560A" w:rsidP="00492933"/>
    <w:p w14:paraId="6CB5F87E" w14:textId="77777777" w:rsidR="00EF560A" w:rsidRDefault="00EF560A" w:rsidP="00492933"/>
    <w:p w14:paraId="1C0AFAA7" w14:textId="77777777" w:rsidR="00EF560A" w:rsidRDefault="00EF560A" w:rsidP="00492933"/>
    <w:p w14:paraId="6C3E9C53" w14:textId="77777777" w:rsidR="00EF560A" w:rsidRDefault="00EF560A" w:rsidP="00492933"/>
    <w:p w14:paraId="39001D2E" w14:textId="77777777" w:rsidR="00EF560A" w:rsidRDefault="00EF560A" w:rsidP="00492933"/>
    <w:p w14:paraId="546C3F75" w14:textId="77777777" w:rsidR="00EF560A" w:rsidRPr="004B1C7D" w:rsidRDefault="00EF560A" w:rsidP="00492933"/>
    <w:p w14:paraId="57CB4BDC" w14:textId="77777777" w:rsidR="00CE30FB" w:rsidRDefault="00CE30FB" w:rsidP="00A92E29">
      <w:pPr>
        <w:pStyle w:val="Title"/>
        <w:jc w:val="left"/>
      </w:pPr>
      <w:bookmarkStart w:id="0" w:name="_Toc336433888"/>
    </w:p>
    <w:p w14:paraId="2D2A2764" w14:textId="77777777" w:rsidR="005050F6" w:rsidRPr="00CE30FB" w:rsidRDefault="005050F6" w:rsidP="00492933">
      <w:pPr>
        <w:sectPr w:rsidR="005050F6" w:rsidRPr="00CE30FB" w:rsidSect="00FE1D9F">
          <w:headerReference w:type="even" r:id="rId8"/>
          <w:footerReference w:type="even" r:id="rId9"/>
          <w:footerReference w:type="default" r:id="rId10"/>
          <w:pgSz w:w="11906" w:h="16838" w:code="9"/>
          <w:pgMar w:top="1134" w:right="1134" w:bottom="1134" w:left="1134" w:header="709" w:footer="580" w:gutter="0"/>
          <w:pgNumType w:start="1"/>
          <w:cols w:space="708"/>
          <w:docGrid w:linePitch="360"/>
        </w:sectPr>
      </w:pPr>
    </w:p>
    <w:p w14:paraId="4535F375" w14:textId="77777777" w:rsidR="00FF415C" w:rsidRDefault="00FF415C" w:rsidP="00492933">
      <w:pPr>
        <w:pStyle w:val="Heading1"/>
      </w:pPr>
      <w:bookmarkStart w:id="1" w:name="_Toc356810500"/>
      <w:bookmarkEnd w:id="0"/>
      <w:r>
        <w:lastRenderedPageBreak/>
        <w:t>Overview</w:t>
      </w:r>
      <w:bookmarkEnd w:id="1"/>
    </w:p>
    <w:p w14:paraId="41C997F6" w14:textId="77777777" w:rsidR="004D6E39" w:rsidRDefault="004D6E39" w:rsidP="00492933"/>
    <w:p w14:paraId="6DD784A4" w14:textId="77777777" w:rsidR="004A1E16" w:rsidRPr="0024403D" w:rsidRDefault="004A1E16" w:rsidP="004A1E16">
      <w:pPr>
        <w:rPr>
          <w:rFonts w:cs="Calibri"/>
          <w:b/>
        </w:rPr>
      </w:pPr>
      <w:bookmarkStart w:id="2" w:name="_Toc356810504"/>
      <w:bookmarkStart w:id="3" w:name="_GoBack"/>
      <w:r w:rsidRPr="0024403D">
        <w:rPr>
          <w:rFonts w:cs="Calibri"/>
          <w:b/>
        </w:rPr>
        <w:t xml:space="preserve">About </w:t>
      </w:r>
      <w:r>
        <w:rPr>
          <w:rFonts w:cs="Calibri"/>
          <w:b/>
        </w:rPr>
        <w:t xml:space="preserve">the </w:t>
      </w:r>
      <w:r w:rsidRPr="0024403D">
        <w:rPr>
          <w:rFonts w:cs="Calibri"/>
          <w:b/>
        </w:rPr>
        <w:t>Cornwall Development Company</w:t>
      </w:r>
    </w:p>
    <w:p w14:paraId="00088457" w14:textId="77777777" w:rsidR="004A1E16" w:rsidRDefault="004A1E16" w:rsidP="004A1E16">
      <w:pPr>
        <w:rPr>
          <w:rFonts w:cs="Calibri"/>
        </w:rPr>
      </w:pPr>
      <w:r w:rsidRPr="0024403D">
        <w:rPr>
          <w:rFonts w:cs="Calibri"/>
        </w:rPr>
        <w:t>Cornwall Development Company (CDC) is the arms-length economic development arm of Cornwall Council (CC) and is part of the C</w:t>
      </w:r>
      <w:r w:rsidR="00691B92">
        <w:rPr>
          <w:rFonts w:cs="Calibri"/>
        </w:rPr>
        <w:t>orserv</w:t>
      </w:r>
      <w:r w:rsidRPr="0024403D">
        <w:rPr>
          <w:rFonts w:cs="Calibri"/>
        </w:rPr>
        <w:t xml:space="preserve"> Ltd group of companies. </w:t>
      </w:r>
    </w:p>
    <w:p w14:paraId="61C99B5A" w14:textId="77777777" w:rsidR="00691B92" w:rsidRPr="0024403D" w:rsidRDefault="00691B92" w:rsidP="004A1E16">
      <w:pPr>
        <w:rPr>
          <w:rFonts w:cs="Calibri"/>
        </w:rPr>
      </w:pPr>
    </w:p>
    <w:p w14:paraId="0E59A9CF" w14:textId="77777777" w:rsidR="004A1E16" w:rsidRPr="0024403D" w:rsidRDefault="004A1E16" w:rsidP="004A1E16">
      <w:pPr>
        <w:rPr>
          <w:rFonts w:cs="Calibri"/>
        </w:rPr>
      </w:pPr>
      <w:r w:rsidRPr="0024403D">
        <w:rPr>
          <w:rFonts w:cs="Calibri"/>
        </w:rPr>
        <w:t xml:space="preserve">On behalf of CC, Cornwall &amp; the Isles of Scilly Local Enterprise Partnership (LEP) and a range of stakeholders, CDC provides a bespoke, business facing service which helps deliver the economic vision and strategy for Cornwall. </w:t>
      </w:r>
    </w:p>
    <w:p w14:paraId="20D430B5" w14:textId="77777777" w:rsidR="004A1E16" w:rsidRDefault="004A1E16" w:rsidP="004A1E16">
      <w:pPr>
        <w:rPr>
          <w:rFonts w:cs="Arial"/>
          <w:b/>
        </w:rPr>
      </w:pPr>
    </w:p>
    <w:p w14:paraId="075D66AD" w14:textId="77777777" w:rsidR="004A1E16" w:rsidRPr="0024403D" w:rsidRDefault="004A1E16" w:rsidP="004A1E16">
      <w:pPr>
        <w:rPr>
          <w:rFonts w:cs="Arial"/>
          <w:b/>
        </w:rPr>
      </w:pPr>
      <w:r w:rsidRPr="0024403D">
        <w:rPr>
          <w:rFonts w:cs="Arial"/>
          <w:b/>
        </w:rPr>
        <w:t>Background</w:t>
      </w:r>
    </w:p>
    <w:p w14:paraId="2538A2F0" w14:textId="77777777" w:rsidR="004A1E16" w:rsidRPr="0032750C" w:rsidRDefault="004A1E16" w:rsidP="004A1E16">
      <w:pPr>
        <w:rPr>
          <w:rFonts w:cs="Arial"/>
        </w:rPr>
      </w:pPr>
      <w:r w:rsidRPr="0032750C">
        <w:rPr>
          <w:rFonts w:cs="Arial"/>
        </w:rPr>
        <w:t xml:space="preserve">The Cornwall and Isles of Scilly Growth Hub (CIOSGH) is part </w:t>
      </w:r>
      <w:r w:rsidR="00002C65">
        <w:rPr>
          <w:rFonts w:cs="Arial"/>
        </w:rPr>
        <w:t xml:space="preserve">funded by European Regional Development Fund and part </w:t>
      </w:r>
      <w:r w:rsidRPr="0032750C">
        <w:rPr>
          <w:rFonts w:cs="Arial"/>
        </w:rPr>
        <w:t xml:space="preserve">of Government’s National Growth Hub network and provides a ‘one stop shop’ service for pre-start, start up and established SMEs to seek bespoke support to foster growth and enhance productivity across Cornwall and the Isles of Scilly (CIOS). It does this by providing a comprehensive support service consisting of; </w:t>
      </w:r>
    </w:p>
    <w:p w14:paraId="08CF8B7C" w14:textId="77777777" w:rsidR="004A1E16" w:rsidRPr="0032750C" w:rsidRDefault="004A1E16" w:rsidP="004A1E16">
      <w:pPr>
        <w:rPr>
          <w:rFonts w:cs="Arial"/>
        </w:rPr>
      </w:pPr>
    </w:p>
    <w:p w14:paraId="1D26D3AA" w14:textId="77777777" w:rsidR="004A1E16" w:rsidRPr="0032750C" w:rsidRDefault="004A1E16" w:rsidP="004A1E16">
      <w:pPr>
        <w:pStyle w:val="ListParagraph"/>
        <w:numPr>
          <w:ilvl w:val="0"/>
          <w:numId w:val="42"/>
        </w:numPr>
        <w:spacing w:after="200"/>
        <w:contextualSpacing/>
        <w:rPr>
          <w:rFonts w:cs="Arial"/>
        </w:rPr>
      </w:pPr>
      <w:r w:rsidRPr="0032750C">
        <w:rPr>
          <w:rFonts w:cs="Arial"/>
        </w:rPr>
        <w:t>Business Navigators- Phone based service; limited advice, appointment management (for Connectors), eligibility checks, Growth assessment, CRM Management etc</w:t>
      </w:r>
    </w:p>
    <w:p w14:paraId="7592DC66" w14:textId="77777777" w:rsidR="004A1E16" w:rsidRPr="0032750C" w:rsidRDefault="004A1E16" w:rsidP="004A1E16">
      <w:pPr>
        <w:pStyle w:val="ListParagraph"/>
        <w:numPr>
          <w:ilvl w:val="0"/>
          <w:numId w:val="42"/>
        </w:numPr>
        <w:spacing w:after="200"/>
        <w:contextualSpacing/>
        <w:rPr>
          <w:rFonts w:cs="Arial"/>
        </w:rPr>
      </w:pPr>
      <w:r w:rsidRPr="0032750C">
        <w:rPr>
          <w:rFonts w:cs="Arial"/>
        </w:rPr>
        <w:t>Business Connectors- Information, Diagnostic and Brokerage (IDB) service, client account management, support knowledge experts, networking and marketing</w:t>
      </w:r>
    </w:p>
    <w:p w14:paraId="1E1E2560" w14:textId="77777777" w:rsidR="004A1E16" w:rsidRPr="0032750C" w:rsidRDefault="004A1E16" w:rsidP="004A1E16">
      <w:pPr>
        <w:pStyle w:val="ListParagraph"/>
        <w:numPr>
          <w:ilvl w:val="0"/>
          <w:numId w:val="42"/>
        </w:numPr>
        <w:spacing w:after="200"/>
        <w:contextualSpacing/>
        <w:rPr>
          <w:rFonts w:cs="Arial"/>
        </w:rPr>
      </w:pPr>
      <w:r w:rsidRPr="0032750C">
        <w:rPr>
          <w:rFonts w:cs="Arial"/>
        </w:rPr>
        <w:t>Website- Comprehensive website to provide the ‘Hub’ and focus for businesses seeking to grow in CIOS, communication of ‘Growth Ecosystem’ advice on service, provide case studies/PR for client businesses, news, listings, events etc</w:t>
      </w:r>
    </w:p>
    <w:p w14:paraId="058C9225" w14:textId="77777777" w:rsidR="004A1E16" w:rsidRPr="0032750C" w:rsidRDefault="004A1E16" w:rsidP="004A1E16">
      <w:pPr>
        <w:pStyle w:val="ListParagraph"/>
        <w:numPr>
          <w:ilvl w:val="0"/>
          <w:numId w:val="42"/>
        </w:numPr>
        <w:spacing w:after="200"/>
        <w:contextualSpacing/>
        <w:rPr>
          <w:rFonts w:cs="Arial"/>
        </w:rPr>
      </w:pPr>
      <w:r w:rsidRPr="0032750C">
        <w:rPr>
          <w:rFonts w:cs="Arial"/>
        </w:rPr>
        <w:t>Data Management- Reporting, CRM Management, intelligence</w:t>
      </w:r>
    </w:p>
    <w:p w14:paraId="7CCF46BE" w14:textId="77777777" w:rsidR="004A1E16" w:rsidRPr="0032750C" w:rsidRDefault="004A1E16" w:rsidP="004A1E16">
      <w:pPr>
        <w:pStyle w:val="ListParagraph"/>
        <w:numPr>
          <w:ilvl w:val="0"/>
          <w:numId w:val="42"/>
        </w:numPr>
        <w:spacing w:after="200"/>
        <w:contextualSpacing/>
        <w:rPr>
          <w:rFonts w:cs="Arial"/>
        </w:rPr>
      </w:pPr>
      <w:r w:rsidRPr="0032750C">
        <w:rPr>
          <w:rFonts w:cs="Arial"/>
        </w:rPr>
        <w:t>Communications- Comprehensive communications and PR function including marketing, website management and social media delivery to market and showcase service.</w:t>
      </w:r>
    </w:p>
    <w:p w14:paraId="36D9D4CB" w14:textId="77777777" w:rsidR="004A1E16" w:rsidRPr="0032750C" w:rsidRDefault="004A1E16" w:rsidP="004A1E16">
      <w:pPr>
        <w:rPr>
          <w:rFonts w:cs="Arial"/>
        </w:rPr>
      </w:pPr>
    </w:p>
    <w:p w14:paraId="5DC54DA1" w14:textId="77777777" w:rsidR="004A1E16" w:rsidRDefault="004A1E16" w:rsidP="004A1E16">
      <w:pPr>
        <w:rPr>
          <w:rFonts w:cs="Arial"/>
        </w:rPr>
      </w:pPr>
      <w:r w:rsidRPr="0032750C">
        <w:rPr>
          <w:rFonts w:cs="Arial"/>
        </w:rPr>
        <w:t>This project represents a second phase to the current activity delivered by the</w:t>
      </w:r>
      <w:r w:rsidR="00002C65">
        <w:rPr>
          <w:rFonts w:cs="Arial"/>
        </w:rPr>
        <w:t xml:space="preserve"> </w:t>
      </w:r>
      <w:r w:rsidRPr="0032750C">
        <w:rPr>
          <w:rFonts w:cs="Arial"/>
        </w:rPr>
        <w:t>CIOSGH.</w:t>
      </w:r>
      <w:r w:rsidR="00691B92">
        <w:rPr>
          <w:rFonts w:cs="Arial"/>
        </w:rPr>
        <w:t xml:space="preserve"> </w:t>
      </w:r>
      <w:r w:rsidR="00691B92" w:rsidRPr="0032750C">
        <w:rPr>
          <w:rFonts w:cs="Arial"/>
        </w:rPr>
        <w:t>Phase 2 (2018-2021) will continue to offer a ‘Hub’ diagnostic service (to enable SMEs in CIOS to swiftly access the most appropriate business support to foster growth and develop productivity.</w:t>
      </w:r>
      <w:r w:rsidR="00691B92">
        <w:rPr>
          <w:rFonts w:cs="Arial"/>
        </w:rPr>
        <w:t xml:space="preserve"> </w:t>
      </w:r>
      <w:r w:rsidRPr="0032750C">
        <w:rPr>
          <w:rFonts w:cs="Arial"/>
        </w:rPr>
        <w:t xml:space="preserve"> It reflects the experience of the current CIOSGH project, client feedback and intelligence from other Growth Hubs nationally.  The project works closely with other ERDF funded business support in Cornwall, the private sector support and national support to ensure pre-starts and SME businesses get the support and advice they need to grow. </w:t>
      </w:r>
    </w:p>
    <w:p w14:paraId="75400A2D" w14:textId="77777777" w:rsidR="00691B92" w:rsidRPr="0032750C" w:rsidRDefault="00691B92" w:rsidP="004A1E16">
      <w:pPr>
        <w:rPr>
          <w:rFonts w:cs="Arial"/>
        </w:rPr>
      </w:pPr>
    </w:p>
    <w:p w14:paraId="02B109F6" w14:textId="77777777" w:rsidR="00CF71B2" w:rsidRDefault="00CF71B2" w:rsidP="00D92944">
      <w:pPr>
        <w:ind w:left="0"/>
      </w:pPr>
    </w:p>
    <w:p w14:paraId="5CD7C3B5" w14:textId="77777777" w:rsidR="00FF415C" w:rsidRDefault="00AD53B5" w:rsidP="00492933">
      <w:pPr>
        <w:pStyle w:val="Heading1"/>
      </w:pPr>
      <w:r>
        <w:t xml:space="preserve">CIoS </w:t>
      </w:r>
      <w:r w:rsidR="007E6D24">
        <w:t xml:space="preserve">Growth Hub </w:t>
      </w:r>
      <w:r w:rsidR="00FF415C">
        <w:t>Objectives</w:t>
      </w:r>
      <w:bookmarkEnd w:id="2"/>
      <w:r w:rsidR="00FF415C">
        <w:t xml:space="preserve"> </w:t>
      </w:r>
    </w:p>
    <w:p w14:paraId="5C7BF070" w14:textId="77777777" w:rsidR="00FF415C" w:rsidRDefault="00FF415C" w:rsidP="00492933"/>
    <w:p w14:paraId="19C3E8EF" w14:textId="77777777" w:rsidR="00321C32" w:rsidRDefault="00321C32" w:rsidP="00492933">
      <w:pPr>
        <w:pStyle w:val="ListParagraph"/>
        <w:numPr>
          <w:ilvl w:val="0"/>
          <w:numId w:val="19"/>
        </w:numPr>
      </w:pPr>
      <w:r>
        <w:t xml:space="preserve">To reach out to and generate interest from </w:t>
      </w:r>
      <w:r w:rsidR="009F19A6">
        <w:t xml:space="preserve">growth </w:t>
      </w:r>
      <w:r>
        <w:t>businesses, with a particular focus on those that have not previously engaged with European-funded business support</w:t>
      </w:r>
    </w:p>
    <w:p w14:paraId="0BCBD00D" w14:textId="77777777" w:rsidR="00321C32" w:rsidRDefault="00321C32" w:rsidP="00492933">
      <w:pPr>
        <w:pStyle w:val="ListParagraph"/>
        <w:numPr>
          <w:ilvl w:val="0"/>
          <w:numId w:val="19"/>
        </w:numPr>
      </w:pPr>
      <w:r>
        <w:t xml:space="preserve">To generate </w:t>
      </w:r>
      <w:r w:rsidR="005050F6">
        <w:t xml:space="preserve">targeted </w:t>
      </w:r>
      <w:r>
        <w:t>business support enquiries from eligible businesses, leading to engagement with other business support providers</w:t>
      </w:r>
    </w:p>
    <w:p w14:paraId="24F9312E" w14:textId="77777777" w:rsidR="000D1A4F" w:rsidRDefault="00321C32" w:rsidP="00492933">
      <w:pPr>
        <w:pStyle w:val="ListParagraph"/>
        <w:numPr>
          <w:ilvl w:val="0"/>
          <w:numId w:val="19"/>
        </w:numPr>
      </w:pPr>
      <w:r>
        <w:lastRenderedPageBreak/>
        <w:t xml:space="preserve">To ensure activity achieves full geographic coverage of Cornwall and </w:t>
      </w:r>
      <w:r w:rsidR="009F19A6">
        <w:t xml:space="preserve">the </w:t>
      </w:r>
      <w:r>
        <w:t>Isles of Scilly</w:t>
      </w:r>
    </w:p>
    <w:p w14:paraId="06E07CDE" w14:textId="77777777" w:rsidR="000D1A4F" w:rsidRPr="003103FA" w:rsidRDefault="005B2294" w:rsidP="00492933">
      <w:pPr>
        <w:pStyle w:val="ListParagraph"/>
        <w:numPr>
          <w:ilvl w:val="0"/>
          <w:numId w:val="19"/>
        </w:numPr>
      </w:pPr>
      <w:r>
        <w:t>To d</w:t>
      </w:r>
      <w:r w:rsidR="000D1A4F" w:rsidRPr="003103FA">
        <w:t>evelop effective communications</w:t>
      </w:r>
      <w:r w:rsidR="006C3583">
        <w:t xml:space="preserve"> and </w:t>
      </w:r>
      <w:r w:rsidR="00F10514">
        <w:t>reference</w:t>
      </w:r>
      <w:r w:rsidR="000D1A4F" w:rsidRPr="003103FA">
        <w:t xml:space="preserve"> materials to engage with target audiences</w:t>
      </w:r>
    </w:p>
    <w:p w14:paraId="6D230B3D" w14:textId="77777777" w:rsidR="00321C32" w:rsidRDefault="00321C32" w:rsidP="00492933">
      <w:r>
        <w:t xml:space="preserve"> </w:t>
      </w:r>
    </w:p>
    <w:p w14:paraId="74732502" w14:textId="64EE2BB0" w:rsidR="00CF71B2" w:rsidRDefault="00CF71B2" w:rsidP="00002C65">
      <w:pPr>
        <w:ind w:left="0"/>
      </w:pPr>
    </w:p>
    <w:p w14:paraId="200EF4F4" w14:textId="77777777" w:rsidR="00D92944" w:rsidRDefault="00D92944" w:rsidP="00002C65">
      <w:pPr>
        <w:ind w:left="0"/>
      </w:pPr>
    </w:p>
    <w:p w14:paraId="005FB5B1" w14:textId="77777777" w:rsidR="007E6D24" w:rsidRPr="0065289A" w:rsidRDefault="006D39D3" w:rsidP="00492933">
      <w:pPr>
        <w:pStyle w:val="Heading1"/>
      </w:pPr>
      <w:bookmarkStart w:id="4" w:name="_Toc356810511"/>
      <w:r>
        <w:t>Com</w:t>
      </w:r>
      <w:r w:rsidR="007E6D24" w:rsidRPr="0065289A">
        <w:t xml:space="preserve">mission </w:t>
      </w:r>
      <w:bookmarkEnd w:id="4"/>
    </w:p>
    <w:p w14:paraId="72C9F36E" w14:textId="77777777" w:rsidR="007E6D24" w:rsidRDefault="007E6D24" w:rsidP="00492933"/>
    <w:p w14:paraId="488CC2A4" w14:textId="77777777" w:rsidR="003E7B23" w:rsidRDefault="007E6D24" w:rsidP="006C3583">
      <w:r>
        <w:t>On behalf of the CI</w:t>
      </w:r>
      <w:r w:rsidR="00691B92">
        <w:t>OSGH</w:t>
      </w:r>
      <w:r>
        <w:t xml:space="preserve">, </w:t>
      </w:r>
      <w:r w:rsidRPr="00AB5985">
        <w:t>CDC</w:t>
      </w:r>
      <w:r>
        <w:t xml:space="preserve"> </w:t>
      </w:r>
      <w:r w:rsidRPr="00AB5985">
        <w:t>wishes to appoint a</w:t>
      </w:r>
      <w:r w:rsidR="006C3583">
        <w:t xml:space="preserve">n organisation that can supply a full range of business information fact sheets to enhance </w:t>
      </w:r>
      <w:r w:rsidR="003E7B23">
        <w:t xml:space="preserve">and add value to </w:t>
      </w:r>
      <w:r w:rsidR="006C3583">
        <w:t>our offer to our clients</w:t>
      </w:r>
      <w:r w:rsidR="00AD1512">
        <w:t xml:space="preserve"> for the period to </w:t>
      </w:r>
      <w:r w:rsidR="004A1E16">
        <w:t xml:space="preserve">from 1 Jan </w:t>
      </w:r>
      <w:r w:rsidR="00036EE2">
        <w:t xml:space="preserve">2019 to </w:t>
      </w:r>
      <w:r w:rsidR="00AD1512">
        <w:t>3</w:t>
      </w:r>
      <w:r w:rsidR="009F19A6">
        <w:t>0th</w:t>
      </w:r>
      <w:r w:rsidR="00AD1512">
        <w:t xml:space="preserve"> </w:t>
      </w:r>
      <w:r w:rsidR="00036EE2">
        <w:t>Sept</w:t>
      </w:r>
      <w:r w:rsidR="00AD1512">
        <w:t xml:space="preserve"> 20</w:t>
      </w:r>
      <w:r w:rsidR="00036EE2">
        <w:t>21</w:t>
      </w:r>
      <w:r w:rsidR="006C3583">
        <w:t xml:space="preserve">. </w:t>
      </w:r>
    </w:p>
    <w:p w14:paraId="5B13E338" w14:textId="77777777" w:rsidR="003E7B23" w:rsidRDefault="003E7B23" w:rsidP="006C3583"/>
    <w:p w14:paraId="2500CCCA" w14:textId="77777777" w:rsidR="00AA7291" w:rsidRDefault="006C3583" w:rsidP="006C3583">
      <w:r>
        <w:t xml:space="preserve">These </w:t>
      </w:r>
      <w:r w:rsidR="00691B92">
        <w:t xml:space="preserve">business information </w:t>
      </w:r>
      <w:r>
        <w:t xml:space="preserve">sheets should be able to be supplied as PDFs with the potential to </w:t>
      </w:r>
      <w:r w:rsidR="008306C7">
        <w:t xml:space="preserve">be </w:t>
      </w:r>
      <w:r w:rsidR="0011498E">
        <w:t>emailed</w:t>
      </w:r>
      <w:r>
        <w:t xml:space="preserve"> to </w:t>
      </w:r>
      <w:r w:rsidR="00FE31F1">
        <w:t>clients and</w:t>
      </w:r>
      <w:r>
        <w:t xml:space="preserve"> </w:t>
      </w:r>
      <w:r w:rsidR="005B2294">
        <w:t xml:space="preserve">should also be capable of being </w:t>
      </w:r>
      <w:r>
        <w:t>printed t</w:t>
      </w:r>
      <w:r w:rsidR="00AA7291">
        <w:t>o be used in meeting</w:t>
      </w:r>
      <w:r w:rsidR="003E7B23">
        <w:t>s with clients by our business Navigators and C</w:t>
      </w:r>
      <w:r w:rsidR="00AA7291">
        <w:t>onnectors.</w:t>
      </w:r>
      <w:r>
        <w:t xml:space="preserve"> </w:t>
      </w:r>
      <w:r w:rsidR="00036EE2">
        <w:t>T</w:t>
      </w:r>
      <w:r w:rsidR="0017157E">
        <w:t>hey should be able to be accessed through an online portal so staff can access them anywhere</w:t>
      </w:r>
      <w:r w:rsidR="003E7B23">
        <w:t xml:space="preserve"> and be able to give to clients in meetings when out visiting </w:t>
      </w:r>
      <w:r w:rsidR="00176508">
        <w:t>business</w:t>
      </w:r>
      <w:r w:rsidR="0017157E">
        <w:t xml:space="preserve">. </w:t>
      </w:r>
      <w:r>
        <w:t>The sheets should be able to be branded with our own branding (‘white goods’)</w:t>
      </w:r>
      <w:r w:rsidR="0011498E">
        <w:t xml:space="preserve"> which we will supply</w:t>
      </w:r>
      <w:r>
        <w:t xml:space="preserve">. </w:t>
      </w:r>
    </w:p>
    <w:p w14:paraId="2ABD1503" w14:textId="77777777" w:rsidR="00AA7291" w:rsidRDefault="00AA7291" w:rsidP="006C3583"/>
    <w:p w14:paraId="32DBCD56" w14:textId="77777777" w:rsidR="00EF560A" w:rsidRDefault="006C3583" w:rsidP="006C3583">
      <w:r>
        <w:t>Specifically</w:t>
      </w:r>
      <w:r w:rsidR="00AA7291">
        <w:t xml:space="preserve">, </w:t>
      </w:r>
      <w:r w:rsidR="00D662FF">
        <w:t xml:space="preserve">we </w:t>
      </w:r>
      <w:r w:rsidR="0002390D">
        <w:t>require</w:t>
      </w:r>
      <w:r>
        <w:t>;</w:t>
      </w:r>
    </w:p>
    <w:p w14:paraId="35612D64" w14:textId="77777777" w:rsidR="006C3583" w:rsidRDefault="006C3583" w:rsidP="006C3583"/>
    <w:p w14:paraId="6C17244D" w14:textId="77777777" w:rsidR="006C3583" w:rsidRPr="00AA7291" w:rsidRDefault="006C3583" w:rsidP="00AA7291">
      <w:pPr>
        <w:pStyle w:val="ListParagraph"/>
        <w:numPr>
          <w:ilvl w:val="0"/>
          <w:numId w:val="39"/>
        </w:numPr>
        <w:rPr>
          <w:color w:val="000000" w:themeColor="text1"/>
          <w:szCs w:val="22"/>
        </w:rPr>
      </w:pPr>
      <w:r w:rsidRPr="00AA7291">
        <w:rPr>
          <w:bCs/>
          <w:color w:val="000000" w:themeColor="text1"/>
          <w:szCs w:val="22"/>
        </w:rPr>
        <w:t xml:space="preserve">Factsheets </w:t>
      </w:r>
      <w:r w:rsidR="00BB0407">
        <w:rPr>
          <w:bCs/>
          <w:color w:val="000000" w:themeColor="text1"/>
          <w:szCs w:val="22"/>
        </w:rPr>
        <w:t xml:space="preserve">that </w:t>
      </w:r>
      <w:r w:rsidR="00BB0407">
        <w:rPr>
          <w:color w:val="000000" w:themeColor="text1"/>
          <w:szCs w:val="22"/>
        </w:rPr>
        <w:t>cover topics including</w:t>
      </w:r>
      <w:r w:rsidRPr="00AA7291">
        <w:rPr>
          <w:color w:val="000000" w:themeColor="text1"/>
          <w:szCs w:val="22"/>
        </w:rPr>
        <w:t xml:space="preserve"> busines</w:t>
      </w:r>
      <w:r w:rsidR="00BB0407">
        <w:rPr>
          <w:color w:val="000000" w:themeColor="text1"/>
          <w:szCs w:val="22"/>
        </w:rPr>
        <w:t>s regulations</w:t>
      </w:r>
      <w:r w:rsidRPr="00AA7291">
        <w:rPr>
          <w:color w:val="000000" w:themeColor="text1"/>
          <w:szCs w:val="22"/>
        </w:rPr>
        <w:t xml:space="preserve">, and </w:t>
      </w:r>
      <w:r w:rsidR="00BB0407">
        <w:rPr>
          <w:color w:val="000000" w:themeColor="text1"/>
          <w:szCs w:val="22"/>
        </w:rPr>
        <w:t xml:space="preserve">trading </w:t>
      </w:r>
      <w:r w:rsidR="00F7354C">
        <w:rPr>
          <w:color w:val="000000" w:themeColor="text1"/>
          <w:szCs w:val="22"/>
        </w:rPr>
        <w:t>information</w:t>
      </w:r>
      <w:r w:rsidRPr="00AA7291">
        <w:rPr>
          <w:color w:val="000000" w:themeColor="text1"/>
          <w:szCs w:val="22"/>
        </w:rPr>
        <w:t xml:space="preserve"> that businesses may be required to consider in their </w:t>
      </w:r>
      <w:r w:rsidR="00BB0407">
        <w:rPr>
          <w:color w:val="000000" w:themeColor="text1"/>
          <w:szCs w:val="22"/>
        </w:rPr>
        <w:t xml:space="preserve">operation to help them start up, scale up or </w:t>
      </w:r>
      <w:r w:rsidRPr="00AA7291">
        <w:rPr>
          <w:color w:val="000000" w:themeColor="text1"/>
          <w:szCs w:val="22"/>
        </w:rPr>
        <w:t>grow.</w:t>
      </w:r>
      <w:r w:rsidR="00BB0407">
        <w:rPr>
          <w:color w:val="000000" w:themeColor="text1"/>
          <w:szCs w:val="22"/>
        </w:rPr>
        <w:t xml:space="preserve"> Also</w:t>
      </w:r>
      <w:r w:rsidR="00F7354C">
        <w:rPr>
          <w:color w:val="000000" w:themeColor="text1"/>
          <w:szCs w:val="22"/>
        </w:rPr>
        <w:t>,</w:t>
      </w:r>
      <w:r w:rsidR="00BB0407">
        <w:rPr>
          <w:color w:val="000000" w:themeColor="text1"/>
          <w:szCs w:val="22"/>
        </w:rPr>
        <w:t xml:space="preserve"> information around </w:t>
      </w:r>
      <w:r w:rsidR="00BB0407" w:rsidRPr="00AA7291">
        <w:rPr>
          <w:color w:val="000000" w:themeColor="text1"/>
          <w:szCs w:val="22"/>
        </w:rPr>
        <w:t>licensing</w:t>
      </w:r>
      <w:r w:rsidR="00F7354C">
        <w:rPr>
          <w:color w:val="000000" w:themeColor="text1"/>
          <w:szCs w:val="22"/>
        </w:rPr>
        <w:t xml:space="preserve"> and registration</w:t>
      </w:r>
      <w:r w:rsidR="00BB0407" w:rsidRPr="00AA7291">
        <w:rPr>
          <w:color w:val="000000" w:themeColor="text1"/>
          <w:szCs w:val="22"/>
        </w:rPr>
        <w:t xml:space="preserve"> </w:t>
      </w:r>
      <w:r w:rsidR="00BB0407">
        <w:rPr>
          <w:color w:val="000000" w:themeColor="text1"/>
          <w:szCs w:val="22"/>
        </w:rPr>
        <w:t>that businesses may need to consider in their sector.</w:t>
      </w:r>
    </w:p>
    <w:p w14:paraId="4ED8890B" w14:textId="77777777" w:rsidR="006C3583" w:rsidRPr="006C3583" w:rsidRDefault="006C3583" w:rsidP="006C3583">
      <w:pPr>
        <w:rPr>
          <w:color w:val="000000" w:themeColor="text1"/>
          <w:szCs w:val="22"/>
        </w:rPr>
      </w:pPr>
    </w:p>
    <w:p w14:paraId="640E5A90" w14:textId="77777777" w:rsidR="00334D0B" w:rsidRDefault="006C3583" w:rsidP="00AA7291">
      <w:pPr>
        <w:pStyle w:val="ListParagraph"/>
        <w:numPr>
          <w:ilvl w:val="0"/>
          <w:numId w:val="39"/>
        </w:numPr>
        <w:rPr>
          <w:color w:val="000000" w:themeColor="text1"/>
          <w:szCs w:val="22"/>
        </w:rPr>
      </w:pPr>
      <w:r w:rsidRPr="00AA7291">
        <w:rPr>
          <w:bCs/>
          <w:color w:val="000000" w:themeColor="text1"/>
          <w:szCs w:val="22"/>
        </w:rPr>
        <w:t>Detailed guides</w:t>
      </w:r>
      <w:r w:rsidRPr="00AA7291">
        <w:rPr>
          <w:color w:val="000000" w:themeColor="text1"/>
          <w:szCs w:val="22"/>
        </w:rPr>
        <w:t xml:space="preserve"> and </w:t>
      </w:r>
      <w:r w:rsidRPr="00AA7291">
        <w:rPr>
          <w:bCs/>
          <w:color w:val="000000" w:themeColor="text1"/>
          <w:szCs w:val="22"/>
        </w:rPr>
        <w:t>information</w:t>
      </w:r>
      <w:r w:rsidRPr="00AA7291">
        <w:rPr>
          <w:color w:val="000000" w:themeColor="text1"/>
          <w:szCs w:val="22"/>
        </w:rPr>
        <w:t> on a full range of business sectors and types to enable those running or starting a business to be able to be aware of the issues in their sector</w:t>
      </w:r>
      <w:r w:rsidR="003E7B23">
        <w:rPr>
          <w:color w:val="000000" w:themeColor="text1"/>
          <w:szCs w:val="22"/>
        </w:rPr>
        <w:t xml:space="preserve"> or with their business type</w:t>
      </w:r>
    </w:p>
    <w:p w14:paraId="15B531EA" w14:textId="77777777" w:rsidR="0017157E" w:rsidRPr="0017157E" w:rsidRDefault="0017157E" w:rsidP="0017157E">
      <w:pPr>
        <w:pStyle w:val="ListParagraph"/>
        <w:rPr>
          <w:color w:val="000000" w:themeColor="text1"/>
          <w:szCs w:val="22"/>
        </w:rPr>
      </w:pPr>
    </w:p>
    <w:p w14:paraId="63488B30" w14:textId="77777777" w:rsidR="003E7B23" w:rsidRDefault="0017157E" w:rsidP="003E7B23">
      <w:pPr>
        <w:pStyle w:val="ListParagraph"/>
        <w:numPr>
          <w:ilvl w:val="0"/>
          <w:numId w:val="39"/>
        </w:numPr>
        <w:rPr>
          <w:color w:val="000000" w:themeColor="text1"/>
          <w:szCs w:val="22"/>
        </w:rPr>
      </w:pPr>
      <w:r w:rsidRPr="00AA7291">
        <w:rPr>
          <w:bCs/>
          <w:color w:val="000000" w:themeColor="text1"/>
          <w:szCs w:val="22"/>
        </w:rPr>
        <w:t>‘</w:t>
      </w:r>
      <w:r>
        <w:rPr>
          <w:bCs/>
          <w:color w:val="000000" w:themeColor="text1"/>
          <w:szCs w:val="22"/>
        </w:rPr>
        <w:t>H</w:t>
      </w:r>
      <w:r w:rsidRPr="00AA7291">
        <w:rPr>
          <w:bCs/>
          <w:color w:val="000000" w:themeColor="text1"/>
          <w:szCs w:val="22"/>
        </w:rPr>
        <w:t>ow to guides’</w:t>
      </w:r>
      <w:r w:rsidRPr="00AA7291">
        <w:rPr>
          <w:color w:val="000000" w:themeColor="text1"/>
          <w:szCs w:val="22"/>
        </w:rPr>
        <w:t> </w:t>
      </w:r>
      <w:r>
        <w:rPr>
          <w:color w:val="000000" w:themeColor="text1"/>
          <w:szCs w:val="22"/>
        </w:rPr>
        <w:t>covering a range of business topics- such as business planning, marketing etc</w:t>
      </w:r>
      <w:r w:rsidR="003E7B23">
        <w:rPr>
          <w:color w:val="000000" w:themeColor="text1"/>
          <w:szCs w:val="22"/>
        </w:rPr>
        <w:t>, as an aid to businesses who need to seek out further information on a variety of topics</w:t>
      </w:r>
    </w:p>
    <w:p w14:paraId="71109E94" w14:textId="77777777" w:rsidR="003E7B23" w:rsidRPr="003E7B23" w:rsidRDefault="003E7B23" w:rsidP="003E7B23">
      <w:pPr>
        <w:pStyle w:val="ListParagraph"/>
        <w:rPr>
          <w:color w:val="000000" w:themeColor="text1"/>
          <w:szCs w:val="22"/>
        </w:rPr>
      </w:pPr>
    </w:p>
    <w:p w14:paraId="25A0946B" w14:textId="77777777" w:rsidR="003E7B23" w:rsidRDefault="003E7B23" w:rsidP="003E7B23">
      <w:pPr>
        <w:pStyle w:val="ListParagraph"/>
        <w:numPr>
          <w:ilvl w:val="0"/>
          <w:numId w:val="39"/>
        </w:numPr>
        <w:rPr>
          <w:color w:val="000000" w:themeColor="text1"/>
          <w:szCs w:val="22"/>
        </w:rPr>
      </w:pPr>
      <w:r>
        <w:rPr>
          <w:color w:val="000000" w:themeColor="text1"/>
          <w:szCs w:val="22"/>
        </w:rPr>
        <w:t>An online interface to be able to easily find the factsheet and send or print for client use</w:t>
      </w:r>
      <w:r w:rsidR="0002390D">
        <w:rPr>
          <w:color w:val="000000" w:themeColor="text1"/>
          <w:szCs w:val="22"/>
        </w:rPr>
        <w:t>, and be able to use in client meeting or email to clients</w:t>
      </w:r>
      <w:r>
        <w:rPr>
          <w:color w:val="000000" w:themeColor="text1"/>
          <w:szCs w:val="22"/>
        </w:rPr>
        <w:t>.</w:t>
      </w:r>
    </w:p>
    <w:p w14:paraId="1C6AA211" w14:textId="78D7EB56" w:rsidR="0066361A" w:rsidRDefault="0066361A" w:rsidP="00492933"/>
    <w:p w14:paraId="0E6C3303" w14:textId="77777777" w:rsidR="00D92944" w:rsidRDefault="00D92944" w:rsidP="00492933"/>
    <w:p w14:paraId="41D82DCF" w14:textId="77777777" w:rsidR="00334D0B" w:rsidRDefault="00334D0B" w:rsidP="00492933">
      <w:pPr>
        <w:pStyle w:val="Heading1"/>
      </w:pPr>
      <w:bookmarkStart w:id="5" w:name="_Toc325625244"/>
      <w:bookmarkStart w:id="6" w:name="_Toc336433893"/>
      <w:bookmarkStart w:id="7" w:name="_Toc356810513"/>
      <w:r w:rsidRPr="00CB5C71">
        <w:t>Budget</w:t>
      </w:r>
      <w:bookmarkEnd w:id="5"/>
      <w:bookmarkEnd w:id="6"/>
      <w:bookmarkEnd w:id="7"/>
    </w:p>
    <w:p w14:paraId="1D622A8E" w14:textId="77777777" w:rsidR="00334D0B" w:rsidRDefault="00334D0B" w:rsidP="00492933"/>
    <w:p w14:paraId="5A074095" w14:textId="77777777" w:rsidR="00F1427F" w:rsidRDefault="006C0A06" w:rsidP="003E7B23">
      <w:r>
        <w:t xml:space="preserve">A </w:t>
      </w:r>
      <w:r w:rsidR="00A22CCC">
        <w:t xml:space="preserve">maximum </w:t>
      </w:r>
      <w:r>
        <w:t xml:space="preserve">budget has been set for this commission of </w:t>
      </w:r>
      <w:r w:rsidR="00334D0B" w:rsidRPr="001F5D28">
        <w:t>£</w:t>
      </w:r>
      <w:r w:rsidR="00C204F4">
        <w:t>24</w:t>
      </w:r>
      <w:r w:rsidR="00AA7291">
        <w:t>,000</w:t>
      </w:r>
      <w:r w:rsidR="0015279F" w:rsidRPr="001F5D28">
        <w:t xml:space="preserve"> (excluding VAT)</w:t>
      </w:r>
      <w:r w:rsidR="00CC23EC" w:rsidRPr="001F5D28">
        <w:t xml:space="preserve"> </w:t>
      </w:r>
      <w:r w:rsidR="00505C96">
        <w:t>covering</w:t>
      </w:r>
      <w:r w:rsidR="00CC23EC" w:rsidRPr="001F5D28">
        <w:t xml:space="preserve"> </w:t>
      </w:r>
      <w:r w:rsidR="00AA7291">
        <w:t xml:space="preserve">the </w:t>
      </w:r>
      <w:r w:rsidR="00995FAE">
        <w:t>period</w:t>
      </w:r>
      <w:r w:rsidR="002E53DD" w:rsidRPr="001F5D28">
        <w:t xml:space="preserve"> </w:t>
      </w:r>
      <w:r w:rsidR="00334D0B" w:rsidRPr="001F5D28">
        <w:t xml:space="preserve">until </w:t>
      </w:r>
      <w:r w:rsidR="00A16BEE">
        <w:t>30</w:t>
      </w:r>
      <w:r w:rsidR="00334D0B" w:rsidRPr="001F5D28">
        <w:t xml:space="preserve"> </w:t>
      </w:r>
      <w:r w:rsidR="00A16BEE">
        <w:t>Sept</w:t>
      </w:r>
      <w:r w:rsidR="00334D0B" w:rsidRPr="001F5D28">
        <w:t xml:space="preserve"> 20</w:t>
      </w:r>
      <w:r w:rsidR="00A16BEE">
        <w:t>21</w:t>
      </w:r>
      <w:r w:rsidR="00A22CCC">
        <w:t xml:space="preserve">. </w:t>
      </w:r>
    </w:p>
    <w:p w14:paraId="63457A67" w14:textId="77777777" w:rsidR="00F1427F" w:rsidRDefault="00F1427F" w:rsidP="003E7B23"/>
    <w:p w14:paraId="7B75BF4B" w14:textId="77777777" w:rsidR="00730903" w:rsidRDefault="00F1427F" w:rsidP="003E7B23">
      <w:r w:rsidRPr="00EC269C">
        <w:rPr>
          <w:b/>
          <w:szCs w:val="22"/>
        </w:rPr>
        <w:t xml:space="preserve">Tenders that exceed the total </w:t>
      </w:r>
      <w:r>
        <w:rPr>
          <w:b/>
          <w:szCs w:val="22"/>
        </w:rPr>
        <w:t xml:space="preserve">maximum </w:t>
      </w:r>
      <w:r w:rsidRPr="00EC269C">
        <w:rPr>
          <w:b/>
          <w:szCs w:val="22"/>
        </w:rPr>
        <w:t>budget will not be considered</w:t>
      </w:r>
    </w:p>
    <w:bookmarkEnd w:id="3"/>
    <w:p w14:paraId="6F38A671" w14:textId="03770F32" w:rsidR="00995FAE" w:rsidRDefault="00995FAE" w:rsidP="003E7B23"/>
    <w:p w14:paraId="098E9189" w14:textId="3D71FA3B" w:rsidR="00D92944" w:rsidRDefault="00D92944" w:rsidP="003E7B23"/>
    <w:p w14:paraId="58996B85" w14:textId="10BEAF1A" w:rsidR="00D92944" w:rsidRDefault="00D92944" w:rsidP="003E7B23"/>
    <w:p w14:paraId="7E502D7E" w14:textId="77777777" w:rsidR="00D92944" w:rsidRDefault="00D92944" w:rsidP="003E7B23"/>
    <w:p w14:paraId="6290655D" w14:textId="77777777" w:rsidR="00AD53B5" w:rsidRDefault="00AD53B5" w:rsidP="00AD53B5">
      <w:pPr>
        <w:pStyle w:val="Heading1"/>
      </w:pPr>
      <w:r>
        <w:lastRenderedPageBreak/>
        <w:t>Corporate Requirements</w:t>
      </w:r>
    </w:p>
    <w:p w14:paraId="588D8FE7" w14:textId="77777777" w:rsidR="00AD53B5" w:rsidRDefault="00AD53B5" w:rsidP="003E7B23"/>
    <w:p w14:paraId="49D67911" w14:textId="77777777" w:rsidR="00AD53B5" w:rsidRPr="00F5753E" w:rsidRDefault="00AD53B5" w:rsidP="00AD53B5">
      <w:r w:rsidRPr="00F5753E">
        <w:t xml:space="preserve">CDC wishes to ensure that its contractors, suppliers and advisers comply with its corporate requirements when facilitating the delivery of its services. It is therefore necessary to ensure that the </w:t>
      </w:r>
      <w:r w:rsidR="00505C96">
        <w:t>supplier</w:t>
      </w:r>
      <w:r w:rsidRPr="00F5753E">
        <w:t xml:space="preserve"> can evidence its ability to meet these requirements when providing the services under this commission.</w:t>
      </w:r>
    </w:p>
    <w:p w14:paraId="43EF6D72" w14:textId="77777777" w:rsidR="00AD53B5" w:rsidRDefault="00AD53B5" w:rsidP="00AD53B5"/>
    <w:p w14:paraId="53469A4F" w14:textId="77777777" w:rsidR="00AD53B5" w:rsidRPr="00F5753E" w:rsidRDefault="00AD53B5" w:rsidP="00AD53B5">
      <w:r>
        <w:rPr>
          <w:b/>
        </w:rPr>
        <w:t>All quotations</w:t>
      </w:r>
      <w:r w:rsidRPr="00F5753E">
        <w:rPr>
          <w:b/>
        </w:rPr>
        <w:t xml:space="preserve"> must include evidence of the following</w:t>
      </w:r>
      <w:r w:rsidRPr="00F5753E">
        <w:t xml:space="preserve">. This is a pre-requisite if the </w:t>
      </w:r>
      <w:r w:rsidR="005B2294">
        <w:t xml:space="preserve">quotation </w:t>
      </w:r>
      <w:r w:rsidRPr="00F5753E">
        <w:t>is to be considered.</w:t>
      </w:r>
    </w:p>
    <w:p w14:paraId="569AB81E" w14:textId="77777777" w:rsidR="00AD53B5" w:rsidRDefault="00AD53B5" w:rsidP="00AD53B5"/>
    <w:p w14:paraId="08963490" w14:textId="77777777" w:rsidR="00AD53B5" w:rsidRPr="00DB0A8B" w:rsidRDefault="00AD53B5" w:rsidP="00DB0A8B">
      <w:pPr>
        <w:pStyle w:val="Style1"/>
      </w:pPr>
      <w:r w:rsidRPr="00DB0A8B">
        <w:t>Equality and Diversity</w:t>
      </w:r>
    </w:p>
    <w:p w14:paraId="056B2DBE" w14:textId="77777777" w:rsidR="00AD53B5" w:rsidRPr="009641B5" w:rsidRDefault="00AD53B5" w:rsidP="00AD53B5">
      <w:r w:rsidRPr="009641B5">
        <w:t xml:space="preserve">CDC is committed to providing services in a way that promotes equality of opportunity. It is expected that the successful </w:t>
      </w:r>
      <w:r w:rsidR="005B2294">
        <w:t>supplier</w:t>
      </w:r>
      <w:r w:rsidR="00505C96">
        <w:t xml:space="preserve"> </w:t>
      </w:r>
      <w:r w:rsidRPr="009641B5">
        <w:t xml:space="preserve">will be equally committed to equality and diversity in its service provision and will ensure compliance with all anti-discrimination legislation. </w:t>
      </w:r>
      <w:r w:rsidRPr="00611D87">
        <w:rPr>
          <w:b/>
        </w:rPr>
        <w:t>If successful you will be required to provide a copy of your Equality and Diversity Policies/Practices</w:t>
      </w:r>
      <w:r w:rsidRPr="009641B5">
        <w:t xml:space="preserve"> </w:t>
      </w:r>
    </w:p>
    <w:p w14:paraId="7BC672B0" w14:textId="77777777" w:rsidR="00AD53B5" w:rsidRPr="00F5753E" w:rsidRDefault="00AD53B5" w:rsidP="00AD53B5"/>
    <w:p w14:paraId="072AD1A3" w14:textId="77777777" w:rsidR="00AD53B5" w:rsidRDefault="00AD53B5" w:rsidP="00DB0A8B">
      <w:pPr>
        <w:pStyle w:val="Style1"/>
      </w:pPr>
      <w:r w:rsidRPr="00F5753E">
        <w:t xml:space="preserve">Environmental Policy </w:t>
      </w:r>
    </w:p>
    <w:p w14:paraId="10B90BE5" w14:textId="77777777" w:rsidR="00AD53B5" w:rsidRDefault="00AD53B5" w:rsidP="00AD53B5">
      <w:pPr>
        <w:rPr>
          <w:b/>
        </w:rPr>
      </w:pPr>
      <w:r w:rsidRPr="009641B5">
        <w:t xml:space="preserve">CDC is committed to sustainable development and the promotion of good environmental management. It is expected that the successful </w:t>
      </w:r>
      <w:r w:rsidR="005B2294">
        <w:t>supplier</w:t>
      </w:r>
      <w:r w:rsidR="005B2294" w:rsidRPr="009641B5">
        <w:t xml:space="preserve"> </w:t>
      </w:r>
      <w:r w:rsidRPr="009641B5">
        <w:t xml:space="preserve">will be committed to a process of improvement with regard to environmental issues.  </w:t>
      </w:r>
      <w:r w:rsidRPr="009641B5">
        <w:rPr>
          <w:b/>
        </w:rPr>
        <w:t xml:space="preserve">If successful you will be required to provide a copy of your Environmental Policy Policies/Practices </w:t>
      </w:r>
    </w:p>
    <w:p w14:paraId="260A1414" w14:textId="77777777" w:rsidR="0073426B" w:rsidRDefault="0073426B" w:rsidP="00DB0A8B">
      <w:pPr>
        <w:pStyle w:val="Style1"/>
      </w:pPr>
    </w:p>
    <w:p w14:paraId="6BB10C78" w14:textId="77777777" w:rsidR="00DB0A8B" w:rsidRPr="00B85D6B" w:rsidRDefault="00DB0A8B" w:rsidP="00B85D6B">
      <w:pPr>
        <w:pStyle w:val="Style1"/>
      </w:pPr>
      <w:r>
        <w:t>Insurances</w:t>
      </w:r>
      <w:r w:rsidRPr="00F5753E">
        <w:t xml:space="preserve"> </w:t>
      </w:r>
    </w:p>
    <w:p w14:paraId="02384332" w14:textId="77777777" w:rsidR="00DB0A8B" w:rsidRDefault="00DB0A8B" w:rsidP="00DB0A8B">
      <w:pPr>
        <w:ind w:left="0"/>
        <w:rPr>
          <w:rFonts w:cs="Calibri"/>
        </w:rPr>
      </w:pPr>
      <w:r>
        <w:rPr>
          <w:rFonts w:cs="Calibri"/>
        </w:rPr>
        <w:t>The consultant/supplier must effect and maintain with reputable insurers such policy or policies of insurance as may be necessary to cover the supplier’s obligations and liabilities under this contract, including but not limited to:</w:t>
      </w:r>
    </w:p>
    <w:p w14:paraId="43768259" w14:textId="77777777" w:rsidR="00DB0A8B" w:rsidRDefault="00DB0A8B" w:rsidP="00DB0A8B">
      <w:pPr>
        <w:pStyle w:val="ListParagraph"/>
        <w:numPr>
          <w:ilvl w:val="0"/>
          <w:numId w:val="40"/>
        </w:numPr>
        <w:spacing w:line="276" w:lineRule="auto"/>
        <w:ind w:left="567" w:firstLine="0"/>
        <w:contextualSpacing/>
        <w:rPr>
          <w:rFonts w:cs="Calibri"/>
        </w:rPr>
      </w:pPr>
      <w:r>
        <w:rPr>
          <w:rFonts w:cs="Calibri"/>
        </w:rPr>
        <w:t xml:space="preserve">Professional indemnity insurance with a limit of liability of not less than </w:t>
      </w:r>
      <w:r>
        <w:rPr>
          <w:rFonts w:cs="Calibri"/>
        </w:rPr>
        <w:br/>
        <w:t>£2 million;</w:t>
      </w:r>
    </w:p>
    <w:p w14:paraId="3473581E" w14:textId="77777777" w:rsidR="00DB0A8B" w:rsidRDefault="00DB0A8B" w:rsidP="00DB0A8B">
      <w:pPr>
        <w:pStyle w:val="ListParagraph"/>
        <w:numPr>
          <w:ilvl w:val="0"/>
          <w:numId w:val="40"/>
        </w:numPr>
        <w:spacing w:line="276" w:lineRule="auto"/>
        <w:ind w:left="0" w:firstLine="567"/>
        <w:contextualSpacing/>
        <w:rPr>
          <w:rFonts w:cs="Calibri"/>
        </w:rPr>
      </w:pPr>
      <w:r>
        <w:rPr>
          <w:rFonts w:cs="Calibri"/>
        </w:rPr>
        <w:t>Public liability insurance with a limit of liability of not less than £5 million;</w:t>
      </w:r>
    </w:p>
    <w:p w14:paraId="480841D4" w14:textId="77777777" w:rsidR="00DB0A8B" w:rsidRDefault="00DB0A8B" w:rsidP="00DB0A8B">
      <w:pPr>
        <w:pStyle w:val="ListParagraph"/>
        <w:numPr>
          <w:ilvl w:val="0"/>
          <w:numId w:val="40"/>
        </w:numPr>
        <w:spacing w:line="276" w:lineRule="auto"/>
        <w:ind w:left="567" w:firstLine="0"/>
        <w:contextualSpacing/>
        <w:rPr>
          <w:rFonts w:cs="Calibri"/>
        </w:rPr>
      </w:pPr>
      <w:r>
        <w:rPr>
          <w:rFonts w:cs="Calibri"/>
        </w:rPr>
        <w:t xml:space="preserve">Employers liability insurance with a limit if liability of not less than </w:t>
      </w:r>
      <w:r>
        <w:rPr>
          <w:rFonts w:cs="Calibri"/>
        </w:rPr>
        <w:br/>
        <w:t>£5 million</w:t>
      </w:r>
    </w:p>
    <w:p w14:paraId="7FD22E10" w14:textId="77777777" w:rsidR="00BB7C23" w:rsidRDefault="00BB7C23" w:rsidP="00AD53B5">
      <w:pPr>
        <w:rPr>
          <w:b/>
        </w:rPr>
      </w:pPr>
    </w:p>
    <w:p w14:paraId="3D3E2A07" w14:textId="77777777" w:rsidR="002D7389" w:rsidRDefault="002D7389" w:rsidP="00AD53B5">
      <w:r>
        <w:t xml:space="preserve">The supplier should also note that the following </w:t>
      </w:r>
      <w:r w:rsidR="00995FAE">
        <w:t>corporate</w:t>
      </w:r>
      <w:r>
        <w:t xml:space="preserve"> requirements will also apply: </w:t>
      </w:r>
    </w:p>
    <w:p w14:paraId="14DF1F18" w14:textId="77777777" w:rsidR="002D7389" w:rsidRDefault="002D7389" w:rsidP="00AD53B5"/>
    <w:p w14:paraId="4EB8994F" w14:textId="77777777" w:rsidR="002D7389" w:rsidRPr="003D3424" w:rsidRDefault="002D7389" w:rsidP="00DB0A8B">
      <w:pPr>
        <w:pStyle w:val="Style1"/>
      </w:pPr>
      <w:r w:rsidRPr="003D3424">
        <w:t>Freedom of Information Legislation</w:t>
      </w:r>
    </w:p>
    <w:p w14:paraId="1ADE5161" w14:textId="77777777" w:rsidR="002D7389" w:rsidRDefault="002D7389" w:rsidP="002D7389">
      <w:r w:rsidRPr="00F5753E">
        <w:t xml:space="preserve">CDC may be obliged to disclose information provided by bidders in response to this tender under the Freedom of Information Act 2000 and all subordinate legislation made under this Act and the Environmental Information Regulations 2004 (“the Freedom of Information Legislation”).  </w:t>
      </w:r>
    </w:p>
    <w:p w14:paraId="5DE4BC5F" w14:textId="77777777" w:rsidR="002D7389" w:rsidRDefault="002D7389" w:rsidP="002D7389"/>
    <w:p w14:paraId="2B1B62F4" w14:textId="77777777" w:rsidR="002D7389" w:rsidRDefault="005B2294" w:rsidP="002D7389">
      <w:r>
        <w:t>Suppliers</w:t>
      </w:r>
      <w:r w:rsidRPr="00F5753E">
        <w:t xml:space="preserve"> </w:t>
      </w:r>
      <w:r w:rsidR="002D7389" w:rsidRPr="00F5753E">
        <w:t xml:space="preserve">should therefore be aware that the information they provide could be disclosed in response to a request under the Freedom of Information Legislation. CDC will proceed </w:t>
      </w:r>
      <w:proofErr w:type="gramStart"/>
      <w:r w:rsidR="002D7389" w:rsidRPr="00F5753E">
        <w:t>on the basis of</w:t>
      </w:r>
      <w:proofErr w:type="gramEnd"/>
      <w:r w:rsidR="002D7389" w:rsidRPr="00F5753E">
        <w:t xml:space="preserve"> disclosure unless an appropriate exemption applies. </w:t>
      </w:r>
      <w:r>
        <w:t>Suppliers</w:t>
      </w:r>
      <w:r w:rsidRPr="00F5753E">
        <w:t xml:space="preserve"> </w:t>
      </w:r>
      <w:r w:rsidR="002D7389" w:rsidRPr="00F5753E">
        <w:t>should be aware that despite the availability of some exemptions, information may still be disclosed if it is in the public interest.</w:t>
      </w:r>
    </w:p>
    <w:p w14:paraId="54AFE755" w14:textId="150777F3" w:rsidR="002D7389" w:rsidRDefault="002D7389" w:rsidP="002D7389"/>
    <w:p w14:paraId="5A916DF5" w14:textId="77777777" w:rsidR="00D92944" w:rsidRDefault="00D92944" w:rsidP="002D7389"/>
    <w:p w14:paraId="7B4A86A9" w14:textId="77777777" w:rsidR="002D7389" w:rsidRPr="003D3424" w:rsidRDefault="002D7389" w:rsidP="00DB0A8B">
      <w:pPr>
        <w:pStyle w:val="Style1"/>
      </w:pPr>
      <w:r w:rsidRPr="003D3424">
        <w:lastRenderedPageBreak/>
        <w:t>Prevention of Bribery</w:t>
      </w:r>
    </w:p>
    <w:p w14:paraId="751CF8FA" w14:textId="77777777" w:rsidR="002D7389" w:rsidRPr="00F5753E" w:rsidRDefault="005B2294" w:rsidP="002D7389">
      <w:r>
        <w:t>Suppliers</w:t>
      </w:r>
      <w:r w:rsidRPr="00F5753E">
        <w:t xml:space="preserve"> </w:t>
      </w:r>
      <w:r w:rsidR="002D7389" w:rsidRPr="00F5753E">
        <w:t xml:space="preserve">are hereby notified that CDC is subject to the regulations of the Bribery Act 2010 and therefore has a duty to ensure that all </w:t>
      </w:r>
      <w:r>
        <w:t>suppliers</w:t>
      </w:r>
      <w:r w:rsidRPr="00F5753E">
        <w:t xml:space="preserve"> </w:t>
      </w:r>
      <w:r w:rsidR="002D7389" w:rsidRPr="00F5753E">
        <w:t>will comply with applicable laws, regulations, codes and sanctions relating to anti-bribery and anti-corruption including, but not limited to, this legislation.</w:t>
      </w:r>
    </w:p>
    <w:p w14:paraId="73888B20" w14:textId="77777777" w:rsidR="002D7389" w:rsidRDefault="002D7389" w:rsidP="002D7389"/>
    <w:p w14:paraId="584E31A6" w14:textId="77777777" w:rsidR="002D7389" w:rsidRDefault="002D7389" w:rsidP="00AD53B5"/>
    <w:p w14:paraId="4AD3A437" w14:textId="77777777" w:rsidR="00051749" w:rsidRPr="00CB5C71" w:rsidRDefault="007A0330" w:rsidP="00051749">
      <w:pPr>
        <w:pStyle w:val="Heading1"/>
      </w:pPr>
      <w:r>
        <w:t>Tender</w:t>
      </w:r>
      <w:r w:rsidR="00051749">
        <w:t xml:space="preserve"> Information &amp; Requirements</w:t>
      </w:r>
    </w:p>
    <w:p w14:paraId="344FB5F0" w14:textId="77777777" w:rsidR="00051749" w:rsidRPr="00CB5C71" w:rsidRDefault="00051749" w:rsidP="00051749"/>
    <w:p w14:paraId="71037780" w14:textId="77777777" w:rsidR="00051749" w:rsidRDefault="00051749" w:rsidP="00051749">
      <w:r w:rsidRPr="00CB5C71">
        <w:t xml:space="preserve">This section provides instructions and defines the format </w:t>
      </w:r>
      <w:r>
        <w:t>you should</w:t>
      </w:r>
      <w:r w:rsidRPr="00CB5C71">
        <w:t xml:space="preserve"> use in responding to this </w:t>
      </w:r>
      <w:r w:rsidR="00636190">
        <w:t>Tender</w:t>
      </w:r>
      <w:r w:rsidRPr="00CB5C71">
        <w:t xml:space="preserve"> along with specific information </w:t>
      </w:r>
      <w:r>
        <w:t>that you</w:t>
      </w:r>
      <w:r w:rsidRPr="00CB5C71">
        <w:t xml:space="preserve"> </w:t>
      </w:r>
      <w:r>
        <w:t>should</w:t>
      </w:r>
      <w:r w:rsidRPr="00CB5C71">
        <w:t xml:space="preserve"> supply and information on how the </w:t>
      </w:r>
      <w:r>
        <w:t>quotes</w:t>
      </w:r>
      <w:r w:rsidRPr="00CB5C71">
        <w:t xml:space="preserve"> will be assessed. </w:t>
      </w:r>
    </w:p>
    <w:p w14:paraId="2D0C55FF" w14:textId="77777777" w:rsidR="00051749" w:rsidRDefault="00051749" w:rsidP="00051749"/>
    <w:p w14:paraId="4D4BF213" w14:textId="77777777" w:rsidR="00051749" w:rsidRPr="008B4989" w:rsidRDefault="00051749" w:rsidP="00051749">
      <w:bookmarkStart w:id="8" w:name="_Toc336433901"/>
      <w:bookmarkStart w:id="9" w:name="_Toc356810512"/>
      <w:r w:rsidRPr="008B4989">
        <w:t>Procurement Timetable</w:t>
      </w:r>
      <w:bookmarkEnd w:id="8"/>
      <w:bookmarkEnd w:id="9"/>
      <w:r w:rsidR="00572CC9">
        <w:t>;</w:t>
      </w:r>
    </w:p>
    <w:p w14:paraId="7592A5F4" w14:textId="77777777" w:rsidR="00051749" w:rsidRDefault="00051749" w:rsidP="00051749"/>
    <w:p w14:paraId="15F586CB" w14:textId="77777777" w:rsidR="00051749" w:rsidRDefault="00051749" w:rsidP="00051749">
      <w:r>
        <w:t xml:space="preserve">The anticipated timetable for submission of the </w:t>
      </w:r>
      <w:r w:rsidR="00572CC9">
        <w:t>quote</w:t>
      </w:r>
      <w:r>
        <w:t xml:space="preserve"> and commission milestones are set out below:</w:t>
      </w:r>
    </w:p>
    <w:p w14:paraId="0740C4AF" w14:textId="77777777" w:rsidR="00435371" w:rsidRDefault="00435371" w:rsidP="00051749"/>
    <w:p w14:paraId="74C50E98" w14:textId="77777777" w:rsidR="00051749" w:rsidRPr="00EA676C" w:rsidRDefault="00051749" w:rsidP="000517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3"/>
        <w:gridCol w:w="2693"/>
      </w:tblGrid>
      <w:tr w:rsidR="00051749" w:rsidRPr="00EA676C" w14:paraId="1FD484DC" w14:textId="77777777" w:rsidTr="00345C6A">
        <w:trPr>
          <w:jc w:val="center"/>
        </w:trPr>
        <w:tc>
          <w:tcPr>
            <w:tcW w:w="6663" w:type="dxa"/>
            <w:shd w:val="clear" w:color="auto" w:fill="D9D9D9" w:themeFill="background1" w:themeFillShade="D9"/>
          </w:tcPr>
          <w:p w14:paraId="46CDE151" w14:textId="77777777" w:rsidR="00051749" w:rsidRPr="00CF71B2" w:rsidRDefault="00051749" w:rsidP="00345C6A">
            <w:r w:rsidRPr="00CF71B2">
              <w:t>Activity</w:t>
            </w:r>
          </w:p>
        </w:tc>
        <w:tc>
          <w:tcPr>
            <w:tcW w:w="2693" w:type="dxa"/>
            <w:shd w:val="clear" w:color="auto" w:fill="D9D9D9" w:themeFill="background1" w:themeFillShade="D9"/>
          </w:tcPr>
          <w:p w14:paraId="6349C341" w14:textId="77777777" w:rsidR="00051749" w:rsidRPr="00CF71B2" w:rsidRDefault="00051749" w:rsidP="00345C6A">
            <w:r w:rsidRPr="00CF71B2">
              <w:t>Date</w:t>
            </w:r>
          </w:p>
        </w:tc>
      </w:tr>
      <w:tr w:rsidR="00051749" w:rsidRPr="00DB0A8B" w14:paraId="3F5BB07E" w14:textId="77777777" w:rsidTr="00345C6A">
        <w:trPr>
          <w:jc w:val="center"/>
        </w:trPr>
        <w:tc>
          <w:tcPr>
            <w:tcW w:w="6663" w:type="dxa"/>
          </w:tcPr>
          <w:p w14:paraId="36F9A325" w14:textId="77777777" w:rsidR="00051749" w:rsidRPr="00DB0A8B" w:rsidRDefault="00051749" w:rsidP="00345C6A">
            <w:r w:rsidRPr="00DB0A8B">
              <w:t xml:space="preserve">Dispatch of </w:t>
            </w:r>
            <w:r w:rsidR="0011498E" w:rsidRPr="00DB0A8B">
              <w:t>IT</w:t>
            </w:r>
            <w:r w:rsidR="00636190">
              <w:t>T</w:t>
            </w:r>
          </w:p>
        </w:tc>
        <w:tc>
          <w:tcPr>
            <w:tcW w:w="2693" w:type="dxa"/>
          </w:tcPr>
          <w:p w14:paraId="21F49743" w14:textId="77777777" w:rsidR="00051749" w:rsidRPr="00DB0A8B" w:rsidRDefault="00A76D38" w:rsidP="00345C6A">
            <w:r>
              <w:t>5/12/2018</w:t>
            </w:r>
          </w:p>
        </w:tc>
      </w:tr>
      <w:tr w:rsidR="00051749" w:rsidRPr="00DB0A8B" w14:paraId="74D07FC1" w14:textId="77777777" w:rsidTr="00345C6A">
        <w:trPr>
          <w:jc w:val="center"/>
        </w:trPr>
        <w:tc>
          <w:tcPr>
            <w:tcW w:w="6663" w:type="dxa"/>
          </w:tcPr>
          <w:p w14:paraId="3B8EB2BB" w14:textId="77777777" w:rsidR="00051749" w:rsidRPr="00DB0A8B" w:rsidRDefault="007A0330" w:rsidP="00345C6A">
            <w:r>
              <w:rPr>
                <w:spacing w:val="-1"/>
                <w:szCs w:val="22"/>
              </w:rPr>
              <w:t>Final</w:t>
            </w:r>
            <w:r>
              <w:rPr>
                <w:spacing w:val="-4"/>
                <w:szCs w:val="22"/>
              </w:rPr>
              <w:t xml:space="preserve"> </w:t>
            </w:r>
            <w:r>
              <w:rPr>
                <w:spacing w:val="-1"/>
                <w:szCs w:val="22"/>
              </w:rPr>
              <w:t>date for</w:t>
            </w:r>
            <w:r>
              <w:rPr>
                <w:spacing w:val="-2"/>
                <w:szCs w:val="22"/>
              </w:rPr>
              <w:t xml:space="preserve"> receipt of </w:t>
            </w:r>
            <w:r>
              <w:rPr>
                <w:spacing w:val="-1"/>
                <w:szCs w:val="22"/>
              </w:rPr>
              <w:t>clarifications</w:t>
            </w:r>
          </w:p>
        </w:tc>
        <w:tc>
          <w:tcPr>
            <w:tcW w:w="2693" w:type="dxa"/>
          </w:tcPr>
          <w:p w14:paraId="6C6B8B6B" w14:textId="77777777" w:rsidR="00051749" w:rsidRPr="00DB0A8B" w:rsidRDefault="008907C2" w:rsidP="00345C6A">
            <w:r>
              <w:t>12/12/2018</w:t>
            </w:r>
            <w:r w:rsidR="007A0330">
              <w:t xml:space="preserve"> 13.00</w:t>
            </w:r>
          </w:p>
        </w:tc>
      </w:tr>
      <w:tr w:rsidR="007A0330" w:rsidRPr="00DB0A8B" w14:paraId="2623D569" w14:textId="77777777" w:rsidTr="00345C6A">
        <w:trPr>
          <w:jc w:val="center"/>
        </w:trPr>
        <w:tc>
          <w:tcPr>
            <w:tcW w:w="6663" w:type="dxa"/>
          </w:tcPr>
          <w:p w14:paraId="7DC200ED" w14:textId="77777777" w:rsidR="007A0330" w:rsidRPr="00DB0A8B" w:rsidRDefault="007A0330" w:rsidP="00345C6A">
            <w:r>
              <w:rPr>
                <w:spacing w:val="-1"/>
                <w:szCs w:val="22"/>
              </w:rPr>
              <w:t>Final</w:t>
            </w:r>
            <w:r>
              <w:rPr>
                <w:spacing w:val="-4"/>
                <w:szCs w:val="22"/>
              </w:rPr>
              <w:t xml:space="preserve"> </w:t>
            </w:r>
            <w:r>
              <w:rPr>
                <w:spacing w:val="-1"/>
                <w:szCs w:val="22"/>
              </w:rPr>
              <w:t>date for</w:t>
            </w:r>
            <w:r>
              <w:rPr>
                <w:spacing w:val="-2"/>
                <w:szCs w:val="22"/>
              </w:rPr>
              <w:t xml:space="preserve"> </w:t>
            </w:r>
            <w:r>
              <w:rPr>
                <w:spacing w:val="-1"/>
                <w:szCs w:val="22"/>
              </w:rPr>
              <w:t>response to clarifications</w:t>
            </w:r>
          </w:p>
        </w:tc>
        <w:tc>
          <w:tcPr>
            <w:tcW w:w="2693" w:type="dxa"/>
          </w:tcPr>
          <w:p w14:paraId="16AA8102" w14:textId="77777777" w:rsidR="007A0330" w:rsidRDefault="007A0330" w:rsidP="00345C6A">
            <w:r>
              <w:t>12/12/2018 17.00</w:t>
            </w:r>
          </w:p>
        </w:tc>
      </w:tr>
      <w:tr w:rsidR="00051749" w:rsidRPr="00DB0A8B" w14:paraId="048C9888" w14:textId="77777777" w:rsidTr="00345C6A">
        <w:trPr>
          <w:jc w:val="center"/>
        </w:trPr>
        <w:tc>
          <w:tcPr>
            <w:tcW w:w="6663" w:type="dxa"/>
          </w:tcPr>
          <w:p w14:paraId="47BEF303" w14:textId="77777777" w:rsidR="00051749" w:rsidRPr="00636190" w:rsidRDefault="007A0330" w:rsidP="00636190">
            <w:pPr>
              <w:pStyle w:val="TableParagraph"/>
              <w:overflowPunct w:val="0"/>
              <w:spacing w:line="276" w:lineRule="auto"/>
              <w:rPr>
                <w:rFonts w:ascii="Verdana" w:hAnsi="Verdana"/>
                <w:b/>
                <w:bCs/>
                <w:spacing w:val="-1"/>
                <w:sz w:val="22"/>
                <w:szCs w:val="22"/>
              </w:rPr>
            </w:pPr>
            <w:r>
              <w:rPr>
                <w:rFonts w:ascii="Verdana" w:hAnsi="Verdana"/>
                <w:b/>
                <w:bCs/>
                <w:spacing w:val="-1"/>
                <w:sz w:val="22"/>
                <w:szCs w:val="22"/>
              </w:rPr>
              <w:t>Deadline to return</w:t>
            </w:r>
            <w:r>
              <w:rPr>
                <w:rFonts w:ascii="Verdana" w:hAnsi="Verdana"/>
                <w:b/>
                <w:bCs/>
                <w:spacing w:val="-2"/>
                <w:sz w:val="22"/>
                <w:szCs w:val="22"/>
              </w:rPr>
              <w:t xml:space="preserve"> </w:t>
            </w:r>
            <w:r>
              <w:rPr>
                <w:rFonts w:ascii="Verdana" w:hAnsi="Verdana"/>
                <w:b/>
                <w:bCs/>
                <w:spacing w:val="-1"/>
                <w:sz w:val="22"/>
                <w:szCs w:val="22"/>
              </w:rPr>
              <w:t>the</w:t>
            </w:r>
            <w:r>
              <w:rPr>
                <w:rFonts w:ascii="Verdana" w:hAnsi="Verdana"/>
                <w:b/>
                <w:bCs/>
                <w:spacing w:val="2"/>
                <w:sz w:val="22"/>
                <w:szCs w:val="22"/>
              </w:rPr>
              <w:t xml:space="preserve"> </w:t>
            </w:r>
            <w:r>
              <w:rPr>
                <w:rFonts w:ascii="Verdana" w:hAnsi="Verdana"/>
                <w:b/>
                <w:bCs/>
                <w:spacing w:val="-1"/>
                <w:sz w:val="22"/>
                <w:szCs w:val="22"/>
              </w:rPr>
              <w:t>Tender</w:t>
            </w:r>
            <w:r>
              <w:rPr>
                <w:rFonts w:ascii="Verdana" w:hAnsi="Verdana"/>
                <w:b/>
                <w:bCs/>
                <w:spacing w:val="-2"/>
                <w:sz w:val="22"/>
                <w:szCs w:val="22"/>
              </w:rPr>
              <w:t xml:space="preserve"> </w:t>
            </w:r>
            <w:r>
              <w:rPr>
                <w:rFonts w:ascii="Verdana" w:hAnsi="Verdana"/>
                <w:b/>
                <w:bCs/>
                <w:spacing w:val="-1"/>
                <w:sz w:val="22"/>
                <w:szCs w:val="22"/>
              </w:rPr>
              <w:t>to CDC</w:t>
            </w:r>
          </w:p>
        </w:tc>
        <w:tc>
          <w:tcPr>
            <w:tcW w:w="2693" w:type="dxa"/>
          </w:tcPr>
          <w:p w14:paraId="037D9A14" w14:textId="77777777" w:rsidR="00051749" w:rsidRPr="00DB0A8B" w:rsidRDefault="00BB4118" w:rsidP="00345C6A">
            <w:r>
              <w:t>19/12/2018</w:t>
            </w:r>
          </w:p>
        </w:tc>
      </w:tr>
      <w:tr w:rsidR="00051749" w:rsidRPr="00DB0A8B" w14:paraId="64A3D242" w14:textId="77777777" w:rsidTr="00345C6A">
        <w:trPr>
          <w:jc w:val="center"/>
        </w:trPr>
        <w:tc>
          <w:tcPr>
            <w:tcW w:w="6663" w:type="dxa"/>
          </w:tcPr>
          <w:p w14:paraId="20C453C7" w14:textId="77777777" w:rsidR="00051749" w:rsidRPr="00DB0A8B" w:rsidRDefault="00051749" w:rsidP="00345C6A">
            <w:r w:rsidRPr="00DB0A8B">
              <w:t xml:space="preserve">Evaluation of </w:t>
            </w:r>
            <w:r w:rsidR="007A0330">
              <w:t>tender</w:t>
            </w:r>
            <w:r w:rsidRPr="00DB0A8B">
              <w:t xml:space="preserve"> by CDC</w:t>
            </w:r>
          </w:p>
        </w:tc>
        <w:tc>
          <w:tcPr>
            <w:tcW w:w="2693" w:type="dxa"/>
          </w:tcPr>
          <w:p w14:paraId="26CEBFE1" w14:textId="77777777" w:rsidR="00051749" w:rsidRPr="00DB0A8B" w:rsidRDefault="00BB4118" w:rsidP="00345C6A">
            <w:r>
              <w:t>20/12/2018</w:t>
            </w:r>
          </w:p>
        </w:tc>
      </w:tr>
      <w:tr w:rsidR="00051749" w:rsidRPr="00DB0A8B" w14:paraId="03E925B4" w14:textId="77777777" w:rsidTr="00345C6A">
        <w:trPr>
          <w:jc w:val="center"/>
        </w:trPr>
        <w:tc>
          <w:tcPr>
            <w:tcW w:w="6663" w:type="dxa"/>
          </w:tcPr>
          <w:p w14:paraId="7BC61EAA" w14:textId="77777777" w:rsidR="00051749" w:rsidRPr="00DB0A8B" w:rsidRDefault="00051749" w:rsidP="00345C6A">
            <w:r w:rsidRPr="00DB0A8B">
              <w:t>Award of Contract</w:t>
            </w:r>
          </w:p>
        </w:tc>
        <w:tc>
          <w:tcPr>
            <w:tcW w:w="2693" w:type="dxa"/>
          </w:tcPr>
          <w:p w14:paraId="7A936726" w14:textId="77777777" w:rsidR="00051749" w:rsidRPr="00DB0A8B" w:rsidRDefault="00BB4118" w:rsidP="00345C6A">
            <w:r>
              <w:t>21/12/2018</w:t>
            </w:r>
          </w:p>
        </w:tc>
      </w:tr>
      <w:tr w:rsidR="00EF27C2" w:rsidRPr="00CB5C71" w14:paraId="75E51E0C" w14:textId="77777777" w:rsidTr="00345C6A">
        <w:trPr>
          <w:jc w:val="center"/>
        </w:trPr>
        <w:tc>
          <w:tcPr>
            <w:tcW w:w="6663" w:type="dxa"/>
          </w:tcPr>
          <w:p w14:paraId="22581879" w14:textId="77777777" w:rsidR="00EF27C2" w:rsidRPr="00DB0A8B" w:rsidRDefault="00EF27C2" w:rsidP="00345C6A">
            <w:r w:rsidRPr="00DB0A8B">
              <w:t>Availability of Factsheets</w:t>
            </w:r>
          </w:p>
        </w:tc>
        <w:tc>
          <w:tcPr>
            <w:tcW w:w="2693" w:type="dxa"/>
          </w:tcPr>
          <w:p w14:paraId="28AFA8A2" w14:textId="77777777" w:rsidR="00EF27C2" w:rsidRPr="00DB0A8B" w:rsidRDefault="00BB4118" w:rsidP="00345C6A">
            <w:r>
              <w:t>1/1/</w:t>
            </w:r>
            <w:r w:rsidR="00AA7C12">
              <w:t>2019</w:t>
            </w:r>
          </w:p>
        </w:tc>
      </w:tr>
    </w:tbl>
    <w:p w14:paraId="71BEB256" w14:textId="77777777" w:rsidR="00051749" w:rsidRDefault="00051749" w:rsidP="00051749"/>
    <w:p w14:paraId="3BCC705F" w14:textId="77777777" w:rsidR="00051749" w:rsidRDefault="00051749" w:rsidP="00051749">
      <w:r>
        <w:t>CDC</w:t>
      </w:r>
      <w:r w:rsidRPr="00CB5C71">
        <w:t xml:space="preserve"> reserves the right to change the above timetable</w:t>
      </w:r>
      <w:r w:rsidR="005B2294">
        <w:t>. T</w:t>
      </w:r>
      <w:r w:rsidR="0011498E">
        <w:t>hose proving quotes</w:t>
      </w:r>
      <w:r w:rsidRPr="00CB5C71">
        <w:t xml:space="preserve"> will be notified accordingly where there is a change in the timetable.</w:t>
      </w:r>
    </w:p>
    <w:p w14:paraId="2CFFD257" w14:textId="77777777" w:rsidR="00051749" w:rsidRDefault="00051749" w:rsidP="00051749">
      <w:bookmarkStart w:id="10" w:name="_Toc336433898"/>
      <w:bookmarkStart w:id="11" w:name="_Toc356810510"/>
      <w:bookmarkStart w:id="12" w:name="_Toc336433897"/>
      <w:bookmarkStart w:id="13" w:name="_Toc356810509"/>
    </w:p>
    <w:p w14:paraId="6D3527AC" w14:textId="77777777" w:rsidR="00051749" w:rsidRPr="00CB5C71" w:rsidRDefault="00051749" w:rsidP="00104188">
      <w:r w:rsidRPr="008B4989">
        <w:t>Discrepancies, Omissions, Clarification and Enquiries</w:t>
      </w:r>
      <w:bookmarkEnd w:id="10"/>
      <w:bookmarkEnd w:id="11"/>
      <w:r w:rsidR="00104188">
        <w:t xml:space="preserve">- </w:t>
      </w:r>
      <w:r w:rsidRPr="00CB5C71">
        <w:t xml:space="preserve">Should the </w:t>
      </w:r>
      <w:r w:rsidR="00572CC9">
        <w:t>person providing the quote</w:t>
      </w:r>
      <w:r w:rsidRPr="00CB5C71">
        <w:t xml:space="preserve"> find discrepancies in, or omissions from, the</w:t>
      </w:r>
      <w:r w:rsidR="005B2294">
        <w:t>se</w:t>
      </w:r>
      <w:r w:rsidRPr="00CB5C71">
        <w:t xml:space="preserve"> </w:t>
      </w:r>
      <w:r w:rsidR="005B2294">
        <w:t xml:space="preserve">Invitation to </w:t>
      </w:r>
      <w:r w:rsidR="007A0330">
        <w:t>Tender</w:t>
      </w:r>
      <w:r w:rsidRPr="00CB5C71">
        <w:t xml:space="preserve"> Documents, </w:t>
      </w:r>
      <w:r w:rsidR="0002390D">
        <w:t xml:space="preserve">they </w:t>
      </w:r>
      <w:r w:rsidRPr="00CB5C71">
        <w:t xml:space="preserve">shall notify </w:t>
      </w:r>
      <w:r>
        <w:t xml:space="preserve">CDC </w:t>
      </w:r>
      <w:r w:rsidRPr="00CB5C71">
        <w:t>immediately.</w:t>
      </w:r>
    </w:p>
    <w:p w14:paraId="2B3FEA0C" w14:textId="77777777" w:rsidR="00051749" w:rsidRPr="00CB5C71" w:rsidRDefault="00051749" w:rsidP="00051749"/>
    <w:p w14:paraId="4E028BE0" w14:textId="77777777" w:rsidR="00051749" w:rsidRDefault="00051749" w:rsidP="00051749"/>
    <w:p w14:paraId="52BCEF15" w14:textId="77777777" w:rsidR="009256D6" w:rsidRPr="00EC269C" w:rsidRDefault="009256D6" w:rsidP="009256D6">
      <w:pPr>
        <w:pStyle w:val="Heading1"/>
      </w:pPr>
      <w:r w:rsidRPr="00EC269C">
        <w:t>Tender clarifications</w:t>
      </w:r>
    </w:p>
    <w:p w14:paraId="352CE93F" w14:textId="77777777" w:rsidR="009256D6" w:rsidRPr="00EC269C" w:rsidRDefault="009256D6" w:rsidP="009256D6">
      <w:pPr>
        <w:pStyle w:val="BodyText"/>
        <w:kinsoku w:val="0"/>
        <w:overflowPunct w:val="0"/>
        <w:spacing w:before="7"/>
        <w:ind w:left="0"/>
        <w:rPr>
          <w:b/>
          <w:bCs/>
          <w:highlight w:val="yellow"/>
        </w:rPr>
      </w:pPr>
    </w:p>
    <w:p w14:paraId="16FCEFF4" w14:textId="77777777" w:rsidR="009256D6" w:rsidRPr="00EC269C" w:rsidRDefault="009256D6" w:rsidP="009256D6">
      <w:pPr>
        <w:pStyle w:val="Default"/>
        <w:spacing w:before="60" w:after="60"/>
        <w:rPr>
          <w:szCs w:val="22"/>
        </w:rPr>
      </w:pPr>
      <w:r w:rsidRPr="00EC269C">
        <w:rPr>
          <w:szCs w:val="22"/>
        </w:rPr>
        <w:t xml:space="preserve">Any clarification queries arising from this Invitation to Tender which may have a bearing on the offer should be raised by email to:  </w:t>
      </w:r>
    </w:p>
    <w:p w14:paraId="008E23DC" w14:textId="77777777" w:rsidR="009256D6" w:rsidRDefault="009256D6" w:rsidP="009256D6">
      <w:pPr>
        <w:pStyle w:val="Default"/>
        <w:spacing w:before="60" w:after="60"/>
        <w:rPr>
          <w:b/>
          <w:szCs w:val="22"/>
        </w:rPr>
      </w:pPr>
    </w:p>
    <w:p w14:paraId="68025595" w14:textId="77777777" w:rsidR="009256D6" w:rsidRPr="008B50E7" w:rsidRDefault="009256D6" w:rsidP="009256D6">
      <w:pPr>
        <w:pStyle w:val="Default"/>
        <w:spacing w:before="60" w:after="60"/>
        <w:rPr>
          <w:b/>
          <w:szCs w:val="22"/>
        </w:rPr>
      </w:pPr>
      <w:r>
        <w:t xml:space="preserve">Stu Anderson, </w:t>
      </w:r>
      <w:hyperlink r:id="rId11" w:history="1">
        <w:r w:rsidRPr="00801A00">
          <w:rPr>
            <w:rStyle w:val="Hyperlink"/>
          </w:rPr>
          <w:t>stu@ciosgrowthhub.com</w:t>
        </w:r>
      </w:hyperlink>
      <w:r>
        <w:rPr>
          <w:rStyle w:val="Hyperlink"/>
        </w:rPr>
        <w:t xml:space="preserve"> </w:t>
      </w:r>
      <w:r w:rsidRPr="00EC269C">
        <w:rPr>
          <w:szCs w:val="22"/>
        </w:rPr>
        <w:t xml:space="preserve">strictly in accordance with the Tender &amp; Commission Timetable </w:t>
      </w:r>
      <w:r w:rsidR="007A0330">
        <w:rPr>
          <w:szCs w:val="22"/>
        </w:rPr>
        <w:t>above</w:t>
      </w:r>
      <w:r w:rsidRPr="00EC269C">
        <w:rPr>
          <w:szCs w:val="22"/>
        </w:rPr>
        <w:t>.</w:t>
      </w:r>
    </w:p>
    <w:p w14:paraId="3C9A2AD8" w14:textId="77777777" w:rsidR="009256D6" w:rsidRPr="00EC269C" w:rsidRDefault="009256D6" w:rsidP="009256D6">
      <w:pPr>
        <w:pStyle w:val="BodyText"/>
        <w:kinsoku w:val="0"/>
        <w:overflowPunct w:val="0"/>
        <w:spacing w:before="2"/>
        <w:ind w:left="0"/>
      </w:pPr>
    </w:p>
    <w:p w14:paraId="016A6D20" w14:textId="77777777" w:rsidR="009256D6" w:rsidRPr="00EC269C" w:rsidRDefault="009256D6" w:rsidP="009256D6">
      <w:pPr>
        <w:pStyle w:val="Default"/>
        <w:spacing w:before="60" w:after="60"/>
        <w:rPr>
          <w:szCs w:val="22"/>
        </w:rPr>
      </w:pPr>
      <w:r w:rsidRPr="00EC269C">
        <w:rPr>
          <w:szCs w:val="22"/>
        </w:rPr>
        <w:t>Responses to clarifications will be anonymised and uploaded by CDC to Contracts Finder and will be viewable to all tenderers.</w:t>
      </w:r>
      <w:r>
        <w:rPr>
          <w:szCs w:val="22"/>
        </w:rPr>
        <w:t xml:space="preserve">  It is the </w:t>
      </w:r>
      <w:proofErr w:type="gramStart"/>
      <w:r>
        <w:rPr>
          <w:szCs w:val="22"/>
        </w:rPr>
        <w:t>bidders</w:t>
      </w:r>
      <w:proofErr w:type="gramEnd"/>
      <w:r>
        <w:rPr>
          <w:szCs w:val="22"/>
        </w:rPr>
        <w:t xml:space="preserve"> responsibility to refer to Contracts Finder for responses to clarifications. </w:t>
      </w:r>
    </w:p>
    <w:p w14:paraId="6AE91121" w14:textId="77777777" w:rsidR="009256D6" w:rsidRPr="00EC269C" w:rsidRDefault="009256D6" w:rsidP="009256D6">
      <w:pPr>
        <w:pStyle w:val="Default"/>
        <w:spacing w:before="60" w:after="60"/>
        <w:rPr>
          <w:szCs w:val="22"/>
        </w:rPr>
      </w:pPr>
    </w:p>
    <w:p w14:paraId="0A431B26" w14:textId="77777777" w:rsidR="009256D6" w:rsidRDefault="009256D6" w:rsidP="009256D6">
      <w:pPr>
        <w:pStyle w:val="Default"/>
        <w:spacing w:before="60" w:after="60"/>
        <w:rPr>
          <w:szCs w:val="22"/>
        </w:rPr>
      </w:pPr>
      <w:r w:rsidRPr="00EC269C">
        <w:rPr>
          <w:szCs w:val="22"/>
        </w:rPr>
        <w:lastRenderedPageBreak/>
        <w:t>No representation by way of explanation or otherwise to persons or corporations tendering or desirous of tendering as to the meaning of the tender, contract or other tender documents or as to any other matter or thing to be done under the</w:t>
      </w:r>
      <w:r w:rsidRPr="00EC269C">
        <w:rPr>
          <w:spacing w:val="-1"/>
          <w:szCs w:val="22"/>
        </w:rPr>
        <w:t xml:space="preserve"> proposed</w:t>
      </w:r>
      <w:r w:rsidRPr="00EC269C">
        <w:rPr>
          <w:spacing w:val="-2"/>
          <w:szCs w:val="22"/>
        </w:rPr>
        <w:t xml:space="preserve"> </w:t>
      </w:r>
      <w:r w:rsidRPr="00EC269C">
        <w:rPr>
          <w:spacing w:val="-1"/>
          <w:szCs w:val="22"/>
        </w:rPr>
        <w:t>contract</w:t>
      </w:r>
      <w:r w:rsidRPr="00EC269C">
        <w:rPr>
          <w:spacing w:val="-2"/>
          <w:szCs w:val="22"/>
        </w:rPr>
        <w:t xml:space="preserve"> </w:t>
      </w:r>
      <w:r w:rsidRPr="00EC269C">
        <w:rPr>
          <w:spacing w:val="-1"/>
          <w:szCs w:val="22"/>
        </w:rPr>
        <w:t>shall</w:t>
      </w:r>
      <w:r w:rsidRPr="00EC269C">
        <w:rPr>
          <w:spacing w:val="-2"/>
          <w:szCs w:val="22"/>
        </w:rPr>
        <w:t xml:space="preserve"> </w:t>
      </w:r>
      <w:r w:rsidRPr="00EC269C">
        <w:rPr>
          <w:spacing w:val="-1"/>
          <w:szCs w:val="22"/>
        </w:rPr>
        <w:t>bind</w:t>
      </w:r>
      <w:r w:rsidRPr="00EC269C">
        <w:rPr>
          <w:spacing w:val="-2"/>
          <w:szCs w:val="22"/>
        </w:rPr>
        <w:t xml:space="preserve"> </w:t>
      </w:r>
      <w:r w:rsidRPr="00EC269C">
        <w:rPr>
          <w:spacing w:val="-1"/>
          <w:szCs w:val="22"/>
        </w:rPr>
        <w:t>CDC</w:t>
      </w:r>
      <w:r w:rsidRPr="00EC269C">
        <w:rPr>
          <w:spacing w:val="-2"/>
          <w:szCs w:val="22"/>
        </w:rPr>
        <w:t xml:space="preserve"> </w:t>
      </w:r>
      <w:r w:rsidRPr="00EC269C">
        <w:rPr>
          <w:spacing w:val="-1"/>
          <w:szCs w:val="22"/>
        </w:rPr>
        <w:t>unless such</w:t>
      </w:r>
      <w:r w:rsidRPr="00EC269C">
        <w:rPr>
          <w:spacing w:val="51"/>
          <w:szCs w:val="22"/>
        </w:rPr>
        <w:t xml:space="preserve"> </w:t>
      </w:r>
      <w:r w:rsidRPr="00EC269C">
        <w:rPr>
          <w:spacing w:val="-1"/>
          <w:szCs w:val="22"/>
        </w:rPr>
        <w:t>representation</w:t>
      </w:r>
      <w:r w:rsidRPr="00EC269C">
        <w:rPr>
          <w:spacing w:val="-2"/>
          <w:szCs w:val="22"/>
        </w:rPr>
        <w:t xml:space="preserve"> is</w:t>
      </w:r>
      <w:r w:rsidRPr="00EC269C">
        <w:rPr>
          <w:spacing w:val="1"/>
          <w:szCs w:val="22"/>
        </w:rPr>
        <w:t xml:space="preserve"> </w:t>
      </w:r>
      <w:r w:rsidRPr="00EC269C">
        <w:rPr>
          <w:spacing w:val="-1"/>
          <w:szCs w:val="22"/>
        </w:rPr>
        <w:t>in</w:t>
      </w:r>
      <w:r w:rsidRPr="00EC269C">
        <w:rPr>
          <w:spacing w:val="-2"/>
          <w:szCs w:val="22"/>
        </w:rPr>
        <w:t xml:space="preserve"> </w:t>
      </w:r>
      <w:r w:rsidRPr="00EC269C">
        <w:rPr>
          <w:spacing w:val="-1"/>
          <w:szCs w:val="22"/>
        </w:rPr>
        <w:t>writing</w:t>
      </w:r>
      <w:r w:rsidRPr="00EC269C">
        <w:rPr>
          <w:spacing w:val="-2"/>
          <w:szCs w:val="22"/>
        </w:rPr>
        <w:t xml:space="preserve"> </w:t>
      </w:r>
      <w:r w:rsidRPr="00EC269C">
        <w:rPr>
          <w:spacing w:val="-1"/>
          <w:szCs w:val="22"/>
        </w:rPr>
        <w:t>and</w:t>
      </w:r>
      <w:r w:rsidRPr="00EC269C">
        <w:rPr>
          <w:spacing w:val="-2"/>
          <w:szCs w:val="22"/>
        </w:rPr>
        <w:t xml:space="preserve"> </w:t>
      </w:r>
      <w:r w:rsidRPr="00EC269C">
        <w:rPr>
          <w:spacing w:val="-1"/>
          <w:szCs w:val="22"/>
        </w:rPr>
        <w:t>duly</w:t>
      </w:r>
      <w:r w:rsidRPr="00EC269C">
        <w:rPr>
          <w:spacing w:val="-2"/>
          <w:szCs w:val="22"/>
        </w:rPr>
        <w:t xml:space="preserve"> </w:t>
      </w:r>
      <w:r w:rsidRPr="00EC269C">
        <w:rPr>
          <w:spacing w:val="-1"/>
          <w:szCs w:val="22"/>
        </w:rPr>
        <w:t>signed</w:t>
      </w:r>
      <w:r w:rsidRPr="00EC269C">
        <w:rPr>
          <w:spacing w:val="1"/>
          <w:szCs w:val="22"/>
        </w:rPr>
        <w:t xml:space="preserve"> </w:t>
      </w:r>
      <w:r w:rsidRPr="00EC269C">
        <w:rPr>
          <w:spacing w:val="-1"/>
          <w:szCs w:val="22"/>
        </w:rPr>
        <w:t>by</w:t>
      </w:r>
      <w:r w:rsidRPr="00EC269C">
        <w:rPr>
          <w:spacing w:val="-2"/>
          <w:szCs w:val="22"/>
        </w:rPr>
        <w:t xml:space="preserve"> </w:t>
      </w:r>
      <w:r w:rsidRPr="00EC269C">
        <w:rPr>
          <w:szCs w:val="22"/>
        </w:rPr>
        <w:t>a</w:t>
      </w:r>
      <w:r w:rsidRPr="00EC269C">
        <w:rPr>
          <w:spacing w:val="-2"/>
          <w:szCs w:val="22"/>
        </w:rPr>
        <w:t xml:space="preserve"> </w:t>
      </w:r>
      <w:r w:rsidRPr="00EC269C">
        <w:rPr>
          <w:szCs w:val="22"/>
        </w:rPr>
        <w:t>Director/Partner of the tenderer. All such correspondence shall be returned with the Tender Documents and shall form part of the contract.</w:t>
      </w:r>
    </w:p>
    <w:p w14:paraId="4B753F12" w14:textId="77777777" w:rsidR="00435371" w:rsidRDefault="00435371" w:rsidP="009256D6">
      <w:pPr>
        <w:pStyle w:val="Default"/>
        <w:spacing w:before="60" w:after="60"/>
        <w:rPr>
          <w:szCs w:val="22"/>
        </w:rPr>
      </w:pPr>
    </w:p>
    <w:p w14:paraId="6C016D34" w14:textId="77777777" w:rsidR="0002390D" w:rsidRPr="00CB5C71" w:rsidRDefault="0002390D" w:rsidP="0002390D">
      <w:pPr>
        <w:pStyle w:val="Heading1"/>
      </w:pPr>
      <w:bookmarkStart w:id="14" w:name="_Toc336433902"/>
      <w:bookmarkStart w:id="15" w:name="_Toc356810514"/>
      <w:bookmarkEnd w:id="12"/>
      <w:bookmarkEnd w:id="13"/>
      <w:r w:rsidRPr="00CB5C71">
        <w:t xml:space="preserve">Evaluation of </w:t>
      </w:r>
      <w:bookmarkEnd w:id="14"/>
      <w:bookmarkEnd w:id="15"/>
      <w:r w:rsidR="007A0330">
        <w:t>Tenders</w:t>
      </w:r>
    </w:p>
    <w:p w14:paraId="0DC751AA" w14:textId="77777777" w:rsidR="0002390D" w:rsidRDefault="0002390D" w:rsidP="0002390D"/>
    <w:p w14:paraId="32949E48" w14:textId="77777777" w:rsidR="00FA609C" w:rsidRPr="00FA609C" w:rsidRDefault="00FA609C" w:rsidP="00FA609C">
      <w:pPr>
        <w:rPr>
          <w:szCs w:val="22"/>
        </w:rPr>
      </w:pPr>
      <w:r w:rsidRPr="00FA609C">
        <w:rPr>
          <w:szCs w:val="22"/>
        </w:rPr>
        <w:t>Each Tender will be checked for completeness and compliance with all requirements of the IT</w:t>
      </w:r>
      <w:r w:rsidR="00435371">
        <w:rPr>
          <w:szCs w:val="22"/>
        </w:rPr>
        <w:t>T</w:t>
      </w:r>
      <w:r w:rsidRPr="00FA609C">
        <w:rPr>
          <w:szCs w:val="22"/>
        </w:rPr>
        <w:t>.</w:t>
      </w:r>
    </w:p>
    <w:p w14:paraId="0A88FA7D" w14:textId="77777777" w:rsidR="00FA609C" w:rsidRPr="00FA609C" w:rsidRDefault="00FA609C" w:rsidP="00FA609C">
      <w:pPr>
        <w:rPr>
          <w:szCs w:val="22"/>
        </w:rPr>
      </w:pPr>
    </w:p>
    <w:p w14:paraId="43FE4814" w14:textId="77777777" w:rsidR="00FA609C" w:rsidRPr="00FA609C" w:rsidRDefault="00FA609C" w:rsidP="00FA609C">
      <w:pPr>
        <w:rPr>
          <w:szCs w:val="22"/>
        </w:rPr>
      </w:pPr>
      <w:r w:rsidRPr="00FA609C">
        <w:rPr>
          <w:szCs w:val="22"/>
        </w:rPr>
        <w:t xml:space="preserve">Tenders will be evaluated to determine the most economically advantageous offer taking into consideration the following award criteria: </w:t>
      </w:r>
    </w:p>
    <w:p w14:paraId="0D2009BA" w14:textId="77777777" w:rsidR="00FA609C" w:rsidRPr="00FA609C" w:rsidRDefault="00FA609C" w:rsidP="00FA609C">
      <w:pPr>
        <w:rPr>
          <w:szCs w:val="22"/>
        </w:rPr>
      </w:pPr>
    </w:p>
    <w:p w14:paraId="2121CB9C" w14:textId="77777777" w:rsidR="00FA609C" w:rsidRPr="00FA609C" w:rsidRDefault="00FA609C" w:rsidP="00FA609C">
      <w:pPr>
        <w:rPr>
          <w:b/>
          <w:szCs w:val="22"/>
        </w:rPr>
      </w:pPr>
      <w:r w:rsidRPr="00FA609C">
        <w:rPr>
          <w:b/>
          <w:szCs w:val="22"/>
        </w:rPr>
        <w:t>Evaluation Criteria</w:t>
      </w:r>
    </w:p>
    <w:p w14:paraId="288CEB80" w14:textId="77777777" w:rsidR="00FA609C" w:rsidRPr="00FA609C" w:rsidRDefault="00FA609C" w:rsidP="00FA609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95"/>
        <w:gridCol w:w="833"/>
      </w:tblGrid>
      <w:tr w:rsidR="00FA609C" w:rsidRPr="00FA609C" w14:paraId="2616DD3E" w14:textId="77777777" w:rsidTr="00435371">
        <w:tc>
          <w:tcPr>
            <w:tcW w:w="8795" w:type="dxa"/>
            <w:shd w:val="clear" w:color="auto" w:fill="D9D9D9" w:themeFill="background1" w:themeFillShade="D9"/>
          </w:tcPr>
          <w:p w14:paraId="41336072" w14:textId="77777777" w:rsidR="00FA609C" w:rsidRPr="00FA609C" w:rsidRDefault="00FA609C" w:rsidP="00FA609C">
            <w:pPr>
              <w:rPr>
                <w:szCs w:val="22"/>
              </w:rPr>
            </w:pPr>
            <w:r w:rsidRPr="00FA609C">
              <w:rPr>
                <w:szCs w:val="22"/>
              </w:rPr>
              <w:t>Section I:  Covering Letter</w:t>
            </w:r>
          </w:p>
        </w:tc>
        <w:tc>
          <w:tcPr>
            <w:tcW w:w="833" w:type="dxa"/>
            <w:shd w:val="clear" w:color="auto" w:fill="D9D9D9" w:themeFill="background1" w:themeFillShade="D9"/>
          </w:tcPr>
          <w:p w14:paraId="6B07D22C" w14:textId="77777777" w:rsidR="00FA609C" w:rsidRPr="00FA609C" w:rsidRDefault="00FA609C" w:rsidP="00FA609C">
            <w:pPr>
              <w:rPr>
                <w:szCs w:val="22"/>
              </w:rPr>
            </w:pPr>
          </w:p>
        </w:tc>
      </w:tr>
      <w:tr w:rsidR="00FA609C" w:rsidRPr="00FA609C" w14:paraId="59DE3A56" w14:textId="77777777" w:rsidTr="00435371">
        <w:tc>
          <w:tcPr>
            <w:tcW w:w="8795" w:type="dxa"/>
          </w:tcPr>
          <w:p w14:paraId="0C22288F" w14:textId="77777777" w:rsidR="00D92944" w:rsidRDefault="00D92944" w:rsidP="00FA609C">
            <w:pPr>
              <w:rPr>
                <w:szCs w:val="22"/>
              </w:rPr>
            </w:pPr>
          </w:p>
          <w:p w14:paraId="563265B8" w14:textId="6B508C45" w:rsidR="00FA609C" w:rsidRPr="00FA609C" w:rsidRDefault="00FA609C" w:rsidP="00FA609C">
            <w:pPr>
              <w:rPr>
                <w:szCs w:val="22"/>
              </w:rPr>
            </w:pPr>
            <w:r w:rsidRPr="00FA609C">
              <w:rPr>
                <w:szCs w:val="22"/>
              </w:rPr>
              <w:t xml:space="preserve">Covering letter (2 pages maximum) stating: </w:t>
            </w:r>
          </w:p>
          <w:p w14:paraId="667527A5" w14:textId="77777777" w:rsidR="0034462C" w:rsidRPr="00927EC5" w:rsidRDefault="0034462C" w:rsidP="0034462C">
            <w:pPr>
              <w:pStyle w:val="Default"/>
              <w:widowControl w:val="0"/>
              <w:numPr>
                <w:ilvl w:val="0"/>
                <w:numId w:val="44"/>
              </w:numPr>
              <w:spacing w:before="60" w:after="60"/>
              <w:rPr>
                <w:szCs w:val="22"/>
              </w:rPr>
            </w:pPr>
            <w:r w:rsidRPr="00927EC5">
              <w:rPr>
                <w:szCs w:val="22"/>
              </w:rPr>
              <w:t xml:space="preserve"> A single point of contact for all contact between the tenderer and CDC during the tender selection process, and for further correspondence.</w:t>
            </w:r>
          </w:p>
          <w:p w14:paraId="377EE30C" w14:textId="77777777" w:rsidR="0023320D" w:rsidRDefault="0034462C" w:rsidP="0023320D">
            <w:pPr>
              <w:pStyle w:val="BodyText"/>
              <w:widowControl w:val="0"/>
              <w:numPr>
                <w:ilvl w:val="0"/>
                <w:numId w:val="44"/>
              </w:numPr>
              <w:tabs>
                <w:tab w:val="left" w:pos="892"/>
                <w:tab w:val="left" w:pos="1418"/>
              </w:tabs>
              <w:kinsoku w:val="0"/>
              <w:overflowPunct w:val="0"/>
              <w:autoSpaceDE w:val="0"/>
              <w:autoSpaceDN w:val="0"/>
              <w:adjustRightInd w:val="0"/>
              <w:spacing w:after="0"/>
            </w:pPr>
            <w:r w:rsidRPr="00927EC5">
              <w:t>Confirmation that the tenderer has the resources available to meet the requirements outlined in this brief and its timelines</w:t>
            </w:r>
            <w:r w:rsidR="0023320D">
              <w:t>.</w:t>
            </w:r>
            <w:r>
              <w:t xml:space="preserve"> </w:t>
            </w:r>
          </w:p>
          <w:p w14:paraId="19D911BD" w14:textId="77777777" w:rsidR="0034462C" w:rsidRPr="00927EC5" w:rsidRDefault="0034462C" w:rsidP="0023320D">
            <w:pPr>
              <w:pStyle w:val="BodyText"/>
              <w:widowControl w:val="0"/>
              <w:numPr>
                <w:ilvl w:val="0"/>
                <w:numId w:val="44"/>
              </w:numPr>
              <w:tabs>
                <w:tab w:val="left" w:pos="892"/>
                <w:tab w:val="left" w:pos="1418"/>
              </w:tabs>
              <w:kinsoku w:val="0"/>
              <w:overflowPunct w:val="0"/>
              <w:autoSpaceDE w:val="0"/>
              <w:autoSpaceDN w:val="0"/>
              <w:adjustRightInd w:val="0"/>
              <w:spacing w:after="0"/>
            </w:pPr>
            <w:r w:rsidRPr="00927EC5">
              <w:t xml:space="preserve">Confirmation that the tenderer accepts all the Terms and Conditions of the </w:t>
            </w:r>
            <w:r>
              <w:t>Contract attached (</w:t>
            </w:r>
            <w:r w:rsidR="00002C65">
              <w:t>enclosure 1</w:t>
            </w:r>
            <w:r w:rsidRPr="00927EC5">
              <w:t>)</w:t>
            </w:r>
          </w:p>
          <w:p w14:paraId="378A32FD" w14:textId="77777777" w:rsidR="0034462C" w:rsidRPr="00927EC5" w:rsidRDefault="0034462C" w:rsidP="0034462C">
            <w:pPr>
              <w:pStyle w:val="BodyText"/>
              <w:widowControl w:val="0"/>
              <w:numPr>
                <w:ilvl w:val="0"/>
                <w:numId w:val="44"/>
              </w:numPr>
              <w:tabs>
                <w:tab w:val="left" w:pos="1418"/>
              </w:tabs>
              <w:kinsoku w:val="0"/>
              <w:overflowPunct w:val="0"/>
              <w:autoSpaceDE w:val="0"/>
              <w:autoSpaceDN w:val="0"/>
              <w:adjustRightInd w:val="0"/>
              <w:spacing w:after="0"/>
            </w:pPr>
            <w:r w:rsidRPr="00927EC5">
              <w:t>Confirmation that the tenderer will be able to meet the</w:t>
            </w:r>
            <w:r>
              <w:t xml:space="preserve"> Corporate Requirements (see </w:t>
            </w:r>
            <w:r w:rsidR="00B83F0B">
              <w:t xml:space="preserve">relevant </w:t>
            </w:r>
            <w:r>
              <w:t>Section</w:t>
            </w:r>
            <w:r w:rsidR="00B83F0B">
              <w:t xml:space="preserve"> in this ITT)</w:t>
            </w:r>
            <w:r w:rsidRPr="00927EC5">
              <w:t xml:space="preserve"> to include confirmation that Equality and Diversity and Environmental policies are in place and, if successful, supporting documentation will be provided as evidence</w:t>
            </w:r>
          </w:p>
          <w:p w14:paraId="4BD2D7A5" w14:textId="77777777" w:rsidR="0034462C" w:rsidRPr="00927EC5" w:rsidRDefault="0034462C" w:rsidP="0034462C">
            <w:pPr>
              <w:pStyle w:val="BodyText"/>
              <w:widowControl w:val="0"/>
              <w:numPr>
                <w:ilvl w:val="0"/>
                <w:numId w:val="44"/>
              </w:numPr>
              <w:tabs>
                <w:tab w:val="left" w:pos="892"/>
                <w:tab w:val="left" w:pos="1418"/>
              </w:tabs>
              <w:kinsoku w:val="0"/>
              <w:overflowPunct w:val="0"/>
              <w:autoSpaceDE w:val="0"/>
              <w:autoSpaceDN w:val="0"/>
              <w:adjustRightInd w:val="0"/>
              <w:spacing w:after="0"/>
            </w:pPr>
            <w:r w:rsidRPr="00927EC5">
              <w:t>Confirmation that the tenderer holds current valid insu</w:t>
            </w:r>
            <w:r>
              <w:t xml:space="preserve">rance policies as set out in </w:t>
            </w:r>
            <w:r w:rsidR="00B83F0B">
              <w:t xml:space="preserve">this ITT </w:t>
            </w:r>
            <w:r w:rsidRPr="00927EC5">
              <w:t>and, if successful, supporting documentation will be provided as evidence</w:t>
            </w:r>
          </w:p>
          <w:p w14:paraId="72A7B692" w14:textId="77777777" w:rsidR="0034462C" w:rsidRPr="00927EC5" w:rsidRDefault="0034462C" w:rsidP="0034462C">
            <w:pPr>
              <w:pStyle w:val="BodyText"/>
              <w:widowControl w:val="0"/>
              <w:numPr>
                <w:ilvl w:val="0"/>
                <w:numId w:val="44"/>
              </w:numPr>
              <w:tabs>
                <w:tab w:val="left" w:pos="892"/>
                <w:tab w:val="left" w:pos="1276"/>
              </w:tabs>
              <w:kinsoku w:val="0"/>
              <w:overflowPunct w:val="0"/>
              <w:autoSpaceDE w:val="0"/>
              <w:autoSpaceDN w:val="0"/>
              <w:adjustRightInd w:val="0"/>
              <w:spacing w:after="0"/>
            </w:pPr>
            <w:r w:rsidRPr="00927EC5">
              <w:t>Conflict of interest statement</w:t>
            </w:r>
          </w:p>
          <w:p w14:paraId="702180B0" w14:textId="5052D234" w:rsidR="00FA609C" w:rsidRDefault="00FA609C" w:rsidP="00002C65">
            <w:pPr>
              <w:ind w:left="720"/>
              <w:rPr>
                <w:szCs w:val="22"/>
              </w:rPr>
            </w:pPr>
          </w:p>
          <w:p w14:paraId="2713F2E1" w14:textId="00CA68C2" w:rsidR="00D92944" w:rsidRPr="00FA609C" w:rsidRDefault="00D92944" w:rsidP="00002C65">
            <w:pPr>
              <w:ind w:left="720"/>
              <w:rPr>
                <w:szCs w:val="22"/>
              </w:rPr>
            </w:pPr>
          </w:p>
        </w:tc>
        <w:tc>
          <w:tcPr>
            <w:tcW w:w="833" w:type="dxa"/>
            <w:vAlign w:val="center"/>
          </w:tcPr>
          <w:p w14:paraId="435974AF" w14:textId="77777777" w:rsidR="00FA609C" w:rsidRPr="00FA609C" w:rsidRDefault="00FA609C" w:rsidP="00FA609C">
            <w:pPr>
              <w:rPr>
                <w:szCs w:val="22"/>
              </w:rPr>
            </w:pPr>
            <w:r w:rsidRPr="00FA609C">
              <w:rPr>
                <w:szCs w:val="22"/>
              </w:rPr>
              <w:t>Pass/ Fail</w:t>
            </w:r>
          </w:p>
        </w:tc>
      </w:tr>
      <w:tr w:rsidR="00FA609C" w:rsidRPr="00FA609C" w14:paraId="57CD5894" w14:textId="77777777" w:rsidTr="00435371">
        <w:tc>
          <w:tcPr>
            <w:tcW w:w="8795" w:type="dxa"/>
            <w:shd w:val="clear" w:color="auto" w:fill="D9D9D9" w:themeFill="background1" w:themeFillShade="D9"/>
          </w:tcPr>
          <w:p w14:paraId="3D70CA23" w14:textId="77777777" w:rsidR="00FA609C" w:rsidRPr="00FA609C" w:rsidRDefault="00FA609C" w:rsidP="00FA609C">
            <w:pPr>
              <w:rPr>
                <w:szCs w:val="22"/>
              </w:rPr>
            </w:pPr>
            <w:r w:rsidRPr="00FA609C">
              <w:rPr>
                <w:szCs w:val="22"/>
              </w:rPr>
              <w:t xml:space="preserve">Section II:  </w:t>
            </w:r>
            <w:r w:rsidR="004A30F5">
              <w:rPr>
                <w:szCs w:val="22"/>
              </w:rPr>
              <w:t xml:space="preserve">Quality </w:t>
            </w:r>
            <w:r w:rsidRPr="00FA609C">
              <w:rPr>
                <w:szCs w:val="22"/>
              </w:rPr>
              <w:tab/>
            </w:r>
            <w:r w:rsidRPr="00FA609C">
              <w:rPr>
                <w:szCs w:val="22"/>
              </w:rPr>
              <w:br/>
              <w:t>Total 60% (as distributed below)</w:t>
            </w:r>
          </w:p>
        </w:tc>
        <w:tc>
          <w:tcPr>
            <w:tcW w:w="833" w:type="dxa"/>
            <w:shd w:val="clear" w:color="auto" w:fill="D9D9D9" w:themeFill="background1" w:themeFillShade="D9"/>
          </w:tcPr>
          <w:p w14:paraId="2B0772D6" w14:textId="77777777" w:rsidR="00FA609C" w:rsidRPr="00FA609C" w:rsidRDefault="00FA609C" w:rsidP="00FA609C">
            <w:pPr>
              <w:rPr>
                <w:szCs w:val="22"/>
              </w:rPr>
            </w:pPr>
          </w:p>
        </w:tc>
      </w:tr>
      <w:tr w:rsidR="00FA609C" w:rsidRPr="00FA609C" w14:paraId="078B7663" w14:textId="77777777" w:rsidTr="00435371">
        <w:tc>
          <w:tcPr>
            <w:tcW w:w="8795" w:type="dxa"/>
            <w:shd w:val="clear" w:color="auto" w:fill="auto"/>
          </w:tcPr>
          <w:p w14:paraId="66D0977D" w14:textId="77777777" w:rsidR="00D92944" w:rsidRDefault="00D92944">
            <w:pPr>
              <w:rPr>
                <w:szCs w:val="22"/>
              </w:rPr>
            </w:pPr>
          </w:p>
          <w:p w14:paraId="7BCC01A0" w14:textId="561460C0" w:rsidR="00FB45A1" w:rsidRDefault="00FA609C">
            <w:pPr>
              <w:rPr>
                <w:szCs w:val="22"/>
              </w:rPr>
            </w:pPr>
            <w:r w:rsidRPr="00FA609C">
              <w:rPr>
                <w:szCs w:val="22"/>
              </w:rPr>
              <w:t xml:space="preserve">Examples of three </w:t>
            </w:r>
            <w:r w:rsidR="004A30F5">
              <w:rPr>
                <w:szCs w:val="22"/>
              </w:rPr>
              <w:t>previous clients who have used the service</w:t>
            </w:r>
            <w:r w:rsidR="00A20D61">
              <w:rPr>
                <w:szCs w:val="22"/>
              </w:rPr>
              <w:t xml:space="preserve"> </w:t>
            </w:r>
            <w:r w:rsidR="00F8030A">
              <w:rPr>
                <w:szCs w:val="22"/>
              </w:rPr>
              <w:t>Please highlight;</w:t>
            </w:r>
          </w:p>
          <w:p w14:paraId="5C674B7D" w14:textId="77777777" w:rsidR="005C306D" w:rsidRDefault="005C306D" w:rsidP="006168D5">
            <w:pPr>
              <w:pStyle w:val="ListParagraph"/>
              <w:numPr>
                <w:ilvl w:val="0"/>
                <w:numId w:val="43"/>
              </w:numPr>
              <w:rPr>
                <w:szCs w:val="22"/>
              </w:rPr>
            </w:pPr>
            <w:r>
              <w:rPr>
                <w:szCs w:val="22"/>
              </w:rPr>
              <w:t>How they used the service</w:t>
            </w:r>
          </w:p>
          <w:p w14:paraId="01C7D7B3" w14:textId="77777777" w:rsidR="00FA609C" w:rsidRPr="00691B92" w:rsidRDefault="00F8030A" w:rsidP="00002C65">
            <w:pPr>
              <w:pStyle w:val="ListParagraph"/>
              <w:numPr>
                <w:ilvl w:val="0"/>
                <w:numId w:val="43"/>
              </w:numPr>
              <w:rPr>
                <w:szCs w:val="22"/>
              </w:rPr>
            </w:pPr>
            <w:r w:rsidRPr="00691B92">
              <w:rPr>
                <w:szCs w:val="22"/>
              </w:rPr>
              <w:t>The</w:t>
            </w:r>
            <w:r w:rsidR="00A20D61" w:rsidRPr="00691B92">
              <w:rPr>
                <w:szCs w:val="22"/>
              </w:rPr>
              <w:t xml:space="preserve"> value added to </w:t>
            </w:r>
            <w:r w:rsidR="005C306D">
              <w:rPr>
                <w:szCs w:val="22"/>
              </w:rPr>
              <w:t>their operation</w:t>
            </w:r>
          </w:p>
          <w:p w14:paraId="6AAAA6F8" w14:textId="77777777" w:rsidR="00F8030A" w:rsidRDefault="00F8030A" w:rsidP="006168D5">
            <w:pPr>
              <w:pStyle w:val="ListParagraph"/>
              <w:numPr>
                <w:ilvl w:val="0"/>
                <w:numId w:val="43"/>
              </w:numPr>
              <w:rPr>
                <w:szCs w:val="22"/>
              </w:rPr>
            </w:pPr>
            <w:r w:rsidRPr="00691B92">
              <w:rPr>
                <w:szCs w:val="22"/>
              </w:rPr>
              <w:t>The context in which the service was used</w:t>
            </w:r>
          </w:p>
          <w:p w14:paraId="2FD47A19" w14:textId="77777777" w:rsidR="004627FD" w:rsidRDefault="004627FD" w:rsidP="006168D5">
            <w:pPr>
              <w:pStyle w:val="ListParagraph"/>
              <w:numPr>
                <w:ilvl w:val="0"/>
                <w:numId w:val="43"/>
              </w:numPr>
              <w:rPr>
                <w:szCs w:val="22"/>
              </w:rPr>
            </w:pPr>
            <w:r>
              <w:rPr>
                <w:szCs w:val="22"/>
              </w:rPr>
              <w:t>The link with business support/Growth Hub operations</w:t>
            </w:r>
          </w:p>
          <w:p w14:paraId="254FC878" w14:textId="77777777" w:rsidR="00FB45A1" w:rsidRDefault="00FB45A1" w:rsidP="00002C65">
            <w:pPr>
              <w:rPr>
                <w:szCs w:val="22"/>
              </w:rPr>
            </w:pPr>
          </w:p>
          <w:p w14:paraId="055CE12F" w14:textId="18343130" w:rsidR="00D92944" w:rsidRPr="00691B92" w:rsidRDefault="00D92944" w:rsidP="00002C65">
            <w:pPr>
              <w:rPr>
                <w:szCs w:val="22"/>
              </w:rPr>
            </w:pPr>
          </w:p>
        </w:tc>
        <w:tc>
          <w:tcPr>
            <w:tcW w:w="833" w:type="dxa"/>
          </w:tcPr>
          <w:p w14:paraId="57378238" w14:textId="77777777" w:rsidR="00FA609C" w:rsidRPr="00FA609C" w:rsidRDefault="00FA609C" w:rsidP="00FA609C">
            <w:pPr>
              <w:rPr>
                <w:szCs w:val="22"/>
              </w:rPr>
            </w:pPr>
            <w:r w:rsidRPr="00FA609C">
              <w:rPr>
                <w:szCs w:val="22"/>
              </w:rPr>
              <w:t>60</w:t>
            </w:r>
          </w:p>
        </w:tc>
      </w:tr>
      <w:tr w:rsidR="00FA609C" w:rsidRPr="00FA609C" w14:paraId="6560C7A6" w14:textId="77777777" w:rsidTr="00435371">
        <w:tc>
          <w:tcPr>
            <w:tcW w:w="8795" w:type="dxa"/>
            <w:shd w:val="clear" w:color="auto" w:fill="D9D9D9" w:themeFill="background1" w:themeFillShade="D9"/>
          </w:tcPr>
          <w:p w14:paraId="0C4977DA" w14:textId="77777777" w:rsidR="00FA609C" w:rsidRPr="00FA609C" w:rsidRDefault="00FA609C" w:rsidP="00FA609C">
            <w:pPr>
              <w:rPr>
                <w:szCs w:val="22"/>
              </w:rPr>
            </w:pPr>
            <w:r w:rsidRPr="00FA609C">
              <w:rPr>
                <w:szCs w:val="22"/>
              </w:rPr>
              <w:lastRenderedPageBreak/>
              <w:t xml:space="preserve">Section III:  </w:t>
            </w:r>
            <w:r w:rsidR="00A20D61">
              <w:rPr>
                <w:szCs w:val="22"/>
              </w:rPr>
              <w:t>Service</w:t>
            </w:r>
            <w:r w:rsidRPr="00FA609C">
              <w:rPr>
                <w:szCs w:val="22"/>
              </w:rPr>
              <w:t xml:space="preserve"> </w:t>
            </w:r>
            <w:r w:rsidRPr="00FA609C">
              <w:rPr>
                <w:szCs w:val="22"/>
              </w:rPr>
              <w:br/>
              <w:t xml:space="preserve">Total 20% </w:t>
            </w:r>
          </w:p>
        </w:tc>
        <w:tc>
          <w:tcPr>
            <w:tcW w:w="833" w:type="dxa"/>
            <w:shd w:val="clear" w:color="auto" w:fill="D9D9D9" w:themeFill="background1" w:themeFillShade="D9"/>
          </w:tcPr>
          <w:p w14:paraId="7987AF66" w14:textId="77777777" w:rsidR="00FA609C" w:rsidRPr="00FA609C" w:rsidRDefault="00FA609C" w:rsidP="00FA609C">
            <w:pPr>
              <w:rPr>
                <w:szCs w:val="22"/>
              </w:rPr>
            </w:pPr>
          </w:p>
        </w:tc>
      </w:tr>
      <w:tr w:rsidR="00FA609C" w:rsidRPr="00FA609C" w14:paraId="0ACA76D7" w14:textId="77777777" w:rsidTr="00435371">
        <w:tc>
          <w:tcPr>
            <w:tcW w:w="8795" w:type="dxa"/>
          </w:tcPr>
          <w:p w14:paraId="1CAE98B0" w14:textId="77777777" w:rsidR="00D92944" w:rsidRDefault="00D92944" w:rsidP="00FA609C">
            <w:pPr>
              <w:rPr>
                <w:szCs w:val="22"/>
              </w:rPr>
            </w:pPr>
          </w:p>
          <w:p w14:paraId="4CD82536" w14:textId="157AA23C" w:rsidR="00FA609C" w:rsidRDefault="00A20D61" w:rsidP="00FA609C">
            <w:pPr>
              <w:rPr>
                <w:szCs w:val="22"/>
              </w:rPr>
            </w:pPr>
            <w:r>
              <w:rPr>
                <w:szCs w:val="22"/>
              </w:rPr>
              <w:t>An explanation of how the service works, how the fact sheets are accessed and analytics etc available</w:t>
            </w:r>
            <w:r w:rsidR="004C75F0">
              <w:rPr>
                <w:szCs w:val="22"/>
              </w:rPr>
              <w:t>. Please include details of how the factsheets are ‘white goods’ branded etc</w:t>
            </w:r>
          </w:p>
          <w:p w14:paraId="1B1876C4" w14:textId="77777777" w:rsidR="00FB45A1" w:rsidRDefault="00FB45A1" w:rsidP="00FA609C">
            <w:pPr>
              <w:rPr>
                <w:szCs w:val="22"/>
              </w:rPr>
            </w:pPr>
            <w:r>
              <w:rPr>
                <w:szCs w:val="22"/>
              </w:rPr>
              <w:t xml:space="preserve">Please also detail the range of </w:t>
            </w:r>
            <w:r w:rsidR="00883EE6">
              <w:rPr>
                <w:szCs w:val="22"/>
              </w:rPr>
              <w:t>topics</w:t>
            </w:r>
            <w:r w:rsidR="009451B3">
              <w:rPr>
                <w:szCs w:val="22"/>
              </w:rPr>
              <w:t>/subjects</w:t>
            </w:r>
            <w:r w:rsidR="00321A77">
              <w:rPr>
                <w:szCs w:val="22"/>
              </w:rPr>
              <w:t>/sectors/</w:t>
            </w:r>
            <w:r w:rsidR="00883EE6">
              <w:rPr>
                <w:szCs w:val="22"/>
              </w:rPr>
              <w:t xml:space="preserve">legislation covered </w:t>
            </w:r>
            <w:r w:rsidR="009451B3">
              <w:rPr>
                <w:szCs w:val="22"/>
              </w:rPr>
              <w:t>with details of how often topics are updated etc</w:t>
            </w:r>
          </w:p>
          <w:p w14:paraId="1490F122" w14:textId="77777777" w:rsidR="00002C65" w:rsidRPr="00FA609C" w:rsidRDefault="00002C65" w:rsidP="00FA609C">
            <w:pPr>
              <w:rPr>
                <w:szCs w:val="22"/>
              </w:rPr>
            </w:pPr>
          </w:p>
        </w:tc>
        <w:tc>
          <w:tcPr>
            <w:tcW w:w="833" w:type="dxa"/>
          </w:tcPr>
          <w:p w14:paraId="177F541C" w14:textId="77777777" w:rsidR="00FA609C" w:rsidRPr="00FA609C" w:rsidRDefault="00FA609C" w:rsidP="00FA609C">
            <w:pPr>
              <w:rPr>
                <w:szCs w:val="22"/>
              </w:rPr>
            </w:pPr>
            <w:r w:rsidRPr="00FA609C">
              <w:rPr>
                <w:szCs w:val="22"/>
              </w:rPr>
              <w:t>20</w:t>
            </w:r>
          </w:p>
        </w:tc>
      </w:tr>
      <w:tr w:rsidR="00FA609C" w:rsidRPr="00FA609C" w14:paraId="4EF41F87" w14:textId="77777777" w:rsidTr="00435371">
        <w:tc>
          <w:tcPr>
            <w:tcW w:w="8795" w:type="dxa"/>
            <w:shd w:val="clear" w:color="auto" w:fill="D9D9D9" w:themeFill="background1" w:themeFillShade="D9"/>
          </w:tcPr>
          <w:p w14:paraId="143DC038" w14:textId="77777777" w:rsidR="00FA609C" w:rsidRPr="00FA609C" w:rsidRDefault="00FA609C" w:rsidP="00FA609C">
            <w:pPr>
              <w:rPr>
                <w:szCs w:val="22"/>
              </w:rPr>
            </w:pPr>
            <w:r w:rsidRPr="00FA609C">
              <w:rPr>
                <w:szCs w:val="22"/>
              </w:rPr>
              <w:t xml:space="preserve">Section </w:t>
            </w:r>
            <w:r w:rsidR="009D5983">
              <w:rPr>
                <w:szCs w:val="22"/>
              </w:rPr>
              <w:t>IV</w:t>
            </w:r>
            <w:r w:rsidRPr="00FA609C">
              <w:rPr>
                <w:szCs w:val="22"/>
              </w:rPr>
              <w:t xml:space="preserve">: Budget </w:t>
            </w:r>
            <w:r w:rsidRPr="00FA609C">
              <w:rPr>
                <w:szCs w:val="22"/>
              </w:rPr>
              <w:br/>
              <w:t>Total 20%</w:t>
            </w:r>
          </w:p>
        </w:tc>
        <w:tc>
          <w:tcPr>
            <w:tcW w:w="833" w:type="dxa"/>
            <w:shd w:val="clear" w:color="auto" w:fill="D9D9D9" w:themeFill="background1" w:themeFillShade="D9"/>
          </w:tcPr>
          <w:p w14:paraId="2003DAF8" w14:textId="77777777" w:rsidR="00FA609C" w:rsidRPr="00FA609C" w:rsidRDefault="00FA609C" w:rsidP="00FA609C">
            <w:pPr>
              <w:rPr>
                <w:szCs w:val="22"/>
              </w:rPr>
            </w:pPr>
          </w:p>
        </w:tc>
      </w:tr>
      <w:tr w:rsidR="00FA609C" w:rsidRPr="00FA609C" w14:paraId="150F423E" w14:textId="77777777" w:rsidTr="00435371">
        <w:tc>
          <w:tcPr>
            <w:tcW w:w="8795" w:type="dxa"/>
          </w:tcPr>
          <w:p w14:paraId="1A289F44" w14:textId="77777777" w:rsidR="00D92944" w:rsidRDefault="00D92944" w:rsidP="0023320D">
            <w:pPr>
              <w:contextualSpacing/>
              <w:rPr>
                <w:rFonts w:cstheme="majorHAnsi"/>
                <w:szCs w:val="22"/>
              </w:rPr>
            </w:pPr>
          </w:p>
          <w:p w14:paraId="066A6A2B" w14:textId="2372B844" w:rsidR="0023320D" w:rsidRPr="00672083" w:rsidRDefault="0023320D" w:rsidP="00D92944">
            <w:pPr>
              <w:ind w:left="0"/>
              <w:contextualSpacing/>
              <w:rPr>
                <w:rFonts w:cstheme="majorHAnsi"/>
                <w:szCs w:val="22"/>
              </w:rPr>
            </w:pPr>
            <w:r w:rsidRPr="00672083">
              <w:rPr>
                <w:rFonts w:cstheme="majorHAnsi"/>
                <w:szCs w:val="22"/>
              </w:rPr>
              <w:t xml:space="preserve">A </w:t>
            </w:r>
            <w:r w:rsidRPr="00672083">
              <w:rPr>
                <w:rFonts w:cstheme="majorHAnsi"/>
                <w:b/>
                <w:bCs/>
                <w:szCs w:val="22"/>
              </w:rPr>
              <w:t>fixed fee</w:t>
            </w:r>
            <w:r w:rsidRPr="00672083">
              <w:rPr>
                <w:rFonts w:cstheme="majorHAnsi"/>
                <w:szCs w:val="22"/>
              </w:rPr>
              <w:t xml:space="preserve"> for this work</w:t>
            </w:r>
            <w:r>
              <w:rPr>
                <w:rFonts w:cstheme="majorHAnsi"/>
                <w:szCs w:val="22"/>
              </w:rPr>
              <w:t xml:space="preserve"> (</w:t>
            </w:r>
            <w:proofErr w:type="spellStart"/>
            <w:r w:rsidRPr="00672083">
              <w:rPr>
                <w:rFonts w:cstheme="majorHAnsi"/>
                <w:szCs w:val="22"/>
              </w:rPr>
              <w:t>exc</w:t>
            </w:r>
            <w:proofErr w:type="spellEnd"/>
            <w:r w:rsidRPr="00672083">
              <w:rPr>
                <w:rFonts w:cstheme="majorHAnsi"/>
                <w:szCs w:val="22"/>
              </w:rPr>
              <w:t xml:space="preserve"> VAT</w:t>
            </w:r>
            <w:r>
              <w:rPr>
                <w:rFonts w:cstheme="majorHAnsi"/>
                <w:szCs w:val="22"/>
              </w:rPr>
              <w:t>)</w:t>
            </w:r>
            <w:r w:rsidRPr="00672083">
              <w:rPr>
                <w:rFonts w:cstheme="majorHAnsi"/>
                <w:szCs w:val="22"/>
              </w:rPr>
              <w:t xml:space="preserve"> includ</w:t>
            </w:r>
            <w:r>
              <w:rPr>
                <w:rFonts w:cstheme="majorHAnsi"/>
                <w:szCs w:val="22"/>
              </w:rPr>
              <w:t>ing</w:t>
            </w:r>
            <w:r w:rsidRPr="00672083">
              <w:rPr>
                <w:rFonts w:cstheme="majorHAnsi"/>
                <w:szCs w:val="22"/>
              </w:rPr>
              <w:t xml:space="preserve"> travel and other expenses</w:t>
            </w:r>
          </w:p>
          <w:p w14:paraId="3B77AB38" w14:textId="77777777" w:rsidR="0023320D" w:rsidRPr="00672083" w:rsidRDefault="0023320D" w:rsidP="0023320D">
            <w:pPr>
              <w:rPr>
                <w:rFonts w:cstheme="majorHAnsi"/>
                <w:szCs w:val="22"/>
              </w:rPr>
            </w:pPr>
          </w:p>
          <w:p w14:paraId="7CE7DDBA" w14:textId="77777777" w:rsidR="00FA609C" w:rsidRDefault="0023320D" w:rsidP="0023320D">
            <w:pPr>
              <w:rPr>
                <w:rFonts w:eastAsia="Calibri"/>
                <w:szCs w:val="22"/>
                <w:lang w:eastAsia="en-US"/>
              </w:rPr>
            </w:pPr>
            <w:r>
              <w:rPr>
                <w:rFonts w:eastAsia="Calibri"/>
                <w:szCs w:val="22"/>
                <w:lang w:eastAsia="en-US"/>
              </w:rPr>
              <w:t>The</w:t>
            </w:r>
            <w:r w:rsidRPr="00672083">
              <w:rPr>
                <w:rFonts w:eastAsia="Calibri"/>
                <w:szCs w:val="22"/>
                <w:lang w:eastAsia="en-US"/>
              </w:rPr>
              <w:t xml:space="preserve"> lowest bid will be awarded the full 20 marks. Other bids will be awarded a mark that is proportionate to the level of their bid in c</w:t>
            </w:r>
            <w:r>
              <w:rPr>
                <w:rFonts w:eastAsia="Calibri"/>
                <w:szCs w:val="22"/>
                <w:lang w:eastAsia="en-US"/>
              </w:rPr>
              <w:t xml:space="preserve">omparison to the lowest bid i.e. </w:t>
            </w:r>
            <w:r w:rsidRPr="00672083">
              <w:rPr>
                <w:rFonts w:eastAsia="Calibri"/>
                <w:szCs w:val="22"/>
                <w:lang w:eastAsia="en-US"/>
              </w:rPr>
              <w:t>Marks awarded = 20 x lowest bid / bid</w:t>
            </w:r>
          </w:p>
          <w:p w14:paraId="78F054A3" w14:textId="284F1510" w:rsidR="00D92944" w:rsidRPr="00FA609C" w:rsidRDefault="00D92944" w:rsidP="0023320D">
            <w:pPr>
              <w:rPr>
                <w:szCs w:val="22"/>
              </w:rPr>
            </w:pPr>
          </w:p>
        </w:tc>
        <w:tc>
          <w:tcPr>
            <w:tcW w:w="833" w:type="dxa"/>
          </w:tcPr>
          <w:p w14:paraId="36EBF47D" w14:textId="77777777" w:rsidR="00FA609C" w:rsidRPr="00FA609C" w:rsidRDefault="00FA609C" w:rsidP="00FA609C">
            <w:pPr>
              <w:rPr>
                <w:szCs w:val="22"/>
              </w:rPr>
            </w:pPr>
            <w:r w:rsidRPr="00FA609C">
              <w:rPr>
                <w:szCs w:val="22"/>
              </w:rPr>
              <w:t>20</w:t>
            </w:r>
          </w:p>
        </w:tc>
      </w:tr>
    </w:tbl>
    <w:p w14:paraId="056D0E68" w14:textId="77777777" w:rsidR="00FA609C" w:rsidRPr="00FA609C" w:rsidRDefault="00FA609C" w:rsidP="00FA609C">
      <w:pPr>
        <w:rPr>
          <w:szCs w:val="22"/>
        </w:rPr>
      </w:pPr>
      <w:bookmarkStart w:id="16" w:name="_Toc336433907"/>
      <w:bookmarkStart w:id="17" w:name="_Toc356810516"/>
    </w:p>
    <w:p w14:paraId="43CE6301" w14:textId="77777777" w:rsidR="00FA609C" w:rsidRPr="00FA609C" w:rsidRDefault="00FA609C" w:rsidP="00FA609C">
      <w:pPr>
        <w:rPr>
          <w:b/>
          <w:szCs w:val="22"/>
        </w:rPr>
      </w:pPr>
      <w:r w:rsidRPr="00FA609C">
        <w:rPr>
          <w:b/>
          <w:szCs w:val="22"/>
        </w:rPr>
        <w:t>Assessment of the Tender</w:t>
      </w:r>
      <w:bookmarkEnd w:id="16"/>
      <w:bookmarkEnd w:id="17"/>
    </w:p>
    <w:p w14:paraId="5FB8F22E" w14:textId="77777777" w:rsidR="00FA609C" w:rsidRPr="00FA609C" w:rsidRDefault="00FA609C" w:rsidP="00FA609C">
      <w:pPr>
        <w:ind w:left="720"/>
        <w:rPr>
          <w:szCs w:val="22"/>
        </w:rPr>
      </w:pPr>
    </w:p>
    <w:p w14:paraId="552FC03A" w14:textId="77777777" w:rsidR="00FA609C" w:rsidRDefault="0023320D" w:rsidP="00FA609C">
      <w:pPr>
        <w:rPr>
          <w:szCs w:val="22"/>
        </w:rPr>
      </w:pPr>
      <w:r w:rsidRPr="00672083">
        <w:rPr>
          <w:rFonts w:eastAsia="Calibri"/>
          <w:szCs w:val="22"/>
          <w:lang w:eastAsia="en-US"/>
        </w:rPr>
        <w:t>The reviewer will award the marks</w:t>
      </w:r>
      <w:r w:rsidRPr="00EC269C">
        <w:rPr>
          <w:rFonts w:eastAsia="Calibri"/>
          <w:szCs w:val="22"/>
          <w:lang w:eastAsia="en-US"/>
        </w:rPr>
        <w:t xml:space="preserve"> depending upon their assessment of the applicant’s tender submission using the following scoring to assess the response:</w:t>
      </w:r>
      <w:r w:rsidRPr="00FA609C" w:rsidDel="0023320D">
        <w:rPr>
          <w:szCs w:val="22"/>
        </w:rPr>
        <w:t xml:space="preserve"> </w:t>
      </w:r>
    </w:p>
    <w:p w14:paraId="23EE5208" w14:textId="77777777" w:rsidR="00002C65" w:rsidRDefault="00002C65" w:rsidP="00FA609C">
      <w:pPr>
        <w:rPr>
          <w:szCs w:val="22"/>
        </w:rPr>
      </w:pPr>
    </w:p>
    <w:p w14:paraId="08CDB209" w14:textId="77777777" w:rsidR="00002C65" w:rsidRPr="00FA609C" w:rsidRDefault="00002C65" w:rsidP="00FA609C">
      <w:pPr>
        <w:rPr>
          <w:szCs w:val="22"/>
        </w:rPr>
      </w:pP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93"/>
        <w:gridCol w:w="1701"/>
        <w:gridCol w:w="6804"/>
      </w:tblGrid>
      <w:tr w:rsidR="00FA609C" w:rsidRPr="00FA609C" w14:paraId="17B77D6B" w14:textId="77777777" w:rsidTr="00435371">
        <w:trPr>
          <w:trHeight w:val="57"/>
        </w:trPr>
        <w:tc>
          <w:tcPr>
            <w:tcW w:w="9498" w:type="dxa"/>
            <w:gridSpan w:val="3"/>
            <w:shd w:val="clear" w:color="auto" w:fill="D9D9D9" w:themeFill="background1" w:themeFillShade="D9"/>
            <w:vAlign w:val="center"/>
          </w:tcPr>
          <w:p w14:paraId="5633AE6D" w14:textId="77777777" w:rsidR="00FA609C" w:rsidRPr="00FA609C" w:rsidRDefault="00FA609C" w:rsidP="00002C65">
            <w:pPr>
              <w:rPr>
                <w:b/>
                <w:szCs w:val="20"/>
                <w:lang w:eastAsia="en-US"/>
              </w:rPr>
            </w:pPr>
            <w:r w:rsidRPr="00FA609C">
              <w:rPr>
                <w:b/>
                <w:szCs w:val="20"/>
                <w:lang w:eastAsia="en-US"/>
              </w:rPr>
              <w:t>Scoring Matrix for Evaluation Criteria</w:t>
            </w:r>
          </w:p>
        </w:tc>
      </w:tr>
      <w:tr w:rsidR="00FA609C" w:rsidRPr="00FA609C" w14:paraId="75EE4515" w14:textId="77777777" w:rsidTr="00435371">
        <w:tc>
          <w:tcPr>
            <w:tcW w:w="993" w:type="dxa"/>
            <w:shd w:val="clear" w:color="auto" w:fill="D9D9D9" w:themeFill="background1" w:themeFillShade="D9"/>
            <w:vAlign w:val="center"/>
          </w:tcPr>
          <w:p w14:paraId="755321F9" w14:textId="77777777" w:rsidR="00FA609C" w:rsidRPr="00FA609C" w:rsidRDefault="00FA609C" w:rsidP="00FA609C">
            <w:pPr>
              <w:suppressAutoHyphens/>
              <w:spacing w:before="60" w:after="60"/>
              <w:jc w:val="center"/>
              <w:rPr>
                <w:b/>
                <w:szCs w:val="20"/>
                <w:lang w:eastAsia="en-US"/>
              </w:rPr>
            </w:pPr>
            <w:r w:rsidRPr="00FA609C">
              <w:rPr>
                <w:b/>
                <w:szCs w:val="20"/>
                <w:lang w:eastAsia="en-US"/>
              </w:rPr>
              <w:t>Score</w:t>
            </w:r>
            <w:r w:rsidR="00002C65">
              <w:rPr>
                <w:b/>
                <w:szCs w:val="20"/>
                <w:lang w:eastAsia="en-US"/>
              </w:rPr>
              <w:t xml:space="preserve"> %</w:t>
            </w:r>
          </w:p>
        </w:tc>
        <w:tc>
          <w:tcPr>
            <w:tcW w:w="1701" w:type="dxa"/>
            <w:shd w:val="clear" w:color="auto" w:fill="D9D9D9" w:themeFill="background1" w:themeFillShade="D9"/>
            <w:vAlign w:val="center"/>
          </w:tcPr>
          <w:p w14:paraId="114B3ED4" w14:textId="77777777" w:rsidR="00FA609C" w:rsidRPr="00FA609C" w:rsidRDefault="00FA609C" w:rsidP="00FA609C">
            <w:pPr>
              <w:suppressAutoHyphens/>
              <w:spacing w:before="60" w:after="60"/>
              <w:jc w:val="center"/>
              <w:rPr>
                <w:b/>
                <w:szCs w:val="20"/>
                <w:lang w:eastAsia="en-US"/>
              </w:rPr>
            </w:pPr>
            <w:r w:rsidRPr="00FA609C">
              <w:rPr>
                <w:b/>
                <w:szCs w:val="20"/>
                <w:lang w:eastAsia="en-US"/>
              </w:rPr>
              <w:t>Judgement</w:t>
            </w:r>
          </w:p>
        </w:tc>
        <w:tc>
          <w:tcPr>
            <w:tcW w:w="6804" w:type="dxa"/>
            <w:shd w:val="clear" w:color="auto" w:fill="D9D9D9" w:themeFill="background1" w:themeFillShade="D9"/>
            <w:vAlign w:val="center"/>
          </w:tcPr>
          <w:p w14:paraId="0EB5F7C0" w14:textId="77777777" w:rsidR="00FA609C" w:rsidRPr="00FA609C" w:rsidRDefault="00FA609C" w:rsidP="00FA609C">
            <w:pPr>
              <w:suppressAutoHyphens/>
              <w:spacing w:before="60" w:after="60"/>
              <w:jc w:val="center"/>
              <w:rPr>
                <w:b/>
                <w:szCs w:val="20"/>
                <w:lang w:eastAsia="en-US"/>
              </w:rPr>
            </w:pPr>
            <w:r w:rsidRPr="00FA609C">
              <w:rPr>
                <w:b/>
                <w:szCs w:val="20"/>
                <w:lang w:eastAsia="en-US"/>
              </w:rPr>
              <w:t>Interpretation</w:t>
            </w:r>
          </w:p>
        </w:tc>
      </w:tr>
      <w:tr w:rsidR="00FA609C" w:rsidRPr="00FA609C" w14:paraId="14B3FBF8" w14:textId="77777777" w:rsidTr="00435371">
        <w:tc>
          <w:tcPr>
            <w:tcW w:w="993" w:type="dxa"/>
            <w:shd w:val="clear" w:color="auto" w:fill="auto"/>
          </w:tcPr>
          <w:p w14:paraId="50DD29A5" w14:textId="77777777" w:rsidR="00FA609C" w:rsidRPr="00FA609C" w:rsidRDefault="00691B92" w:rsidP="00FA609C">
            <w:pPr>
              <w:suppressAutoHyphens/>
              <w:spacing w:before="60" w:after="60"/>
              <w:ind w:left="8"/>
              <w:rPr>
                <w:sz w:val="18"/>
                <w:szCs w:val="18"/>
                <w:lang w:eastAsia="en-US"/>
              </w:rPr>
            </w:pPr>
            <w:r>
              <w:rPr>
                <w:sz w:val="18"/>
                <w:szCs w:val="18"/>
                <w:lang w:eastAsia="en-US"/>
              </w:rPr>
              <w:t>100</w:t>
            </w:r>
          </w:p>
        </w:tc>
        <w:tc>
          <w:tcPr>
            <w:tcW w:w="1701" w:type="dxa"/>
            <w:shd w:val="clear" w:color="auto" w:fill="auto"/>
          </w:tcPr>
          <w:p w14:paraId="4F9371E3" w14:textId="77777777" w:rsidR="00FA609C" w:rsidRPr="00FA609C" w:rsidRDefault="00FA609C" w:rsidP="00FA609C">
            <w:pPr>
              <w:suppressAutoHyphens/>
              <w:spacing w:before="60" w:after="60"/>
              <w:ind w:left="8"/>
              <w:rPr>
                <w:sz w:val="18"/>
                <w:szCs w:val="18"/>
                <w:lang w:eastAsia="en-US"/>
              </w:rPr>
            </w:pPr>
            <w:r w:rsidRPr="00FA609C">
              <w:rPr>
                <w:sz w:val="18"/>
                <w:szCs w:val="18"/>
                <w:lang w:eastAsia="en-US"/>
              </w:rPr>
              <w:t>Excellent</w:t>
            </w:r>
          </w:p>
        </w:tc>
        <w:tc>
          <w:tcPr>
            <w:tcW w:w="6804" w:type="dxa"/>
            <w:shd w:val="clear" w:color="auto" w:fill="auto"/>
          </w:tcPr>
          <w:p w14:paraId="6684EE39" w14:textId="77777777" w:rsidR="00FA609C" w:rsidRPr="00FA609C" w:rsidRDefault="00FA609C" w:rsidP="00002C65">
            <w:pPr>
              <w:suppressAutoHyphens/>
              <w:spacing w:before="60" w:after="60"/>
              <w:ind w:left="8"/>
              <w:rPr>
                <w:sz w:val="18"/>
                <w:szCs w:val="18"/>
                <w:lang w:eastAsia="en-US"/>
              </w:rPr>
            </w:pPr>
            <w:r w:rsidRPr="00FA609C">
              <w:rPr>
                <w:sz w:val="18"/>
                <w:szCs w:val="18"/>
                <w:lang w:eastAsia="en-US"/>
              </w:rPr>
              <w:t>Exceptional demonstration of the relevant ability, understanding, experience, skills, resource</w:t>
            </w:r>
            <w:r w:rsidR="00002C65">
              <w:rPr>
                <w:sz w:val="18"/>
                <w:szCs w:val="18"/>
                <w:lang w:eastAsia="en-US"/>
              </w:rPr>
              <w:t>,</w:t>
            </w:r>
            <w:r w:rsidRPr="00FA609C">
              <w:rPr>
                <w:sz w:val="18"/>
                <w:szCs w:val="18"/>
                <w:lang w:eastAsia="en-US"/>
              </w:rPr>
              <w:t xml:space="preserve"> and/or quality measures required to provide the goods/works/services. Full evidence provided where required to</w:t>
            </w:r>
            <w:r w:rsidR="00002C65">
              <w:rPr>
                <w:sz w:val="18"/>
                <w:szCs w:val="18"/>
                <w:lang w:eastAsia="en-US"/>
              </w:rPr>
              <w:t xml:space="preserve"> </w:t>
            </w:r>
            <w:r w:rsidRPr="00FA609C">
              <w:rPr>
                <w:sz w:val="18"/>
                <w:szCs w:val="18"/>
                <w:lang w:eastAsia="en-US"/>
              </w:rPr>
              <w:t>support the response. </w:t>
            </w:r>
          </w:p>
        </w:tc>
      </w:tr>
      <w:tr w:rsidR="00FA609C" w:rsidRPr="00FA609C" w14:paraId="27CF4592" w14:textId="77777777" w:rsidTr="00435371">
        <w:tc>
          <w:tcPr>
            <w:tcW w:w="993" w:type="dxa"/>
            <w:shd w:val="clear" w:color="auto" w:fill="auto"/>
          </w:tcPr>
          <w:p w14:paraId="57D604DA" w14:textId="77777777" w:rsidR="00FA609C" w:rsidRPr="00FA609C" w:rsidRDefault="00691B92" w:rsidP="00FA609C">
            <w:pPr>
              <w:suppressAutoHyphens/>
              <w:spacing w:before="60" w:after="60"/>
              <w:ind w:left="8"/>
              <w:rPr>
                <w:sz w:val="18"/>
                <w:szCs w:val="18"/>
                <w:lang w:eastAsia="en-US"/>
              </w:rPr>
            </w:pPr>
            <w:r>
              <w:rPr>
                <w:sz w:val="18"/>
                <w:szCs w:val="18"/>
                <w:lang w:eastAsia="en-US"/>
              </w:rPr>
              <w:t>80</w:t>
            </w:r>
          </w:p>
        </w:tc>
        <w:tc>
          <w:tcPr>
            <w:tcW w:w="1701" w:type="dxa"/>
            <w:shd w:val="clear" w:color="auto" w:fill="auto"/>
          </w:tcPr>
          <w:p w14:paraId="4884FC08" w14:textId="77777777" w:rsidR="00FA609C" w:rsidRPr="00FA609C" w:rsidRDefault="00FA609C" w:rsidP="00FA609C">
            <w:pPr>
              <w:suppressAutoHyphens/>
              <w:spacing w:before="60" w:after="60"/>
              <w:ind w:left="8"/>
              <w:rPr>
                <w:sz w:val="18"/>
                <w:szCs w:val="18"/>
                <w:lang w:eastAsia="en-US"/>
              </w:rPr>
            </w:pPr>
            <w:r w:rsidRPr="00FA609C">
              <w:rPr>
                <w:sz w:val="18"/>
                <w:szCs w:val="18"/>
                <w:lang w:eastAsia="en-US"/>
              </w:rPr>
              <w:t>Good</w:t>
            </w:r>
          </w:p>
        </w:tc>
        <w:tc>
          <w:tcPr>
            <w:tcW w:w="6804" w:type="dxa"/>
            <w:shd w:val="clear" w:color="auto" w:fill="auto"/>
          </w:tcPr>
          <w:p w14:paraId="30C59AC5" w14:textId="77777777" w:rsidR="00FA609C" w:rsidRPr="00FA609C" w:rsidRDefault="00FA609C" w:rsidP="00FA609C">
            <w:pPr>
              <w:suppressAutoHyphens/>
              <w:spacing w:before="60" w:after="60"/>
              <w:ind w:left="8"/>
              <w:rPr>
                <w:sz w:val="18"/>
                <w:szCs w:val="18"/>
                <w:lang w:eastAsia="en-US"/>
              </w:rPr>
            </w:pPr>
            <w:r w:rsidRPr="00FA609C">
              <w:rPr>
                <w:sz w:val="18"/>
                <w:szCs w:val="18"/>
                <w:lang w:eastAsia="en-US"/>
              </w:rPr>
              <w:t>Above average demonstration of the relevant ability, understanding, experience, skills, resource and/or quality measures required to provide the goods/works/services. Majority evidence provided to support the response.</w:t>
            </w:r>
          </w:p>
        </w:tc>
      </w:tr>
      <w:tr w:rsidR="00FA609C" w:rsidRPr="00FA609C" w14:paraId="1411B04E" w14:textId="77777777" w:rsidTr="00435371">
        <w:tc>
          <w:tcPr>
            <w:tcW w:w="993" w:type="dxa"/>
            <w:shd w:val="clear" w:color="auto" w:fill="auto"/>
          </w:tcPr>
          <w:p w14:paraId="55ACA8E3" w14:textId="77777777" w:rsidR="00FA609C" w:rsidRPr="00FA609C" w:rsidRDefault="00691B92" w:rsidP="00FA609C">
            <w:pPr>
              <w:suppressAutoHyphens/>
              <w:spacing w:before="60" w:after="60"/>
              <w:ind w:left="8"/>
              <w:rPr>
                <w:sz w:val="18"/>
                <w:szCs w:val="18"/>
                <w:lang w:eastAsia="en-US"/>
              </w:rPr>
            </w:pPr>
            <w:r>
              <w:rPr>
                <w:sz w:val="18"/>
                <w:szCs w:val="18"/>
                <w:lang w:eastAsia="en-US"/>
              </w:rPr>
              <w:t>60</w:t>
            </w:r>
          </w:p>
        </w:tc>
        <w:tc>
          <w:tcPr>
            <w:tcW w:w="1701" w:type="dxa"/>
            <w:shd w:val="clear" w:color="auto" w:fill="auto"/>
          </w:tcPr>
          <w:p w14:paraId="5BD7E4CE" w14:textId="77777777" w:rsidR="00FA609C" w:rsidRPr="00FA609C" w:rsidRDefault="00FA609C" w:rsidP="00FA609C">
            <w:pPr>
              <w:suppressAutoHyphens/>
              <w:spacing w:before="60" w:after="60"/>
              <w:ind w:left="8"/>
              <w:rPr>
                <w:sz w:val="18"/>
                <w:szCs w:val="18"/>
                <w:lang w:eastAsia="en-US"/>
              </w:rPr>
            </w:pPr>
            <w:r w:rsidRPr="00FA609C">
              <w:rPr>
                <w:sz w:val="18"/>
                <w:szCs w:val="18"/>
                <w:lang w:eastAsia="en-US"/>
              </w:rPr>
              <w:t>Acceptable</w:t>
            </w:r>
          </w:p>
        </w:tc>
        <w:tc>
          <w:tcPr>
            <w:tcW w:w="6804" w:type="dxa"/>
            <w:shd w:val="clear" w:color="auto" w:fill="auto"/>
          </w:tcPr>
          <w:p w14:paraId="04719299" w14:textId="77777777" w:rsidR="00FA609C" w:rsidRPr="00FA609C" w:rsidRDefault="00FA609C" w:rsidP="00FA609C">
            <w:pPr>
              <w:suppressAutoHyphens/>
              <w:spacing w:before="60" w:after="60"/>
              <w:ind w:left="8"/>
              <w:rPr>
                <w:sz w:val="18"/>
                <w:szCs w:val="18"/>
                <w:lang w:eastAsia="en-US"/>
              </w:rPr>
            </w:pPr>
            <w:r w:rsidRPr="00FA609C">
              <w:rPr>
                <w:sz w:val="18"/>
                <w:szCs w:val="18"/>
                <w:lang w:eastAsia="en-US"/>
              </w:rPr>
              <w:t>Demonstration of the relevant ability, understanding, experience, skills, resource and/or quality measures required to provide the goods/works/services, with some evidence to support the response.</w:t>
            </w:r>
          </w:p>
        </w:tc>
      </w:tr>
      <w:tr w:rsidR="00FA609C" w:rsidRPr="00FA609C" w14:paraId="3FEEE2C6" w14:textId="77777777" w:rsidTr="00435371">
        <w:tc>
          <w:tcPr>
            <w:tcW w:w="993" w:type="dxa"/>
            <w:shd w:val="clear" w:color="auto" w:fill="auto"/>
          </w:tcPr>
          <w:p w14:paraId="05A56712" w14:textId="77777777" w:rsidR="00FA609C" w:rsidRPr="00FA609C" w:rsidRDefault="00691B92" w:rsidP="00FA609C">
            <w:pPr>
              <w:suppressAutoHyphens/>
              <w:spacing w:before="60" w:after="60"/>
              <w:ind w:left="8"/>
              <w:rPr>
                <w:sz w:val="18"/>
                <w:szCs w:val="18"/>
                <w:lang w:eastAsia="en-US"/>
              </w:rPr>
            </w:pPr>
            <w:r>
              <w:rPr>
                <w:sz w:val="18"/>
                <w:szCs w:val="18"/>
                <w:lang w:eastAsia="en-US"/>
              </w:rPr>
              <w:t>40</w:t>
            </w:r>
          </w:p>
        </w:tc>
        <w:tc>
          <w:tcPr>
            <w:tcW w:w="1701" w:type="dxa"/>
            <w:shd w:val="clear" w:color="auto" w:fill="auto"/>
          </w:tcPr>
          <w:p w14:paraId="356FE300" w14:textId="77777777" w:rsidR="00FA609C" w:rsidRPr="00FA609C" w:rsidRDefault="00FA609C" w:rsidP="00FA609C">
            <w:pPr>
              <w:suppressAutoHyphens/>
              <w:spacing w:before="60" w:after="60"/>
              <w:ind w:left="8"/>
              <w:rPr>
                <w:sz w:val="18"/>
                <w:szCs w:val="18"/>
                <w:lang w:eastAsia="en-US"/>
              </w:rPr>
            </w:pPr>
            <w:r w:rsidRPr="00FA609C">
              <w:rPr>
                <w:sz w:val="18"/>
                <w:szCs w:val="18"/>
                <w:lang w:eastAsia="en-US"/>
              </w:rPr>
              <w:t>Minor Reservations</w:t>
            </w:r>
          </w:p>
        </w:tc>
        <w:tc>
          <w:tcPr>
            <w:tcW w:w="6804" w:type="dxa"/>
            <w:shd w:val="clear" w:color="auto" w:fill="auto"/>
          </w:tcPr>
          <w:p w14:paraId="20643917" w14:textId="77777777" w:rsidR="00FA609C" w:rsidRPr="00FA609C" w:rsidRDefault="00FA609C" w:rsidP="00FA609C">
            <w:pPr>
              <w:suppressAutoHyphens/>
              <w:spacing w:before="60" w:after="60"/>
              <w:ind w:left="8"/>
              <w:rPr>
                <w:sz w:val="18"/>
                <w:szCs w:val="18"/>
                <w:lang w:eastAsia="en-US"/>
              </w:rPr>
            </w:pPr>
            <w:r w:rsidRPr="00FA609C">
              <w:rPr>
                <w:sz w:val="18"/>
                <w:szCs w:val="18"/>
                <w:lang w:eastAsia="en-US"/>
              </w:rPr>
              <w:t>Some minor reservations of the relevant ability, understanding, experience, skills, resource and/or quality measures required to provide the goods/works/services, with little or no evidence to support the response.</w:t>
            </w:r>
          </w:p>
        </w:tc>
      </w:tr>
      <w:tr w:rsidR="00FA609C" w:rsidRPr="00FA609C" w14:paraId="6819D6DB" w14:textId="77777777" w:rsidTr="00435371">
        <w:tc>
          <w:tcPr>
            <w:tcW w:w="993" w:type="dxa"/>
            <w:shd w:val="clear" w:color="auto" w:fill="auto"/>
          </w:tcPr>
          <w:p w14:paraId="4A7EA158" w14:textId="77777777" w:rsidR="00FA609C" w:rsidRPr="00FA609C" w:rsidRDefault="00691B92" w:rsidP="00FA609C">
            <w:pPr>
              <w:suppressAutoHyphens/>
              <w:spacing w:before="60" w:after="60"/>
              <w:ind w:left="8"/>
              <w:rPr>
                <w:sz w:val="18"/>
                <w:szCs w:val="18"/>
                <w:lang w:eastAsia="en-US"/>
              </w:rPr>
            </w:pPr>
            <w:r>
              <w:rPr>
                <w:sz w:val="18"/>
                <w:szCs w:val="18"/>
                <w:lang w:eastAsia="en-US"/>
              </w:rPr>
              <w:t>20</w:t>
            </w:r>
          </w:p>
        </w:tc>
        <w:tc>
          <w:tcPr>
            <w:tcW w:w="1701" w:type="dxa"/>
            <w:shd w:val="clear" w:color="auto" w:fill="auto"/>
          </w:tcPr>
          <w:p w14:paraId="77007785" w14:textId="77777777" w:rsidR="00FA609C" w:rsidRPr="00FA609C" w:rsidRDefault="00FA609C" w:rsidP="00FA609C">
            <w:pPr>
              <w:suppressAutoHyphens/>
              <w:spacing w:before="60" w:after="60"/>
              <w:ind w:left="8"/>
              <w:rPr>
                <w:sz w:val="18"/>
                <w:szCs w:val="18"/>
                <w:lang w:eastAsia="en-US"/>
              </w:rPr>
            </w:pPr>
            <w:r w:rsidRPr="00FA609C">
              <w:rPr>
                <w:sz w:val="18"/>
                <w:szCs w:val="18"/>
                <w:lang w:eastAsia="en-US"/>
              </w:rPr>
              <w:t>Serious Reservations</w:t>
            </w:r>
          </w:p>
        </w:tc>
        <w:tc>
          <w:tcPr>
            <w:tcW w:w="6804" w:type="dxa"/>
            <w:shd w:val="clear" w:color="auto" w:fill="auto"/>
          </w:tcPr>
          <w:p w14:paraId="67F61F40" w14:textId="77777777" w:rsidR="00FA609C" w:rsidRPr="00FA609C" w:rsidRDefault="00FA609C" w:rsidP="00FA609C">
            <w:pPr>
              <w:suppressAutoHyphens/>
              <w:spacing w:before="60" w:after="60"/>
              <w:ind w:left="8"/>
              <w:rPr>
                <w:sz w:val="18"/>
                <w:szCs w:val="18"/>
                <w:lang w:eastAsia="en-US"/>
              </w:rPr>
            </w:pPr>
            <w:r w:rsidRPr="00FA609C">
              <w:rPr>
                <w:sz w:val="18"/>
                <w:szCs w:val="18"/>
                <w:lang w:eastAsia="en-US"/>
              </w:rPr>
              <w:t>Considerable reservations of the relevant ability, understanding, experience, skills, resource and/or quality measures required to provide the goods/works/services, with little or no evidence to support the response.</w:t>
            </w:r>
          </w:p>
        </w:tc>
      </w:tr>
      <w:tr w:rsidR="00FA609C" w:rsidRPr="00FA609C" w14:paraId="2EABF1B1" w14:textId="77777777" w:rsidTr="00435371">
        <w:tc>
          <w:tcPr>
            <w:tcW w:w="993" w:type="dxa"/>
            <w:shd w:val="clear" w:color="auto" w:fill="auto"/>
          </w:tcPr>
          <w:p w14:paraId="42546C05" w14:textId="77777777" w:rsidR="00FA609C" w:rsidRPr="00FA609C" w:rsidRDefault="00FA609C" w:rsidP="00FA609C">
            <w:pPr>
              <w:suppressAutoHyphens/>
              <w:spacing w:before="60" w:after="60"/>
              <w:ind w:left="8"/>
              <w:rPr>
                <w:sz w:val="18"/>
                <w:szCs w:val="18"/>
                <w:lang w:eastAsia="en-US"/>
              </w:rPr>
            </w:pPr>
            <w:r w:rsidRPr="00FA609C">
              <w:rPr>
                <w:sz w:val="18"/>
                <w:szCs w:val="18"/>
                <w:lang w:eastAsia="en-US"/>
              </w:rPr>
              <w:t>0</w:t>
            </w:r>
          </w:p>
        </w:tc>
        <w:tc>
          <w:tcPr>
            <w:tcW w:w="1701" w:type="dxa"/>
            <w:shd w:val="clear" w:color="auto" w:fill="auto"/>
          </w:tcPr>
          <w:p w14:paraId="3BC0DB33" w14:textId="77777777" w:rsidR="00FA609C" w:rsidRPr="00FA609C" w:rsidRDefault="00FA609C" w:rsidP="00FA609C">
            <w:pPr>
              <w:suppressAutoHyphens/>
              <w:spacing w:before="60" w:after="60"/>
              <w:ind w:left="8"/>
              <w:rPr>
                <w:sz w:val="18"/>
                <w:szCs w:val="18"/>
                <w:lang w:eastAsia="en-US"/>
              </w:rPr>
            </w:pPr>
            <w:r w:rsidRPr="00FA609C">
              <w:rPr>
                <w:sz w:val="18"/>
                <w:szCs w:val="18"/>
                <w:lang w:eastAsia="en-US"/>
              </w:rPr>
              <w:t>Unacceptable</w:t>
            </w:r>
          </w:p>
        </w:tc>
        <w:tc>
          <w:tcPr>
            <w:tcW w:w="6804" w:type="dxa"/>
            <w:shd w:val="clear" w:color="auto" w:fill="auto"/>
          </w:tcPr>
          <w:p w14:paraId="70A61621" w14:textId="77777777" w:rsidR="00FA609C" w:rsidRPr="00FA609C" w:rsidRDefault="00FA609C" w:rsidP="00FA609C">
            <w:pPr>
              <w:suppressAutoHyphens/>
              <w:spacing w:before="60" w:after="60"/>
              <w:ind w:left="8"/>
              <w:rPr>
                <w:sz w:val="18"/>
                <w:szCs w:val="18"/>
                <w:lang w:eastAsia="en-US"/>
              </w:rPr>
            </w:pPr>
            <w:r w:rsidRPr="00FA609C">
              <w:rPr>
                <w:sz w:val="18"/>
                <w:szCs w:val="18"/>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323A7608" w14:textId="77777777" w:rsidR="0023320D" w:rsidRPr="00EC269C" w:rsidRDefault="0023320D" w:rsidP="0023320D">
      <w:pPr>
        <w:pStyle w:val="Default"/>
        <w:spacing w:before="60" w:after="60"/>
        <w:rPr>
          <w:szCs w:val="22"/>
        </w:rPr>
      </w:pPr>
      <w:r w:rsidRPr="00EC269C">
        <w:rPr>
          <w:szCs w:val="22"/>
        </w:rPr>
        <w:lastRenderedPageBreak/>
        <w:t>During the tender assessment period, CDC reserves the right to seek clarification in writing from the tenderers, to assist it in its consideration of the tender.  Tenders will be evaluated to determine the most economically advantageous offer taking into consideration the award criteria weightings detailed in the criteria table above.</w:t>
      </w:r>
    </w:p>
    <w:p w14:paraId="07CEE282" w14:textId="77777777" w:rsidR="0023320D" w:rsidRDefault="0023320D" w:rsidP="00FA609C">
      <w:pPr>
        <w:rPr>
          <w:szCs w:val="22"/>
        </w:rPr>
      </w:pPr>
    </w:p>
    <w:p w14:paraId="26D44149" w14:textId="77777777" w:rsidR="0023320D" w:rsidRDefault="0023320D" w:rsidP="0023320D">
      <w:pPr>
        <w:rPr>
          <w:szCs w:val="22"/>
        </w:rPr>
      </w:pPr>
      <w:r w:rsidRPr="00FA609C">
        <w:rPr>
          <w:szCs w:val="22"/>
        </w:rPr>
        <w:t>The Company is not bound to accept the lowest or any Tender.  This Tender does not constitute an offer to enter into a contractual relationship.  The Company will not reimburse any expense incurred by the Tenderers in preparing their responses to this Tender.</w:t>
      </w:r>
    </w:p>
    <w:p w14:paraId="37D95FDE" w14:textId="77777777" w:rsidR="0023320D" w:rsidRPr="00FA609C" w:rsidRDefault="0023320D" w:rsidP="00FA609C">
      <w:pPr>
        <w:rPr>
          <w:szCs w:val="22"/>
        </w:rPr>
      </w:pPr>
    </w:p>
    <w:p w14:paraId="293F9307" w14:textId="77777777" w:rsidR="00FA609C" w:rsidRPr="00FA609C" w:rsidRDefault="00FA609C" w:rsidP="00FA609C">
      <w:pPr>
        <w:rPr>
          <w:szCs w:val="22"/>
        </w:rPr>
      </w:pPr>
      <w:bookmarkStart w:id="18" w:name="_Toc336433908"/>
      <w:bookmarkStart w:id="19" w:name="_Toc356810517"/>
    </w:p>
    <w:p w14:paraId="06F8430C" w14:textId="77777777" w:rsidR="00FA609C" w:rsidRPr="00FA609C" w:rsidRDefault="00FA609C" w:rsidP="00FA609C">
      <w:pPr>
        <w:keepNext/>
        <w:ind w:left="0"/>
        <w:outlineLvl w:val="1"/>
        <w:rPr>
          <w:rFonts w:cs="Arial"/>
          <w:b/>
          <w:bCs/>
          <w:iCs/>
          <w:szCs w:val="28"/>
        </w:rPr>
      </w:pPr>
      <w:r w:rsidRPr="00FA609C">
        <w:rPr>
          <w:rFonts w:cs="Arial"/>
          <w:b/>
          <w:bCs/>
          <w:iCs/>
          <w:szCs w:val="28"/>
        </w:rPr>
        <w:t>Notification</w:t>
      </w:r>
      <w:bookmarkEnd w:id="18"/>
      <w:bookmarkEnd w:id="19"/>
    </w:p>
    <w:p w14:paraId="7D30CC1E" w14:textId="77777777" w:rsidR="00FA609C" w:rsidRPr="00FA609C" w:rsidRDefault="00FA609C" w:rsidP="00FA609C">
      <w:pPr>
        <w:rPr>
          <w:szCs w:val="22"/>
        </w:rPr>
      </w:pPr>
    </w:p>
    <w:p w14:paraId="541393E8" w14:textId="77777777" w:rsidR="00FA609C" w:rsidRPr="00FA609C" w:rsidRDefault="00FA609C" w:rsidP="00FA609C">
      <w:pPr>
        <w:rPr>
          <w:szCs w:val="22"/>
        </w:rPr>
      </w:pPr>
      <w:r w:rsidRPr="00FA609C">
        <w:rPr>
          <w:szCs w:val="22"/>
        </w:rPr>
        <w:t>Following evaluation of the Tenders, CDC will make a decision on which, if any, Tender shall be accepted.</w:t>
      </w:r>
    </w:p>
    <w:p w14:paraId="0E1E129C" w14:textId="77777777" w:rsidR="00FA609C" w:rsidRPr="00FA609C" w:rsidRDefault="00FA609C" w:rsidP="00FA609C">
      <w:pPr>
        <w:rPr>
          <w:szCs w:val="22"/>
        </w:rPr>
      </w:pPr>
    </w:p>
    <w:p w14:paraId="32BCB0A8" w14:textId="77777777" w:rsidR="00FA609C" w:rsidRPr="00FA609C" w:rsidRDefault="00FA609C" w:rsidP="00FA609C">
      <w:pPr>
        <w:rPr>
          <w:szCs w:val="22"/>
        </w:rPr>
      </w:pPr>
      <w:r w:rsidRPr="00FA609C">
        <w:rPr>
          <w:szCs w:val="22"/>
        </w:rPr>
        <w:t>Any contract award will be conditional on the Contract being approved in accordance with the CDC’s internal procedures and CDC being generally able to proceed.</w:t>
      </w:r>
    </w:p>
    <w:p w14:paraId="0BD1E989" w14:textId="77777777" w:rsidR="00FA609C" w:rsidRPr="00FA609C" w:rsidRDefault="00FA609C" w:rsidP="00FA609C">
      <w:pPr>
        <w:rPr>
          <w:szCs w:val="22"/>
        </w:rPr>
      </w:pPr>
    </w:p>
    <w:p w14:paraId="0EF8F1B5" w14:textId="77777777" w:rsidR="00FA609C" w:rsidRPr="00FA609C" w:rsidRDefault="00FA609C" w:rsidP="00FA609C">
      <w:pPr>
        <w:rPr>
          <w:b/>
          <w:szCs w:val="22"/>
        </w:rPr>
      </w:pPr>
      <w:r w:rsidRPr="00FA609C">
        <w:rPr>
          <w:b/>
          <w:szCs w:val="22"/>
        </w:rPr>
        <w:t>Intellectual Property</w:t>
      </w:r>
    </w:p>
    <w:p w14:paraId="7F5D646C" w14:textId="77777777" w:rsidR="00FA609C" w:rsidRPr="00FA609C" w:rsidRDefault="00FA609C" w:rsidP="00FA609C">
      <w:pPr>
        <w:rPr>
          <w:szCs w:val="22"/>
        </w:rPr>
      </w:pPr>
    </w:p>
    <w:p w14:paraId="3CE281DD" w14:textId="77777777" w:rsidR="00FA609C" w:rsidRPr="00FA609C" w:rsidRDefault="00FA609C" w:rsidP="00FA609C">
      <w:pPr>
        <w:rPr>
          <w:szCs w:val="22"/>
        </w:rPr>
      </w:pPr>
      <w:r w:rsidRPr="00FA609C">
        <w:rPr>
          <w:szCs w:val="22"/>
        </w:rPr>
        <w:t>The client shall be entitled to share the outcome of the work in whole or part with others at its discretion.  All outputs of the contract will remain the property of Cornwall Development Company.</w:t>
      </w:r>
    </w:p>
    <w:p w14:paraId="589CD439" w14:textId="77777777" w:rsidR="00FA609C" w:rsidRPr="00FA609C" w:rsidRDefault="00FA609C" w:rsidP="00FA609C">
      <w:pPr>
        <w:rPr>
          <w:szCs w:val="22"/>
        </w:rPr>
      </w:pPr>
    </w:p>
    <w:p w14:paraId="13867FDA" w14:textId="77777777" w:rsidR="00FA609C" w:rsidRPr="00FA609C" w:rsidRDefault="00FA609C" w:rsidP="00FA609C">
      <w:pPr>
        <w:rPr>
          <w:b/>
          <w:szCs w:val="22"/>
        </w:rPr>
      </w:pPr>
      <w:r w:rsidRPr="00FA609C">
        <w:rPr>
          <w:b/>
          <w:szCs w:val="22"/>
        </w:rPr>
        <w:t>Tender Award</w:t>
      </w:r>
    </w:p>
    <w:p w14:paraId="29E38C50" w14:textId="77777777" w:rsidR="00FA609C" w:rsidRPr="00FA609C" w:rsidRDefault="00FA609C" w:rsidP="00FA609C">
      <w:pPr>
        <w:rPr>
          <w:szCs w:val="22"/>
        </w:rPr>
      </w:pPr>
    </w:p>
    <w:p w14:paraId="198AA2CB" w14:textId="77777777" w:rsidR="00FA609C" w:rsidRPr="00FA609C" w:rsidRDefault="00FA609C" w:rsidP="00FA609C">
      <w:pPr>
        <w:rPr>
          <w:szCs w:val="22"/>
        </w:rPr>
      </w:pPr>
      <w:r w:rsidRPr="00FA609C">
        <w:rPr>
          <w:szCs w:val="22"/>
        </w:rPr>
        <w:t>Any contract awarded as a result of this tender process will be in accordance with the attached CDC standard terms and conditions (</w:t>
      </w:r>
      <w:r w:rsidR="00002C65">
        <w:rPr>
          <w:szCs w:val="22"/>
        </w:rPr>
        <w:t>Enclosure 1</w:t>
      </w:r>
      <w:r w:rsidRPr="00FA609C">
        <w:rPr>
          <w:szCs w:val="22"/>
        </w:rPr>
        <w:t>).</w:t>
      </w:r>
    </w:p>
    <w:p w14:paraId="76941564" w14:textId="77777777" w:rsidR="0002390D" w:rsidRDefault="0002390D" w:rsidP="0002390D">
      <w:bookmarkStart w:id="20" w:name="_Toc336433903"/>
      <w:bookmarkStart w:id="21" w:name="_Toc356810515"/>
    </w:p>
    <w:bookmarkEnd w:id="20"/>
    <w:bookmarkEnd w:id="21"/>
    <w:p w14:paraId="2A05A0C1" w14:textId="77777777" w:rsidR="002F3408" w:rsidRDefault="002F3408" w:rsidP="0002390D">
      <w:pPr>
        <w:ind w:left="0"/>
      </w:pPr>
    </w:p>
    <w:p w14:paraId="34F4D6AB" w14:textId="77777777" w:rsidR="006F4483" w:rsidRDefault="006F4483" w:rsidP="003E7B23"/>
    <w:p w14:paraId="2FDC2DB2" w14:textId="77777777" w:rsidR="006F4483" w:rsidRDefault="00BE75BB" w:rsidP="006F4483">
      <w:pPr>
        <w:pStyle w:val="Heading1"/>
      </w:pPr>
      <w:r>
        <w:t>Tender Return</w:t>
      </w:r>
    </w:p>
    <w:p w14:paraId="2CD1DBC2" w14:textId="77777777" w:rsidR="003E0E4B" w:rsidRPr="003E0E4B" w:rsidRDefault="003E0E4B" w:rsidP="00002C65">
      <w:pPr>
        <w:ind w:left="0"/>
        <w:rPr>
          <w:szCs w:val="22"/>
        </w:rPr>
      </w:pPr>
    </w:p>
    <w:p w14:paraId="09E87001" w14:textId="77777777" w:rsidR="003E0E4B" w:rsidRPr="003E0E4B" w:rsidRDefault="003E0E4B" w:rsidP="003E0E4B">
      <w:pPr>
        <w:rPr>
          <w:szCs w:val="22"/>
        </w:rPr>
      </w:pPr>
      <w:r w:rsidRPr="003E0E4B">
        <w:rPr>
          <w:szCs w:val="22"/>
        </w:rPr>
        <w:t>Tenders may be returned by email or post, or by delivery in person.</w:t>
      </w:r>
    </w:p>
    <w:p w14:paraId="351D97A0" w14:textId="77777777" w:rsidR="003E0E4B" w:rsidRPr="003E0E4B" w:rsidRDefault="003E0E4B" w:rsidP="003E0E4B">
      <w:pPr>
        <w:rPr>
          <w:szCs w:val="22"/>
        </w:rPr>
      </w:pPr>
    </w:p>
    <w:p w14:paraId="4B4EB6FB" w14:textId="77777777" w:rsidR="003E0E4B" w:rsidRPr="003E0E4B" w:rsidRDefault="003E0E4B" w:rsidP="003E0E4B">
      <w:pPr>
        <w:rPr>
          <w:szCs w:val="22"/>
        </w:rPr>
      </w:pPr>
      <w:r w:rsidRPr="003E0E4B">
        <w:rPr>
          <w:szCs w:val="22"/>
        </w:rPr>
        <w:t xml:space="preserve">Latest date to be returned:   </w:t>
      </w:r>
      <w:r w:rsidRPr="003E0E4B">
        <w:rPr>
          <w:b/>
          <w:szCs w:val="22"/>
        </w:rPr>
        <w:t>5pm</w:t>
      </w:r>
      <w:r w:rsidRPr="003E0E4B">
        <w:rPr>
          <w:szCs w:val="22"/>
        </w:rPr>
        <w:t xml:space="preserve"> – </w:t>
      </w:r>
      <w:r w:rsidR="00BE75BB">
        <w:rPr>
          <w:szCs w:val="22"/>
        </w:rPr>
        <w:t>19</w:t>
      </w:r>
      <w:r w:rsidRPr="003E0E4B">
        <w:rPr>
          <w:szCs w:val="22"/>
        </w:rPr>
        <w:t xml:space="preserve"> </w:t>
      </w:r>
      <w:r w:rsidR="00BE75BB">
        <w:rPr>
          <w:szCs w:val="22"/>
        </w:rPr>
        <w:t>December</w:t>
      </w:r>
      <w:r w:rsidRPr="003E0E4B">
        <w:rPr>
          <w:szCs w:val="22"/>
        </w:rPr>
        <w:t xml:space="preserve"> 201</w:t>
      </w:r>
      <w:r w:rsidR="00BE75BB">
        <w:rPr>
          <w:szCs w:val="22"/>
        </w:rPr>
        <w:t>8</w:t>
      </w:r>
    </w:p>
    <w:p w14:paraId="25CE9D91" w14:textId="77777777" w:rsidR="003E0E4B" w:rsidRPr="003E0E4B" w:rsidRDefault="003E0E4B" w:rsidP="003E0E4B">
      <w:pPr>
        <w:rPr>
          <w:szCs w:val="22"/>
        </w:rPr>
      </w:pPr>
    </w:p>
    <w:p w14:paraId="027F8A1D" w14:textId="77777777" w:rsidR="003E0E4B" w:rsidRPr="003E0E4B" w:rsidRDefault="003E0E4B" w:rsidP="003E0E4B">
      <w:pPr>
        <w:rPr>
          <w:b/>
          <w:szCs w:val="22"/>
        </w:rPr>
      </w:pPr>
      <w:r w:rsidRPr="003E0E4B">
        <w:rPr>
          <w:szCs w:val="22"/>
        </w:rPr>
        <w:t xml:space="preserve">If submitting by email, tenders should be sent electronically to </w:t>
      </w:r>
      <w:hyperlink r:id="rId12" w:history="1">
        <w:r w:rsidRPr="003E0E4B">
          <w:rPr>
            <w:color w:val="0000FF"/>
            <w:szCs w:val="22"/>
            <w:u w:val="single"/>
          </w:rPr>
          <w:t>finance@cornwalldevelopmentcompany.co.uk</w:t>
        </w:r>
      </w:hyperlink>
      <w:r w:rsidRPr="003E0E4B">
        <w:rPr>
          <w:szCs w:val="22"/>
        </w:rPr>
        <w:t xml:space="preserve"> with the following message </w:t>
      </w:r>
      <w:r w:rsidRPr="003E0E4B">
        <w:rPr>
          <w:b/>
          <w:szCs w:val="22"/>
        </w:rPr>
        <w:t xml:space="preserve">clearly noted in the Subject box; </w:t>
      </w:r>
    </w:p>
    <w:p w14:paraId="71E2241E" w14:textId="77777777" w:rsidR="003E0E4B" w:rsidRPr="003E0E4B" w:rsidRDefault="003E0E4B" w:rsidP="003E0E4B">
      <w:pPr>
        <w:rPr>
          <w:szCs w:val="22"/>
        </w:rPr>
      </w:pPr>
    </w:p>
    <w:p w14:paraId="0B908BD7" w14:textId="77777777" w:rsidR="003E0E4B" w:rsidRPr="003E0E4B" w:rsidRDefault="003E0E4B" w:rsidP="003E0E4B">
      <w:pPr>
        <w:rPr>
          <w:szCs w:val="22"/>
        </w:rPr>
      </w:pPr>
      <w:r w:rsidRPr="003E0E4B">
        <w:rPr>
          <w:szCs w:val="22"/>
        </w:rPr>
        <w:t xml:space="preserve">‘Tender </w:t>
      </w:r>
      <w:r w:rsidR="0020336A">
        <w:rPr>
          <w:szCs w:val="22"/>
        </w:rPr>
        <w:t>443</w:t>
      </w:r>
      <w:r w:rsidRPr="003E0E4B">
        <w:rPr>
          <w:szCs w:val="22"/>
        </w:rPr>
        <w:t xml:space="preserve"> - Strictly Confidential – </w:t>
      </w:r>
      <w:r w:rsidR="00753B65">
        <w:rPr>
          <w:szCs w:val="22"/>
        </w:rPr>
        <w:t>CIOS Growth Hub Fact Sheets’</w:t>
      </w:r>
      <w:r w:rsidRPr="003E0E4B">
        <w:rPr>
          <w:szCs w:val="22"/>
        </w:rPr>
        <w:t xml:space="preserve"> </w:t>
      </w:r>
    </w:p>
    <w:p w14:paraId="435161BD" w14:textId="77777777" w:rsidR="003E0E4B" w:rsidRPr="003E0E4B" w:rsidRDefault="003E0E4B" w:rsidP="003E0E4B">
      <w:pPr>
        <w:rPr>
          <w:szCs w:val="22"/>
        </w:rPr>
      </w:pPr>
    </w:p>
    <w:p w14:paraId="241F7710" w14:textId="77777777" w:rsidR="003E0E4B" w:rsidRPr="003E0E4B" w:rsidRDefault="003E0E4B" w:rsidP="003E0E4B">
      <w:pPr>
        <w:rPr>
          <w:szCs w:val="22"/>
        </w:rPr>
      </w:pPr>
      <w:r w:rsidRPr="003E0E4B">
        <w:rPr>
          <w:szCs w:val="22"/>
        </w:rPr>
        <w:t>Tenderers are advised to request an acknowledgement of receipt when submitting by email.</w:t>
      </w:r>
    </w:p>
    <w:p w14:paraId="66276DC3" w14:textId="77777777" w:rsidR="003E0E4B" w:rsidRPr="003E0E4B" w:rsidRDefault="003E0E4B" w:rsidP="003E0E4B">
      <w:pPr>
        <w:rPr>
          <w:szCs w:val="22"/>
        </w:rPr>
      </w:pPr>
    </w:p>
    <w:p w14:paraId="11AAC096" w14:textId="77777777" w:rsidR="003E0E4B" w:rsidRPr="003E0E4B" w:rsidRDefault="003E0E4B" w:rsidP="003E0E4B">
      <w:pPr>
        <w:rPr>
          <w:b/>
          <w:szCs w:val="22"/>
        </w:rPr>
      </w:pPr>
      <w:r w:rsidRPr="003E0E4B">
        <w:rPr>
          <w:szCs w:val="22"/>
        </w:rPr>
        <w:t xml:space="preserve">If submitting by post or in person, the Tender must be enclosed in a sealed envelope, </w:t>
      </w:r>
      <w:r w:rsidRPr="003E0E4B">
        <w:rPr>
          <w:b/>
          <w:szCs w:val="22"/>
        </w:rPr>
        <w:t>only marked as follows:-</w:t>
      </w:r>
    </w:p>
    <w:p w14:paraId="5EAAFFCD" w14:textId="77777777" w:rsidR="003E0E4B" w:rsidRPr="003E0E4B" w:rsidRDefault="003E0E4B" w:rsidP="003E0E4B">
      <w:pPr>
        <w:rPr>
          <w:szCs w:val="22"/>
        </w:rPr>
      </w:pPr>
    </w:p>
    <w:p w14:paraId="612435FC" w14:textId="77777777" w:rsidR="003E0E4B" w:rsidRPr="003E0E4B" w:rsidRDefault="003E0E4B" w:rsidP="003E0E4B">
      <w:pPr>
        <w:rPr>
          <w:szCs w:val="22"/>
        </w:rPr>
      </w:pPr>
      <w:r w:rsidRPr="003E0E4B">
        <w:rPr>
          <w:szCs w:val="22"/>
        </w:rPr>
        <w:lastRenderedPageBreak/>
        <w:t>‘Tender TEN</w:t>
      </w:r>
      <w:r w:rsidR="0020336A">
        <w:rPr>
          <w:szCs w:val="22"/>
        </w:rPr>
        <w:t>443</w:t>
      </w:r>
      <w:r w:rsidRPr="003E0E4B">
        <w:rPr>
          <w:szCs w:val="22"/>
        </w:rPr>
        <w:t xml:space="preserve"> - Strictly Confidential – </w:t>
      </w:r>
      <w:r w:rsidR="001835F9">
        <w:rPr>
          <w:szCs w:val="22"/>
        </w:rPr>
        <w:t>CIOS Growth Hub Factsheets</w:t>
      </w:r>
      <w:r w:rsidRPr="003E0E4B">
        <w:rPr>
          <w:szCs w:val="22"/>
        </w:rPr>
        <w:t>’</w:t>
      </w:r>
    </w:p>
    <w:p w14:paraId="4537EE92" w14:textId="77777777" w:rsidR="003E0E4B" w:rsidRPr="003E0E4B" w:rsidRDefault="003E0E4B" w:rsidP="003E0E4B">
      <w:pPr>
        <w:rPr>
          <w:szCs w:val="22"/>
        </w:rPr>
      </w:pPr>
      <w:r w:rsidRPr="003E0E4B">
        <w:rPr>
          <w:szCs w:val="22"/>
        </w:rPr>
        <w:t>For the attention of Nicky Pooley, Head of Corporate Services</w:t>
      </w:r>
    </w:p>
    <w:p w14:paraId="0DC831B5" w14:textId="77777777" w:rsidR="003E0E4B" w:rsidRPr="003E0E4B" w:rsidRDefault="003E0E4B" w:rsidP="003E0E4B">
      <w:pPr>
        <w:rPr>
          <w:szCs w:val="22"/>
        </w:rPr>
      </w:pPr>
      <w:r w:rsidRPr="003E0E4B">
        <w:rPr>
          <w:szCs w:val="22"/>
        </w:rPr>
        <w:t>Cornwall Development Company</w:t>
      </w:r>
    </w:p>
    <w:p w14:paraId="542797FD" w14:textId="77777777" w:rsidR="003E0E4B" w:rsidRPr="003E0E4B" w:rsidRDefault="003E0E4B" w:rsidP="003E0E4B">
      <w:pPr>
        <w:rPr>
          <w:szCs w:val="22"/>
        </w:rPr>
      </w:pPr>
      <w:r w:rsidRPr="003E0E4B">
        <w:rPr>
          <w:szCs w:val="22"/>
        </w:rPr>
        <w:t>Bickford House</w:t>
      </w:r>
    </w:p>
    <w:p w14:paraId="0DFE9756" w14:textId="77777777" w:rsidR="003E0E4B" w:rsidRPr="003E0E4B" w:rsidRDefault="003E0E4B" w:rsidP="003E0E4B">
      <w:pPr>
        <w:rPr>
          <w:szCs w:val="22"/>
        </w:rPr>
      </w:pPr>
      <w:r w:rsidRPr="003E0E4B">
        <w:rPr>
          <w:szCs w:val="22"/>
        </w:rPr>
        <w:t>South Wheal Crofty</w:t>
      </w:r>
    </w:p>
    <w:p w14:paraId="7B006A39" w14:textId="77777777" w:rsidR="003E0E4B" w:rsidRPr="003E0E4B" w:rsidRDefault="003E0E4B" w:rsidP="003E0E4B">
      <w:pPr>
        <w:rPr>
          <w:szCs w:val="22"/>
        </w:rPr>
      </w:pPr>
      <w:r w:rsidRPr="003E0E4B">
        <w:rPr>
          <w:szCs w:val="22"/>
        </w:rPr>
        <w:t>Station Road</w:t>
      </w:r>
    </w:p>
    <w:p w14:paraId="59F7FE72" w14:textId="77777777" w:rsidR="003E0E4B" w:rsidRPr="003E0E4B" w:rsidRDefault="003E0E4B" w:rsidP="003E0E4B">
      <w:pPr>
        <w:rPr>
          <w:szCs w:val="22"/>
        </w:rPr>
      </w:pPr>
      <w:r w:rsidRPr="003E0E4B">
        <w:rPr>
          <w:szCs w:val="22"/>
        </w:rPr>
        <w:t>Pool, Redruth</w:t>
      </w:r>
    </w:p>
    <w:p w14:paraId="19E9516E" w14:textId="77777777" w:rsidR="003E0E4B" w:rsidRPr="003E0E4B" w:rsidRDefault="003E0E4B" w:rsidP="003E0E4B">
      <w:pPr>
        <w:rPr>
          <w:szCs w:val="22"/>
        </w:rPr>
      </w:pPr>
      <w:r w:rsidRPr="003E0E4B">
        <w:rPr>
          <w:szCs w:val="22"/>
        </w:rPr>
        <w:t xml:space="preserve">Cornwall </w:t>
      </w:r>
    </w:p>
    <w:p w14:paraId="26E59FA9" w14:textId="77777777" w:rsidR="003E0E4B" w:rsidRPr="003E0E4B" w:rsidRDefault="003E0E4B" w:rsidP="003E0E4B">
      <w:pPr>
        <w:rPr>
          <w:szCs w:val="22"/>
        </w:rPr>
      </w:pPr>
      <w:r w:rsidRPr="003E0E4B">
        <w:rPr>
          <w:szCs w:val="22"/>
        </w:rPr>
        <w:t>TR15 3QG</w:t>
      </w:r>
    </w:p>
    <w:p w14:paraId="522AE0CC" w14:textId="77777777" w:rsidR="003E0E4B" w:rsidRPr="003E0E4B" w:rsidRDefault="003E0E4B" w:rsidP="003E0E4B">
      <w:pPr>
        <w:rPr>
          <w:szCs w:val="22"/>
        </w:rPr>
      </w:pPr>
    </w:p>
    <w:p w14:paraId="51FEDA1C" w14:textId="77777777" w:rsidR="003E0E4B" w:rsidRPr="003E0E4B" w:rsidRDefault="003E0E4B" w:rsidP="003E0E4B">
      <w:pPr>
        <w:rPr>
          <w:szCs w:val="22"/>
        </w:rPr>
      </w:pPr>
      <w:r w:rsidRPr="003E0E4B">
        <w:rPr>
          <w:szCs w:val="22"/>
        </w:rPr>
        <w:t>The envelope should not give any indication to the Tenderer’s identity.  Marking by the carrier will not disqualify the tender.</w:t>
      </w:r>
    </w:p>
    <w:p w14:paraId="39024282" w14:textId="77777777" w:rsidR="003E0E4B" w:rsidRPr="003E0E4B" w:rsidRDefault="003E0E4B" w:rsidP="003E0E4B">
      <w:pPr>
        <w:rPr>
          <w:szCs w:val="22"/>
        </w:rPr>
      </w:pPr>
    </w:p>
    <w:p w14:paraId="26BE4301" w14:textId="77777777" w:rsidR="003E0E4B" w:rsidRPr="003E0E4B" w:rsidRDefault="003E0E4B" w:rsidP="003E0E4B">
      <w:pPr>
        <w:rPr>
          <w:szCs w:val="22"/>
        </w:rPr>
      </w:pPr>
      <w:r w:rsidRPr="003E0E4B">
        <w:rPr>
          <w:szCs w:val="22"/>
        </w:rPr>
        <w:t xml:space="preserve">Note that if you are delivering the Tender by hand or by courier, it should be delivered during normal working hours (0900 – 1700 Monday to Friday) and an official receipt obtained.  Tenders delivered by hand to any other location will not qualify and will be rejected.  </w:t>
      </w:r>
    </w:p>
    <w:p w14:paraId="6C1D45AB" w14:textId="77777777" w:rsidR="003E0E4B" w:rsidRPr="003E0E4B" w:rsidRDefault="003E0E4B" w:rsidP="003E0E4B">
      <w:pPr>
        <w:rPr>
          <w:szCs w:val="22"/>
        </w:rPr>
      </w:pPr>
    </w:p>
    <w:p w14:paraId="3A0695D3" w14:textId="77777777" w:rsidR="00FD4680" w:rsidRDefault="003E0E4B" w:rsidP="003E0E4B">
      <w:pPr>
        <w:rPr>
          <w:szCs w:val="22"/>
        </w:rPr>
      </w:pPr>
      <w:r w:rsidRPr="003E0E4B">
        <w:rPr>
          <w:szCs w:val="22"/>
        </w:rPr>
        <w:t>PLEASE DO NOT EMAIL YOUR TENDER SUBMISSION TO THE CORNWALL DEVELOPMENT COMPANY OR THE CONTACT OFFICER.</w:t>
      </w:r>
    </w:p>
    <w:p w14:paraId="29AE9E4A" w14:textId="77777777" w:rsidR="00FD4680" w:rsidRDefault="00FD4680" w:rsidP="00002C65">
      <w:pPr>
        <w:ind w:left="0"/>
      </w:pPr>
    </w:p>
    <w:p w14:paraId="2AFB402C" w14:textId="77777777" w:rsidR="00904ECF" w:rsidRDefault="00904ECF" w:rsidP="00904ECF">
      <w:r>
        <w:t>If delivery by hand please obtain an official Receipt at point of delivery</w:t>
      </w:r>
    </w:p>
    <w:p w14:paraId="03D98FCF" w14:textId="77777777" w:rsidR="00FD4680" w:rsidRDefault="00FD4680" w:rsidP="00002C65">
      <w:pPr>
        <w:ind w:left="0"/>
      </w:pPr>
    </w:p>
    <w:p w14:paraId="4C6EB80A" w14:textId="77777777" w:rsidR="009C7782" w:rsidRPr="009C7782" w:rsidRDefault="009C7782" w:rsidP="009C7782">
      <w:pPr>
        <w:rPr>
          <w:b/>
          <w:szCs w:val="22"/>
        </w:rPr>
      </w:pPr>
      <w:r w:rsidRPr="009C7782">
        <w:rPr>
          <w:b/>
          <w:szCs w:val="22"/>
        </w:rPr>
        <w:t>Discrepancies, Omissions, Clarification and Enquiries</w:t>
      </w:r>
    </w:p>
    <w:p w14:paraId="4E97282E" w14:textId="77777777" w:rsidR="009C7782" w:rsidRPr="009C7782" w:rsidRDefault="009C7782" w:rsidP="009C7782">
      <w:pPr>
        <w:rPr>
          <w:szCs w:val="22"/>
        </w:rPr>
      </w:pPr>
    </w:p>
    <w:p w14:paraId="17ED50AB" w14:textId="77777777" w:rsidR="009C7782" w:rsidRPr="009C7782" w:rsidRDefault="009C7782" w:rsidP="009C7782">
      <w:pPr>
        <w:rPr>
          <w:szCs w:val="22"/>
        </w:rPr>
      </w:pPr>
      <w:r w:rsidRPr="009C7782">
        <w:rPr>
          <w:szCs w:val="22"/>
        </w:rPr>
        <w:t xml:space="preserve">Should the Tenderer find discrepancies in, or omissions from, the </w:t>
      </w:r>
      <w:r w:rsidR="004A1195">
        <w:rPr>
          <w:szCs w:val="22"/>
        </w:rPr>
        <w:t>IT</w:t>
      </w:r>
      <w:r w:rsidR="008770CD">
        <w:rPr>
          <w:szCs w:val="22"/>
        </w:rPr>
        <w:t>T</w:t>
      </w:r>
      <w:r w:rsidRPr="009C7782">
        <w:rPr>
          <w:szCs w:val="22"/>
        </w:rPr>
        <w:t xml:space="preserve"> Documents, the Tenderer shall notify CDC immediately.</w:t>
      </w:r>
    </w:p>
    <w:p w14:paraId="063C6F70" w14:textId="77777777" w:rsidR="009C7782" w:rsidRPr="009C7782" w:rsidRDefault="009C7782" w:rsidP="009C7782">
      <w:pPr>
        <w:rPr>
          <w:szCs w:val="22"/>
        </w:rPr>
      </w:pPr>
    </w:p>
    <w:p w14:paraId="578BE1D2" w14:textId="77777777" w:rsidR="009C7782" w:rsidRPr="009C7782" w:rsidRDefault="009C7782" w:rsidP="009C7782">
      <w:pPr>
        <w:rPr>
          <w:szCs w:val="22"/>
        </w:rPr>
      </w:pPr>
      <w:r w:rsidRPr="009C7782">
        <w:rPr>
          <w:szCs w:val="22"/>
        </w:rPr>
        <w:t xml:space="preserve">Any clarification queries arising from these </w:t>
      </w:r>
      <w:r w:rsidR="004A1195">
        <w:rPr>
          <w:szCs w:val="22"/>
        </w:rPr>
        <w:t>IT</w:t>
      </w:r>
      <w:r w:rsidR="00B83F0B">
        <w:rPr>
          <w:szCs w:val="22"/>
        </w:rPr>
        <w:t>T</w:t>
      </w:r>
      <w:r w:rsidRPr="009C7782">
        <w:rPr>
          <w:szCs w:val="22"/>
        </w:rPr>
        <w:t xml:space="preserve"> Documents which may have a bearing on the offer should be raised with the CDC contact (</w:t>
      </w:r>
      <w:r>
        <w:rPr>
          <w:szCs w:val="22"/>
        </w:rPr>
        <w:t xml:space="preserve">Stu Anderson </w:t>
      </w:r>
      <w:hyperlink r:id="rId13" w:history="1">
        <w:r w:rsidRPr="00482FAE">
          <w:rPr>
            <w:rStyle w:val="Hyperlink"/>
            <w:szCs w:val="22"/>
          </w:rPr>
          <w:t>stu@ciosgrowthhub.com</w:t>
        </w:r>
      </w:hyperlink>
      <w:r>
        <w:rPr>
          <w:szCs w:val="22"/>
        </w:rPr>
        <w:t xml:space="preserve">) </w:t>
      </w:r>
      <w:r w:rsidRPr="009C7782">
        <w:rPr>
          <w:szCs w:val="22"/>
        </w:rPr>
        <w:t>as soon as possible and in accordance with the Timetable above. Responses to all relevant queries will be posted on Contracts Finder.</w:t>
      </w:r>
    </w:p>
    <w:p w14:paraId="2C630FBB" w14:textId="77777777" w:rsidR="009C7782" w:rsidRPr="009C7782" w:rsidRDefault="009C7782" w:rsidP="009C7782">
      <w:pPr>
        <w:rPr>
          <w:szCs w:val="22"/>
        </w:rPr>
      </w:pPr>
    </w:p>
    <w:p w14:paraId="6F5F359F" w14:textId="77777777" w:rsidR="009C7782" w:rsidRPr="009C7782" w:rsidRDefault="009C7782" w:rsidP="009C7782">
      <w:pPr>
        <w:rPr>
          <w:szCs w:val="22"/>
        </w:rPr>
      </w:pPr>
      <w:r w:rsidRPr="009C7782">
        <w:rPr>
          <w:szCs w:val="22"/>
        </w:rPr>
        <w:t xml:space="preserve">There will be no negotiation on any of the substantive terms of these </w:t>
      </w:r>
      <w:r>
        <w:rPr>
          <w:szCs w:val="22"/>
        </w:rPr>
        <w:t>IT</w:t>
      </w:r>
      <w:r w:rsidR="00B83F0B">
        <w:rPr>
          <w:szCs w:val="22"/>
        </w:rPr>
        <w:t>T</w:t>
      </w:r>
      <w:r w:rsidRPr="009C7782">
        <w:rPr>
          <w:szCs w:val="22"/>
        </w:rPr>
        <w:t xml:space="preserve">   Documents. All clarifications need to be submitted by email to the CDC contact.</w:t>
      </w:r>
    </w:p>
    <w:p w14:paraId="329919E9" w14:textId="77777777" w:rsidR="009C7782" w:rsidRPr="009C7782" w:rsidRDefault="009C7782" w:rsidP="009C7782">
      <w:pPr>
        <w:rPr>
          <w:szCs w:val="22"/>
        </w:rPr>
      </w:pPr>
    </w:p>
    <w:p w14:paraId="3683D0F1" w14:textId="77777777" w:rsidR="009C7782" w:rsidRPr="009C7782" w:rsidRDefault="009C7782" w:rsidP="009C7782">
      <w:pPr>
        <w:rPr>
          <w:szCs w:val="22"/>
        </w:rPr>
      </w:pPr>
      <w:r w:rsidRPr="009C7782">
        <w:rPr>
          <w:szCs w:val="22"/>
        </w:rPr>
        <w:t xml:space="preserve">No representation by way of explanation or otherwise to persons or corporations tendering or desirous of tendering as to the meaning of the tender, Contract or other </w:t>
      </w:r>
      <w:r w:rsidR="004A1195">
        <w:rPr>
          <w:szCs w:val="22"/>
        </w:rPr>
        <w:t>IT</w:t>
      </w:r>
      <w:r w:rsidR="00B83F0B">
        <w:rPr>
          <w:szCs w:val="22"/>
        </w:rPr>
        <w:t>T</w:t>
      </w:r>
      <w:r w:rsidRPr="009C7782">
        <w:rPr>
          <w:szCs w:val="22"/>
        </w:rPr>
        <w:t xml:space="preserve"> Documents or as to any other matter or thing to be done under the proposed Contract shall bind CDC unless such representation is in writing and duly signed by a Director/Partner of the provider. All such correspondence shall be returned with the </w:t>
      </w:r>
      <w:r w:rsidR="004A1195">
        <w:rPr>
          <w:szCs w:val="22"/>
        </w:rPr>
        <w:t>IT</w:t>
      </w:r>
      <w:r w:rsidR="00B83F0B">
        <w:rPr>
          <w:szCs w:val="22"/>
        </w:rPr>
        <w:t>T</w:t>
      </w:r>
      <w:r w:rsidRPr="009C7782">
        <w:rPr>
          <w:szCs w:val="22"/>
        </w:rPr>
        <w:t xml:space="preserve"> Documents and shall form part of the Contract.</w:t>
      </w:r>
    </w:p>
    <w:p w14:paraId="79F38A75" w14:textId="77777777" w:rsidR="009C7782" w:rsidRPr="009C7782" w:rsidRDefault="009C7782" w:rsidP="009C7782">
      <w:pPr>
        <w:rPr>
          <w:szCs w:val="22"/>
        </w:rPr>
      </w:pPr>
    </w:p>
    <w:p w14:paraId="0F13B3B3" w14:textId="77777777" w:rsidR="009C7782" w:rsidRPr="009C7782" w:rsidRDefault="009C7782" w:rsidP="009C7782">
      <w:pPr>
        <w:rPr>
          <w:szCs w:val="22"/>
        </w:rPr>
      </w:pPr>
      <w:r w:rsidRPr="009C7782">
        <w:rPr>
          <w:szCs w:val="22"/>
        </w:rPr>
        <w:t>Where the Company considers any question or request for clarification to be significant, the anonymised query and response will be communicated to all Tenderers via Contracts Finder.</w:t>
      </w:r>
    </w:p>
    <w:p w14:paraId="01E1A3FC" w14:textId="77777777" w:rsidR="00A90000" w:rsidRDefault="00A90000" w:rsidP="00904ECF"/>
    <w:p w14:paraId="485CB8BD" w14:textId="77777777" w:rsidR="007B5C2B" w:rsidRPr="00002C65" w:rsidRDefault="009256D6" w:rsidP="00904ECF">
      <w:pPr>
        <w:ind w:left="0"/>
        <w:rPr>
          <w:b/>
        </w:rPr>
      </w:pPr>
      <w:r w:rsidRPr="00002C65">
        <w:rPr>
          <w:b/>
        </w:rPr>
        <w:t>Enclosures</w:t>
      </w:r>
    </w:p>
    <w:p w14:paraId="2827FB5D" w14:textId="77777777" w:rsidR="009256D6" w:rsidRDefault="009256D6" w:rsidP="00904ECF">
      <w:pPr>
        <w:ind w:left="0"/>
      </w:pPr>
    </w:p>
    <w:p w14:paraId="20E2DAF4" w14:textId="77777777" w:rsidR="009256D6" w:rsidRDefault="00002C65" w:rsidP="00002C65">
      <w:pPr>
        <w:pStyle w:val="ListParagraph"/>
        <w:numPr>
          <w:ilvl w:val="0"/>
          <w:numId w:val="45"/>
        </w:numPr>
      </w:pPr>
      <w:r>
        <w:t xml:space="preserve">CDC </w:t>
      </w:r>
      <w:r w:rsidR="009256D6">
        <w:t>Terms &amp; conditions</w:t>
      </w:r>
    </w:p>
    <w:sectPr w:rsidR="009256D6" w:rsidSect="00730903">
      <w:headerReference w:type="even" r:id="rId14"/>
      <w:headerReference w:type="default" r:id="rId15"/>
      <w:footerReference w:type="even" r:id="rId16"/>
      <w:footerReference w:type="default" r:id="rId17"/>
      <w:headerReference w:type="first" r:id="rId18"/>
      <w:footerReference w:type="first" r:id="rId19"/>
      <w:pgSz w:w="11906" w:h="16838" w:code="9"/>
      <w:pgMar w:top="1276" w:right="1134" w:bottom="1702"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6A124" w14:textId="77777777" w:rsidR="007C5B82" w:rsidRDefault="007C5B82" w:rsidP="00492933">
      <w:r>
        <w:separator/>
      </w:r>
    </w:p>
    <w:p w14:paraId="2470DE16" w14:textId="77777777" w:rsidR="007C5B82" w:rsidRDefault="007C5B82" w:rsidP="00492933"/>
    <w:p w14:paraId="1904BD13" w14:textId="77777777" w:rsidR="007C5B82" w:rsidRDefault="007C5B82" w:rsidP="00492933"/>
    <w:p w14:paraId="65D63587" w14:textId="77777777" w:rsidR="007C5B82" w:rsidRDefault="007C5B82" w:rsidP="00492933"/>
    <w:p w14:paraId="65D05BA6" w14:textId="77777777" w:rsidR="007C5B82" w:rsidRDefault="007C5B82" w:rsidP="00492933"/>
    <w:p w14:paraId="0558E6D2" w14:textId="77777777" w:rsidR="007C5B82" w:rsidRDefault="007C5B82" w:rsidP="00492933"/>
    <w:p w14:paraId="3E9BAEE7" w14:textId="77777777" w:rsidR="007C5B82" w:rsidRDefault="007C5B82" w:rsidP="00492933"/>
    <w:p w14:paraId="759198A0" w14:textId="77777777" w:rsidR="007C5B82" w:rsidRDefault="007C5B82" w:rsidP="00492933"/>
    <w:p w14:paraId="6D99219E" w14:textId="77777777" w:rsidR="007C5B82" w:rsidRDefault="007C5B82" w:rsidP="00492933"/>
    <w:p w14:paraId="26AB8F07" w14:textId="77777777" w:rsidR="007C5B82" w:rsidRDefault="007C5B82" w:rsidP="00492933"/>
    <w:p w14:paraId="1E9AD749" w14:textId="77777777" w:rsidR="007C5B82" w:rsidRDefault="007C5B82" w:rsidP="00492933"/>
    <w:p w14:paraId="3541D9E5" w14:textId="77777777" w:rsidR="007C5B82" w:rsidRDefault="007C5B82" w:rsidP="00492933"/>
    <w:p w14:paraId="3A50FFE2" w14:textId="77777777" w:rsidR="007C5B82" w:rsidRDefault="007C5B82" w:rsidP="00492933"/>
    <w:p w14:paraId="507544D6" w14:textId="77777777" w:rsidR="007C5B82" w:rsidRDefault="007C5B82" w:rsidP="00492933"/>
    <w:p w14:paraId="3DDEA760" w14:textId="77777777" w:rsidR="007C5B82" w:rsidRDefault="007C5B82" w:rsidP="00492933"/>
    <w:p w14:paraId="21C7DB5A" w14:textId="77777777" w:rsidR="007C5B82" w:rsidRDefault="007C5B82" w:rsidP="00492933"/>
    <w:p w14:paraId="0B36DE7F" w14:textId="77777777" w:rsidR="007C5B82" w:rsidRDefault="007C5B82" w:rsidP="00492933"/>
    <w:p w14:paraId="53025699" w14:textId="77777777" w:rsidR="007C5B82" w:rsidRDefault="007C5B82" w:rsidP="00492933"/>
    <w:p w14:paraId="1BC108B8" w14:textId="77777777" w:rsidR="007C5B82" w:rsidRDefault="007C5B82" w:rsidP="00492933"/>
    <w:p w14:paraId="57784C37" w14:textId="77777777" w:rsidR="007C5B82" w:rsidRDefault="007C5B82" w:rsidP="00492933"/>
    <w:p w14:paraId="3D10BDDC" w14:textId="77777777" w:rsidR="007C5B82" w:rsidRDefault="007C5B82" w:rsidP="00492933"/>
    <w:p w14:paraId="46507FA2" w14:textId="77777777" w:rsidR="007C5B82" w:rsidRDefault="007C5B82" w:rsidP="00492933"/>
    <w:p w14:paraId="193D341C" w14:textId="77777777" w:rsidR="007C5B82" w:rsidRDefault="007C5B82" w:rsidP="00492933"/>
    <w:p w14:paraId="5C04C9DF" w14:textId="77777777" w:rsidR="007C5B82" w:rsidRDefault="007C5B82" w:rsidP="00492933"/>
    <w:p w14:paraId="3EC15697" w14:textId="77777777" w:rsidR="007C5B82" w:rsidRDefault="007C5B82" w:rsidP="00492933"/>
    <w:p w14:paraId="1A23ABE2" w14:textId="77777777" w:rsidR="007C5B82" w:rsidRDefault="007C5B82" w:rsidP="00492933"/>
    <w:p w14:paraId="6585CC73" w14:textId="77777777" w:rsidR="007C5B82" w:rsidRDefault="007C5B82" w:rsidP="00492933"/>
    <w:p w14:paraId="59013F54" w14:textId="77777777" w:rsidR="007C5B82" w:rsidRDefault="007C5B82" w:rsidP="00492933"/>
    <w:p w14:paraId="1FE75468" w14:textId="77777777" w:rsidR="007C5B82" w:rsidRDefault="007C5B82" w:rsidP="00492933"/>
    <w:p w14:paraId="089DD9EC" w14:textId="77777777" w:rsidR="007C5B82" w:rsidRDefault="007C5B82" w:rsidP="00492933"/>
    <w:p w14:paraId="2ABDF8CB" w14:textId="77777777" w:rsidR="007C5B82" w:rsidRDefault="007C5B82" w:rsidP="00492933"/>
    <w:p w14:paraId="54FE5737" w14:textId="77777777" w:rsidR="007C5B82" w:rsidRDefault="007C5B82" w:rsidP="00492933"/>
    <w:p w14:paraId="3C64C028" w14:textId="77777777" w:rsidR="007C5B82" w:rsidRDefault="007C5B82" w:rsidP="00492933"/>
    <w:p w14:paraId="002C9CF2" w14:textId="77777777" w:rsidR="007C5B82" w:rsidRDefault="007C5B82" w:rsidP="00492933"/>
    <w:p w14:paraId="4A8D9E4B" w14:textId="77777777" w:rsidR="007C5B82" w:rsidRDefault="007C5B82" w:rsidP="00492933"/>
    <w:p w14:paraId="35FE8DCC" w14:textId="77777777" w:rsidR="007C5B82" w:rsidRDefault="007C5B82" w:rsidP="00492933"/>
    <w:p w14:paraId="01929837" w14:textId="77777777" w:rsidR="007C5B82" w:rsidRDefault="007C5B82" w:rsidP="00492933"/>
    <w:p w14:paraId="6FE625EF" w14:textId="77777777" w:rsidR="007C5B82" w:rsidRDefault="007C5B82" w:rsidP="00492933"/>
    <w:p w14:paraId="6B4A2541" w14:textId="77777777" w:rsidR="007C5B82" w:rsidRDefault="007C5B82" w:rsidP="00492933"/>
    <w:p w14:paraId="1684157E" w14:textId="77777777" w:rsidR="007C5B82" w:rsidRDefault="007C5B82" w:rsidP="00492933"/>
    <w:p w14:paraId="64394562" w14:textId="77777777" w:rsidR="007C5B82" w:rsidRDefault="007C5B82" w:rsidP="00492933"/>
    <w:p w14:paraId="0427ACCD" w14:textId="77777777" w:rsidR="007C5B82" w:rsidRDefault="007C5B82" w:rsidP="00492933"/>
    <w:p w14:paraId="011CF30B" w14:textId="77777777" w:rsidR="007C5B82" w:rsidRDefault="007C5B82" w:rsidP="00492933"/>
    <w:p w14:paraId="4EA493CF" w14:textId="77777777" w:rsidR="007C5B82" w:rsidRDefault="007C5B82" w:rsidP="00492933"/>
    <w:p w14:paraId="1AC7497D" w14:textId="77777777" w:rsidR="007C5B82" w:rsidRDefault="007C5B82" w:rsidP="00492933"/>
    <w:p w14:paraId="6A5B04D1" w14:textId="77777777" w:rsidR="007C5B82" w:rsidRDefault="007C5B82" w:rsidP="00492933"/>
    <w:p w14:paraId="40D4BFE9" w14:textId="77777777" w:rsidR="007C5B82" w:rsidRDefault="007C5B82" w:rsidP="00492933"/>
    <w:p w14:paraId="3CD31C65" w14:textId="77777777" w:rsidR="007C5B82" w:rsidRDefault="007C5B82" w:rsidP="00492933"/>
    <w:p w14:paraId="09F524DD" w14:textId="77777777" w:rsidR="007C5B82" w:rsidRDefault="007C5B82" w:rsidP="00492933"/>
    <w:p w14:paraId="1C93E16B" w14:textId="77777777" w:rsidR="007C5B82" w:rsidRDefault="007C5B82" w:rsidP="00492933"/>
    <w:p w14:paraId="703B8303" w14:textId="77777777" w:rsidR="007C5B82" w:rsidRDefault="007C5B82" w:rsidP="00492933"/>
    <w:p w14:paraId="361DEC52" w14:textId="77777777" w:rsidR="007C5B82" w:rsidRDefault="007C5B82" w:rsidP="00492933"/>
    <w:p w14:paraId="34FFE4B9" w14:textId="77777777" w:rsidR="007C5B82" w:rsidRDefault="007C5B82" w:rsidP="00492933"/>
    <w:p w14:paraId="57F66C5D" w14:textId="77777777" w:rsidR="007C5B82" w:rsidRDefault="007C5B82" w:rsidP="00492933"/>
    <w:p w14:paraId="23A81FDA" w14:textId="77777777" w:rsidR="007C5B82" w:rsidRDefault="007C5B82" w:rsidP="00492933"/>
    <w:p w14:paraId="03DAAF89" w14:textId="77777777" w:rsidR="007C5B82" w:rsidRDefault="007C5B82" w:rsidP="00492933"/>
    <w:p w14:paraId="778CDD3A" w14:textId="77777777" w:rsidR="007C5B82" w:rsidRDefault="007C5B82" w:rsidP="00492933"/>
    <w:p w14:paraId="720FFEB1" w14:textId="77777777" w:rsidR="007C5B82" w:rsidRDefault="007C5B82" w:rsidP="00492933"/>
    <w:p w14:paraId="6AAAB99E" w14:textId="77777777" w:rsidR="007C5B82" w:rsidRDefault="007C5B82" w:rsidP="00492933"/>
    <w:p w14:paraId="329FE334" w14:textId="77777777" w:rsidR="007C5B82" w:rsidRDefault="007C5B82" w:rsidP="00492933"/>
    <w:p w14:paraId="3ADBFE95" w14:textId="77777777" w:rsidR="007C5B82" w:rsidRDefault="007C5B82" w:rsidP="00492933"/>
    <w:p w14:paraId="24C278EA" w14:textId="77777777" w:rsidR="007C5B82" w:rsidRDefault="007C5B82" w:rsidP="00492933"/>
    <w:p w14:paraId="53A57A3B" w14:textId="77777777" w:rsidR="007C5B82" w:rsidRDefault="007C5B82" w:rsidP="00492933"/>
    <w:p w14:paraId="0E4EFF61" w14:textId="77777777" w:rsidR="007C5B82" w:rsidRDefault="007C5B82" w:rsidP="00492933"/>
    <w:p w14:paraId="07A7ECD5" w14:textId="77777777" w:rsidR="007C5B82" w:rsidRDefault="007C5B82" w:rsidP="00492933"/>
    <w:p w14:paraId="50354A85" w14:textId="77777777" w:rsidR="007C5B82" w:rsidRDefault="007C5B82" w:rsidP="00492933"/>
    <w:p w14:paraId="2778B16D" w14:textId="77777777" w:rsidR="007C5B82" w:rsidRDefault="007C5B82" w:rsidP="00492933"/>
    <w:p w14:paraId="5C3B65A8" w14:textId="77777777" w:rsidR="007C5B82" w:rsidRDefault="007C5B82" w:rsidP="00492933"/>
    <w:p w14:paraId="6DB7CDAC" w14:textId="77777777" w:rsidR="007C5B82" w:rsidRDefault="007C5B82" w:rsidP="00492933"/>
    <w:p w14:paraId="3F5A320D" w14:textId="77777777" w:rsidR="007C5B82" w:rsidRDefault="007C5B82" w:rsidP="00492933"/>
    <w:p w14:paraId="023EEC3A" w14:textId="77777777" w:rsidR="007C5B82" w:rsidRDefault="007C5B82" w:rsidP="00492933"/>
    <w:p w14:paraId="42F915D5" w14:textId="77777777" w:rsidR="007C5B82" w:rsidRDefault="007C5B82" w:rsidP="00492933"/>
    <w:p w14:paraId="68C75F06" w14:textId="77777777" w:rsidR="007C5B82" w:rsidRDefault="007C5B82" w:rsidP="00492933"/>
    <w:p w14:paraId="4395676F" w14:textId="77777777" w:rsidR="007C5B82" w:rsidRDefault="007C5B82" w:rsidP="00492933"/>
    <w:p w14:paraId="55ADE9A3" w14:textId="77777777" w:rsidR="007C5B82" w:rsidRDefault="007C5B82" w:rsidP="00492933"/>
    <w:p w14:paraId="0BE8E3AA" w14:textId="77777777" w:rsidR="007C5B82" w:rsidRDefault="007C5B82" w:rsidP="00492933"/>
    <w:p w14:paraId="0072B53F" w14:textId="77777777" w:rsidR="007C5B82" w:rsidRDefault="007C5B82" w:rsidP="00492933"/>
    <w:p w14:paraId="4B9FE61D" w14:textId="77777777" w:rsidR="007C5B82" w:rsidRDefault="007C5B82" w:rsidP="00492933"/>
    <w:p w14:paraId="504BB12A" w14:textId="77777777" w:rsidR="007C5B82" w:rsidRDefault="007C5B82" w:rsidP="00492933"/>
    <w:p w14:paraId="02D87A45" w14:textId="77777777" w:rsidR="007C5B82" w:rsidRDefault="007C5B82" w:rsidP="00492933"/>
    <w:p w14:paraId="45D74CA8" w14:textId="77777777" w:rsidR="007C5B82" w:rsidRDefault="007C5B82" w:rsidP="00492933"/>
    <w:p w14:paraId="6FA4AD96" w14:textId="77777777" w:rsidR="007C5B82" w:rsidRDefault="007C5B82" w:rsidP="00492933"/>
    <w:p w14:paraId="1BA43B32" w14:textId="77777777" w:rsidR="007C5B82" w:rsidRDefault="007C5B82" w:rsidP="00492933"/>
    <w:p w14:paraId="067FAFA1" w14:textId="77777777" w:rsidR="007C5B82" w:rsidRDefault="007C5B82" w:rsidP="00492933"/>
    <w:p w14:paraId="6B816B62" w14:textId="77777777" w:rsidR="007C5B82" w:rsidRDefault="007C5B82" w:rsidP="00492933"/>
    <w:p w14:paraId="5F017BC5" w14:textId="77777777" w:rsidR="007C5B82" w:rsidRDefault="007C5B82" w:rsidP="00492933"/>
    <w:p w14:paraId="56F6276E" w14:textId="77777777" w:rsidR="007C5B82" w:rsidRDefault="007C5B82" w:rsidP="00492933"/>
    <w:p w14:paraId="3C539242" w14:textId="77777777" w:rsidR="007C5B82" w:rsidRDefault="007C5B82" w:rsidP="00492933"/>
    <w:p w14:paraId="6D1ECC02" w14:textId="77777777" w:rsidR="007C5B82" w:rsidRDefault="007C5B82" w:rsidP="00492933"/>
    <w:p w14:paraId="5185675B" w14:textId="77777777" w:rsidR="007C5B82" w:rsidRDefault="007C5B82" w:rsidP="00492933"/>
    <w:p w14:paraId="05DAE701" w14:textId="77777777" w:rsidR="007C5B82" w:rsidRDefault="007C5B82" w:rsidP="00492933"/>
    <w:p w14:paraId="39DCB5C7" w14:textId="77777777" w:rsidR="007C5B82" w:rsidRDefault="007C5B82" w:rsidP="00492933"/>
    <w:p w14:paraId="633677C5" w14:textId="77777777" w:rsidR="007C5B82" w:rsidRDefault="007C5B82" w:rsidP="00492933"/>
    <w:p w14:paraId="3B9DB0A9" w14:textId="77777777" w:rsidR="007C5B82" w:rsidRDefault="007C5B82" w:rsidP="00492933"/>
    <w:p w14:paraId="2B8F130B" w14:textId="77777777" w:rsidR="007C5B82" w:rsidRDefault="007C5B82" w:rsidP="00492933"/>
    <w:p w14:paraId="2ADA6A0F" w14:textId="77777777" w:rsidR="007C5B82" w:rsidRDefault="007C5B82" w:rsidP="00492933"/>
    <w:p w14:paraId="18238BDB" w14:textId="77777777" w:rsidR="007C5B82" w:rsidRDefault="007C5B82" w:rsidP="00492933"/>
    <w:p w14:paraId="26B91233" w14:textId="77777777" w:rsidR="007C5B82" w:rsidRDefault="007C5B82" w:rsidP="00492933"/>
    <w:p w14:paraId="24FBE680" w14:textId="77777777" w:rsidR="007C5B82" w:rsidRDefault="007C5B82" w:rsidP="00492933"/>
    <w:p w14:paraId="6EC68A46" w14:textId="77777777" w:rsidR="007C5B82" w:rsidRDefault="007C5B82" w:rsidP="00492933"/>
    <w:p w14:paraId="51B38E19" w14:textId="77777777" w:rsidR="007C5B82" w:rsidRDefault="007C5B82" w:rsidP="00492933"/>
    <w:p w14:paraId="705F39DC" w14:textId="77777777" w:rsidR="007C5B82" w:rsidRDefault="007C5B82" w:rsidP="00492933"/>
    <w:p w14:paraId="103B9287" w14:textId="77777777" w:rsidR="007C5B82" w:rsidRDefault="007C5B82" w:rsidP="00492933"/>
    <w:p w14:paraId="58710435" w14:textId="77777777" w:rsidR="007C5B82" w:rsidRDefault="007C5B82" w:rsidP="00492933"/>
    <w:p w14:paraId="02BB43D1" w14:textId="77777777" w:rsidR="007C5B82" w:rsidRDefault="007C5B82" w:rsidP="00492933"/>
    <w:p w14:paraId="6525653E" w14:textId="77777777" w:rsidR="007C5B82" w:rsidRDefault="007C5B82" w:rsidP="00492933"/>
    <w:p w14:paraId="66A9DDD4" w14:textId="77777777" w:rsidR="007C5B82" w:rsidRDefault="007C5B82" w:rsidP="00492933"/>
    <w:p w14:paraId="1DB00AD9" w14:textId="77777777" w:rsidR="007C5B82" w:rsidRDefault="007C5B82" w:rsidP="00492933"/>
    <w:p w14:paraId="059CF1D7" w14:textId="77777777" w:rsidR="007C5B82" w:rsidRDefault="007C5B82" w:rsidP="00492933"/>
    <w:p w14:paraId="70F671C3" w14:textId="77777777" w:rsidR="007C5B82" w:rsidRDefault="007C5B82" w:rsidP="00492933"/>
    <w:p w14:paraId="39772992" w14:textId="77777777" w:rsidR="007C5B82" w:rsidRDefault="007C5B82" w:rsidP="00492933"/>
    <w:p w14:paraId="2B8296E3" w14:textId="77777777" w:rsidR="007C5B82" w:rsidRDefault="007C5B82" w:rsidP="00492933"/>
    <w:p w14:paraId="4BE35BEE" w14:textId="77777777" w:rsidR="007C5B82" w:rsidRDefault="007C5B82" w:rsidP="00492933"/>
    <w:p w14:paraId="6C4A8EA7" w14:textId="77777777" w:rsidR="007C5B82" w:rsidRDefault="007C5B82" w:rsidP="00492933"/>
    <w:p w14:paraId="034F8AAB" w14:textId="77777777" w:rsidR="007C5B82" w:rsidRDefault="007C5B82" w:rsidP="00492933"/>
    <w:p w14:paraId="1D87681D" w14:textId="77777777" w:rsidR="007C5B82" w:rsidRDefault="007C5B82" w:rsidP="00492933"/>
    <w:p w14:paraId="6EB1D788" w14:textId="77777777" w:rsidR="007C5B82" w:rsidRDefault="007C5B82" w:rsidP="00492933"/>
    <w:p w14:paraId="37A679B0" w14:textId="77777777" w:rsidR="007C5B82" w:rsidRDefault="007C5B82" w:rsidP="00492933"/>
    <w:p w14:paraId="08972364" w14:textId="77777777" w:rsidR="007C5B82" w:rsidRDefault="007C5B82" w:rsidP="00492933"/>
    <w:p w14:paraId="29356DA0" w14:textId="77777777" w:rsidR="007C5B82" w:rsidRDefault="007C5B82" w:rsidP="00492933"/>
    <w:p w14:paraId="01BB52BE" w14:textId="77777777" w:rsidR="007C5B82" w:rsidRDefault="007C5B82" w:rsidP="00492933"/>
    <w:p w14:paraId="0A61FEAC" w14:textId="77777777" w:rsidR="007C5B82" w:rsidRDefault="007C5B82" w:rsidP="00492933"/>
    <w:p w14:paraId="6C73B013" w14:textId="77777777" w:rsidR="007C5B82" w:rsidRDefault="007C5B82" w:rsidP="00492933"/>
    <w:p w14:paraId="2D36C474" w14:textId="77777777" w:rsidR="007C5B82" w:rsidRDefault="007C5B82" w:rsidP="00492933"/>
    <w:p w14:paraId="291B4E90" w14:textId="77777777" w:rsidR="007C5B82" w:rsidRDefault="007C5B82" w:rsidP="00492933"/>
    <w:p w14:paraId="17A1BB8A" w14:textId="77777777" w:rsidR="007C5B82" w:rsidRDefault="007C5B82" w:rsidP="00492933"/>
    <w:p w14:paraId="32A44CB7" w14:textId="77777777" w:rsidR="007C5B82" w:rsidRDefault="007C5B82" w:rsidP="00492933"/>
    <w:p w14:paraId="641FC911" w14:textId="77777777" w:rsidR="007C5B82" w:rsidRDefault="007C5B82" w:rsidP="00492933"/>
    <w:p w14:paraId="3271810B" w14:textId="77777777" w:rsidR="007C5B82" w:rsidRDefault="007C5B82" w:rsidP="00492933"/>
    <w:p w14:paraId="4770641A" w14:textId="77777777" w:rsidR="007C5B82" w:rsidRDefault="007C5B82" w:rsidP="00492933"/>
    <w:p w14:paraId="3DBD22DF" w14:textId="77777777" w:rsidR="007C5B82" w:rsidRDefault="007C5B82" w:rsidP="00492933"/>
    <w:p w14:paraId="1BEF8E4B" w14:textId="77777777" w:rsidR="007C5B82" w:rsidRDefault="007C5B82" w:rsidP="00492933"/>
    <w:p w14:paraId="50329F73" w14:textId="77777777" w:rsidR="007C5B82" w:rsidRDefault="007C5B82" w:rsidP="00492933"/>
    <w:p w14:paraId="411BCE34" w14:textId="77777777" w:rsidR="007C5B82" w:rsidRDefault="007C5B82" w:rsidP="00492933"/>
    <w:p w14:paraId="62C2690B" w14:textId="77777777" w:rsidR="007C5B82" w:rsidRDefault="007C5B82" w:rsidP="00492933"/>
    <w:p w14:paraId="5744C820" w14:textId="77777777" w:rsidR="007C5B82" w:rsidRDefault="007C5B82" w:rsidP="00492933"/>
    <w:p w14:paraId="04BE5A81" w14:textId="77777777" w:rsidR="007C5B82" w:rsidRDefault="007C5B82" w:rsidP="00492933"/>
    <w:p w14:paraId="15A2C967" w14:textId="77777777" w:rsidR="007C5B82" w:rsidRDefault="007C5B82" w:rsidP="00492933"/>
    <w:p w14:paraId="21153349" w14:textId="77777777" w:rsidR="007C5B82" w:rsidRDefault="007C5B82" w:rsidP="00492933"/>
    <w:p w14:paraId="455D3A35" w14:textId="77777777" w:rsidR="007C5B82" w:rsidRDefault="007C5B82" w:rsidP="00492933"/>
    <w:p w14:paraId="248ED00F" w14:textId="77777777" w:rsidR="007C5B82" w:rsidRDefault="007C5B82" w:rsidP="00492933"/>
    <w:p w14:paraId="15D089E5" w14:textId="77777777" w:rsidR="007C5B82" w:rsidRDefault="007C5B82" w:rsidP="00492933"/>
    <w:p w14:paraId="7C46E3BD" w14:textId="77777777" w:rsidR="007C5B82" w:rsidRDefault="007C5B82" w:rsidP="00492933"/>
    <w:p w14:paraId="469BC9CA" w14:textId="77777777" w:rsidR="007C5B82" w:rsidRDefault="007C5B82" w:rsidP="00492933"/>
    <w:p w14:paraId="6199153C" w14:textId="77777777" w:rsidR="007C5B82" w:rsidRDefault="007C5B82" w:rsidP="00492933"/>
    <w:p w14:paraId="48D08A3E" w14:textId="77777777" w:rsidR="007C5B82" w:rsidRDefault="007C5B82" w:rsidP="00492933"/>
    <w:p w14:paraId="03545880" w14:textId="77777777" w:rsidR="007C5B82" w:rsidRDefault="007C5B82" w:rsidP="00492933"/>
    <w:p w14:paraId="55D3D029" w14:textId="77777777" w:rsidR="007C5B82" w:rsidRDefault="007C5B82" w:rsidP="00492933"/>
    <w:p w14:paraId="39E58E70" w14:textId="77777777" w:rsidR="007C5B82" w:rsidRDefault="007C5B82" w:rsidP="00492933"/>
    <w:p w14:paraId="36962B7D" w14:textId="77777777" w:rsidR="007C5B82" w:rsidRDefault="007C5B82" w:rsidP="00492933"/>
    <w:p w14:paraId="3A0F3B38" w14:textId="77777777" w:rsidR="007C5B82" w:rsidRDefault="007C5B82" w:rsidP="00492933"/>
    <w:p w14:paraId="755FA0E4" w14:textId="77777777" w:rsidR="007C5B82" w:rsidRDefault="007C5B82" w:rsidP="00492933"/>
    <w:p w14:paraId="70AC4AF4" w14:textId="77777777" w:rsidR="007C5B82" w:rsidRDefault="007C5B82" w:rsidP="00492933"/>
    <w:p w14:paraId="1CC463DC" w14:textId="77777777" w:rsidR="007C5B82" w:rsidRDefault="007C5B82" w:rsidP="00492933"/>
    <w:p w14:paraId="3537B415" w14:textId="77777777" w:rsidR="007C5B82" w:rsidRDefault="007C5B82" w:rsidP="00492933"/>
    <w:p w14:paraId="35045635" w14:textId="77777777" w:rsidR="007C5B82" w:rsidRDefault="007C5B82" w:rsidP="00492933"/>
    <w:p w14:paraId="026BFB29" w14:textId="77777777" w:rsidR="007C5B82" w:rsidRDefault="007C5B82" w:rsidP="00492933"/>
    <w:p w14:paraId="038F0773" w14:textId="77777777" w:rsidR="007C5B82" w:rsidRDefault="007C5B82" w:rsidP="00492933"/>
    <w:p w14:paraId="211D790F" w14:textId="77777777" w:rsidR="007C5B82" w:rsidRDefault="007C5B82" w:rsidP="00492933"/>
    <w:p w14:paraId="02B9FA5A" w14:textId="77777777" w:rsidR="007C5B82" w:rsidRDefault="007C5B82" w:rsidP="00492933"/>
    <w:p w14:paraId="33C604FB" w14:textId="77777777" w:rsidR="007C5B82" w:rsidRDefault="007C5B82" w:rsidP="00492933"/>
    <w:p w14:paraId="4EB9EECF" w14:textId="77777777" w:rsidR="007C5B82" w:rsidRDefault="007C5B82" w:rsidP="00492933"/>
    <w:p w14:paraId="4E0B5753" w14:textId="77777777" w:rsidR="007C5B82" w:rsidRDefault="007C5B82" w:rsidP="00492933"/>
    <w:p w14:paraId="2421DE53" w14:textId="77777777" w:rsidR="007C5B82" w:rsidRDefault="007C5B82" w:rsidP="00492933"/>
    <w:p w14:paraId="425AE175" w14:textId="77777777" w:rsidR="007C5B82" w:rsidRDefault="007C5B82" w:rsidP="00492933"/>
    <w:p w14:paraId="33880E09" w14:textId="77777777" w:rsidR="007C5B82" w:rsidRDefault="007C5B82" w:rsidP="00492933"/>
    <w:p w14:paraId="058F4285" w14:textId="77777777" w:rsidR="007C5B82" w:rsidRDefault="007C5B82" w:rsidP="00492933"/>
    <w:p w14:paraId="63F79439" w14:textId="77777777" w:rsidR="007C5B82" w:rsidRDefault="007C5B82" w:rsidP="00492933"/>
    <w:p w14:paraId="2BFE397B" w14:textId="77777777" w:rsidR="007C5B82" w:rsidRDefault="007C5B82" w:rsidP="00492933"/>
    <w:p w14:paraId="52EFF74E" w14:textId="77777777" w:rsidR="007C5B82" w:rsidRDefault="007C5B82" w:rsidP="00492933"/>
    <w:p w14:paraId="5AEF3A16" w14:textId="77777777" w:rsidR="007C5B82" w:rsidRDefault="007C5B82" w:rsidP="00492933"/>
    <w:p w14:paraId="26943429" w14:textId="77777777" w:rsidR="007C5B82" w:rsidRDefault="007C5B82" w:rsidP="00492933"/>
    <w:p w14:paraId="1EA1DE64" w14:textId="77777777" w:rsidR="007C5B82" w:rsidRDefault="007C5B82"/>
    <w:p w14:paraId="42DD5F78" w14:textId="77777777" w:rsidR="007C5B82" w:rsidRDefault="007C5B82" w:rsidP="00995FAE"/>
    <w:p w14:paraId="41A460D3" w14:textId="77777777" w:rsidR="007C5B82" w:rsidRDefault="007C5B82" w:rsidP="00995FAE"/>
    <w:p w14:paraId="5A235D83" w14:textId="77777777" w:rsidR="007C5B82" w:rsidRDefault="007C5B82"/>
  </w:endnote>
  <w:endnote w:type="continuationSeparator" w:id="0">
    <w:p w14:paraId="0C59C47B" w14:textId="77777777" w:rsidR="007C5B82" w:rsidRDefault="007C5B82" w:rsidP="00492933">
      <w:r>
        <w:continuationSeparator/>
      </w:r>
    </w:p>
    <w:p w14:paraId="6AD363A5" w14:textId="77777777" w:rsidR="007C5B82" w:rsidRDefault="007C5B82" w:rsidP="00492933"/>
    <w:p w14:paraId="4AA29D4A" w14:textId="77777777" w:rsidR="007C5B82" w:rsidRDefault="007C5B82" w:rsidP="00492933"/>
    <w:p w14:paraId="5B78EC88" w14:textId="77777777" w:rsidR="007C5B82" w:rsidRDefault="007C5B82" w:rsidP="00492933"/>
    <w:p w14:paraId="491716A4" w14:textId="77777777" w:rsidR="007C5B82" w:rsidRDefault="007C5B82" w:rsidP="00492933"/>
    <w:p w14:paraId="15CC6760" w14:textId="77777777" w:rsidR="007C5B82" w:rsidRDefault="007C5B82" w:rsidP="00492933"/>
    <w:p w14:paraId="5DA68086" w14:textId="77777777" w:rsidR="007C5B82" w:rsidRDefault="007C5B82" w:rsidP="00492933"/>
    <w:p w14:paraId="579D8CCA" w14:textId="77777777" w:rsidR="007C5B82" w:rsidRDefault="007C5B82" w:rsidP="00492933"/>
    <w:p w14:paraId="522F01BD" w14:textId="77777777" w:rsidR="007C5B82" w:rsidRDefault="007C5B82" w:rsidP="00492933"/>
    <w:p w14:paraId="7062A020" w14:textId="77777777" w:rsidR="007C5B82" w:rsidRDefault="007C5B82" w:rsidP="00492933"/>
    <w:p w14:paraId="12A5DE1E" w14:textId="77777777" w:rsidR="007C5B82" w:rsidRDefault="007C5B82" w:rsidP="00492933"/>
    <w:p w14:paraId="0046ED5C" w14:textId="77777777" w:rsidR="007C5B82" w:rsidRDefault="007C5B82" w:rsidP="00492933"/>
    <w:p w14:paraId="3C0C8856" w14:textId="77777777" w:rsidR="007C5B82" w:rsidRDefault="007C5B82" w:rsidP="00492933"/>
    <w:p w14:paraId="47D721A3" w14:textId="77777777" w:rsidR="007C5B82" w:rsidRDefault="007C5B82" w:rsidP="00492933"/>
    <w:p w14:paraId="23323CA3" w14:textId="77777777" w:rsidR="007C5B82" w:rsidRDefault="007C5B82" w:rsidP="00492933"/>
    <w:p w14:paraId="594D0B8F" w14:textId="77777777" w:rsidR="007C5B82" w:rsidRDefault="007C5B82" w:rsidP="00492933"/>
    <w:p w14:paraId="7BC15EB0" w14:textId="77777777" w:rsidR="007C5B82" w:rsidRDefault="007C5B82" w:rsidP="00492933"/>
    <w:p w14:paraId="445A7BCD" w14:textId="77777777" w:rsidR="007C5B82" w:rsidRDefault="007C5B82" w:rsidP="00492933"/>
    <w:p w14:paraId="5E4C36AC" w14:textId="77777777" w:rsidR="007C5B82" w:rsidRDefault="007C5B82" w:rsidP="00492933"/>
    <w:p w14:paraId="2CDA3E1A" w14:textId="77777777" w:rsidR="007C5B82" w:rsidRDefault="007C5B82" w:rsidP="00492933"/>
    <w:p w14:paraId="4B8D2836" w14:textId="77777777" w:rsidR="007C5B82" w:rsidRDefault="007C5B82" w:rsidP="00492933"/>
    <w:p w14:paraId="014C8560" w14:textId="77777777" w:rsidR="007C5B82" w:rsidRDefault="007C5B82" w:rsidP="00492933"/>
    <w:p w14:paraId="6FA55A9C" w14:textId="77777777" w:rsidR="007C5B82" w:rsidRDefault="007C5B82" w:rsidP="00492933"/>
    <w:p w14:paraId="35920F5B" w14:textId="77777777" w:rsidR="007C5B82" w:rsidRDefault="007C5B82" w:rsidP="00492933"/>
    <w:p w14:paraId="3F63DEAA" w14:textId="77777777" w:rsidR="007C5B82" w:rsidRDefault="007C5B82" w:rsidP="00492933"/>
    <w:p w14:paraId="7561F9F8" w14:textId="77777777" w:rsidR="007C5B82" w:rsidRDefault="007C5B82" w:rsidP="00492933"/>
    <w:p w14:paraId="4ABF939B" w14:textId="77777777" w:rsidR="007C5B82" w:rsidRDefault="007C5B82" w:rsidP="00492933"/>
    <w:p w14:paraId="328E8C88" w14:textId="77777777" w:rsidR="007C5B82" w:rsidRDefault="007C5B82" w:rsidP="00492933"/>
    <w:p w14:paraId="21B2147A" w14:textId="77777777" w:rsidR="007C5B82" w:rsidRDefault="007C5B82" w:rsidP="00492933"/>
    <w:p w14:paraId="47C84258" w14:textId="77777777" w:rsidR="007C5B82" w:rsidRDefault="007C5B82" w:rsidP="00492933"/>
    <w:p w14:paraId="68A60262" w14:textId="77777777" w:rsidR="007C5B82" w:rsidRDefault="007C5B82" w:rsidP="00492933"/>
    <w:p w14:paraId="43B65054" w14:textId="77777777" w:rsidR="007C5B82" w:rsidRDefault="007C5B82" w:rsidP="00492933"/>
    <w:p w14:paraId="4434817B" w14:textId="77777777" w:rsidR="007C5B82" w:rsidRDefault="007C5B82" w:rsidP="00492933"/>
    <w:p w14:paraId="2D5812CB" w14:textId="77777777" w:rsidR="007C5B82" w:rsidRDefault="007C5B82" w:rsidP="00492933"/>
    <w:p w14:paraId="26D5B7AF" w14:textId="77777777" w:rsidR="007C5B82" w:rsidRDefault="007C5B82" w:rsidP="00492933"/>
    <w:p w14:paraId="6FF4886B" w14:textId="77777777" w:rsidR="007C5B82" w:rsidRDefault="007C5B82" w:rsidP="00492933"/>
    <w:p w14:paraId="13225487" w14:textId="77777777" w:rsidR="007C5B82" w:rsidRDefault="007C5B82" w:rsidP="00492933"/>
    <w:p w14:paraId="27118900" w14:textId="77777777" w:rsidR="007C5B82" w:rsidRDefault="007C5B82" w:rsidP="00492933"/>
    <w:p w14:paraId="66C18330" w14:textId="77777777" w:rsidR="007C5B82" w:rsidRDefault="007C5B82" w:rsidP="00492933"/>
    <w:p w14:paraId="28D2BF80" w14:textId="77777777" w:rsidR="007C5B82" w:rsidRDefault="007C5B82" w:rsidP="00492933"/>
    <w:p w14:paraId="38095D07" w14:textId="77777777" w:rsidR="007C5B82" w:rsidRDefault="007C5B82" w:rsidP="00492933"/>
    <w:p w14:paraId="5A42B2FA" w14:textId="77777777" w:rsidR="007C5B82" w:rsidRDefault="007C5B82" w:rsidP="00492933"/>
    <w:p w14:paraId="4BD90E11" w14:textId="77777777" w:rsidR="007C5B82" w:rsidRDefault="007C5B82" w:rsidP="00492933"/>
    <w:p w14:paraId="60FD7592" w14:textId="77777777" w:rsidR="007C5B82" w:rsidRDefault="007C5B82" w:rsidP="00492933"/>
    <w:p w14:paraId="7694423E" w14:textId="77777777" w:rsidR="007C5B82" w:rsidRDefault="007C5B82" w:rsidP="00492933"/>
    <w:p w14:paraId="30BE4D6B" w14:textId="77777777" w:rsidR="007C5B82" w:rsidRDefault="007C5B82" w:rsidP="00492933"/>
    <w:p w14:paraId="0FACD652" w14:textId="77777777" w:rsidR="007C5B82" w:rsidRDefault="007C5B82" w:rsidP="00492933"/>
    <w:p w14:paraId="74A6B019" w14:textId="77777777" w:rsidR="007C5B82" w:rsidRDefault="007C5B82" w:rsidP="00492933"/>
    <w:p w14:paraId="39BEA4A5" w14:textId="77777777" w:rsidR="007C5B82" w:rsidRDefault="007C5B82" w:rsidP="00492933"/>
    <w:p w14:paraId="61BF27A1" w14:textId="77777777" w:rsidR="007C5B82" w:rsidRDefault="007C5B82" w:rsidP="00492933"/>
    <w:p w14:paraId="7D603595" w14:textId="77777777" w:rsidR="007C5B82" w:rsidRDefault="007C5B82" w:rsidP="00492933"/>
    <w:p w14:paraId="6EF49D1F" w14:textId="77777777" w:rsidR="007C5B82" w:rsidRDefault="007C5B82" w:rsidP="00492933"/>
    <w:p w14:paraId="393CA22D" w14:textId="77777777" w:rsidR="007C5B82" w:rsidRDefault="007C5B82" w:rsidP="00492933"/>
    <w:p w14:paraId="6626722F" w14:textId="77777777" w:rsidR="007C5B82" w:rsidRDefault="007C5B82" w:rsidP="00492933"/>
    <w:p w14:paraId="6BF76D1B" w14:textId="77777777" w:rsidR="007C5B82" w:rsidRDefault="007C5B82" w:rsidP="00492933"/>
    <w:p w14:paraId="0E21A491" w14:textId="77777777" w:rsidR="007C5B82" w:rsidRDefault="007C5B82" w:rsidP="00492933"/>
    <w:p w14:paraId="3BB2F69D" w14:textId="77777777" w:rsidR="007C5B82" w:rsidRDefault="007C5B82" w:rsidP="00492933"/>
    <w:p w14:paraId="5BABB7C1" w14:textId="77777777" w:rsidR="007C5B82" w:rsidRDefault="007C5B82" w:rsidP="00492933"/>
    <w:p w14:paraId="65B55555" w14:textId="77777777" w:rsidR="007C5B82" w:rsidRDefault="007C5B82" w:rsidP="00492933"/>
    <w:p w14:paraId="78977F22" w14:textId="77777777" w:rsidR="007C5B82" w:rsidRDefault="007C5B82" w:rsidP="00492933"/>
    <w:p w14:paraId="66F532B6" w14:textId="77777777" w:rsidR="007C5B82" w:rsidRDefault="007C5B82" w:rsidP="00492933"/>
    <w:p w14:paraId="67A75797" w14:textId="77777777" w:rsidR="007C5B82" w:rsidRDefault="007C5B82" w:rsidP="00492933"/>
    <w:p w14:paraId="19D83624" w14:textId="77777777" w:rsidR="007C5B82" w:rsidRDefault="007C5B82" w:rsidP="00492933"/>
    <w:p w14:paraId="16A1C757" w14:textId="77777777" w:rsidR="007C5B82" w:rsidRDefault="007C5B82" w:rsidP="00492933"/>
    <w:p w14:paraId="57691A4A" w14:textId="77777777" w:rsidR="007C5B82" w:rsidRDefault="007C5B82" w:rsidP="00492933"/>
    <w:p w14:paraId="76225FDF" w14:textId="77777777" w:rsidR="007C5B82" w:rsidRDefault="007C5B82" w:rsidP="00492933"/>
    <w:p w14:paraId="1FC4E9CC" w14:textId="77777777" w:rsidR="007C5B82" w:rsidRDefault="007C5B82" w:rsidP="00492933"/>
    <w:p w14:paraId="6049ED48" w14:textId="77777777" w:rsidR="007C5B82" w:rsidRDefault="007C5B82" w:rsidP="00492933"/>
    <w:p w14:paraId="0F20C983" w14:textId="77777777" w:rsidR="007C5B82" w:rsidRDefault="007C5B82" w:rsidP="00492933"/>
    <w:p w14:paraId="77DF5EB5" w14:textId="77777777" w:rsidR="007C5B82" w:rsidRDefault="007C5B82" w:rsidP="00492933"/>
    <w:p w14:paraId="4F4147D4" w14:textId="77777777" w:rsidR="007C5B82" w:rsidRDefault="007C5B82" w:rsidP="00492933"/>
    <w:p w14:paraId="166D7672" w14:textId="77777777" w:rsidR="007C5B82" w:rsidRDefault="007C5B82" w:rsidP="00492933"/>
    <w:p w14:paraId="0065B282" w14:textId="77777777" w:rsidR="007C5B82" w:rsidRDefault="007C5B82" w:rsidP="00492933"/>
    <w:p w14:paraId="587DD674" w14:textId="77777777" w:rsidR="007C5B82" w:rsidRDefault="007C5B82" w:rsidP="00492933"/>
    <w:p w14:paraId="6E9906F1" w14:textId="77777777" w:rsidR="007C5B82" w:rsidRDefault="007C5B82" w:rsidP="00492933"/>
    <w:p w14:paraId="7FAC3BDD" w14:textId="77777777" w:rsidR="007C5B82" w:rsidRDefault="007C5B82" w:rsidP="00492933"/>
    <w:p w14:paraId="0D819848" w14:textId="77777777" w:rsidR="007C5B82" w:rsidRDefault="007C5B82" w:rsidP="00492933"/>
    <w:p w14:paraId="3FBBB389" w14:textId="77777777" w:rsidR="007C5B82" w:rsidRDefault="007C5B82" w:rsidP="00492933"/>
    <w:p w14:paraId="1EE35D26" w14:textId="77777777" w:rsidR="007C5B82" w:rsidRDefault="007C5B82" w:rsidP="00492933"/>
    <w:p w14:paraId="13792E22" w14:textId="77777777" w:rsidR="007C5B82" w:rsidRDefault="007C5B82" w:rsidP="00492933"/>
    <w:p w14:paraId="2AEB9217" w14:textId="77777777" w:rsidR="007C5B82" w:rsidRDefault="007C5B82" w:rsidP="00492933"/>
    <w:p w14:paraId="2A5037A0" w14:textId="77777777" w:rsidR="007C5B82" w:rsidRDefault="007C5B82" w:rsidP="00492933"/>
    <w:p w14:paraId="6272C299" w14:textId="77777777" w:rsidR="007C5B82" w:rsidRDefault="007C5B82" w:rsidP="00492933"/>
    <w:p w14:paraId="67A060BD" w14:textId="77777777" w:rsidR="007C5B82" w:rsidRDefault="007C5B82" w:rsidP="00492933"/>
    <w:p w14:paraId="0EAC27DA" w14:textId="77777777" w:rsidR="007C5B82" w:rsidRDefault="007C5B82" w:rsidP="00492933"/>
    <w:p w14:paraId="7D818CF7" w14:textId="77777777" w:rsidR="007C5B82" w:rsidRDefault="007C5B82" w:rsidP="00492933"/>
    <w:p w14:paraId="6E09D777" w14:textId="77777777" w:rsidR="007C5B82" w:rsidRDefault="007C5B82" w:rsidP="00492933"/>
    <w:p w14:paraId="0A9BD443" w14:textId="77777777" w:rsidR="007C5B82" w:rsidRDefault="007C5B82" w:rsidP="00492933"/>
    <w:p w14:paraId="172AD4B3" w14:textId="77777777" w:rsidR="007C5B82" w:rsidRDefault="007C5B82" w:rsidP="00492933"/>
    <w:p w14:paraId="612EA001" w14:textId="77777777" w:rsidR="007C5B82" w:rsidRDefault="007C5B82" w:rsidP="00492933"/>
    <w:p w14:paraId="54BD436B" w14:textId="77777777" w:rsidR="007C5B82" w:rsidRDefault="007C5B82" w:rsidP="00492933"/>
    <w:p w14:paraId="7BD03FC7" w14:textId="77777777" w:rsidR="007C5B82" w:rsidRDefault="007C5B82" w:rsidP="00492933"/>
    <w:p w14:paraId="7F2BA24F" w14:textId="77777777" w:rsidR="007C5B82" w:rsidRDefault="007C5B82" w:rsidP="00492933"/>
    <w:p w14:paraId="47FEBBFE" w14:textId="77777777" w:rsidR="007C5B82" w:rsidRDefault="007C5B82" w:rsidP="00492933"/>
    <w:p w14:paraId="127ECC87" w14:textId="77777777" w:rsidR="007C5B82" w:rsidRDefault="007C5B82" w:rsidP="00492933"/>
    <w:p w14:paraId="257914F0" w14:textId="77777777" w:rsidR="007C5B82" w:rsidRDefault="007C5B82" w:rsidP="00492933"/>
    <w:p w14:paraId="3124F003" w14:textId="77777777" w:rsidR="007C5B82" w:rsidRDefault="007C5B82" w:rsidP="00492933"/>
    <w:p w14:paraId="71187F19" w14:textId="77777777" w:rsidR="007C5B82" w:rsidRDefault="007C5B82" w:rsidP="00492933"/>
    <w:p w14:paraId="53D0E462" w14:textId="77777777" w:rsidR="007C5B82" w:rsidRDefault="007C5B82" w:rsidP="00492933"/>
    <w:p w14:paraId="0FD658A6" w14:textId="77777777" w:rsidR="007C5B82" w:rsidRDefault="007C5B82" w:rsidP="00492933"/>
    <w:p w14:paraId="2D139200" w14:textId="77777777" w:rsidR="007C5B82" w:rsidRDefault="007C5B82" w:rsidP="00492933"/>
    <w:p w14:paraId="62D4DE98" w14:textId="77777777" w:rsidR="007C5B82" w:rsidRDefault="007C5B82" w:rsidP="00492933"/>
    <w:p w14:paraId="1B6C49D5" w14:textId="77777777" w:rsidR="007C5B82" w:rsidRDefault="007C5B82" w:rsidP="00492933"/>
    <w:p w14:paraId="24593757" w14:textId="77777777" w:rsidR="007C5B82" w:rsidRDefault="007C5B82" w:rsidP="00492933"/>
    <w:p w14:paraId="0DACB89C" w14:textId="77777777" w:rsidR="007C5B82" w:rsidRDefault="007C5B82" w:rsidP="00492933"/>
    <w:p w14:paraId="3632EE65" w14:textId="77777777" w:rsidR="007C5B82" w:rsidRDefault="007C5B82" w:rsidP="00492933"/>
    <w:p w14:paraId="5AF07B98" w14:textId="77777777" w:rsidR="007C5B82" w:rsidRDefault="007C5B82" w:rsidP="00492933"/>
    <w:p w14:paraId="56C26D6E" w14:textId="77777777" w:rsidR="007C5B82" w:rsidRDefault="007C5B82" w:rsidP="00492933"/>
    <w:p w14:paraId="7BECEE6C" w14:textId="77777777" w:rsidR="007C5B82" w:rsidRDefault="007C5B82" w:rsidP="00492933"/>
    <w:p w14:paraId="4B83A0CA" w14:textId="77777777" w:rsidR="007C5B82" w:rsidRDefault="007C5B82" w:rsidP="00492933"/>
    <w:p w14:paraId="13BC5375" w14:textId="77777777" w:rsidR="007C5B82" w:rsidRDefault="007C5B82" w:rsidP="00492933"/>
    <w:p w14:paraId="3ADA5C76" w14:textId="77777777" w:rsidR="007C5B82" w:rsidRDefault="007C5B82" w:rsidP="00492933"/>
    <w:p w14:paraId="6619F41B" w14:textId="77777777" w:rsidR="007C5B82" w:rsidRDefault="007C5B82" w:rsidP="00492933"/>
    <w:p w14:paraId="0CB69677" w14:textId="77777777" w:rsidR="007C5B82" w:rsidRDefault="007C5B82" w:rsidP="00492933"/>
    <w:p w14:paraId="53B700DC" w14:textId="77777777" w:rsidR="007C5B82" w:rsidRDefault="007C5B82" w:rsidP="00492933"/>
    <w:p w14:paraId="2EA8E984" w14:textId="77777777" w:rsidR="007C5B82" w:rsidRDefault="007C5B82" w:rsidP="00492933"/>
    <w:p w14:paraId="21132E85" w14:textId="77777777" w:rsidR="007C5B82" w:rsidRDefault="007C5B82" w:rsidP="00492933"/>
    <w:p w14:paraId="77EC5551" w14:textId="77777777" w:rsidR="007C5B82" w:rsidRDefault="007C5B82" w:rsidP="00492933"/>
    <w:p w14:paraId="4091FCB0" w14:textId="77777777" w:rsidR="007C5B82" w:rsidRDefault="007C5B82" w:rsidP="00492933"/>
    <w:p w14:paraId="3B97B3F2" w14:textId="77777777" w:rsidR="007C5B82" w:rsidRDefault="007C5B82" w:rsidP="00492933"/>
    <w:p w14:paraId="45DF13BF" w14:textId="77777777" w:rsidR="007C5B82" w:rsidRDefault="007C5B82" w:rsidP="00492933"/>
    <w:p w14:paraId="1A054F25" w14:textId="77777777" w:rsidR="007C5B82" w:rsidRDefault="007C5B82" w:rsidP="00492933"/>
    <w:p w14:paraId="58BA003A" w14:textId="77777777" w:rsidR="007C5B82" w:rsidRDefault="007C5B82" w:rsidP="00492933"/>
    <w:p w14:paraId="72A79D57" w14:textId="77777777" w:rsidR="007C5B82" w:rsidRDefault="007C5B82" w:rsidP="00492933"/>
    <w:p w14:paraId="234BFE81" w14:textId="77777777" w:rsidR="007C5B82" w:rsidRDefault="007C5B82" w:rsidP="00492933"/>
    <w:p w14:paraId="356F63EB" w14:textId="77777777" w:rsidR="007C5B82" w:rsidRDefault="007C5B82" w:rsidP="00492933"/>
    <w:p w14:paraId="0D590C09" w14:textId="77777777" w:rsidR="007C5B82" w:rsidRDefault="007C5B82" w:rsidP="00492933"/>
    <w:p w14:paraId="2C2F6AB2" w14:textId="77777777" w:rsidR="007C5B82" w:rsidRDefault="007C5B82" w:rsidP="00492933"/>
    <w:p w14:paraId="321CF5B2" w14:textId="77777777" w:rsidR="007C5B82" w:rsidRDefault="007C5B82" w:rsidP="00492933"/>
    <w:p w14:paraId="1C0A8F00" w14:textId="77777777" w:rsidR="007C5B82" w:rsidRDefault="007C5B82" w:rsidP="00492933"/>
    <w:p w14:paraId="5C1CA49A" w14:textId="77777777" w:rsidR="007C5B82" w:rsidRDefault="007C5B82" w:rsidP="00492933"/>
    <w:p w14:paraId="51E38B39" w14:textId="77777777" w:rsidR="007C5B82" w:rsidRDefault="007C5B82" w:rsidP="00492933"/>
    <w:p w14:paraId="2160FD66" w14:textId="77777777" w:rsidR="007C5B82" w:rsidRDefault="007C5B82" w:rsidP="00492933"/>
    <w:p w14:paraId="20E5F6EA" w14:textId="77777777" w:rsidR="007C5B82" w:rsidRDefault="007C5B82" w:rsidP="00492933"/>
    <w:p w14:paraId="313E4613" w14:textId="77777777" w:rsidR="007C5B82" w:rsidRDefault="007C5B82" w:rsidP="00492933"/>
    <w:p w14:paraId="3D13234A" w14:textId="77777777" w:rsidR="007C5B82" w:rsidRDefault="007C5B82" w:rsidP="00492933"/>
    <w:p w14:paraId="223DA64D" w14:textId="77777777" w:rsidR="007C5B82" w:rsidRDefault="007C5B82" w:rsidP="00492933"/>
    <w:p w14:paraId="32219856" w14:textId="77777777" w:rsidR="007C5B82" w:rsidRDefault="007C5B82" w:rsidP="00492933"/>
    <w:p w14:paraId="4DDDF634" w14:textId="77777777" w:rsidR="007C5B82" w:rsidRDefault="007C5B82" w:rsidP="00492933"/>
    <w:p w14:paraId="573B165C" w14:textId="77777777" w:rsidR="007C5B82" w:rsidRDefault="007C5B82" w:rsidP="00492933"/>
    <w:p w14:paraId="10D5AFBA" w14:textId="77777777" w:rsidR="007C5B82" w:rsidRDefault="007C5B82" w:rsidP="00492933"/>
    <w:p w14:paraId="70C3200D" w14:textId="77777777" w:rsidR="007C5B82" w:rsidRDefault="007C5B82" w:rsidP="00492933"/>
    <w:p w14:paraId="08B17662" w14:textId="77777777" w:rsidR="007C5B82" w:rsidRDefault="007C5B82" w:rsidP="00492933"/>
    <w:p w14:paraId="1B173132" w14:textId="77777777" w:rsidR="007C5B82" w:rsidRDefault="007C5B82" w:rsidP="00492933"/>
    <w:p w14:paraId="63C7095A" w14:textId="77777777" w:rsidR="007C5B82" w:rsidRDefault="007C5B82" w:rsidP="00492933"/>
    <w:p w14:paraId="65BEB8C1" w14:textId="77777777" w:rsidR="007C5B82" w:rsidRDefault="007C5B82" w:rsidP="00492933"/>
    <w:p w14:paraId="60C2B601" w14:textId="77777777" w:rsidR="007C5B82" w:rsidRDefault="007C5B82" w:rsidP="00492933"/>
    <w:p w14:paraId="28CD21CD" w14:textId="77777777" w:rsidR="007C5B82" w:rsidRDefault="007C5B82" w:rsidP="00492933"/>
    <w:p w14:paraId="60967C5A" w14:textId="77777777" w:rsidR="007C5B82" w:rsidRDefault="007C5B82" w:rsidP="00492933"/>
    <w:p w14:paraId="082D8275" w14:textId="77777777" w:rsidR="007C5B82" w:rsidRDefault="007C5B82" w:rsidP="00492933"/>
    <w:p w14:paraId="54F27C59" w14:textId="77777777" w:rsidR="007C5B82" w:rsidRDefault="007C5B82" w:rsidP="00492933"/>
    <w:p w14:paraId="759944DC" w14:textId="77777777" w:rsidR="007C5B82" w:rsidRDefault="007C5B82" w:rsidP="00492933"/>
    <w:p w14:paraId="13F3A6A8" w14:textId="77777777" w:rsidR="007C5B82" w:rsidRDefault="007C5B82" w:rsidP="00492933"/>
    <w:p w14:paraId="054D42E4" w14:textId="77777777" w:rsidR="007C5B82" w:rsidRDefault="007C5B82" w:rsidP="00492933"/>
    <w:p w14:paraId="000BDFBA" w14:textId="77777777" w:rsidR="007C5B82" w:rsidRDefault="007C5B82" w:rsidP="00492933"/>
    <w:p w14:paraId="62928D34" w14:textId="77777777" w:rsidR="007C5B82" w:rsidRDefault="007C5B82" w:rsidP="00492933"/>
    <w:p w14:paraId="2B3FEB4B" w14:textId="77777777" w:rsidR="007C5B82" w:rsidRDefault="007C5B82" w:rsidP="00492933"/>
    <w:p w14:paraId="4E3276D5" w14:textId="77777777" w:rsidR="007C5B82" w:rsidRDefault="007C5B82" w:rsidP="00492933"/>
    <w:p w14:paraId="0105BA60" w14:textId="77777777" w:rsidR="007C5B82" w:rsidRDefault="007C5B82" w:rsidP="00492933"/>
    <w:p w14:paraId="53CBA50E" w14:textId="77777777" w:rsidR="007C5B82" w:rsidRDefault="007C5B82" w:rsidP="00492933"/>
    <w:p w14:paraId="4687DC0F" w14:textId="77777777" w:rsidR="007C5B82" w:rsidRDefault="007C5B82" w:rsidP="00492933"/>
    <w:p w14:paraId="651205D0" w14:textId="77777777" w:rsidR="007C5B82" w:rsidRDefault="007C5B82" w:rsidP="00492933"/>
    <w:p w14:paraId="7F75D8A5" w14:textId="77777777" w:rsidR="007C5B82" w:rsidRDefault="007C5B82" w:rsidP="00492933"/>
    <w:p w14:paraId="67053B35" w14:textId="77777777" w:rsidR="007C5B82" w:rsidRDefault="007C5B82" w:rsidP="00492933"/>
    <w:p w14:paraId="4EBD5777" w14:textId="77777777" w:rsidR="007C5B82" w:rsidRDefault="007C5B82" w:rsidP="00492933"/>
    <w:p w14:paraId="50D149B2" w14:textId="77777777" w:rsidR="007C5B82" w:rsidRDefault="007C5B82" w:rsidP="00492933"/>
    <w:p w14:paraId="080506DC" w14:textId="77777777" w:rsidR="007C5B82" w:rsidRDefault="007C5B82" w:rsidP="00492933"/>
    <w:p w14:paraId="43E4ED8E" w14:textId="77777777" w:rsidR="007C5B82" w:rsidRDefault="007C5B82" w:rsidP="00492933"/>
    <w:p w14:paraId="407A2CF0" w14:textId="77777777" w:rsidR="007C5B82" w:rsidRDefault="007C5B82" w:rsidP="00492933"/>
    <w:p w14:paraId="2A1AD08D" w14:textId="77777777" w:rsidR="007C5B82" w:rsidRDefault="007C5B82" w:rsidP="00492933"/>
    <w:p w14:paraId="61BF7122" w14:textId="77777777" w:rsidR="007C5B82" w:rsidRDefault="007C5B82" w:rsidP="00492933"/>
    <w:p w14:paraId="0864233C" w14:textId="77777777" w:rsidR="007C5B82" w:rsidRDefault="007C5B82" w:rsidP="00492933"/>
    <w:p w14:paraId="04A86E45" w14:textId="77777777" w:rsidR="007C5B82" w:rsidRDefault="007C5B82"/>
    <w:p w14:paraId="4C9B0CC1" w14:textId="77777777" w:rsidR="007C5B82" w:rsidRDefault="007C5B82" w:rsidP="00995FAE"/>
    <w:p w14:paraId="73453116" w14:textId="77777777" w:rsidR="007C5B82" w:rsidRDefault="007C5B82" w:rsidP="00995FAE"/>
    <w:p w14:paraId="40790530" w14:textId="77777777" w:rsidR="007C5B82" w:rsidRDefault="007C5B82"/>
  </w:endnote>
  <w:endnote w:type="continuationNotice" w:id="1">
    <w:p w14:paraId="1F60CE54" w14:textId="77777777" w:rsidR="007C5B82" w:rsidRDefault="007C5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6385092"/>
      <w:docPartObj>
        <w:docPartGallery w:val="Page Numbers (Bottom of Page)"/>
        <w:docPartUnique/>
      </w:docPartObj>
    </w:sdtPr>
    <w:sdtEndPr>
      <w:rPr>
        <w:noProof/>
      </w:rPr>
    </w:sdtEndPr>
    <w:sdtContent>
      <w:p w14:paraId="3F9BCE81" w14:textId="77777777" w:rsidR="00435371" w:rsidRDefault="00435371" w:rsidP="00492933">
        <w:pPr>
          <w:pStyle w:val="Footer"/>
        </w:pPr>
        <w:r>
          <w:fldChar w:fldCharType="begin"/>
        </w:r>
        <w:r>
          <w:instrText xml:space="preserve"> PAGE   \* MERGEFORMAT </w:instrText>
        </w:r>
        <w:r>
          <w:fldChar w:fldCharType="separate"/>
        </w:r>
        <w:r>
          <w:rPr>
            <w:noProof/>
          </w:rPr>
          <w:t>1</w:t>
        </w:r>
        <w:r>
          <w:rPr>
            <w:noProof/>
          </w:rPr>
          <w:fldChar w:fldCharType="end"/>
        </w:r>
      </w:p>
    </w:sdtContent>
  </w:sdt>
  <w:p w14:paraId="574DFF88" w14:textId="77777777" w:rsidR="00435371" w:rsidRDefault="00435371" w:rsidP="00492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5263401"/>
      <w:docPartObj>
        <w:docPartGallery w:val="Page Numbers (Bottom of Page)"/>
        <w:docPartUnique/>
      </w:docPartObj>
    </w:sdtPr>
    <w:sdtEndPr>
      <w:rPr>
        <w:color w:val="7F7F7F" w:themeColor="background1" w:themeShade="7F"/>
        <w:spacing w:val="60"/>
      </w:rPr>
    </w:sdtEndPr>
    <w:sdtContent>
      <w:p w14:paraId="48E097BF" w14:textId="77777777" w:rsidR="00435371" w:rsidRDefault="00435371" w:rsidP="00492933">
        <w:pPr>
          <w:pStyle w:val="Footer"/>
          <w:rPr>
            <w:color w:val="7F7F7F" w:themeColor="background1" w:themeShade="7F"/>
            <w:spacing w:val="60"/>
          </w:rPr>
        </w:pPr>
      </w:p>
      <w:p w14:paraId="6B2A551F" w14:textId="77777777" w:rsidR="00435371" w:rsidRDefault="00435371" w:rsidP="00492933">
        <w:pPr>
          <w:pStyle w:val="Footer"/>
        </w:pPr>
        <w:r>
          <w:rPr>
            <w:noProof/>
            <w:color w:val="7F7F7F" w:themeColor="background1" w:themeShade="7F"/>
            <w:spacing w:val="60"/>
          </w:rPr>
          <w:drawing>
            <wp:inline distT="0" distB="0" distL="0" distR="0" wp14:anchorId="215E3ACC" wp14:editId="37027389">
              <wp:extent cx="6120130" cy="6419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wth Hub Logo banner + CDC.jpg"/>
                      <pic:cNvPicPr/>
                    </pic:nvPicPr>
                    <pic:blipFill>
                      <a:blip r:embed="rId1"/>
                      <a:stretch>
                        <a:fillRect/>
                      </a:stretch>
                    </pic:blipFill>
                    <pic:spPr>
                      <a:xfrm>
                        <a:off x="0" y="0"/>
                        <a:ext cx="6120130" cy="641985"/>
                      </a:xfrm>
                      <a:prstGeom prst="rect">
                        <a:avLst/>
                      </a:prstGeom>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4F5BF" w14:textId="77777777" w:rsidR="00435371" w:rsidRDefault="00435371" w:rsidP="00492933">
    <w:pPr>
      <w:pStyle w:val="Footer"/>
    </w:pPr>
  </w:p>
  <w:p w14:paraId="23246B8B" w14:textId="77777777" w:rsidR="00435371" w:rsidRDefault="00435371" w:rsidP="00492933"/>
  <w:p w14:paraId="473E6E17" w14:textId="77777777" w:rsidR="00435371" w:rsidRDefault="00435371" w:rsidP="00492933"/>
  <w:p w14:paraId="411243D8" w14:textId="77777777" w:rsidR="00435371" w:rsidRDefault="00435371" w:rsidP="00492933"/>
  <w:p w14:paraId="74C186FD" w14:textId="77777777" w:rsidR="00435371" w:rsidRDefault="00435371" w:rsidP="00492933"/>
  <w:p w14:paraId="3F6489BA" w14:textId="77777777" w:rsidR="00435371" w:rsidRDefault="00435371" w:rsidP="00492933"/>
  <w:p w14:paraId="0F047B1E" w14:textId="77777777" w:rsidR="00435371" w:rsidRDefault="00435371" w:rsidP="00492933"/>
  <w:p w14:paraId="39F3D982" w14:textId="77777777" w:rsidR="00435371" w:rsidRDefault="00435371" w:rsidP="00492933"/>
  <w:p w14:paraId="5AEC1F20" w14:textId="77777777" w:rsidR="00435371" w:rsidRDefault="00435371" w:rsidP="00492933"/>
  <w:p w14:paraId="2F72F2BB" w14:textId="77777777" w:rsidR="00435371" w:rsidRDefault="00435371" w:rsidP="00492933"/>
  <w:p w14:paraId="67D6BD2F" w14:textId="77777777" w:rsidR="00435371" w:rsidRDefault="00435371" w:rsidP="00492933"/>
  <w:p w14:paraId="34249854" w14:textId="77777777" w:rsidR="00435371" w:rsidRDefault="00435371" w:rsidP="00492933"/>
  <w:p w14:paraId="7AF4A9B3" w14:textId="77777777" w:rsidR="00435371" w:rsidRDefault="00435371" w:rsidP="00492933"/>
  <w:p w14:paraId="171F3A68" w14:textId="77777777" w:rsidR="00435371" w:rsidRDefault="00435371" w:rsidP="00492933"/>
  <w:p w14:paraId="24105D5B" w14:textId="77777777" w:rsidR="00435371" w:rsidRDefault="00435371" w:rsidP="00492933"/>
  <w:p w14:paraId="22DA4108" w14:textId="77777777" w:rsidR="00435371" w:rsidRDefault="00435371" w:rsidP="00492933"/>
  <w:p w14:paraId="29FD82A2" w14:textId="77777777" w:rsidR="00435371" w:rsidRDefault="00435371" w:rsidP="00492933"/>
  <w:p w14:paraId="7D895990" w14:textId="77777777" w:rsidR="00435371" w:rsidRDefault="00435371" w:rsidP="00492933"/>
  <w:p w14:paraId="193DEBEA" w14:textId="77777777" w:rsidR="00435371" w:rsidRDefault="00435371" w:rsidP="00492933"/>
  <w:p w14:paraId="77903A8F" w14:textId="77777777" w:rsidR="00435371" w:rsidRDefault="00435371" w:rsidP="00492933"/>
  <w:p w14:paraId="732375E2" w14:textId="77777777" w:rsidR="00435371" w:rsidRDefault="00435371" w:rsidP="00492933"/>
  <w:p w14:paraId="326E5BB5" w14:textId="77777777" w:rsidR="00435371" w:rsidRDefault="00435371" w:rsidP="00492933"/>
  <w:p w14:paraId="4EC10B4A" w14:textId="77777777" w:rsidR="00435371" w:rsidRDefault="00435371" w:rsidP="00492933"/>
  <w:p w14:paraId="5EDAFC3C" w14:textId="77777777" w:rsidR="00435371" w:rsidRDefault="00435371" w:rsidP="00492933"/>
  <w:p w14:paraId="120B6849" w14:textId="77777777" w:rsidR="00435371" w:rsidRDefault="00435371" w:rsidP="00492933"/>
  <w:p w14:paraId="5AAC6DDE" w14:textId="77777777" w:rsidR="00435371" w:rsidRDefault="00435371" w:rsidP="00492933"/>
  <w:p w14:paraId="23FFC414" w14:textId="77777777" w:rsidR="00435371" w:rsidRDefault="00435371" w:rsidP="00492933"/>
  <w:p w14:paraId="2611F25B" w14:textId="77777777" w:rsidR="00435371" w:rsidRDefault="00435371" w:rsidP="00492933"/>
  <w:p w14:paraId="198B64A7" w14:textId="77777777" w:rsidR="00435371" w:rsidRDefault="00435371" w:rsidP="00492933"/>
  <w:p w14:paraId="13A11B1C" w14:textId="77777777" w:rsidR="00435371" w:rsidRDefault="00435371" w:rsidP="00492933"/>
  <w:p w14:paraId="2699BCBE" w14:textId="77777777" w:rsidR="00435371" w:rsidRDefault="00435371" w:rsidP="00492933"/>
  <w:p w14:paraId="72EA8802" w14:textId="77777777" w:rsidR="00435371" w:rsidRDefault="00435371" w:rsidP="00492933"/>
  <w:p w14:paraId="2A709D67" w14:textId="77777777" w:rsidR="00435371" w:rsidRDefault="00435371" w:rsidP="00492933"/>
  <w:p w14:paraId="3D5348D1" w14:textId="77777777" w:rsidR="00435371" w:rsidRDefault="00435371" w:rsidP="00492933"/>
  <w:p w14:paraId="3F1D4FF2" w14:textId="77777777" w:rsidR="00435371" w:rsidRDefault="00435371" w:rsidP="00492933"/>
  <w:p w14:paraId="6290BE78" w14:textId="77777777" w:rsidR="00435371" w:rsidRDefault="00435371" w:rsidP="00492933"/>
  <w:p w14:paraId="65E7ED57" w14:textId="77777777" w:rsidR="00435371" w:rsidRDefault="00435371" w:rsidP="00492933"/>
  <w:p w14:paraId="0D890417" w14:textId="77777777" w:rsidR="00435371" w:rsidRDefault="00435371" w:rsidP="00492933"/>
  <w:p w14:paraId="5C6EA5E5" w14:textId="77777777" w:rsidR="00435371" w:rsidRDefault="00435371" w:rsidP="00492933"/>
  <w:p w14:paraId="1BDF1D3B" w14:textId="77777777" w:rsidR="00435371" w:rsidRDefault="00435371" w:rsidP="00492933"/>
  <w:p w14:paraId="59712E82" w14:textId="77777777" w:rsidR="00435371" w:rsidRDefault="00435371" w:rsidP="00492933"/>
  <w:p w14:paraId="66121567" w14:textId="77777777" w:rsidR="00435371" w:rsidRDefault="00435371" w:rsidP="00492933"/>
  <w:p w14:paraId="5ECC0B00" w14:textId="77777777" w:rsidR="00435371" w:rsidRDefault="00435371" w:rsidP="00492933"/>
  <w:p w14:paraId="54CEDF22" w14:textId="77777777" w:rsidR="00435371" w:rsidRDefault="00435371" w:rsidP="00492933"/>
  <w:p w14:paraId="1F52F6EB" w14:textId="77777777" w:rsidR="00435371" w:rsidRDefault="00435371" w:rsidP="00492933"/>
  <w:p w14:paraId="4CD7477F" w14:textId="77777777" w:rsidR="00435371" w:rsidRDefault="00435371" w:rsidP="00492933"/>
  <w:p w14:paraId="79DEC0D4" w14:textId="77777777" w:rsidR="00435371" w:rsidRDefault="00435371" w:rsidP="00492933"/>
  <w:p w14:paraId="71988238" w14:textId="77777777" w:rsidR="00435371" w:rsidRDefault="00435371" w:rsidP="00492933"/>
  <w:p w14:paraId="02C88C45" w14:textId="77777777" w:rsidR="00435371" w:rsidRDefault="00435371" w:rsidP="00492933"/>
  <w:p w14:paraId="62B9D229" w14:textId="77777777" w:rsidR="00435371" w:rsidRDefault="00435371" w:rsidP="00492933"/>
  <w:p w14:paraId="0DC0575A" w14:textId="77777777" w:rsidR="00435371" w:rsidRDefault="00435371" w:rsidP="00492933"/>
  <w:p w14:paraId="26E3C3C1" w14:textId="77777777" w:rsidR="00435371" w:rsidRDefault="00435371" w:rsidP="00492933"/>
  <w:p w14:paraId="0AD99577" w14:textId="77777777" w:rsidR="00435371" w:rsidRDefault="00435371" w:rsidP="00492933"/>
  <w:p w14:paraId="58479B3E" w14:textId="77777777" w:rsidR="00435371" w:rsidRDefault="00435371" w:rsidP="00492933"/>
  <w:p w14:paraId="4E1B8F63" w14:textId="77777777" w:rsidR="00435371" w:rsidRDefault="00435371" w:rsidP="00492933"/>
  <w:p w14:paraId="12589818" w14:textId="77777777" w:rsidR="00435371" w:rsidRDefault="00435371" w:rsidP="00492933"/>
  <w:p w14:paraId="6BCF7D00" w14:textId="77777777" w:rsidR="00435371" w:rsidRDefault="00435371" w:rsidP="00492933"/>
  <w:p w14:paraId="11FB5041" w14:textId="77777777" w:rsidR="00435371" w:rsidRDefault="00435371" w:rsidP="00492933"/>
  <w:p w14:paraId="71428CC6" w14:textId="77777777" w:rsidR="00435371" w:rsidRDefault="00435371" w:rsidP="00492933"/>
  <w:p w14:paraId="211F8CDB" w14:textId="77777777" w:rsidR="00435371" w:rsidRDefault="00435371" w:rsidP="00492933"/>
  <w:p w14:paraId="526B6A06" w14:textId="77777777" w:rsidR="00435371" w:rsidRDefault="00435371" w:rsidP="00492933"/>
  <w:p w14:paraId="7DCF586B" w14:textId="77777777" w:rsidR="00435371" w:rsidRDefault="00435371" w:rsidP="00492933"/>
  <w:p w14:paraId="168004D3" w14:textId="77777777" w:rsidR="00435371" w:rsidRDefault="00435371" w:rsidP="00492933"/>
  <w:p w14:paraId="4845C12F" w14:textId="77777777" w:rsidR="00435371" w:rsidRDefault="00435371" w:rsidP="00492933"/>
  <w:p w14:paraId="3710FA32" w14:textId="77777777" w:rsidR="00435371" w:rsidRDefault="00435371" w:rsidP="00492933"/>
  <w:p w14:paraId="215B2D01" w14:textId="77777777" w:rsidR="00435371" w:rsidRDefault="00435371" w:rsidP="00492933"/>
  <w:p w14:paraId="41DA34DD" w14:textId="77777777" w:rsidR="00435371" w:rsidRDefault="00435371" w:rsidP="00492933"/>
  <w:p w14:paraId="6B2AD048" w14:textId="77777777" w:rsidR="00435371" w:rsidRDefault="00435371" w:rsidP="00492933"/>
  <w:p w14:paraId="64855DBA" w14:textId="77777777" w:rsidR="00435371" w:rsidRDefault="00435371" w:rsidP="00492933"/>
  <w:p w14:paraId="6B69A746" w14:textId="77777777" w:rsidR="00435371" w:rsidRDefault="00435371" w:rsidP="00492933"/>
  <w:p w14:paraId="4F430830" w14:textId="77777777" w:rsidR="00435371" w:rsidRDefault="00435371" w:rsidP="00492933"/>
  <w:p w14:paraId="599DF8AC" w14:textId="77777777" w:rsidR="00435371" w:rsidRDefault="00435371" w:rsidP="00492933"/>
  <w:p w14:paraId="1C59B328" w14:textId="77777777" w:rsidR="00435371" w:rsidRDefault="00435371" w:rsidP="00492933"/>
  <w:p w14:paraId="383AC2C0" w14:textId="77777777" w:rsidR="00435371" w:rsidRDefault="00435371" w:rsidP="00492933"/>
  <w:p w14:paraId="414E0296" w14:textId="77777777" w:rsidR="00435371" w:rsidRDefault="00435371" w:rsidP="00492933"/>
  <w:p w14:paraId="68C60F3A" w14:textId="77777777" w:rsidR="00435371" w:rsidRDefault="00435371" w:rsidP="00492933"/>
  <w:p w14:paraId="11432301" w14:textId="77777777" w:rsidR="00435371" w:rsidRDefault="00435371" w:rsidP="00492933"/>
  <w:p w14:paraId="57A2854D" w14:textId="77777777" w:rsidR="00435371" w:rsidRDefault="00435371" w:rsidP="00492933"/>
  <w:p w14:paraId="10E0ADB2" w14:textId="77777777" w:rsidR="00435371" w:rsidRDefault="00435371" w:rsidP="00492933"/>
  <w:p w14:paraId="16744D86" w14:textId="77777777" w:rsidR="00435371" w:rsidRDefault="00435371" w:rsidP="00492933"/>
  <w:p w14:paraId="06CEC894" w14:textId="77777777" w:rsidR="00435371" w:rsidRDefault="00435371" w:rsidP="00492933"/>
  <w:p w14:paraId="45F18066" w14:textId="77777777" w:rsidR="00435371" w:rsidRDefault="00435371" w:rsidP="00492933"/>
  <w:p w14:paraId="5CD7B074" w14:textId="77777777" w:rsidR="00435371" w:rsidRDefault="00435371" w:rsidP="00492933"/>
  <w:p w14:paraId="59994574" w14:textId="77777777" w:rsidR="00435371" w:rsidRDefault="00435371" w:rsidP="00492933"/>
  <w:p w14:paraId="680A61E2" w14:textId="77777777" w:rsidR="00435371" w:rsidRDefault="00435371" w:rsidP="00492933"/>
  <w:p w14:paraId="715A06C5" w14:textId="77777777" w:rsidR="00435371" w:rsidRDefault="00435371" w:rsidP="00492933"/>
  <w:p w14:paraId="25C2B472" w14:textId="77777777" w:rsidR="00435371" w:rsidRDefault="00435371" w:rsidP="00492933"/>
  <w:p w14:paraId="39913D13" w14:textId="77777777" w:rsidR="00435371" w:rsidRDefault="00435371" w:rsidP="00492933"/>
  <w:p w14:paraId="13E0DC92" w14:textId="77777777" w:rsidR="00435371" w:rsidRDefault="00435371" w:rsidP="00492933"/>
  <w:p w14:paraId="347A7846" w14:textId="77777777" w:rsidR="00435371" w:rsidRDefault="00435371" w:rsidP="00492933"/>
  <w:p w14:paraId="5964E7D9" w14:textId="77777777" w:rsidR="00435371" w:rsidRDefault="00435371" w:rsidP="00492933"/>
  <w:p w14:paraId="0F1F688B" w14:textId="77777777" w:rsidR="00435371" w:rsidRDefault="00435371" w:rsidP="00492933"/>
  <w:p w14:paraId="42FA67E0" w14:textId="77777777" w:rsidR="00435371" w:rsidRDefault="00435371" w:rsidP="00492933"/>
  <w:p w14:paraId="1B6FCBE0" w14:textId="77777777" w:rsidR="00435371" w:rsidRDefault="00435371" w:rsidP="00492933"/>
  <w:p w14:paraId="2AED1F80" w14:textId="77777777" w:rsidR="00435371" w:rsidRDefault="00435371" w:rsidP="00492933"/>
  <w:p w14:paraId="65DE4425" w14:textId="77777777" w:rsidR="00435371" w:rsidRDefault="00435371" w:rsidP="00492933"/>
  <w:p w14:paraId="1AE926B2" w14:textId="77777777" w:rsidR="00435371" w:rsidRDefault="00435371" w:rsidP="00492933"/>
  <w:p w14:paraId="7D7E39AD" w14:textId="77777777" w:rsidR="00435371" w:rsidRDefault="00435371" w:rsidP="00492933"/>
  <w:p w14:paraId="6E7798D5" w14:textId="77777777" w:rsidR="00435371" w:rsidRDefault="00435371" w:rsidP="00492933"/>
  <w:p w14:paraId="7D2F0E4C" w14:textId="77777777" w:rsidR="00435371" w:rsidRDefault="00435371" w:rsidP="00492933"/>
  <w:p w14:paraId="1144819B" w14:textId="77777777" w:rsidR="00435371" w:rsidRDefault="00435371" w:rsidP="00492933"/>
  <w:p w14:paraId="0C2CE4DD" w14:textId="77777777" w:rsidR="00435371" w:rsidRDefault="00435371" w:rsidP="00492933"/>
  <w:p w14:paraId="3154A5B0" w14:textId="77777777" w:rsidR="00435371" w:rsidRDefault="00435371" w:rsidP="00492933"/>
  <w:p w14:paraId="17651BA5" w14:textId="77777777" w:rsidR="00435371" w:rsidRDefault="00435371" w:rsidP="00492933"/>
  <w:p w14:paraId="1CE24017" w14:textId="77777777" w:rsidR="00435371" w:rsidRDefault="00435371" w:rsidP="00492933"/>
  <w:p w14:paraId="2EC18035" w14:textId="77777777" w:rsidR="00435371" w:rsidRDefault="00435371" w:rsidP="00492933"/>
  <w:p w14:paraId="50604087" w14:textId="77777777" w:rsidR="00435371" w:rsidRDefault="00435371" w:rsidP="00492933"/>
  <w:p w14:paraId="17985BA1" w14:textId="77777777" w:rsidR="00435371" w:rsidRDefault="00435371" w:rsidP="00492933"/>
  <w:p w14:paraId="4AFFE822" w14:textId="77777777" w:rsidR="00435371" w:rsidRDefault="00435371" w:rsidP="00492933"/>
  <w:p w14:paraId="5679467A" w14:textId="77777777" w:rsidR="00435371" w:rsidRDefault="00435371" w:rsidP="00492933"/>
  <w:p w14:paraId="0591A644" w14:textId="77777777" w:rsidR="00435371" w:rsidRDefault="00435371" w:rsidP="00492933"/>
  <w:p w14:paraId="3FA4406A" w14:textId="77777777" w:rsidR="00435371" w:rsidRDefault="00435371" w:rsidP="00492933"/>
  <w:p w14:paraId="1B4807D0" w14:textId="77777777" w:rsidR="00435371" w:rsidRDefault="00435371" w:rsidP="00492933"/>
  <w:p w14:paraId="35608038" w14:textId="77777777" w:rsidR="00435371" w:rsidRDefault="00435371" w:rsidP="00492933"/>
  <w:p w14:paraId="5223AD06" w14:textId="77777777" w:rsidR="00435371" w:rsidRDefault="00435371" w:rsidP="00492933"/>
  <w:p w14:paraId="3DB1A05D" w14:textId="77777777" w:rsidR="00435371" w:rsidRDefault="00435371" w:rsidP="00492933"/>
  <w:p w14:paraId="6261D9D0" w14:textId="77777777" w:rsidR="00435371" w:rsidRDefault="00435371" w:rsidP="00492933"/>
  <w:p w14:paraId="5EEDEC15" w14:textId="77777777" w:rsidR="00435371" w:rsidRDefault="00435371" w:rsidP="00492933"/>
  <w:p w14:paraId="6886D491" w14:textId="77777777" w:rsidR="00435371" w:rsidRDefault="00435371" w:rsidP="00492933"/>
  <w:p w14:paraId="1795B0F2" w14:textId="77777777" w:rsidR="00435371" w:rsidRDefault="00435371" w:rsidP="00492933"/>
  <w:p w14:paraId="64B1E776" w14:textId="77777777" w:rsidR="00435371" w:rsidRDefault="00435371" w:rsidP="00492933"/>
  <w:p w14:paraId="180998E0" w14:textId="77777777" w:rsidR="00435371" w:rsidRDefault="00435371" w:rsidP="00492933"/>
  <w:p w14:paraId="433A7848" w14:textId="77777777" w:rsidR="00435371" w:rsidRDefault="00435371" w:rsidP="00492933"/>
  <w:p w14:paraId="352530C2" w14:textId="77777777" w:rsidR="00435371" w:rsidRDefault="00435371" w:rsidP="00492933"/>
  <w:p w14:paraId="6ECC4AB4" w14:textId="77777777" w:rsidR="00435371" w:rsidRDefault="00435371" w:rsidP="00492933"/>
  <w:p w14:paraId="2E5ADF7E" w14:textId="77777777" w:rsidR="00435371" w:rsidRDefault="00435371" w:rsidP="00492933"/>
  <w:p w14:paraId="6F3CA13D" w14:textId="77777777" w:rsidR="00435371" w:rsidRDefault="00435371" w:rsidP="00492933"/>
  <w:p w14:paraId="04029168" w14:textId="77777777" w:rsidR="00435371" w:rsidRDefault="00435371" w:rsidP="00492933"/>
  <w:p w14:paraId="7190FA27" w14:textId="77777777" w:rsidR="00435371" w:rsidRDefault="00435371" w:rsidP="00492933"/>
  <w:p w14:paraId="61D98CEC" w14:textId="77777777" w:rsidR="00435371" w:rsidRDefault="00435371" w:rsidP="00492933"/>
  <w:p w14:paraId="72002328" w14:textId="77777777" w:rsidR="00435371" w:rsidRDefault="00435371" w:rsidP="00492933"/>
  <w:p w14:paraId="0A51A52E" w14:textId="77777777" w:rsidR="00435371" w:rsidRDefault="00435371" w:rsidP="00492933"/>
  <w:p w14:paraId="793A7BB2" w14:textId="77777777" w:rsidR="00435371" w:rsidRDefault="00435371" w:rsidP="00492933"/>
  <w:p w14:paraId="53A85F63" w14:textId="77777777" w:rsidR="00435371" w:rsidRDefault="00435371" w:rsidP="00492933"/>
  <w:p w14:paraId="7D603F63" w14:textId="77777777" w:rsidR="00435371" w:rsidRDefault="00435371" w:rsidP="00492933"/>
  <w:p w14:paraId="706CC4C7" w14:textId="77777777" w:rsidR="00435371" w:rsidRDefault="00435371" w:rsidP="00492933"/>
  <w:p w14:paraId="17C60466" w14:textId="77777777" w:rsidR="00435371" w:rsidRDefault="00435371" w:rsidP="00492933"/>
  <w:p w14:paraId="22A38B82" w14:textId="77777777" w:rsidR="00435371" w:rsidRDefault="00435371"/>
  <w:p w14:paraId="772BB485" w14:textId="77777777" w:rsidR="00435371" w:rsidRDefault="00435371" w:rsidP="00995FAE"/>
  <w:p w14:paraId="62B9384B" w14:textId="77777777" w:rsidR="00435371" w:rsidRDefault="00435371" w:rsidP="00995FAE"/>
  <w:p w14:paraId="76B17753" w14:textId="77777777" w:rsidR="00435371" w:rsidRDefault="0043537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4110057"/>
      <w:docPartObj>
        <w:docPartGallery w:val="Page Numbers (Bottom of Page)"/>
        <w:docPartUnique/>
      </w:docPartObj>
    </w:sdtPr>
    <w:sdtEndPr/>
    <w:sdtContent>
      <w:p w14:paraId="37D3831F" w14:textId="77777777" w:rsidR="00435371" w:rsidRDefault="00435371" w:rsidP="00492933">
        <w:pPr>
          <w:pStyle w:val="Footer"/>
          <w:rPr>
            <w:color w:val="7F7F7F" w:themeColor="background1" w:themeShade="7F"/>
            <w:spacing w:val="60"/>
          </w:rPr>
        </w:pPr>
        <w:r>
          <w:fldChar w:fldCharType="begin"/>
        </w:r>
        <w:r>
          <w:instrText xml:space="preserve"> PAGE   \* MERGEFORMAT </w:instrText>
        </w:r>
        <w:r>
          <w:fldChar w:fldCharType="separate"/>
        </w:r>
        <w:r w:rsidR="00F1427F">
          <w:rPr>
            <w:noProof/>
          </w:rPr>
          <w:t>11</w:t>
        </w:r>
        <w:r>
          <w:rPr>
            <w:noProof/>
          </w:rPr>
          <w:fldChar w:fldCharType="end"/>
        </w:r>
        <w:r>
          <w:t xml:space="preserve"> | </w:t>
        </w:r>
        <w:r>
          <w:rPr>
            <w:color w:val="7F7F7F" w:themeColor="background1" w:themeShade="7F"/>
            <w:spacing w:val="60"/>
          </w:rPr>
          <w:t>Page</w:t>
        </w:r>
      </w:p>
      <w:p w14:paraId="298261C1" w14:textId="1A5E4A7E" w:rsidR="00435371" w:rsidRPr="00D92944" w:rsidRDefault="00435371" w:rsidP="00D92944">
        <w:pPr>
          <w:pStyle w:val="Footer"/>
          <w:rPr>
            <w:color w:val="7F7F7F" w:themeColor="background1" w:themeShade="7F"/>
            <w:spacing w:val="60"/>
          </w:rPr>
        </w:pPr>
        <w:r>
          <w:rPr>
            <w:noProof/>
            <w:color w:val="7F7F7F" w:themeColor="background1" w:themeShade="7F"/>
            <w:spacing w:val="60"/>
          </w:rPr>
          <w:drawing>
            <wp:inline distT="0" distB="0" distL="0" distR="0" wp14:anchorId="5D97D054" wp14:editId="241FFDE2">
              <wp:extent cx="6120130" cy="6419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owth Hub Logo banner + CDC.jpg"/>
                      <pic:cNvPicPr/>
                    </pic:nvPicPr>
                    <pic:blipFill>
                      <a:blip r:embed="rId1"/>
                      <a:stretch>
                        <a:fillRect/>
                      </a:stretch>
                    </pic:blipFill>
                    <pic:spPr>
                      <a:xfrm>
                        <a:off x="0" y="0"/>
                        <a:ext cx="6120130" cy="641985"/>
                      </a:xfrm>
                      <a:prstGeom prst="rect">
                        <a:avLst/>
                      </a:prstGeom>
                    </pic:spPr>
                  </pic:pic>
                </a:graphicData>
              </a:graphic>
            </wp:inline>
          </w:drawing>
        </w:r>
      </w:p>
    </w:sdtContent>
  </w:sdt>
  <w:p w14:paraId="09ECEF06" w14:textId="77777777" w:rsidR="00435371" w:rsidRDefault="00435371" w:rsidP="00995FAE"/>
  <w:p w14:paraId="619A7EB6" w14:textId="77777777" w:rsidR="00435371" w:rsidRDefault="0043537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F1B86" w14:textId="77777777" w:rsidR="00435371" w:rsidRDefault="00435371" w:rsidP="00492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D8D01" w14:textId="77777777" w:rsidR="007C5B82" w:rsidRDefault="007C5B82" w:rsidP="00492933">
      <w:r>
        <w:separator/>
      </w:r>
    </w:p>
    <w:p w14:paraId="705735C1" w14:textId="77777777" w:rsidR="007C5B82" w:rsidRDefault="007C5B82" w:rsidP="00492933"/>
    <w:p w14:paraId="5CB61783" w14:textId="77777777" w:rsidR="007C5B82" w:rsidRDefault="007C5B82" w:rsidP="00492933"/>
    <w:p w14:paraId="50B0D3BB" w14:textId="77777777" w:rsidR="007C5B82" w:rsidRDefault="007C5B82" w:rsidP="00492933"/>
    <w:p w14:paraId="2AB7904A" w14:textId="77777777" w:rsidR="007C5B82" w:rsidRDefault="007C5B82" w:rsidP="00492933"/>
    <w:p w14:paraId="5F273B2D" w14:textId="77777777" w:rsidR="007C5B82" w:rsidRDefault="007C5B82" w:rsidP="00492933"/>
    <w:p w14:paraId="7F161472" w14:textId="77777777" w:rsidR="007C5B82" w:rsidRDefault="007C5B82" w:rsidP="00492933"/>
    <w:p w14:paraId="0D1B5739" w14:textId="77777777" w:rsidR="007C5B82" w:rsidRDefault="007C5B82" w:rsidP="00492933"/>
    <w:p w14:paraId="6CEDD848" w14:textId="77777777" w:rsidR="007C5B82" w:rsidRDefault="007C5B82" w:rsidP="00492933"/>
    <w:p w14:paraId="7B8F334B" w14:textId="77777777" w:rsidR="007C5B82" w:rsidRDefault="007C5B82" w:rsidP="00492933"/>
    <w:p w14:paraId="3FAFCF3D" w14:textId="77777777" w:rsidR="007C5B82" w:rsidRDefault="007C5B82" w:rsidP="00492933"/>
    <w:p w14:paraId="56AE2EE6" w14:textId="77777777" w:rsidR="007C5B82" w:rsidRDefault="007C5B82" w:rsidP="00492933"/>
    <w:p w14:paraId="734A224A" w14:textId="77777777" w:rsidR="007C5B82" w:rsidRDefault="007C5B82" w:rsidP="00492933"/>
    <w:p w14:paraId="7E1270EF" w14:textId="77777777" w:rsidR="007C5B82" w:rsidRDefault="007C5B82" w:rsidP="00492933"/>
    <w:p w14:paraId="24836B00" w14:textId="77777777" w:rsidR="007C5B82" w:rsidRDefault="007C5B82" w:rsidP="00492933"/>
    <w:p w14:paraId="60ACA14F" w14:textId="77777777" w:rsidR="007C5B82" w:rsidRDefault="007C5B82" w:rsidP="00492933"/>
    <w:p w14:paraId="59B54A62" w14:textId="77777777" w:rsidR="007C5B82" w:rsidRDefault="007C5B82" w:rsidP="00492933"/>
    <w:p w14:paraId="1AF38704" w14:textId="77777777" w:rsidR="007C5B82" w:rsidRDefault="007C5B82" w:rsidP="00492933"/>
    <w:p w14:paraId="0B8F7022" w14:textId="77777777" w:rsidR="007C5B82" w:rsidRDefault="007C5B82" w:rsidP="00492933"/>
    <w:p w14:paraId="18CD8D5D" w14:textId="77777777" w:rsidR="007C5B82" w:rsidRDefault="007C5B82" w:rsidP="00492933"/>
    <w:p w14:paraId="20B4E76D" w14:textId="77777777" w:rsidR="007C5B82" w:rsidRDefault="007C5B82" w:rsidP="00492933"/>
    <w:p w14:paraId="571F14BE" w14:textId="77777777" w:rsidR="007C5B82" w:rsidRDefault="007C5B82" w:rsidP="00492933"/>
    <w:p w14:paraId="5E6B9630" w14:textId="77777777" w:rsidR="007C5B82" w:rsidRDefault="007C5B82" w:rsidP="00492933"/>
    <w:p w14:paraId="606D8F1F" w14:textId="77777777" w:rsidR="007C5B82" w:rsidRDefault="007C5B82" w:rsidP="00492933"/>
    <w:p w14:paraId="66187060" w14:textId="77777777" w:rsidR="007C5B82" w:rsidRDefault="007C5B82" w:rsidP="00492933"/>
    <w:p w14:paraId="529C0417" w14:textId="77777777" w:rsidR="007C5B82" w:rsidRDefault="007C5B82" w:rsidP="00492933"/>
    <w:p w14:paraId="4655D1CD" w14:textId="77777777" w:rsidR="007C5B82" w:rsidRDefault="007C5B82" w:rsidP="00492933"/>
    <w:p w14:paraId="655E9171" w14:textId="77777777" w:rsidR="007C5B82" w:rsidRDefault="007C5B82" w:rsidP="00492933"/>
    <w:p w14:paraId="77FE926F" w14:textId="77777777" w:rsidR="007C5B82" w:rsidRDefault="007C5B82" w:rsidP="00492933"/>
    <w:p w14:paraId="7C44AC39" w14:textId="77777777" w:rsidR="007C5B82" w:rsidRDefault="007C5B82" w:rsidP="00492933"/>
    <w:p w14:paraId="7190094E" w14:textId="77777777" w:rsidR="007C5B82" w:rsidRDefault="007C5B82" w:rsidP="00492933"/>
    <w:p w14:paraId="3DC1E641" w14:textId="77777777" w:rsidR="007C5B82" w:rsidRDefault="007C5B82" w:rsidP="00492933"/>
    <w:p w14:paraId="52AB1B43" w14:textId="77777777" w:rsidR="007C5B82" w:rsidRDefault="007C5B82" w:rsidP="00492933"/>
    <w:p w14:paraId="0941B668" w14:textId="77777777" w:rsidR="007C5B82" w:rsidRDefault="007C5B82" w:rsidP="00492933"/>
    <w:p w14:paraId="38FF57D3" w14:textId="77777777" w:rsidR="007C5B82" w:rsidRDefault="007C5B82" w:rsidP="00492933"/>
    <w:p w14:paraId="36D8FB4A" w14:textId="77777777" w:rsidR="007C5B82" w:rsidRDefault="007C5B82" w:rsidP="00492933"/>
    <w:p w14:paraId="3D2D2438" w14:textId="77777777" w:rsidR="007C5B82" w:rsidRDefault="007C5B82" w:rsidP="00492933"/>
    <w:p w14:paraId="07D34620" w14:textId="77777777" w:rsidR="007C5B82" w:rsidRDefault="007C5B82" w:rsidP="00492933"/>
    <w:p w14:paraId="4F35DB91" w14:textId="77777777" w:rsidR="007C5B82" w:rsidRDefault="007C5B82" w:rsidP="00492933"/>
    <w:p w14:paraId="60352E61" w14:textId="77777777" w:rsidR="007C5B82" w:rsidRDefault="007C5B82" w:rsidP="00492933"/>
    <w:p w14:paraId="73411DDF" w14:textId="77777777" w:rsidR="007C5B82" w:rsidRDefault="007C5B82" w:rsidP="00492933"/>
    <w:p w14:paraId="2423DDAA" w14:textId="77777777" w:rsidR="007C5B82" w:rsidRDefault="007C5B82" w:rsidP="00492933"/>
    <w:p w14:paraId="0EFB7ABC" w14:textId="77777777" w:rsidR="007C5B82" w:rsidRDefault="007C5B82" w:rsidP="00492933"/>
    <w:p w14:paraId="60A025B5" w14:textId="77777777" w:rsidR="007C5B82" w:rsidRDefault="007C5B82" w:rsidP="00492933"/>
    <w:p w14:paraId="7AD37F6B" w14:textId="77777777" w:rsidR="007C5B82" w:rsidRDefault="007C5B82" w:rsidP="00492933"/>
    <w:p w14:paraId="1ECC36F1" w14:textId="77777777" w:rsidR="007C5B82" w:rsidRDefault="007C5B82" w:rsidP="00492933"/>
    <w:p w14:paraId="1B6473D3" w14:textId="77777777" w:rsidR="007C5B82" w:rsidRDefault="007C5B82" w:rsidP="00492933"/>
    <w:p w14:paraId="77BC28EF" w14:textId="77777777" w:rsidR="007C5B82" w:rsidRDefault="007C5B82" w:rsidP="00492933"/>
    <w:p w14:paraId="087B5D60" w14:textId="77777777" w:rsidR="007C5B82" w:rsidRDefault="007C5B82" w:rsidP="00492933"/>
    <w:p w14:paraId="7FB9EBC9" w14:textId="77777777" w:rsidR="007C5B82" w:rsidRDefault="007C5B82" w:rsidP="00492933"/>
    <w:p w14:paraId="1A977BE7" w14:textId="77777777" w:rsidR="007C5B82" w:rsidRDefault="007C5B82" w:rsidP="00492933"/>
    <w:p w14:paraId="40790663" w14:textId="77777777" w:rsidR="007C5B82" w:rsidRDefault="007C5B82" w:rsidP="00492933"/>
    <w:p w14:paraId="7DF6EA04" w14:textId="77777777" w:rsidR="007C5B82" w:rsidRDefault="007C5B82" w:rsidP="00492933"/>
    <w:p w14:paraId="047C846E" w14:textId="77777777" w:rsidR="007C5B82" w:rsidRDefault="007C5B82" w:rsidP="00492933"/>
    <w:p w14:paraId="37F135DF" w14:textId="77777777" w:rsidR="007C5B82" w:rsidRDefault="007C5B82" w:rsidP="00492933"/>
    <w:p w14:paraId="3BAC718C" w14:textId="77777777" w:rsidR="007C5B82" w:rsidRDefault="007C5B82" w:rsidP="00492933"/>
    <w:p w14:paraId="618CD0EA" w14:textId="77777777" w:rsidR="007C5B82" w:rsidRDefault="007C5B82" w:rsidP="00492933"/>
    <w:p w14:paraId="72377EAA" w14:textId="77777777" w:rsidR="007C5B82" w:rsidRDefault="007C5B82" w:rsidP="00492933"/>
    <w:p w14:paraId="560341E8" w14:textId="77777777" w:rsidR="007C5B82" w:rsidRDefault="007C5B82" w:rsidP="00492933"/>
    <w:p w14:paraId="56044EC0" w14:textId="77777777" w:rsidR="007C5B82" w:rsidRDefault="007C5B82" w:rsidP="00492933"/>
    <w:p w14:paraId="7E4E040C" w14:textId="77777777" w:rsidR="007C5B82" w:rsidRDefault="007C5B82" w:rsidP="00492933"/>
    <w:p w14:paraId="11FE3A92" w14:textId="77777777" w:rsidR="007C5B82" w:rsidRDefault="007C5B82" w:rsidP="00492933"/>
    <w:p w14:paraId="6119B067" w14:textId="77777777" w:rsidR="007C5B82" w:rsidRDefault="007C5B82" w:rsidP="00492933"/>
    <w:p w14:paraId="3191568E" w14:textId="77777777" w:rsidR="007C5B82" w:rsidRDefault="007C5B82" w:rsidP="00492933"/>
    <w:p w14:paraId="2FB25815" w14:textId="77777777" w:rsidR="007C5B82" w:rsidRDefault="007C5B82" w:rsidP="00492933"/>
    <w:p w14:paraId="67E9F6F1" w14:textId="77777777" w:rsidR="007C5B82" w:rsidRDefault="007C5B82" w:rsidP="00492933"/>
    <w:p w14:paraId="15B3692C" w14:textId="77777777" w:rsidR="007C5B82" w:rsidRDefault="007C5B82" w:rsidP="00492933"/>
    <w:p w14:paraId="1ED68CDC" w14:textId="77777777" w:rsidR="007C5B82" w:rsidRDefault="007C5B82" w:rsidP="00492933"/>
    <w:p w14:paraId="27E69F87" w14:textId="77777777" w:rsidR="007C5B82" w:rsidRDefault="007C5B82" w:rsidP="00492933"/>
    <w:p w14:paraId="5582BC15" w14:textId="77777777" w:rsidR="007C5B82" w:rsidRDefault="007C5B82" w:rsidP="00492933"/>
    <w:p w14:paraId="13765AC2" w14:textId="77777777" w:rsidR="007C5B82" w:rsidRDefault="007C5B82" w:rsidP="00492933"/>
    <w:p w14:paraId="3E8471E2" w14:textId="77777777" w:rsidR="007C5B82" w:rsidRDefault="007C5B82" w:rsidP="00492933"/>
    <w:p w14:paraId="7A11C7C9" w14:textId="77777777" w:rsidR="007C5B82" w:rsidRDefault="007C5B82" w:rsidP="00492933"/>
    <w:p w14:paraId="172A5E50" w14:textId="77777777" w:rsidR="007C5B82" w:rsidRDefault="007C5B82" w:rsidP="00492933"/>
    <w:p w14:paraId="4F70D2F1" w14:textId="77777777" w:rsidR="007C5B82" w:rsidRDefault="007C5B82" w:rsidP="00492933"/>
    <w:p w14:paraId="36594403" w14:textId="77777777" w:rsidR="007C5B82" w:rsidRDefault="007C5B82" w:rsidP="00492933"/>
    <w:p w14:paraId="1993067A" w14:textId="77777777" w:rsidR="007C5B82" w:rsidRDefault="007C5B82" w:rsidP="00492933"/>
    <w:p w14:paraId="386C3290" w14:textId="77777777" w:rsidR="007C5B82" w:rsidRDefault="007C5B82" w:rsidP="00492933"/>
    <w:p w14:paraId="29DC99A7" w14:textId="77777777" w:rsidR="007C5B82" w:rsidRDefault="007C5B82" w:rsidP="00492933"/>
    <w:p w14:paraId="0EFF5F42" w14:textId="77777777" w:rsidR="007C5B82" w:rsidRDefault="007C5B82" w:rsidP="00492933"/>
    <w:p w14:paraId="75F6144E" w14:textId="77777777" w:rsidR="007C5B82" w:rsidRDefault="007C5B82" w:rsidP="00492933"/>
    <w:p w14:paraId="7C75F06A" w14:textId="77777777" w:rsidR="007C5B82" w:rsidRDefault="007C5B82" w:rsidP="00492933"/>
    <w:p w14:paraId="53950AEB" w14:textId="77777777" w:rsidR="007C5B82" w:rsidRDefault="007C5B82" w:rsidP="00492933"/>
    <w:p w14:paraId="17D0AF51" w14:textId="77777777" w:rsidR="007C5B82" w:rsidRDefault="007C5B82" w:rsidP="00492933"/>
    <w:p w14:paraId="3BE27704" w14:textId="77777777" w:rsidR="007C5B82" w:rsidRDefault="007C5B82" w:rsidP="00492933"/>
    <w:p w14:paraId="79FC9DF4" w14:textId="77777777" w:rsidR="007C5B82" w:rsidRDefault="007C5B82" w:rsidP="00492933"/>
    <w:p w14:paraId="6B44A11C" w14:textId="77777777" w:rsidR="007C5B82" w:rsidRDefault="007C5B82" w:rsidP="00492933"/>
    <w:p w14:paraId="42E59899" w14:textId="77777777" w:rsidR="007C5B82" w:rsidRDefault="007C5B82" w:rsidP="00492933"/>
    <w:p w14:paraId="7D1BEEEF" w14:textId="77777777" w:rsidR="007C5B82" w:rsidRDefault="007C5B82" w:rsidP="00492933"/>
    <w:p w14:paraId="33AA405C" w14:textId="77777777" w:rsidR="007C5B82" w:rsidRDefault="007C5B82" w:rsidP="00492933"/>
    <w:p w14:paraId="2573D4E0" w14:textId="77777777" w:rsidR="007C5B82" w:rsidRDefault="007C5B82" w:rsidP="00492933"/>
    <w:p w14:paraId="67BA6BD7" w14:textId="77777777" w:rsidR="007C5B82" w:rsidRDefault="007C5B82" w:rsidP="00492933"/>
    <w:p w14:paraId="75C80878" w14:textId="77777777" w:rsidR="007C5B82" w:rsidRDefault="007C5B82" w:rsidP="00492933"/>
    <w:p w14:paraId="15F9DCFB" w14:textId="77777777" w:rsidR="007C5B82" w:rsidRDefault="007C5B82" w:rsidP="00492933"/>
    <w:p w14:paraId="2D9F468D" w14:textId="77777777" w:rsidR="007C5B82" w:rsidRDefault="007C5B82" w:rsidP="00492933"/>
    <w:p w14:paraId="52625FFF" w14:textId="77777777" w:rsidR="007C5B82" w:rsidRDefault="007C5B82" w:rsidP="00492933"/>
    <w:p w14:paraId="23098C23" w14:textId="77777777" w:rsidR="007C5B82" w:rsidRDefault="007C5B82" w:rsidP="00492933"/>
    <w:p w14:paraId="4051CDAB" w14:textId="77777777" w:rsidR="007C5B82" w:rsidRDefault="007C5B82" w:rsidP="00492933"/>
    <w:p w14:paraId="1D4BE061" w14:textId="77777777" w:rsidR="007C5B82" w:rsidRDefault="007C5B82" w:rsidP="00492933"/>
    <w:p w14:paraId="02EBB91E" w14:textId="77777777" w:rsidR="007C5B82" w:rsidRDefault="007C5B82" w:rsidP="00492933"/>
    <w:p w14:paraId="28295924" w14:textId="77777777" w:rsidR="007C5B82" w:rsidRDefault="007C5B82" w:rsidP="00492933"/>
    <w:p w14:paraId="554D781F" w14:textId="77777777" w:rsidR="007C5B82" w:rsidRDefault="007C5B82" w:rsidP="00492933"/>
    <w:p w14:paraId="18061707" w14:textId="77777777" w:rsidR="007C5B82" w:rsidRDefault="007C5B82" w:rsidP="00492933"/>
    <w:p w14:paraId="3CAE323F" w14:textId="77777777" w:rsidR="007C5B82" w:rsidRDefault="007C5B82" w:rsidP="00492933"/>
    <w:p w14:paraId="01CA7867" w14:textId="77777777" w:rsidR="007C5B82" w:rsidRDefault="007C5B82" w:rsidP="00492933"/>
    <w:p w14:paraId="4F79AEE8" w14:textId="77777777" w:rsidR="007C5B82" w:rsidRDefault="007C5B82" w:rsidP="00492933"/>
    <w:p w14:paraId="0A37C990" w14:textId="77777777" w:rsidR="007C5B82" w:rsidRDefault="007C5B82" w:rsidP="00492933"/>
    <w:p w14:paraId="193C442D" w14:textId="77777777" w:rsidR="007C5B82" w:rsidRDefault="007C5B82" w:rsidP="00492933"/>
    <w:p w14:paraId="381021EE" w14:textId="77777777" w:rsidR="007C5B82" w:rsidRDefault="007C5B82" w:rsidP="00492933"/>
    <w:p w14:paraId="5DF2680C" w14:textId="77777777" w:rsidR="007C5B82" w:rsidRDefault="007C5B82" w:rsidP="00492933"/>
    <w:p w14:paraId="378E843A" w14:textId="77777777" w:rsidR="007C5B82" w:rsidRDefault="007C5B82" w:rsidP="00492933"/>
    <w:p w14:paraId="7173862D" w14:textId="77777777" w:rsidR="007C5B82" w:rsidRDefault="007C5B82" w:rsidP="00492933"/>
    <w:p w14:paraId="77EF55C5" w14:textId="77777777" w:rsidR="007C5B82" w:rsidRDefault="007C5B82" w:rsidP="00492933"/>
    <w:p w14:paraId="33BA5649" w14:textId="77777777" w:rsidR="007C5B82" w:rsidRDefault="007C5B82" w:rsidP="00492933"/>
    <w:p w14:paraId="0E8D01C5" w14:textId="77777777" w:rsidR="007C5B82" w:rsidRDefault="007C5B82" w:rsidP="00492933"/>
    <w:p w14:paraId="52898E79" w14:textId="77777777" w:rsidR="007C5B82" w:rsidRDefault="007C5B82" w:rsidP="00492933"/>
    <w:p w14:paraId="022BA2BC" w14:textId="77777777" w:rsidR="007C5B82" w:rsidRDefault="007C5B82" w:rsidP="00492933"/>
    <w:p w14:paraId="5F0EB38D" w14:textId="77777777" w:rsidR="007C5B82" w:rsidRDefault="007C5B82" w:rsidP="00492933"/>
    <w:p w14:paraId="520B1D56" w14:textId="77777777" w:rsidR="007C5B82" w:rsidRDefault="007C5B82" w:rsidP="00492933"/>
    <w:p w14:paraId="0F71596A" w14:textId="77777777" w:rsidR="007C5B82" w:rsidRDefault="007C5B82" w:rsidP="00492933"/>
    <w:p w14:paraId="0A8003F0" w14:textId="77777777" w:rsidR="007C5B82" w:rsidRDefault="007C5B82" w:rsidP="00492933"/>
    <w:p w14:paraId="6C23CC27" w14:textId="77777777" w:rsidR="007C5B82" w:rsidRDefault="007C5B82" w:rsidP="00492933"/>
    <w:p w14:paraId="345BD653" w14:textId="77777777" w:rsidR="007C5B82" w:rsidRDefault="007C5B82" w:rsidP="00492933"/>
    <w:p w14:paraId="423A0631" w14:textId="77777777" w:rsidR="007C5B82" w:rsidRDefault="007C5B82" w:rsidP="00492933"/>
    <w:p w14:paraId="470C700D" w14:textId="77777777" w:rsidR="007C5B82" w:rsidRDefault="007C5B82" w:rsidP="00492933"/>
    <w:p w14:paraId="43336BED" w14:textId="77777777" w:rsidR="007C5B82" w:rsidRDefault="007C5B82" w:rsidP="00492933"/>
    <w:p w14:paraId="26C04EB2" w14:textId="77777777" w:rsidR="007C5B82" w:rsidRDefault="007C5B82" w:rsidP="00492933"/>
    <w:p w14:paraId="3A97D636" w14:textId="77777777" w:rsidR="007C5B82" w:rsidRDefault="007C5B82" w:rsidP="00492933"/>
    <w:p w14:paraId="6E019D65" w14:textId="77777777" w:rsidR="007C5B82" w:rsidRDefault="007C5B82" w:rsidP="00492933"/>
    <w:p w14:paraId="4F002C58" w14:textId="77777777" w:rsidR="007C5B82" w:rsidRDefault="007C5B82" w:rsidP="00492933"/>
    <w:p w14:paraId="54B20129" w14:textId="77777777" w:rsidR="007C5B82" w:rsidRDefault="007C5B82" w:rsidP="00492933"/>
    <w:p w14:paraId="4BE36FE4" w14:textId="77777777" w:rsidR="007C5B82" w:rsidRDefault="007C5B82" w:rsidP="00492933"/>
    <w:p w14:paraId="6F484A2D" w14:textId="77777777" w:rsidR="007C5B82" w:rsidRDefault="007C5B82" w:rsidP="00492933"/>
    <w:p w14:paraId="4352A412" w14:textId="77777777" w:rsidR="007C5B82" w:rsidRDefault="007C5B82" w:rsidP="00492933"/>
    <w:p w14:paraId="546D2CF7" w14:textId="77777777" w:rsidR="007C5B82" w:rsidRDefault="007C5B82" w:rsidP="00492933"/>
    <w:p w14:paraId="7B62E52E" w14:textId="77777777" w:rsidR="007C5B82" w:rsidRDefault="007C5B82" w:rsidP="00492933"/>
    <w:p w14:paraId="1BFF13AB" w14:textId="77777777" w:rsidR="007C5B82" w:rsidRDefault="007C5B82" w:rsidP="00492933"/>
    <w:p w14:paraId="23A247A3" w14:textId="77777777" w:rsidR="007C5B82" w:rsidRDefault="007C5B82" w:rsidP="00492933"/>
    <w:p w14:paraId="23A2FAC1" w14:textId="77777777" w:rsidR="007C5B82" w:rsidRDefault="007C5B82" w:rsidP="00492933"/>
    <w:p w14:paraId="3E7A7CFB" w14:textId="77777777" w:rsidR="007C5B82" w:rsidRDefault="007C5B82" w:rsidP="00492933"/>
    <w:p w14:paraId="7C196BDE" w14:textId="77777777" w:rsidR="007C5B82" w:rsidRDefault="007C5B82" w:rsidP="00492933"/>
    <w:p w14:paraId="764C16CF" w14:textId="77777777" w:rsidR="007C5B82" w:rsidRDefault="007C5B82" w:rsidP="00492933"/>
    <w:p w14:paraId="60140A71" w14:textId="77777777" w:rsidR="007C5B82" w:rsidRDefault="007C5B82" w:rsidP="00492933"/>
    <w:p w14:paraId="7BE18C01" w14:textId="77777777" w:rsidR="007C5B82" w:rsidRDefault="007C5B82" w:rsidP="00492933"/>
    <w:p w14:paraId="16C50557" w14:textId="77777777" w:rsidR="007C5B82" w:rsidRDefault="007C5B82" w:rsidP="00492933"/>
    <w:p w14:paraId="1F6AA191" w14:textId="77777777" w:rsidR="007C5B82" w:rsidRDefault="007C5B82" w:rsidP="00492933"/>
    <w:p w14:paraId="58C4EBAD" w14:textId="77777777" w:rsidR="007C5B82" w:rsidRDefault="007C5B82" w:rsidP="00492933"/>
    <w:p w14:paraId="159227F0" w14:textId="77777777" w:rsidR="007C5B82" w:rsidRDefault="007C5B82" w:rsidP="00492933"/>
    <w:p w14:paraId="2312DEBB" w14:textId="77777777" w:rsidR="007C5B82" w:rsidRDefault="007C5B82" w:rsidP="00492933"/>
    <w:p w14:paraId="25F77CC8" w14:textId="77777777" w:rsidR="007C5B82" w:rsidRDefault="007C5B82" w:rsidP="00492933"/>
    <w:p w14:paraId="227ADE1F" w14:textId="77777777" w:rsidR="007C5B82" w:rsidRDefault="007C5B82" w:rsidP="00492933"/>
    <w:p w14:paraId="5EA82074" w14:textId="77777777" w:rsidR="007C5B82" w:rsidRDefault="007C5B82" w:rsidP="00492933"/>
    <w:p w14:paraId="72F1F022" w14:textId="77777777" w:rsidR="007C5B82" w:rsidRDefault="007C5B82" w:rsidP="00492933"/>
    <w:p w14:paraId="46963B11" w14:textId="77777777" w:rsidR="007C5B82" w:rsidRDefault="007C5B82" w:rsidP="00492933"/>
    <w:p w14:paraId="0C64D89D" w14:textId="77777777" w:rsidR="007C5B82" w:rsidRDefault="007C5B82" w:rsidP="00492933"/>
    <w:p w14:paraId="13D6C5EC" w14:textId="77777777" w:rsidR="007C5B82" w:rsidRDefault="007C5B82" w:rsidP="00492933"/>
    <w:p w14:paraId="31739BC4" w14:textId="77777777" w:rsidR="007C5B82" w:rsidRDefault="007C5B82" w:rsidP="00492933"/>
    <w:p w14:paraId="3B2B8E69" w14:textId="77777777" w:rsidR="007C5B82" w:rsidRDefault="007C5B82" w:rsidP="00492933"/>
    <w:p w14:paraId="110334AE" w14:textId="77777777" w:rsidR="007C5B82" w:rsidRDefault="007C5B82" w:rsidP="00492933"/>
    <w:p w14:paraId="4308A538" w14:textId="77777777" w:rsidR="007C5B82" w:rsidRDefault="007C5B82" w:rsidP="00492933"/>
    <w:p w14:paraId="3DB71D0D" w14:textId="77777777" w:rsidR="007C5B82" w:rsidRDefault="007C5B82" w:rsidP="00492933"/>
    <w:p w14:paraId="34E24F0B" w14:textId="77777777" w:rsidR="007C5B82" w:rsidRDefault="007C5B82" w:rsidP="00492933"/>
    <w:p w14:paraId="68FF323C" w14:textId="77777777" w:rsidR="007C5B82" w:rsidRDefault="007C5B82" w:rsidP="00492933"/>
    <w:p w14:paraId="21370E73" w14:textId="77777777" w:rsidR="007C5B82" w:rsidRDefault="007C5B82" w:rsidP="00492933"/>
    <w:p w14:paraId="583225C5" w14:textId="77777777" w:rsidR="007C5B82" w:rsidRDefault="007C5B82" w:rsidP="00492933"/>
    <w:p w14:paraId="16DFE829" w14:textId="77777777" w:rsidR="007C5B82" w:rsidRDefault="007C5B82" w:rsidP="00492933"/>
    <w:p w14:paraId="26DA2E75" w14:textId="77777777" w:rsidR="007C5B82" w:rsidRDefault="007C5B82" w:rsidP="00492933"/>
    <w:p w14:paraId="1B3515DF" w14:textId="77777777" w:rsidR="007C5B82" w:rsidRDefault="007C5B82" w:rsidP="00492933"/>
    <w:p w14:paraId="5E94DDE8" w14:textId="77777777" w:rsidR="007C5B82" w:rsidRDefault="007C5B82" w:rsidP="00492933"/>
    <w:p w14:paraId="1011FB94" w14:textId="77777777" w:rsidR="007C5B82" w:rsidRDefault="007C5B82" w:rsidP="00492933"/>
    <w:p w14:paraId="1CED1EA1" w14:textId="77777777" w:rsidR="007C5B82" w:rsidRDefault="007C5B82" w:rsidP="00492933"/>
    <w:p w14:paraId="4FBCD35D" w14:textId="77777777" w:rsidR="007C5B82" w:rsidRDefault="007C5B82" w:rsidP="00492933"/>
    <w:p w14:paraId="1A057E90" w14:textId="77777777" w:rsidR="007C5B82" w:rsidRDefault="007C5B82"/>
    <w:p w14:paraId="5FD523BE" w14:textId="77777777" w:rsidR="007C5B82" w:rsidRDefault="007C5B82" w:rsidP="00995FAE"/>
    <w:p w14:paraId="0EC90A2A" w14:textId="77777777" w:rsidR="007C5B82" w:rsidRDefault="007C5B82" w:rsidP="00995FAE"/>
    <w:p w14:paraId="5197B470" w14:textId="77777777" w:rsidR="007C5B82" w:rsidRDefault="007C5B82"/>
  </w:footnote>
  <w:footnote w:type="continuationSeparator" w:id="0">
    <w:p w14:paraId="3A2755BA" w14:textId="77777777" w:rsidR="007C5B82" w:rsidRDefault="007C5B82" w:rsidP="00492933">
      <w:r>
        <w:continuationSeparator/>
      </w:r>
    </w:p>
    <w:p w14:paraId="1210A49A" w14:textId="77777777" w:rsidR="007C5B82" w:rsidRDefault="007C5B82" w:rsidP="00492933"/>
    <w:p w14:paraId="23876E3B" w14:textId="77777777" w:rsidR="007C5B82" w:rsidRDefault="007C5B82" w:rsidP="00492933"/>
    <w:p w14:paraId="1D9C8F73" w14:textId="77777777" w:rsidR="007C5B82" w:rsidRDefault="007C5B82" w:rsidP="00492933"/>
    <w:p w14:paraId="1A37E33B" w14:textId="77777777" w:rsidR="007C5B82" w:rsidRDefault="007C5B82" w:rsidP="00492933"/>
    <w:p w14:paraId="6D15079A" w14:textId="77777777" w:rsidR="007C5B82" w:rsidRDefault="007C5B82" w:rsidP="00492933"/>
    <w:p w14:paraId="5AD18F7C" w14:textId="77777777" w:rsidR="007C5B82" w:rsidRDefault="007C5B82" w:rsidP="00492933"/>
    <w:p w14:paraId="347A81A8" w14:textId="77777777" w:rsidR="007C5B82" w:rsidRDefault="007C5B82" w:rsidP="00492933"/>
    <w:p w14:paraId="5ACCDC4D" w14:textId="77777777" w:rsidR="007C5B82" w:rsidRDefault="007C5B82" w:rsidP="00492933"/>
    <w:p w14:paraId="002C60C0" w14:textId="77777777" w:rsidR="007C5B82" w:rsidRDefault="007C5B82" w:rsidP="00492933"/>
    <w:p w14:paraId="41885302" w14:textId="77777777" w:rsidR="007C5B82" w:rsidRDefault="007C5B82" w:rsidP="00492933"/>
    <w:p w14:paraId="25E5427B" w14:textId="77777777" w:rsidR="007C5B82" w:rsidRDefault="007C5B82" w:rsidP="00492933"/>
    <w:p w14:paraId="673426DF" w14:textId="77777777" w:rsidR="007C5B82" w:rsidRDefault="007C5B82" w:rsidP="00492933"/>
    <w:p w14:paraId="56C43012" w14:textId="77777777" w:rsidR="007C5B82" w:rsidRDefault="007C5B82" w:rsidP="00492933"/>
    <w:p w14:paraId="3F75146E" w14:textId="77777777" w:rsidR="007C5B82" w:rsidRDefault="007C5B82" w:rsidP="00492933"/>
    <w:p w14:paraId="099D9D66" w14:textId="77777777" w:rsidR="007C5B82" w:rsidRDefault="007C5B82" w:rsidP="00492933"/>
    <w:p w14:paraId="7EAC18EF" w14:textId="77777777" w:rsidR="007C5B82" w:rsidRDefault="007C5B82" w:rsidP="00492933"/>
    <w:p w14:paraId="2B458296" w14:textId="77777777" w:rsidR="007C5B82" w:rsidRDefault="007C5B82" w:rsidP="00492933"/>
    <w:p w14:paraId="24AF6E6A" w14:textId="77777777" w:rsidR="007C5B82" w:rsidRDefault="007C5B82" w:rsidP="00492933"/>
    <w:p w14:paraId="792B9BA4" w14:textId="77777777" w:rsidR="007C5B82" w:rsidRDefault="007C5B82" w:rsidP="00492933"/>
    <w:p w14:paraId="18FED931" w14:textId="77777777" w:rsidR="007C5B82" w:rsidRDefault="007C5B82" w:rsidP="00492933"/>
    <w:p w14:paraId="03DEF4F6" w14:textId="77777777" w:rsidR="007C5B82" w:rsidRDefault="007C5B82" w:rsidP="00492933"/>
    <w:p w14:paraId="1B6831C6" w14:textId="77777777" w:rsidR="007C5B82" w:rsidRDefault="007C5B82" w:rsidP="00492933"/>
    <w:p w14:paraId="074A3972" w14:textId="77777777" w:rsidR="007C5B82" w:rsidRDefault="007C5B82" w:rsidP="00492933"/>
    <w:p w14:paraId="458A8CF3" w14:textId="77777777" w:rsidR="007C5B82" w:rsidRDefault="007C5B82" w:rsidP="00492933"/>
    <w:p w14:paraId="6F4E2B81" w14:textId="77777777" w:rsidR="007C5B82" w:rsidRDefault="007C5B82" w:rsidP="00492933"/>
    <w:p w14:paraId="24E7DCEA" w14:textId="77777777" w:rsidR="007C5B82" w:rsidRDefault="007C5B82" w:rsidP="00492933"/>
    <w:p w14:paraId="6E12C9F5" w14:textId="77777777" w:rsidR="007C5B82" w:rsidRDefault="007C5B82" w:rsidP="00492933"/>
    <w:p w14:paraId="61DAAABF" w14:textId="77777777" w:rsidR="007C5B82" w:rsidRDefault="007C5B82" w:rsidP="00492933"/>
    <w:p w14:paraId="1CD54D36" w14:textId="77777777" w:rsidR="007C5B82" w:rsidRDefault="007C5B82" w:rsidP="00492933"/>
    <w:p w14:paraId="3DFFD2B4" w14:textId="77777777" w:rsidR="007C5B82" w:rsidRDefault="007C5B82" w:rsidP="00492933"/>
    <w:p w14:paraId="1A43252D" w14:textId="77777777" w:rsidR="007C5B82" w:rsidRDefault="007C5B82" w:rsidP="00492933"/>
    <w:p w14:paraId="1CF5E466" w14:textId="77777777" w:rsidR="007C5B82" w:rsidRDefault="007C5B82" w:rsidP="00492933"/>
    <w:p w14:paraId="2047E79C" w14:textId="77777777" w:rsidR="007C5B82" w:rsidRDefault="007C5B82" w:rsidP="00492933"/>
    <w:p w14:paraId="018D1B40" w14:textId="77777777" w:rsidR="007C5B82" w:rsidRDefault="007C5B82" w:rsidP="00492933"/>
    <w:p w14:paraId="1D5B15FB" w14:textId="77777777" w:rsidR="007C5B82" w:rsidRDefault="007C5B82" w:rsidP="00492933"/>
    <w:p w14:paraId="4A670CB6" w14:textId="77777777" w:rsidR="007C5B82" w:rsidRDefault="007C5B82" w:rsidP="00492933"/>
    <w:p w14:paraId="6E5F6EE1" w14:textId="77777777" w:rsidR="007C5B82" w:rsidRDefault="007C5B82" w:rsidP="00492933"/>
    <w:p w14:paraId="5E2D9E47" w14:textId="77777777" w:rsidR="007C5B82" w:rsidRDefault="007C5B82" w:rsidP="00492933"/>
    <w:p w14:paraId="171E0368" w14:textId="77777777" w:rsidR="007C5B82" w:rsidRDefault="007C5B82" w:rsidP="00492933"/>
    <w:p w14:paraId="757558B0" w14:textId="77777777" w:rsidR="007C5B82" w:rsidRDefault="007C5B82" w:rsidP="00492933"/>
    <w:p w14:paraId="31D842B6" w14:textId="77777777" w:rsidR="007C5B82" w:rsidRDefault="007C5B82" w:rsidP="00492933"/>
    <w:p w14:paraId="508413D0" w14:textId="77777777" w:rsidR="007C5B82" w:rsidRDefault="007C5B82" w:rsidP="00492933"/>
    <w:p w14:paraId="75F8E847" w14:textId="77777777" w:rsidR="007C5B82" w:rsidRDefault="007C5B82" w:rsidP="00492933"/>
    <w:p w14:paraId="68F3E433" w14:textId="77777777" w:rsidR="007C5B82" w:rsidRDefault="007C5B82" w:rsidP="00492933"/>
    <w:p w14:paraId="6F8674D5" w14:textId="77777777" w:rsidR="007C5B82" w:rsidRDefault="007C5B82" w:rsidP="00492933"/>
    <w:p w14:paraId="143CF655" w14:textId="77777777" w:rsidR="007C5B82" w:rsidRDefault="007C5B82" w:rsidP="00492933"/>
    <w:p w14:paraId="01C2E48A" w14:textId="77777777" w:rsidR="007C5B82" w:rsidRDefault="007C5B82" w:rsidP="00492933"/>
    <w:p w14:paraId="2CC62474" w14:textId="77777777" w:rsidR="007C5B82" w:rsidRDefault="007C5B82" w:rsidP="00492933"/>
    <w:p w14:paraId="487130F6" w14:textId="77777777" w:rsidR="007C5B82" w:rsidRDefault="007C5B82" w:rsidP="00492933"/>
    <w:p w14:paraId="39702E66" w14:textId="77777777" w:rsidR="007C5B82" w:rsidRDefault="007C5B82" w:rsidP="00492933"/>
    <w:p w14:paraId="1FB0E183" w14:textId="77777777" w:rsidR="007C5B82" w:rsidRDefault="007C5B82" w:rsidP="00492933"/>
    <w:p w14:paraId="5FC82BFD" w14:textId="77777777" w:rsidR="007C5B82" w:rsidRDefault="007C5B82" w:rsidP="00492933"/>
    <w:p w14:paraId="1D4C7B1A" w14:textId="77777777" w:rsidR="007C5B82" w:rsidRDefault="007C5B82" w:rsidP="00492933"/>
    <w:p w14:paraId="1A1B6765" w14:textId="77777777" w:rsidR="007C5B82" w:rsidRDefault="007C5B82" w:rsidP="00492933"/>
    <w:p w14:paraId="285A4417" w14:textId="77777777" w:rsidR="007C5B82" w:rsidRDefault="007C5B82" w:rsidP="00492933"/>
    <w:p w14:paraId="29F2FB40" w14:textId="77777777" w:rsidR="007C5B82" w:rsidRDefault="007C5B82" w:rsidP="00492933"/>
    <w:p w14:paraId="699D985F" w14:textId="77777777" w:rsidR="007C5B82" w:rsidRDefault="007C5B82" w:rsidP="00492933"/>
    <w:p w14:paraId="5DEB5159" w14:textId="77777777" w:rsidR="007C5B82" w:rsidRDefault="007C5B82" w:rsidP="00492933"/>
    <w:p w14:paraId="279C9F32" w14:textId="77777777" w:rsidR="007C5B82" w:rsidRDefault="007C5B82" w:rsidP="00492933"/>
    <w:p w14:paraId="3E940F2A" w14:textId="77777777" w:rsidR="007C5B82" w:rsidRDefault="007C5B82" w:rsidP="00492933"/>
    <w:p w14:paraId="51169B78" w14:textId="77777777" w:rsidR="007C5B82" w:rsidRDefault="007C5B82" w:rsidP="00492933"/>
    <w:p w14:paraId="6B5722EF" w14:textId="77777777" w:rsidR="007C5B82" w:rsidRDefault="007C5B82" w:rsidP="00492933"/>
    <w:p w14:paraId="08E40A96" w14:textId="77777777" w:rsidR="007C5B82" w:rsidRDefault="007C5B82" w:rsidP="00492933"/>
    <w:p w14:paraId="2F76D55D" w14:textId="77777777" w:rsidR="007C5B82" w:rsidRDefault="007C5B82" w:rsidP="00492933"/>
    <w:p w14:paraId="7CE42573" w14:textId="77777777" w:rsidR="007C5B82" w:rsidRDefault="007C5B82" w:rsidP="00492933"/>
    <w:p w14:paraId="577DB6B8" w14:textId="77777777" w:rsidR="007C5B82" w:rsidRDefault="007C5B82" w:rsidP="00492933"/>
    <w:p w14:paraId="0CD79A1F" w14:textId="77777777" w:rsidR="007C5B82" w:rsidRDefault="007C5B82" w:rsidP="00492933"/>
    <w:p w14:paraId="4640529B" w14:textId="77777777" w:rsidR="007C5B82" w:rsidRDefault="007C5B82" w:rsidP="00492933"/>
    <w:p w14:paraId="2CADD8C1" w14:textId="77777777" w:rsidR="007C5B82" w:rsidRDefault="007C5B82" w:rsidP="00492933"/>
    <w:p w14:paraId="246132CA" w14:textId="77777777" w:rsidR="007C5B82" w:rsidRDefault="007C5B82" w:rsidP="00492933"/>
    <w:p w14:paraId="3FE63E95" w14:textId="77777777" w:rsidR="007C5B82" w:rsidRDefault="007C5B82" w:rsidP="00492933"/>
    <w:p w14:paraId="7EFBB3BD" w14:textId="77777777" w:rsidR="007C5B82" w:rsidRDefault="007C5B82" w:rsidP="00492933"/>
    <w:p w14:paraId="192B6328" w14:textId="77777777" w:rsidR="007C5B82" w:rsidRDefault="007C5B82" w:rsidP="00492933"/>
    <w:p w14:paraId="3087B4FF" w14:textId="77777777" w:rsidR="007C5B82" w:rsidRDefault="007C5B82" w:rsidP="00492933"/>
    <w:p w14:paraId="61376EB4" w14:textId="77777777" w:rsidR="007C5B82" w:rsidRDefault="007C5B82" w:rsidP="00492933"/>
    <w:p w14:paraId="269EE7F4" w14:textId="77777777" w:rsidR="007C5B82" w:rsidRDefault="007C5B82" w:rsidP="00492933"/>
    <w:p w14:paraId="39353915" w14:textId="77777777" w:rsidR="007C5B82" w:rsidRDefault="007C5B82" w:rsidP="00492933"/>
    <w:p w14:paraId="49DBB25F" w14:textId="77777777" w:rsidR="007C5B82" w:rsidRDefault="007C5B82" w:rsidP="00492933"/>
    <w:p w14:paraId="0C56B4E4" w14:textId="77777777" w:rsidR="007C5B82" w:rsidRDefault="007C5B82" w:rsidP="00492933"/>
    <w:p w14:paraId="75664227" w14:textId="77777777" w:rsidR="007C5B82" w:rsidRDefault="007C5B82" w:rsidP="00492933"/>
    <w:p w14:paraId="6F04BC44" w14:textId="77777777" w:rsidR="007C5B82" w:rsidRDefault="007C5B82" w:rsidP="00492933"/>
    <w:p w14:paraId="23B75E56" w14:textId="77777777" w:rsidR="007C5B82" w:rsidRDefault="007C5B82" w:rsidP="00492933"/>
    <w:p w14:paraId="4CAAD6CB" w14:textId="77777777" w:rsidR="007C5B82" w:rsidRDefault="007C5B82" w:rsidP="00492933"/>
    <w:p w14:paraId="50FF0382" w14:textId="77777777" w:rsidR="007C5B82" w:rsidRDefault="007C5B82" w:rsidP="00492933"/>
    <w:p w14:paraId="6236834B" w14:textId="77777777" w:rsidR="007C5B82" w:rsidRDefault="007C5B82" w:rsidP="00492933"/>
    <w:p w14:paraId="6057B1C1" w14:textId="77777777" w:rsidR="007C5B82" w:rsidRDefault="007C5B82" w:rsidP="00492933"/>
    <w:p w14:paraId="1F4B2D54" w14:textId="77777777" w:rsidR="007C5B82" w:rsidRDefault="007C5B82" w:rsidP="00492933"/>
    <w:p w14:paraId="2216BECB" w14:textId="77777777" w:rsidR="007C5B82" w:rsidRDefault="007C5B82" w:rsidP="00492933"/>
    <w:p w14:paraId="5DA22BF7" w14:textId="77777777" w:rsidR="007C5B82" w:rsidRDefault="007C5B82" w:rsidP="00492933"/>
    <w:p w14:paraId="317D81BE" w14:textId="77777777" w:rsidR="007C5B82" w:rsidRDefault="007C5B82" w:rsidP="00492933"/>
    <w:p w14:paraId="36E715CA" w14:textId="77777777" w:rsidR="007C5B82" w:rsidRDefault="007C5B82" w:rsidP="00492933"/>
    <w:p w14:paraId="5A3BAFF6" w14:textId="77777777" w:rsidR="007C5B82" w:rsidRDefault="007C5B82" w:rsidP="00492933"/>
    <w:p w14:paraId="3EDA5871" w14:textId="77777777" w:rsidR="007C5B82" w:rsidRDefault="007C5B82" w:rsidP="00492933"/>
    <w:p w14:paraId="597FCC5A" w14:textId="77777777" w:rsidR="007C5B82" w:rsidRDefault="007C5B82" w:rsidP="00492933"/>
    <w:p w14:paraId="16CF88B7" w14:textId="77777777" w:rsidR="007C5B82" w:rsidRDefault="007C5B82" w:rsidP="00492933"/>
    <w:p w14:paraId="32BC9D29" w14:textId="77777777" w:rsidR="007C5B82" w:rsidRDefault="007C5B82" w:rsidP="00492933"/>
    <w:p w14:paraId="08E60F15" w14:textId="77777777" w:rsidR="007C5B82" w:rsidRDefault="007C5B82" w:rsidP="00492933"/>
    <w:p w14:paraId="7CDD3C4B" w14:textId="77777777" w:rsidR="007C5B82" w:rsidRDefault="007C5B82" w:rsidP="00492933"/>
    <w:p w14:paraId="4E5EF4C5" w14:textId="77777777" w:rsidR="007C5B82" w:rsidRDefault="007C5B82" w:rsidP="00492933"/>
    <w:p w14:paraId="2BE0F638" w14:textId="77777777" w:rsidR="007C5B82" w:rsidRDefault="007C5B82" w:rsidP="00492933"/>
    <w:p w14:paraId="70529536" w14:textId="77777777" w:rsidR="007C5B82" w:rsidRDefault="007C5B82" w:rsidP="00492933"/>
    <w:p w14:paraId="2B3334C6" w14:textId="77777777" w:rsidR="007C5B82" w:rsidRDefault="007C5B82" w:rsidP="00492933"/>
    <w:p w14:paraId="667C6904" w14:textId="77777777" w:rsidR="007C5B82" w:rsidRDefault="007C5B82" w:rsidP="00492933"/>
    <w:p w14:paraId="4DD5BD88" w14:textId="77777777" w:rsidR="007C5B82" w:rsidRDefault="007C5B82" w:rsidP="00492933"/>
    <w:p w14:paraId="1BD4E6A5" w14:textId="77777777" w:rsidR="007C5B82" w:rsidRDefault="007C5B82" w:rsidP="00492933"/>
    <w:p w14:paraId="51A1126B" w14:textId="77777777" w:rsidR="007C5B82" w:rsidRDefault="007C5B82" w:rsidP="00492933"/>
    <w:p w14:paraId="2B4C81D7" w14:textId="77777777" w:rsidR="007C5B82" w:rsidRDefault="007C5B82" w:rsidP="00492933"/>
    <w:p w14:paraId="311DEF52" w14:textId="77777777" w:rsidR="007C5B82" w:rsidRDefault="007C5B82" w:rsidP="00492933"/>
    <w:p w14:paraId="6472EAF0" w14:textId="77777777" w:rsidR="007C5B82" w:rsidRDefault="007C5B82" w:rsidP="00492933"/>
    <w:p w14:paraId="27ABE456" w14:textId="77777777" w:rsidR="007C5B82" w:rsidRDefault="007C5B82" w:rsidP="00492933"/>
    <w:p w14:paraId="08638758" w14:textId="77777777" w:rsidR="007C5B82" w:rsidRDefault="007C5B82" w:rsidP="00492933"/>
    <w:p w14:paraId="6D4BF51C" w14:textId="77777777" w:rsidR="007C5B82" w:rsidRDefault="007C5B82" w:rsidP="00492933"/>
    <w:p w14:paraId="16073194" w14:textId="77777777" w:rsidR="007C5B82" w:rsidRDefault="007C5B82" w:rsidP="00492933"/>
    <w:p w14:paraId="2D05BEBA" w14:textId="77777777" w:rsidR="007C5B82" w:rsidRDefault="007C5B82" w:rsidP="00492933"/>
    <w:p w14:paraId="5072B5BE" w14:textId="77777777" w:rsidR="007C5B82" w:rsidRDefault="007C5B82" w:rsidP="00492933"/>
    <w:p w14:paraId="5BB3217F" w14:textId="77777777" w:rsidR="007C5B82" w:rsidRDefault="007C5B82" w:rsidP="00492933"/>
    <w:p w14:paraId="0218FF6C" w14:textId="77777777" w:rsidR="007C5B82" w:rsidRDefault="007C5B82" w:rsidP="00492933"/>
    <w:p w14:paraId="140B967F" w14:textId="77777777" w:rsidR="007C5B82" w:rsidRDefault="007C5B82" w:rsidP="00492933"/>
    <w:p w14:paraId="1B994BD3" w14:textId="77777777" w:rsidR="007C5B82" w:rsidRDefault="007C5B82" w:rsidP="00492933"/>
    <w:p w14:paraId="62FEA548" w14:textId="77777777" w:rsidR="007C5B82" w:rsidRDefault="007C5B82" w:rsidP="00492933"/>
    <w:p w14:paraId="5E17ADDF" w14:textId="77777777" w:rsidR="007C5B82" w:rsidRDefault="007C5B82" w:rsidP="00492933"/>
    <w:p w14:paraId="4D76215F" w14:textId="77777777" w:rsidR="007C5B82" w:rsidRDefault="007C5B82" w:rsidP="00492933"/>
    <w:p w14:paraId="47EB1FCA" w14:textId="77777777" w:rsidR="007C5B82" w:rsidRDefault="007C5B82" w:rsidP="00492933"/>
    <w:p w14:paraId="222F5FE7" w14:textId="77777777" w:rsidR="007C5B82" w:rsidRDefault="007C5B82" w:rsidP="00492933"/>
    <w:p w14:paraId="0E7EDA64" w14:textId="77777777" w:rsidR="007C5B82" w:rsidRDefault="007C5B82" w:rsidP="00492933"/>
    <w:p w14:paraId="338CEE05" w14:textId="77777777" w:rsidR="007C5B82" w:rsidRDefault="007C5B82" w:rsidP="00492933"/>
    <w:p w14:paraId="4093F86E" w14:textId="77777777" w:rsidR="007C5B82" w:rsidRDefault="007C5B82" w:rsidP="00492933"/>
    <w:p w14:paraId="07AE59CC" w14:textId="77777777" w:rsidR="007C5B82" w:rsidRDefault="007C5B82" w:rsidP="00492933"/>
    <w:p w14:paraId="46B7A5AD" w14:textId="77777777" w:rsidR="007C5B82" w:rsidRDefault="007C5B82" w:rsidP="00492933"/>
    <w:p w14:paraId="0E5BAB07" w14:textId="77777777" w:rsidR="007C5B82" w:rsidRDefault="007C5B82" w:rsidP="00492933"/>
    <w:p w14:paraId="6DBCE277" w14:textId="77777777" w:rsidR="007C5B82" w:rsidRDefault="007C5B82" w:rsidP="00492933"/>
    <w:p w14:paraId="0248CE8B" w14:textId="77777777" w:rsidR="007C5B82" w:rsidRDefault="007C5B82" w:rsidP="00492933"/>
    <w:p w14:paraId="3E285FC5" w14:textId="77777777" w:rsidR="007C5B82" w:rsidRDefault="007C5B82" w:rsidP="00492933"/>
    <w:p w14:paraId="2DEEE807" w14:textId="77777777" w:rsidR="007C5B82" w:rsidRDefault="007C5B82" w:rsidP="00492933"/>
    <w:p w14:paraId="41482EC2" w14:textId="77777777" w:rsidR="007C5B82" w:rsidRDefault="007C5B82" w:rsidP="00492933"/>
    <w:p w14:paraId="093696A1" w14:textId="77777777" w:rsidR="007C5B82" w:rsidRDefault="007C5B82" w:rsidP="00492933"/>
    <w:p w14:paraId="0E3D6347" w14:textId="77777777" w:rsidR="007C5B82" w:rsidRDefault="007C5B82" w:rsidP="00492933"/>
    <w:p w14:paraId="64164487" w14:textId="77777777" w:rsidR="007C5B82" w:rsidRDefault="007C5B82" w:rsidP="00492933"/>
    <w:p w14:paraId="454FCF8D" w14:textId="77777777" w:rsidR="007C5B82" w:rsidRDefault="007C5B82" w:rsidP="00492933"/>
    <w:p w14:paraId="21DA2C44" w14:textId="77777777" w:rsidR="007C5B82" w:rsidRDefault="007C5B82" w:rsidP="00492933"/>
    <w:p w14:paraId="49E0F096" w14:textId="77777777" w:rsidR="007C5B82" w:rsidRDefault="007C5B82" w:rsidP="00492933"/>
    <w:p w14:paraId="557A9A0F" w14:textId="77777777" w:rsidR="007C5B82" w:rsidRDefault="007C5B82" w:rsidP="00492933"/>
    <w:p w14:paraId="5B751D0B" w14:textId="77777777" w:rsidR="007C5B82" w:rsidRDefault="007C5B82" w:rsidP="00492933"/>
    <w:p w14:paraId="36E828E8" w14:textId="77777777" w:rsidR="007C5B82" w:rsidRDefault="007C5B82" w:rsidP="00492933"/>
    <w:p w14:paraId="03761411" w14:textId="77777777" w:rsidR="007C5B82" w:rsidRDefault="007C5B82" w:rsidP="00492933"/>
    <w:p w14:paraId="63EC8419" w14:textId="77777777" w:rsidR="007C5B82" w:rsidRDefault="007C5B82" w:rsidP="00492933"/>
    <w:p w14:paraId="0394AE91" w14:textId="77777777" w:rsidR="007C5B82" w:rsidRDefault="007C5B82" w:rsidP="00492933"/>
    <w:p w14:paraId="79F9B156" w14:textId="77777777" w:rsidR="007C5B82" w:rsidRDefault="007C5B82" w:rsidP="00492933"/>
    <w:p w14:paraId="7B152713" w14:textId="77777777" w:rsidR="007C5B82" w:rsidRDefault="007C5B82" w:rsidP="00492933"/>
    <w:p w14:paraId="75890766" w14:textId="77777777" w:rsidR="007C5B82" w:rsidRDefault="007C5B82" w:rsidP="00492933"/>
    <w:p w14:paraId="24EDCBDE" w14:textId="77777777" w:rsidR="007C5B82" w:rsidRDefault="007C5B82" w:rsidP="00492933"/>
    <w:p w14:paraId="51B2C835" w14:textId="77777777" w:rsidR="007C5B82" w:rsidRDefault="007C5B82" w:rsidP="00492933"/>
    <w:p w14:paraId="52B77ACF" w14:textId="77777777" w:rsidR="007C5B82" w:rsidRDefault="007C5B82" w:rsidP="00492933"/>
    <w:p w14:paraId="63EF4411" w14:textId="77777777" w:rsidR="007C5B82" w:rsidRDefault="007C5B82" w:rsidP="00492933"/>
    <w:p w14:paraId="6D133D74" w14:textId="77777777" w:rsidR="007C5B82" w:rsidRDefault="007C5B82" w:rsidP="00492933"/>
    <w:p w14:paraId="16297FF5" w14:textId="77777777" w:rsidR="007C5B82" w:rsidRDefault="007C5B82" w:rsidP="00492933"/>
    <w:p w14:paraId="511E945F" w14:textId="77777777" w:rsidR="007C5B82" w:rsidRDefault="007C5B82" w:rsidP="00492933"/>
    <w:p w14:paraId="1D2EED76" w14:textId="77777777" w:rsidR="007C5B82" w:rsidRDefault="007C5B82" w:rsidP="00492933"/>
    <w:p w14:paraId="2C587F64" w14:textId="77777777" w:rsidR="007C5B82" w:rsidRDefault="007C5B82" w:rsidP="00492933"/>
    <w:p w14:paraId="5A1BE9A8" w14:textId="77777777" w:rsidR="007C5B82" w:rsidRDefault="007C5B82" w:rsidP="00492933"/>
    <w:p w14:paraId="7BDFB30F" w14:textId="77777777" w:rsidR="007C5B82" w:rsidRDefault="007C5B82" w:rsidP="00492933"/>
    <w:p w14:paraId="4FE54F45" w14:textId="77777777" w:rsidR="007C5B82" w:rsidRDefault="007C5B82" w:rsidP="00492933"/>
    <w:p w14:paraId="2B1ED79E" w14:textId="77777777" w:rsidR="007C5B82" w:rsidRDefault="007C5B82" w:rsidP="00492933"/>
    <w:p w14:paraId="5942A229" w14:textId="77777777" w:rsidR="007C5B82" w:rsidRDefault="007C5B82" w:rsidP="00492933"/>
    <w:p w14:paraId="6C53EFF5" w14:textId="77777777" w:rsidR="007C5B82" w:rsidRDefault="007C5B82" w:rsidP="00492933"/>
    <w:p w14:paraId="6B298DE0" w14:textId="77777777" w:rsidR="007C5B82" w:rsidRDefault="007C5B82" w:rsidP="00492933"/>
    <w:p w14:paraId="3434BE97" w14:textId="77777777" w:rsidR="007C5B82" w:rsidRDefault="007C5B82" w:rsidP="00492933"/>
    <w:p w14:paraId="66807634" w14:textId="77777777" w:rsidR="007C5B82" w:rsidRDefault="007C5B82" w:rsidP="00492933"/>
    <w:p w14:paraId="69439070" w14:textId="77777777" w:rsidR="007C5B82" w:rsidRDefault="007C5B82" w:rsidP="00492933"/>
    <w:p w14:paraId="600919F0" w14:textId="77777777" w:rsidR="007C5B82" w:rsidRDefault="007C5B82" w:rsidP="00492933"/>
    <w:p w14:paraId="5834F2B0" w14:textId="77777777" w:rsidR="007C5B82" w:rsidRDefault="007C5B82" w:rsidP="00492933"/>
    <w:p w14:paraId="024F365D" w14:textId="77777777" w:rsidR="007C5B82" w:rsidRDefault="007C5B82"/>
    <w:p w14:paraId="33E53AE5" w14:textId="77777777" w:rsidR="007C5B82" w:rsidRDefault="007C5B82" w:rsidP="00995FAE"/>
    <w:p w14:paraId="7C112401" w14:textId="77777777" w:rsidR="007C5B82" w:rsidRDefault="007C5B82" w:rsidP="00995FAE"/>
    <w:p w14:paraId="389F2FC7" w14:textId="77777777" w:rsidR="007C5B82" w:rsidRDefault="007C5B82"/>
  </w:footnote>
  <w:footnote w:type="continuationNotice" w:id="1">
    <w:p w14:paraId="58ACE556" w14:textId="77777777" w:rsidR="007C5B82" w:rsidRDefault="007C5B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21CD1" w14:textId="77777777" w:rsidR="00435371" w:rsidRDefault="00435371" w:rsidP="00492933"/>
  <w:p w14:paraId="37C86148" w14:textId="77777777" w:rsidR="00435371" w:rsidRDefault="00435371" w:rsidP="00492933"/>
  <w:p w14:paraId="1D48DB74" w14:textId="77777777" w:rsidR="00435371" w:rsidRDefault="00435371" w:rsidP="00492933"/>
  <w:p w14:paraId="0F17B1E2" w14:textId="77777777" w:rsidR="00435371" w:rsidRDefault="00435371" w:rsidP="00492933"/>
  <w:p w14:paraId="1B0FDC2F" w14:textId="77777777" w:rsidR="00435371" w:rsidRDefault="00435371" w:rsidP="00492933"/>
  <w:p w14:paraId="4A7EA993" w14:textId="77777777" w:rsidR="00435371" w:rsidRDefault="00435371" w:rsidP="00492933"/>
  <w:p w14:paraId="783C5693" w14:textId="77777777" w:rsidR="00435371" w:rsidRDefault="00435371" w:rsidP="00492933"/>
  <w:p w14:paraId="3DD22E01" w14:textId="77777777" w:rsidR="00435371" w:rsidRDefault="00435371" w:rsidP="00492933"/>
  <w:p w14:paraId="433BA5B8" w14:textId="77777777" w:rsidR="00435371" w:rsidRDefault="00435371" w:rsidP="00492933"/>
  <w:p w14:paraId="62515703" w14:textId="77777777" w:rsidR="00435371" w:rsidRDefault="00435371" w:rsidP="00492933"/>
  <w:p w14:paraId="6583FFC1" w14:textId="77777777" w:rsidR="00435371" w:rsidRDefault="00435371" w:rsidP="00492933"/>
  <w:p w14:paraId="13F77E03" w14:textId="77777777" w:rsidR="00435371" w:rsidRDefault="00435371" w:rsidP="00492933"/>
  <w:p w14:paraId="18A9E5FA" w14:textId="77777777" w:rsidR="00435371" w:rsidRDefault="00435371" w:rsidP="00492933"/>
  <w:p w14:paraId="48E853BA" w14:textId="77777777" w:rsidR="00435371" w:rsidRDefault="00435371" w:rsidP="00492933"/>
  <w:p w14:paraId="13E0F159" w14:textId="77777777" w:rsidR="00435371" w:rsidRDefault="00435371" w:rsidP="00492933"/>
  <w:p w14:paraId="37979097" w14:textId="77777777" w:rsidR="00435371" w:rsidRDefault="00435371" w:rsidP="00492933"/>
  <w:p w14:paraId="4C92BF9B" w14:textId="77777777" w:rsidR="00435371" w:rsidRDefault="00435371" w:rsidP="00492933"/>
  <w:p w14:paraId="34CD737A" w14:textId="77777777" w:rsidR="00435371" w:rsidRDefault="00435371" w:rsidP="00492933"/>
  <w:p w14:paraId="48D3E4D0" w14:textId="77777777" w:rsidR="00435371" w:rsidRDefault="00435371" w:rsidP="00492933"/>
  <w:p w14:paraId="03FDE312" w14:textId="77777777" w:rsidR="00435371" w:rsidRDefault="00435371" w:rsidP="00492933"/>
  <w:p w14:paraId="3DFCE568" w14:textId="77777777" w:rsidR="00435371" w:rsidRDefault="00435371" w:rsidP="00492933"/>
  <w:p w14:paraId="29F9A5A4" w14:textId="77777777" w:rsidR="00435371" w:rsidRDefault="00435371" w:rsidP="00492933"/>
  <w:p w14:paraId="69545CC4" w14:textId="77777777" w:rsidR="00435371" w:rsidRDefault="00435371" w:rsidP="00492933"/>
  <w:p w14:paraId="6477C363" w14:textId="77777777" w:rsidR="00435371" w:rsidRDefault="00435371" w:rsidP="00492933"/>
  <w:p w14:paraId="618F944A" w14:textId="77777777" w:rsidR="00435371" w:rsidRDefault="00435371" w:rsidP="00492933"/>
  <w:p w14:paraId="5C38C73A" w14:textId="77777777" w:rsidR="00435371" w:rsidRDefault="00435371" w:rsidP="00492933"/>
  <w:p w14:paraId="093FEEF0" w14:textId="77777777" w:rsidR="00435371" w:rsidRDefault="00435371" w:rsidP="00492933"/>
  <w:p w14:paraId="74BE321E" w14:textId="77777777" w:rsidR="00435371" w:rsidRDefault="00435371" w:rsidP="00492933"/>
  <w:p w14:paraId="3F95AD4C" w14:textId="77777777" w:rsidR="00435371" w:rsidRDefault="00435371" w:rsidP="00492933"/>
  <w:p w14:paraId="6C2614F3" w14:textId="77777777" w:rsidR="00435371" w:rsidRDefault="00435371" w:rsidP="004929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27740" w14:textId="77777777" w:rsidR="00435371" w:rsidRDefault="00435371" w:rsidP="00492933">
    <w:pPr>
      <w:pStyle w:val="Header"/>
    </w:pPr>
  </w:p>
  <w:p w14:paraId="4B35B2E8" w14:textId="77777777" w:rsidR="00435371" w:rsidRDefault="00435371" w:rsidP="00492933"/>
  <w:p w14:paraId="661D5442" w14:textId="77777777" w:rsidR="00435371" w:rsidRDefault="00435371" w:rsidP="00492933"/>
  <w:p w14:paraId="0E3649FC" w14:textId="77777777" w:rsidR="00435371" w:rsidRDefault="00435371" w:rsidP="00492933"/>
  <w:p w14:paraId="53C11280" w14:textId="77777777" w:rsidR="00435371" w:rsidRDefault="00435371" w:rsidP="00492933"/>
  <w:p w14:paraId="30EF9D0E" w14:textId="77777777" w:rsidR="00435371" w:rsidRDefault="00435371" w:rsidP="00492933"/>
  <w:p w14:paraId="7368F2C8" w14:textId="77777777" w:rsidR="00435371" w:rsidRDefault="00435371" w:rsidP="00492933"/>
  <w:p w14:paraId="1C36D48D" w14:textId="77777777" w:rsidR="00435371" w:rsidRDefault="00435371" w:rsidP="00492933"/>
  <w:p w14:paraId="7E84DC4B" w14:textId="77777777" w:rsidR="00435371" w:rsidRDefault="00435371" w:rsidP="00492933"/>
  <w:p w14:paraId="4A04167E" w14:textId="77777777" w:rsidR="00435371" w:rsidRDefault="00435371" w:rsidP="00492933"/>
  <w:p w14:paraId="19DFB352" w14:textId="77777777" w:rsidR="00435371" w:rsidRDefault="00435371" w:rsidP="00492933"/>
  <w:p w14:paraId="35EF1892" w14:textId="77777777" w:rsidR="00435371" w:rsidRDefault="00435371" w:rsidP="00492933"/>
  <w:p w14:paraId="308E7354" w14:textId="77777777" w:rsidR="00435371" w:rsidRDefault="00435371" w:rsidP="00492933"/>
  <w:p w14:paraId="63EB32A2" w14:textId="77777777" w:rsidR="00435371" w:rsidRDefault="00435371" w:rsidP="00492933"/>
  <w:p w14:paraId="510257E1" w14:textId="77777777" w:rsidR="00435371" w:rsidRDefault="00435371" w:rsidP="00492933"/>
  <w:p w14:paraId="61F22336" w14:textId="77777777" w:rsidR="00435371" w:rsidRDefault="00435371" w:rsidP="00492933"/>
  <w:p w14:paraId="213DAB9B" w14:textId="77777777" w:rsidR="00435371" w:rsidRDefault="00435371" w:rsidP="00492933"/>
  <w:p w14:paraId="55ED1CBE" w14:textId="77777777" w:rsidR="00435371" w:rsidRDefault="00435371" w:rsidP="00492933"/>
  <w:p w14:paraId="04749126" w14:textId="77777777" w:rsidR="00435371" w:rsidRDefault="00435371" w:rsidP="00492933"/>
  <w:p w14:paraId="06F11668" w14:textId="77777777" w:rsidR="00435371" w:rsidRDefault="00435371" w:rsidP="00492933"/>
  <w:p w14:paraId="69F53EB7" w14:textId="77777777" w:rsidR="00435371" w:rsidRDefault="00435371" w:rsidP="00492933"/>
  <w:p w14:paraId="0073CF65" w14:textId="77777777" w:rsidR="00435371" w:rsidRDefault="00435371" w:rsidP="00492933"/>
  <w:p w14:paraId="75E81228" w14:textId="77777777" w:rsidR="00435371" w:rsidRDefault="00435371" w:rsidP="00492933"/>
  <w:p w14:paraId="630D78C6" w14:textId="77777777" w:rsidR="00435371" w:rsidRDefault="00435371" w:rsidP="00492933"/>
  <w:p w14:paraId="16DF2D0F" w14:textId="77777777" w:rsidR="00435371" w:rsidRDefault="00435371" w:rsidP="00492933"/>
  <w:p w14:paraId="0AD045DC" w14:textId="77777777" w:rsidR="00435371" w:rsidRDefault="00435371" w:rsidP="00492933"/>
  <w:p w14:paraId="7314BF3E" w14:textId="77777777" w:rsidR="00435371" w:rsidRDefault="00435371" w:rsidP="00492933"/>
  <w:p w14:paraId="7DF9A1CF" w14:textId="77777777" w:rsidR="00435371" w:rsidRDefault="00435371" w:rsidP="00492933"/>
  <w:p w14:paraId="6CC17ECD" w14:textId="77777777" w:rsidR="00435371" w:rsidRDefault="00435371" w:rsidP="00492933"/>
  <w:p w14:paraId="562A815F" w14:textId="77777777" w:rsidR="00435371" w:rsidRDefault="00435371" w:rsidP="00492933"/>
  <w:p w14:paraId="37B1FFF1" w14:textId="77777777" w:rsidR="00435371" w:rsidRDefault="00435371" w:rsidP="00492933"/>
  <w:p w14:paraId="42B47FA4" w14:textId="77777777" w:rsidR="00435371" w:rsidRDefault="00435371" w:rsidP="00492933"/>
  <w:p w14:paraId="21918E2C" w14:textId="77777777" w:rsidR="00435371" w:rsidRDefault="00435371" w:rsidP="00492933"/>
  <w:p w14:paraId="6807EE6C" w14:textId="77777777" w:rsidR="00435371" w:rsidRDefault="00435371" w:rsidP="00492933"/>
  <w:p w14:paraId="1352872B" w14:textId="77777777" w:rsidR="00435371" w:rsidRDefault="00435371" w:rsidP="00492933"/>
  <w:p w14:paraId="60183F9B" w14:textId="77777777" w:rsidR="00435371" w:rsidRDefault="00435371" w:rsidP="00492933"/>
  <w:p w14:paraId="1D4D05FC" w14:textId="77777777" w:rsidR="00435371" w:rsidRDefault="00435371" w:rsidP="00492933"/>
  <w:p w14:paraId="2EEB64DF" w14:textId="77777777" w:rsidR="00435371" w:rsidRDefault="00435371" w:rsidP="00492933"/>
  <w:p w14:paraId="17898E10" w14:textId="77777777" w:rsidR="00435371" w:rsidRDefault="00435371" w:rsidP="00492933"/>
  <w:p w14:paraId="131BC77E" w14:textId="77777777" w:rsidR="00435371" w:rsidRDefault="00435371" w:rsidP="00492933"/>
  <w:p w14:paraId="2BC0F1C9" w14:textId="77777777" w:rsidR="00435371" w:rsidRDefault="00435371" w:rsidP="00492933"/>
  <w:p w14:paraId="24086AA9" w14:textId="77777777" w:rsidR="00435371" w:rsidRDefault="00435371" w:rsidP="00492933"/>
  <w:p w14:paraId="71F0A989" w14:textId="77777777" w:rsidR="00435371" w:rsidRDefault="00435371" w:rsidP="00492933"/>
  <w:p w14:paraId="38A4EC4C" w14:textId="77777777" w:rsidR="00435371" w:rsidRDefault="00435371" w:rsidP="00492933"/>
  <w:p w14:paraId="2A09FF72" w14:textId="77777777" w:rsidR="00435371" w:rsidRDefault="00435371" w:rsidP="00492933"/>
  <w:p w14:paraId="5C99781A" w14:textId="77777777" w:rsidR="00435371" w:rsidRDefault="00435371" w:rsidP="00492933"/>
  <w:p w14:paraId="06A1666C" w14:textId="77777777" w:rsidR="00435371" w:rsidRDefault="00435371" w:rsidP="00492933"/>
  <w:p w14:paraId="78E30310" w14:textId="77777777" w:rsidR="00435371" w:rsidRDefault="00435371" w:rsidP="00492933"/>
  <w:p w14:paraId="37F9881B" w14:textId="77777777" w:rsidR="00435371" w:rsidRDefault="00435371" w:rsidP="00492933"/>
  <w:p w14:paraId="7AE7410E" w14:textId="77777777" w:rsidR="00435371" w:rsidRDefault="00435371" w:rsidP="00492933"/>
  <w:p w14:paraId="14B7C0B5" w14:textId="77777777" w:rsidR="00435371" w:rsidRDefault="00435371" w:rsidP="00492933"/>
  <w:p w14:paraId="686894BA" w14:textId="77777777" w:rsidR="00435371" w:rsidRDefault="00435371" w:rsidP="00492933"/>
  <w:p w14:paraId="0F1E8D86" w14:textId="77777777" w:rsidR="00435371" w:rsidRDefault="00435371" w:rsidP="00492933"/>
  <w:p w14:paraId="2227FB03" w14:textId="77777777" w:rsidR="00435371" w:rsidRDefault="00435371" w:rsidP="00492933"/>
  <w:p w14:paraId="72D577CE" w14:textId="77777777" w:rsidR="00435371" w:rsidRDefault="00435371" w:rsidP="00492933"/>
  <w:p w14:paraId="02621240" w14:textId="77777777" w:rsidR="00435371" w:rsidRDefault="00435371" w:rsidP="00492933"/>
  <w:p w14:paraId="0762D0D5" w14:textId="77777777" w:rsidR="00435371" w:rsidRDefault="00435371" w:rsidP="00492933"/>
  <w:p w14:paraId="74F23BF7" w14:textId="77777777" w:rsidR="00435371" w:rsidRDefault="00435371" w:rsidP="00492933"/>
  <w:p w14:paraId="0BF37998" w14:textId="77777777" w:rsidR="00435371" w:rsidRDefault="00435371" w:rsidP="00492933"/>
  <w:p w14:paraId="168C8520" w14:textId="77777777" w:rsidR="00435371" w:rsidRDefault="00435371" w:rsidP="00492933"/>
  <w:p w14:paraId="27DBEC5A" w14:textId="77777777" w:rsidR="00435371" w:rsidRDefault="00435371" w:rsidP="00492933"/>
  <w:p w14:paraId="3B06F65D" w14:textId="77777777" w:rsidR="00435371" w:rsidRDefault="00435371" w:rsidP="00492933"/>
  <w:p w14:paraId="15261412" w14:textId="77777777" w:rsidR="00435371" w:rsidRDefault="00435371" w:rsidP="00492933"/>
  <w:p w14:paraId="70DCB88C" w14:textId="77777777" w:rsidR="00435371" w:rsidRDefault="00435371" w:rsidP="00492933"/>
  <w:p w14:paraId="5EA0D409" w14:textId="77777777" w:rsidR="00435371" w:rsidRDefault="00435371" w:rsidP="00492933"/>
  <w:p w14:paraId="5AF33CCD" w14:textId="77777777" w:rsidR="00435371" w:rsidRDefault="00435371" w:rsidP="00492933"/>
  <w:p w14:paraId="40707504" w14:textId="77777777" w:rsidR="00435371" w:rsidRDefault="00435371" w:rsidP="00492933"/>
  <w:p w14:paraId="3545ED8D" w14:textId="77777777" w:rsidR="00435371" w:rsidRDefault="00435371" w:rsidP="00492933"/>
  <w:p w14:paraId="56B6FE8E" w14:textId="77777777" w:rsidR="00435371" w:rsidRDefault="00435371" w:rsidP="00492933"/>
  <w:p w14:paraId="4550809A" w14:textId="77777777" w:rsidR="00435371" w:rsidRDefault="00435371" w:rsidP="00492933"/>
  <w:p w14:paraId="3C6266D1" w14:textId="77777777" w:rsidR="00435371" w:rsidRDefault="00435371" w:rsidP="00492933"/>
  <w:p w14:paraId="260F35B8" w14:textId="77777777" w:rsidR="00435371" w:rsidRDefault="00435371" w:rsidP="00492933"/>
  <w:p w14:paraId="308CACDC" w14:textId="77777777" w:rsidR="00435371" w:rsidRDefault="00435371" w:rsidP="00492933"/>
  <w:p w14:paraId="1FD045AC" w14:textId="77777777" w:rsidR="00435371" w:rsidRDefault="00435371" w:rsidP="00492933"/>
  <w:p w14:paraId="140D917B" w14:textId="77777777" w:rsidR="00435371" w:rsidRDefault="00435371" w:rsidP="00492933"/>
  <w:p w14:paraId="6792E5C9" w14:textId="77777777" w:rsidR="00435371" w:rsidRDefault="00435371" w:rsidP="00492933"/>
  <w:p w14:paraId="09864283" w14:textId="77777777" w:rsidR="00435371" w:rsidRDefault="00435371" w:rsidP="00492933"/>
  <w:p w14:paraId="7EB2640B" w14:textId="77777777" w:rsidR="00435371" w:rsidRDefault="00435371" w:rsidP="00492933"/>
  <w:p w14:paraId="1CB4ECA4" w14:textId="77777777" w:rsidR="00435371" w:rsidRDefault="00435371" w:rsidP="00492933"/>
  <w:p w14:paraId="63E6FFC1" w14:textId="77777777" w:rsidR="00435371" w:rsidRDefault="00435371" w:rsidP="00492933"/>
  <w:p w14:paraId="2FEE8773" w14:textId="77777777" w:rsidR="00435371" w:rsidRDefault="00435371" w:rsidP="00492933"/>
  <w:p w14:paraId="6CCF15AD" w14:textId="77777777" w:rsidR="00435371" w:rsidRDefault="00435371" w:rsidP="00492933"/>
  <w:p w14:paraId="5F7F71F3" w14:textId="77777777" w:rsidR="00435371" w:rsidRDefault="00435371" w:rsidP="00492933"/>
  <w:p w14:paraId="37436AE4" w14:textId="77777777" w:rsidR="00435371" w:rsidRDefault="00435371" w:rsidP="00492933"/>
  <w:p w14:paraId="30689115" w14:textId="77777777" w:rsidR="00435371" w:rsidRDefault="00435371" w:rsidP="00492933"/>
  <w:p w14:paraId="3692ADD1" w14:textId="77777777" w:rsidR="00435371" w:rsidRDefault="00435371" w:rsidP="00492933"/>
  <w:p w14:paraId="342306F0" w14:textId="77777777" w:rsidR="00435371" w:rsidRDefault="00435371" w:rsidP="00492933"/>
  <w:p w14:paraId="3ECE0120" w14:textId="77777777" w:rsidR="00435371" w:rsidRDefault="00435371" w:rsidP="00492933"/>
  <w:p w14:paraId="000DFD99" w14:textId="77777777" w:rsidR="00435371" w:rsidRDefault="00435371" w:rsidP="00492933"/>
  <w:p w14:paraId="33C6894F" w14:textId="77777777" w:rsidR="00435371" w:rsidRDefault="00435371" w:rsidP="00492933"/>
  <w:p w14:paraId="628E746A" w14:textId="77777777" w:rsidR="00435371" w:rsidRDefault="00435371" w:rsidP="00492933"/>
  <w:p w14:paraId="0E14F063" w14:textId="77777777" w:rsidR="00435371" w:rsidRDefault="00435371" w:rsidP="00492933"/>
  <w:p w14:paraId="5456AC54" w14:textId="77777777" w:rsidR="00435371" w:rsidRDefault="00435371" w:rsidP="00492933"/>
  <w:p w14:paraId="1C1DEC5B" w14:textId="77777777" w:rsidR="00435371" w:rsidRDefault="00435371" w:rsidP="00492933"/>
  <w:p w14:paraId="430130BB" w14:textId="77777777" w:rsidR="00435371" w:rsidRDefault="00435371" w:rsidP="00492933"/>
  <w:p w14:paraId="1FB74F53" w14:textId="77777777" w:rsidR="00435371" w:rsidRDefault="00435371" w:rsidP="00492933"/>
  <w:p w14:paraId="566AF160" w14:textId="77777777" w:rsidR="00435371" w:rsidRDefault="00435371" w:rsidP="00492933"/>
  <w:p w14:paraId="5FBAE1FD" w14:textId="77777777" w:rsidR="00435371" w:rsidRDefault="00435371" w:rsidP="00492933"/>
  <w:p w14:paraId="1F7C9941" w14:textId="77777777" w:rsidR="00435371" w:rsidRDefault="00435371" w:rsidP="00492933"/>
  <w:p w14:paraId="0A100D23" w14:textId="77777777" w:rsidR="00435371" w:rsidRDefault="00435371" w:rsidP="00492933"/>
  <w:p w14:paraId="24D4A5DF" w14:textId="77777777" w:rsidR="00435371" w:rsidRDefault="00435371" w:rsidP="00492933"/>
  <w:p w14:paraId="0CEC31A8" w14:textId="77777777" w:rsidR="00435371" w:rsidRDefault="00435371" w:rsidP="00492933"/>
  <w:p w14:paraId="5C39C51C" w14:textId="77777777" w:rsidR="00435371" w:rsidRDefault="00435371" w:rsidP="00492933"/>
  <w:p w14:paraId="2F4B9D29" w14:textId="77777777" w:rsidR="00435371" w:rsidRDefault="00435371" w:rsidP="00492933"/>
  <w:p w14:paraId="02D90D82" w14:textId="77777777" w:rsidR="00435371" w:rsidRDefault="00435371" w:rsidP="00492933"/>
  <w:p w14:paraId="5BE7DF02" w14:textId="77777777" w:rsidR="00435371" w:rsidRDefault="00435371" w:rsidP="00492933"/>
  <w:p w14:paraId="69634510" w14:textId="77777777" w:rsidR="00435371" w:rsidRDefault="00435371" w:rsidP="00492933"/>
  <w:p w14:paraId="205D78E4" w14:textId="77777777" w:rsidR="00435371" w:rsidRDefault="00435371" w:rsidP="00492933"/>
  <w:p w14:paraId="3CF382E4" w14:textId="77777777" w:rsidR="00435371" w:rsidRDefault="00435371" w:rsidP="00492933"/>
  <w:p w14:paraId="64F14A47" w14:textId="77777777" w:rsidR="00435371" w:rsidRDefault="00435371" w:rsidP="00492933"/>
  <w:p w14:paraId="17BB83C0" w14:textId="77777777" w:rsidR="00435371" w:rsidRDefault="00435371" w:rsidP="00492933"/>
  <w:p w14:paraId="0FBA1D31" w14:textId="77777777" w:rsidR="00435371" w:rsidRDefault="00435371" w:rsidP="00492933"/>
  <w:p w14:paraId="71FE9C5E" w14:textId="77777777" w:rsidR="00435371" w:rsidRDefault="00435371" w:rsidP="00492933"/>
  <w:p w14:paraId="4FC1AB7F" w14:textId="77777777" w:rsidR="00435371" w:rsidRDefault="00435371" w:rsidP="00492933"/>
  <w:p w14:paraId="53DD0FF6" w14:textId="77777777" w:rsidR="00435371" w:rsidRDefault="00435371" w:rsidP="00492933"/>
  <w:p w14:paraId="62BA2EA0" w14:textId="77777777" w:rsidR="00435371" w:rsidRDefault="00435371" w:rsidP="00492933"/>
  <w:p w14:paraId="1B9B9D4C" w14:textId="77777777" w:rsidR="00435371" w:rsidRDefault="00435371" w:rsidP="00492933"/>
  <w:p w14:paraId="3BEE3909" w14:textId="77777777" w:rsidR="00435371" w:rsidRDefault="00435371" w:rsidP="00492933"/>
  <w:p w14:paraId="3D0EF299" w14:textId="77777777" w:rsidR="00435371" w:rsidRDefault="00435371" w:rsidP="00492933"/>
  <w:p w14:paraId="017DB9BE" w14:textId="77777777" w:rsidR="00435371" w:rsidRDefault="00435371" w:rsidP="00492933"/>
  <w:p w14:paraId="4F4B5F8D" w14:textId="77777777" w:rsidR="00435371" w:rsidRDefault="00435371" w:rsidP="00492933"/>
  <w:p w14:paraId="199D808A" w14:textId="77777777" w:rsidR="00435371" w:rsidRDefault="00435371" w:rsidP="00492933"/>
  <w:p w14:paraId="4A58E4AE" w14:textId="77777777" w:rsidR="00435371" w:rsidRDefault="00435371" w:rsidP="00492933"/>
  <w:p w14:paraId="4F49CA0A" w14:textId="77777777" w:rsidR="00435371" w:rsidRDefault="00435371" w:rsidP="00492933"/>
  <w:p w14:paraId="5CD8D1E0" w14:textId="77777777" w:rsidR="00435371" w:rsidRDefault="00435371" w:rsidP="00492933"/>
  <w:p w14:paraId="04F85BF7" w14:textId="77777777" w:rsidR="00435371" w:rsidRDefault="00435371" w:rsidP="00492933"/>
  <w:p w14:paraId="46ECC130" w14:textId="77777777" w:rsidR="00435371" w:rsidRDefault="00435371" w:rsidP="00492933"/>
  <w:p w14:paraId="03BC1998" w14:textId="77777777" w:rsidR="00435371" w:rsidRDefault="00435371" w:rsidP="00492933"/>
  <w:p w14:paraId="622E96D0" w14:textId="77777777" w:rsidR="00435371" w:rsidRDefault="00435371" w:rsidP="00492933"/>
  <w:p w14:paraId="305C850D" w14:textId="77777777" w:rsidR="00435371" w:rsidRDefault="00435371" w:rsidP="00492933"/>
  <w:p w14:paraId="6869153E" w14:textId="77777777" w:rsidR="00435371" w:rsidRDefault="00435371" w:rsidP="00492933"/>
  <w:p w14:paraId="2260DD57" w14:textId="77777777" w:rsidR="00435371" w:rsidRDefault="00435371" w:rsidP="00492933"/>
  <w:p w14:paraId="79182912" w14:textId="77777777" w:rsidR="00435371" w:rsidRDefault="00435371" w:rsidP="00492933"/>
  <w:p w14:paraId="2EEC88E8" w14:textId="77777777" w:rsidR="00435371" w:rsidRDefault="00435371" w:rsidP="00492933"/>
  <w:p w14:paraId="434CFF60" w14:textId="77777777" w:rsidR="00435371" w:rsidRDefault="00435371" w:rsidP="00492933"/>
  <w:p w14:paraId="7BEDF092" w14:textId="77777777" w:rsidR="00435371" w:rsidRDefault="00435371" w:rsidP="00492933"/>
  <w:p w14:paraId="7233040D" w14:textId="77777777" w:rsidR="00435371" w:rsidRDefault="00435371" w:rsidP="00492933"/>
  <w:p w14:paraId="2A2F6009" w14:textId="77777777" w:rsidR="00435371" w:rsidRDefault="00435371"/>
  <w:p w14:paraId="7683EFBD" w14:textId="77777777" w:rsidR="00435371" w:rsidRDefault="00435371" w:rsidP="00995FAE"/>
  <w:p w14:paraId="3E9127E3" w14:textId="77777777" w:rsidR="00435371" w:rsidRDefault="00435371" w:rsidP="00995FAE"/>
  <w:p w14:paraId="61B3FD9D" w14:textId="77777777" w:rsidR="00435371" w:rsidRDefault="004353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C628A" w14:textId="77777777" w:rsidR="00435371" w:rsidRDefault="004353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D946F" w14:textId="77777777" w:rsidR="00435371" w:rsidRDefault="00435371" w:rsidP="00492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34" style="width:0;height:1.5pt" o:hralign="center" o:bullet="t" o:hrstd="t" o:hr="t" fillcolor="#aca899" stroked="f"/>
    </w:pict>
  </w:numPicBullet>
  <w:numPicBullet w:numPicBulletId="1">
    <w:pict>
      <v:rect id="_x0000_i1035" style="width:0;height:1.5pt" o:hralign="center" o:bullet="t" o:hrstd="t" o:hr="t" fillcolor="#aca899" stroked="f"/>
    </w:pict>
  </w:numPicBullet>
  <w:abstractNum w:abstractNumId="0" w15:restartNumberingAfterBreak="0">
    <w:nsid w:val="01B810E9"/>
    <w:multiLevelType w:val="hybridMultilevel"/>
    <w:tmpl w:val="DBB66A94"/>
    <w:lvl w:ilvl="0" w:tplc="08090001">
      <w:start w:val="1"/>
      <w:numFmt w:val="bullet"/>
      <w:lvlText w:val=""/>
      <w:lvlJc w:val="left"/>
      <w:pPr>
        <w:tabs>
          <w:tab w:val="num" w:pos="720"/>
        </w:tabs>
        <w:ind w:left="720" w:hanging="360"/>
      </w:pPr>
      <w:rPr>
        <w:rFonts w:ascii="Symbol" w:hAnsi="Symbol" w:hint="default"/>
      </w:rPr>
    </w:lvl>
    <w:lvl w:ilvl="1" w:tplc="81787058" w:tentative="1">
      <w:start w:val="1"/>
      <w:numFmt w:val="bullet"/>
      <w:lvlText w:val=""/>
      <w:lvlJc w:val="left"/>
      <w:pPr>
        <w:tabs>
          <w:tab w:val="num" w:pos="1440"/>
        </w:tabs>
        <w:ind w:left="1440" w:hanging="360"/>
      </w:pPr>
      <w:rPr>
        <w:rFonts w:ascii="Wingdings 3" w:hAnsi="Wingdings 3" w:hint="default"/>
      </w:rPr>
    </w:lvl>
    <w:lvl w:ilvl="2" w:tplc="6FE4ED9A" w:tentative="1">
      <w:start w:val="1"/>
      <w:numFmt w:val="bullet"/>
      <w:lvlText w:val=""/>
      <w:lvlJc w:val="left"/>
      <w:pPr>
        <w:tabs>
          <w:tab w:val="num" w:pos="2160"/>
        </w:tabs>
        <w:ind w:left="2160" w:hanging="360"/>
      </w:pPr>
      <w:rPr>
        <w:rFonts w:ascii="Wingdings 3" w:hAnsi="Wingdings 3" w:hint="default"/>
      </w:rPr>
    </w:lvl>
    <w:lvl w:ilvl="3" w:tplc="B36269FE" w:tentative="1">
      <w:start w:val="1"/>
      <w:numFmt w:val="bullet"/>
      <w:lvlText w:val=""/>
      <w:lvlJc w:val="left"/>
      <w:pPr>
        <w:tabs>
          <w:tab w:val="num" w:pos="2880"/>
        </w:tabs>
        <w:ind w:left="2880" w:hanging="360"/>
      </w:pPr>
      <w:rPr>
        <w:rFonts w:ascii="Wingdings 3" w:hAnsi="Wingdings 3" w:hint="default"/>
      </w:rPr>
    </w:lvl>
    <w:lvl w:ilvl="4" w:tplc="9C120638" w:tentative="1">
      <w:start w:val="1"/>
      <w:numFmt w:val="bullet"/>
      <w:lvlText w:val=""/>
      <w:lvlJc w:val="left"/>
      <w:pPr>
        <w:tabs>
          <w:tab w:val="num" w:pos="3600"/>
        </w:tabs>
        <w:ind w:left="3600" w:hanging="360"/>
      </w:pPr>
      <w:rPr>
        <w:rFonts w:ascii="Wingdings 3" w:hAnsi="Wingdings 3" w:hint="default"/>
      </w:rPr>
    </w:lvl>
    <w:lvl w:ilvl="5" w:tplc="DFC4EA40" w:tentative="1">
      <w:start w:val="1"/>
      <w:numFmt w:val="bullet"/>
      <w:lvlText w:val=""/>
      <w:lvlJc w:val="left"/>
      <w:pPr>
        <w:tabs>
          <w:tab w:val="num" w:pos="4320"/>
        </w:tabs>
        <w:ind w:left="4320" w:hanging="360"/>
      </w:pPr>
      <w:rPr>
        <w:rFonts w:ascii="Wingdings 3" w:hAnsi="Wingdings 3" w:hint="default"/>
      </w:rPr>
    </w:lvl>
    <w:lvl w:ilvl="6" w:tplc="5950CC00" w:tentative="1">
      <w:start w:val="1"/>
      <w:numFmt w:val="bullet"/>
      <w:lvlText w:val=""/>
      <w:lvlJc w:val="left"/>
      <w:pPr>
        <w:tabs>
          <w:tab w:val="num" w:pos="5040"/>
        </w:tabs>
        <w:ind w:left="5040" w:hanging="360"/>
      </w:pPr>
      <w:rPr>
        <w:rFonts w:ascii="Wingdings 3" w:hAnsi="Wingdings 3" w:hint="default"/>
      </w:rPr>
    </w:lvl>
    <w:lvl w:ilvl="7" w:tplc="B0E61D3C" w:tentative="1">
      <w:start w:val="1"/>
      <w:numFmt w:val="bullet"/>
      <w:lvlText w:val=""/>
      <w:lvlJc w:val="left"/>
      <w:pPr>
        <w:tabs>
          <w:tab w:val="num" w:pos="5760"/>
        </w:tabs>
        <w:ind w:left="5760" w:hanging="360"/>
      </w:pPr>
      <w:rPr>
        <w:rFonts w:ascii="Wingdings 3" w:hAnsi="Wingdings 3" w:hint="default"/>
      </w:rPr>
    </w:lvl>
    <w:lvl w:ilvl="8" w:tplc="C7B05D0E"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3976443"/>
    <w:multiLevelType w:val="hybridMultilevel"/>
    <w:tmpl w:val="3C8E782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51F5E"/>
    <w:multiLevelType w:val="hybridMultilevel"/>
    <w:tmpl w:val="DDF24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46CF7"/>
    <w:multiLevelType w:val="hybridMultilevel"/>
    <w:tmpl w:val="43823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6D6540"/>
    <w:multiLevelType w:val="multilevel"/>
    <w:tmpl w:val="0B448D66"/>
    <w:lvl w:ilvl="0">
      <w:start w:val="1"/>
      <w:numFmt w:val="decimal"/>
      <w:lvlText w:val="%1."/>
      <w:lvlJc w:val="left"/>
      <w:pPr>
        <w:tabs>
          <w:tab w:val="num" w:pos="567"/>
        </w:tabs>
        <w:ind w:left="568" w:hanging="568"/>
      </w:pPr>
      <w:rPr>
        <w:rFonts w:ascii="Verdana" w:hAnsi="Verdana" w:cs="Times New Roman" w:hint="default"/>
        <w:b/>
        <w:i w:val="0"/>
        <w:color w:val="auto"/>
        <w:sz w:val="22"/>
        <w:szCs w:val="22"/>
      </w:rPr>
    </w:lvl>
    <w:lvl w:ilvl="1">
      <w:start w:val="1"/>
      <w:numFmt w:val="decimal"/>
      <w:lvlText w:val="%1.%2."/>
      <w:lvlJc w:val="left"/>
      <w:pPr>
        <w:tabs>
          <w:tab w:val="num" w:pos="567"/>
        </w:tabs>
        <w:ind w:left="567"/>
      </w:pPr>
      <w:rPr>
        <w:rFonts w:ascii="Verdana" w:hAnsi="Verdana" w:cs="Times New Roman" w:hint="default"/>
        <w:b/>
        <w:i w:val="0"/>
        <w:color w:val="auto"/>
        <w:sz w:val="22"/>
        <w:szCs w:val="22"/>
      </w:rPr>
    </w:lvl>
    <w:lvl w:ilvl="2">
      <w:start w:val="1"/>
      <w:numFmt w:val="decimal"/>
      <w:lvlText w:val="%1.%2.%3"/>
      <w:lvlJc w:val="left"/>
      <w:pPr>
        <w:tabs>
          <w:tab w:val="num" w:pos="2084"/>
        </w:tabs>
        <w:ind w:left="1508" w:hanging="504"/>
      </w:pPr>
      <w:rPr>
        <w:rFonts w:ascii="Verdana" w:hAnsi="Verdana" w:cs="Times New Roman" w:hint="default"/>
        <w:b/>
        <w:i w:val="0"/>
        <w:color w:val="auto"/>
        <w:sz w:val="22"/>
        <w:szCs w:val="20"/>
      </w:rPr>
    </w:lvl>
    <w:lvl w:ilvl="3">
      <w:start w:val="1"/>
      <w:numFmt w:val="decimal"/>
      <w:lvlText w:val="%1.%2.%3.%4."/>
      <w:lvlJc w:val="left"/>
      <w:pPr>
        <w:tabs>
          <w:tab w:val="num" w:pos="2444"/>
        </w:tabs>
        <w:ind w:left="2012" w:hanging="648"/>
      </w:pPr>
      <w:rPr>
        <w:rFonts w:cs="Times New Roman" w:hint="default"/>
      </w:rPr>
    </w:lvl>
    <w:lvl w:ilvl="4">
      <w:start w:val="1"/>
      <w:numFmt w:val="decimal"/>
      <w:lvlText w:val="%1.%2.%3.%4.%5."/>
      <w:lvlJc w:val="left"/>
      <w:pPr>
        <w:tabs>
          <w:tab w:val="num" w:pos="3164"/>
        </w:tabs>
        <w:ind w:left="2516" w:hanging="792"/>
      </w:pPr>
      <w:rPr>
        <w:rFonts w:cs="Times New Roman" w:hint="default"/>
      </w:rPr>
    </w:lvl>
    <w:lvl w:ilvl="5">
      <w:start w:val="1"/>
      <w:numFmt w:val="decimal"/>
      <w:lvlText w:val="%1.%2.%3.%4.%5.%6."/>
      <w:lvlJc w:val="left"/>
      <w:pPr>
        <w:tabs>
          <w:tab w:val="num" w:pos="3884"/>
        </w:tabs>
        <w:ind w:left="3020" w:hanging="936"/>
      </w:pPr>
      <w:rPr>
        <w:rFonts w:cs="Times New Roman" w:hint="default"/>
      </w:rPr>
    </w:lvl>
    <w:lvl w:ilvl="6">
      <w:start w:val="1"/>
      <w:numFmt w:val="decimal"/>
      <w:lvlText w:val="%1.%2.%3.%4.%5.%6.%7."/>
      <w:lvlJc w:val="left"/>
      <w:pPr>
        <w:tabs>
          <w:tab w:val="num" w:pos="4244"/>
        </w:tabs>
        <w:ind w:left="3524" w:hanging="1080"/>
      </w:pPr>
      <w:rPr>
        <w:rFonts w:cs="Times New Roman" w:hint="default"/>
      </w:rPr>
    </w:lvl>
    <w:lvl w:ilvl="7">
      <w:start w:val="1"/>
      <w:numFmt w:val="decimal"/>
      <w:lvlText w:val="%1.%2.%3.%4.%5.%6.%7.%8."/>
      <w:lvlJc w:val="left"/>
      <w:pPr>
        <w:tabs>
          <w:tab w:val="num" w:pos="4964"/>
        </w:tabs>
        <w:ind w:left="4028" w:hanging="1224"/>
      </w:pPr>
      <w:rPr>
        <w:rFonts w:cs="Times New Roman" w:hint="default"/>
      </w:rPr>
    </w:lvl>
    <w:lvl w:ilvl="8">
      <w:start w:val="1"/>
      <w:numFmt w:val="decimal"/>
      <w:lvlText w:val="%1.%2.%3.%4.%5.%6.%7.%8.%9."/>
      <w:lvlJc w:val="left"/>
      <w:pPr>
        <w:tabs>
          <w:tab w:val="num" w:pos="5684"/>
        </w:tabs>
        <w:ind w:left="4604" w:hanging="1440"/>
      </w:pPr>
      <w:rPr>
        <w:rFonts w:cs="Times New Roman" w:hint="default"/>
      </w:rPr>
    </w:lvl>
  </w:abstractNum>
  <w:abstractNum w:abstractNumId="5" w15:restartNumberingAfterBreak="0">
    <w:nsid w:val="0FDB66EB"/>
    <w:multiLevelType w:val="hybridMultilevel"/>
    <w:tmpl w:val="15E44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4714C"/>
    <w:multiLevelType w:val="hybridMultilevel"/>
    <w:tmpl w:val="8042D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8F5E1C"/>
    <w:multiLevelType w:val="hybridMultilevel"/>
    <w:tmpl w:val="46BC2D66"/>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63C67"/>
    <w:multiLevelType w:val="hybridMultilevel"/>
    <w:tmpl w:val="DE4C92DA"/>
    <w:lvl w:ilvl="0" w:tplc="08090001">
      <w:start w:val="1"/>
      <w:numFmt w:val="bullet"/>
      <w:lvlText w:val=""/>
      <w:lvlJc w:val="left"/>
      <w:pPr>
        <w:ind w:left="743" w:hanging="360"/>
      </w:pPr>
      <w:rPr>
        <w:rFonts w:ascii="Symbol" w:hAnsi="Symbol" w:hint="default"/>
      </w:rPr>
    </w:lvl>
    <w:lvl w:ilvl="1" w:tplc="08090003">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9" w15:restartNumberingAfterBreak="0">
    <w:nsid w:val="1BA409C5"/>
    <w:multiLevelType w:val="hybridMultilevel"/>
    <w:tmpl w:val="4AB44F10"/>
    <w:lvl w:ilvl="0" w:tplc="B40E10F0">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5B56F2"/>
    <w:multiLevelType w:val="hybridMultilevel"/>
    <w:tmpl w:val="431E6A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A1611D"/>
    <w:multiLevelType w:val="hybridMultilevel"/>
    <w:tmpl w:val="B86E0646"/>
    <w:lvl w:ilvl="0" w:tplc="28A48E2E">
      <w:start w:val="1"/>
      <w:numFmt w:val="bullet"/>
      <w:lvlText w:val=""/>
      <w:lvlPicBulletId w:val="0"/>
      <w:lvlJc w:val="left"/>
      <w:pPr>
        <w:tabs>
          <w:tab w:val="num" w:pos="720"/>
        </w:tabs>
        <w:ind w:left="720" w:hanging="360"/>
      </w:pPr>
      <w:rPr>
        <w:rFonts w:ascii="Symbol" w:hAnsi="Symbol" w:hint="default"/>
      </w:rPr>
    </w:lvl>
    <w:lvl w:ilvl="1" w:tplc="E9C4A8AC" w:tentative="1">
      <w:start w:val="1"/>
      <w:numFmt w:val="bullet"/>
      <w:lvlText w:val=""/>
      <w:lvlJc w:val="left"/>
      <w:pPr>
        <w:tabs>
          <w:tab w:val="num" w:pos="1440"/>
        </w:tabs>
        <w:ind w:left="1440" w:hanging="360"/>
      </w:pPr>
      <w:rPr>
        <w:rFonts w:ascii="Symbol" w:hAnsi="Symbol" w:hint="default"/>
      </w:rPr>
    </w:lvl>
    <w:lvl w:ilvl="2" w:tplc="77987C9A" w:tentative="1">
      <w:start w:val="1"/>
      <w:numFmt w:val="bullet"/>
      <w:lvlText w:val=""/>
      <w:lvlJc w:val="left"/>
      <w:pPr>
        <w:tabs>
          <w:tab w:val="num" w:pos="2160"/>
        </w:tabs>
        <w:ind w:left="2160" w:hanging="360"/>
      </w:pPr>
      <w:rPr>
        <w:rFonts w:ascii="Symbol" w:hAnsi="Symbol" w:hint="default"/>
      </w:rPr>
    </w:lvl>
    <w:lvl w:ilvl="3" w:tplc="B2145004" w:tentative="1">
      <w:start w:val="1"/>
      <w:numFmt w:val="bullet"/>
      <w:lvlText w:val=""/>
      <w:lvlJc w:val="left"/>
      <w:pPr>
        <w:tabs>
          <w:tab w:val="num" w:pos="2880"/>
        </w:tabs>
        <w:ind w:left="2880" w:hanging="360"/>
      </w:pPr>
      <w:rPr>
        <w:rFonts w:ascii="Symbol" w:hAnsi="Symbol" w:hint="default"/>
      </w:rPr>
    </w:lvl>
    <w:lvl w:ilvl="4" w:tplc="343E87A0" w:tentative="1">
      <w:start w:val="1"/>
      <w:numFmt w:val="bullet"/>
      <w:lvlText w:val=""/>
      <w:lvlJc w:val="left"/>
      <w:pPr>
        <w:tabs>
          <w:tab w:val="num" w:pos="3600"/>
        </w:tabs>
        <w:ind w:left="3600" w:hanging="360"/>
      </w:pPr>
      <w:rPr>
        <w:rFonts w:ascii="Symbol" w:hAnsi="Symbol" w:hint="default"/>
      </w:rPr>
    </w:lvl>
    <w:lvl w:ilvl="5" w:tplc="8AB836F0" w:tentative="1">
      <w:start w:val="1"/>
      <w:numFmt w:val="bullet"/>
      <w:lvlText w:val=""/>
      <w:lvlJc w:val="left"/>
      <w:pPr>
        <w:tabs>
          <w:tab w:val="num" w:pos="4320"/>
        </w:tabs>
        <w:ind w:left="4320" w:hanging="360"/>
      </w:pPr>
      <w:rPr>
        <w:rFonts w:ascii="Symbol" w:hAnsi="Symbol" w:hint="default"/>
      </w:rPr>
    </w:lvl>
    <w:lvl w:ilvl="6" w:tplc="FD3A252C" w:tentative="1">
      <w:start w:val="1"/>
      <w:numFmt w:val="bullet"/>
      <w:lvlText w:val=""/>
      <w:lvlJc w:val="left"/>
      <w:pPr>
        <w:tabs>
          <w:tab w:val="num" w:pos="5040"/>
        </w:tabs>
        <w:ind w:left="5040" w:hanging="360"/>
      </w:pPr>
      <w:rPr>
        <w:rFonts w:ascii="Symbol" w:hAnsi="Symbol" w:hint="default"/>
      </w:rPr>
    </w:lvl>
    <w:lvl w:ilvl="7" w:tplc="7014234C" w:tentative="1">
      <w:start w:val="1"/>
      <w:numFmt w:val="bullet"/>
      <w:lvlText w:val=""/>
      <w:lvlJc w:val="left"/>
      <w:pPr>
        <w:tabs>
          <w:tab w:val="num" w:pos="5760"/>
        </w:tabs>
        <w:ind w:left="5760" w:hanging="360"/>
      </w:pPr>
      <w:rPr>
        <w:rFonts w:ascii="Symbol" w:hAnsi="Symbol" w:hint="default"/>
      </w:rPr>
    </w:lvl>
    <w:lvl w:ilvl="8" w:tplc="774C407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DDE17CA"/>
    <w:multiLevelType w:val="hybridMultilevel"/>
    <w:tmpl w:val="1968FB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F122D23"/>
    <w:multiLevelType w:val="multilevel"/>
    <w:tmpl w:val="8132F45A"/>
    <w:lvl w:ilvl="0">
      <w:start w:val="6"/>
      <w:numFmt w:val="decimal"/>
      <w:lvlText w:val="%1"/>
      <w:lvlJc w:val="left"/>
      <w:pPr>
        <w:ind w:left="375" w:hanging="37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1F7B5DE8"/>
    <w:multiLevelType w:val="hybridMultilevel"/>
    <w:tmpl w:val="15CEE8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FA36669"/>
    <w:multiLevelType w:val="hybridMultilevel"/>
    <w:tmpl w:val="BD923E26"/>
    <w:lvl w:ilvl="0" w:tplc="0BF867A2">
      <w:start w:val="1"/>
      <w:numFmt w:val="bullet"/>
      <w:pStyle w:val="Bullet"/>
      <w:lvlText w:val=""/>
      <w:lvlJc w:val="left"/>
      <w:pPr>
        <w:tabs>
          <w:tab w:val="num" w:pos="624"/>
        </w:tabs>
        <w:ind w:left="624" w:hanging="284"/>
      </w:pPr>
      <w:rPr>
        <w:rFonts w:ascii="Wingdings" w:hAnsi="Wingdings" w:hint="default"/>
        <w:color w:val="auto"/>
        <w:sz w:val="22"/>
      </w:rPr>
    </w:lvl>
    <w:lvl w:ilvl="1" w:tplc="B9986B44">
      <w:numFmt w:val="bullet"/>
      <w:lvlText w:val=""/>
      <w:lvlJc w:val="left"/>
      <w:pPr>
        <w:tabs>
          <w:tab w:val="num" w:pos="1860"/>
        </w:tabs>
        <w:ind w:left="1860" w:hanging="780"/>
      </w:pPr>
      <w:rPr>
        <w:rFonts w:ascii="Symbol" w:eastAsia="Times New Roman"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E66DB9"/>
    <w:multiLevelType w:val="hybridMultilevel"/>
    <w:tmpl w:val="3C585CFA"/>
    <w:lvl w:ilvl="0" w:tplc="6D804418">
      <w:start w:val="1"/>
      <w:numFmt w:val="bullet"/>
      <w:lvlText w:val=""/>
      <w:lvlJc w:val="left"/>
      <w:pPr>
        <w:tabs>
          <w:tab w:val="num" w:pos="360"/>
        </w:tabs>
        <w:ind w:left="360" w:hanging="360"/>
      </w:pPr>
      <w:rPr>
        <w:rFonts w:ascii="Symbol" w:hAnsi="Symbol" w:hint="default"/>
        <w:sz w:val="21"/>
      </w:rPr>
    </w:lvl>
    <w:lvl w:ilvl="1" w:tplc="08090003">
      <w:start w:val="1"/>
      <w:numFmt w:val="decimal"/>
      <w:lvlText w:val="%2."/>
      <w:lvlJc w:val="left"/>
      <w:pPr>
        <w:tabs>
          <w:tab w:val="num" w:pos="873"/>
        </w:tabs>
        <w:ind w:left="873" w:hanging="360"/>
      </w:pPr>
      <w:rPr>
        <w:rFonts w:cs="Times New Roman"/>
      </w:rPr>
    </w:lvl>
    <w:lvl w:ilvl="2" w:tplc="08090005">
      <w:start w:val="1"/>
      <w:numFmt w:val="decimal"/>
      <w:lvlText w:val="%3."/>
      <w:lvlJc w:val="left"/>
      <w:pPr>
        <w:tabs>
          <w:tab w:val="num" w:pos="1593"/>
        </w:tabs>
        <w:ind w:left="1593" w:hanging="360"/>
      </w:pPr>
      <w:rPr>
        <w:rFonts w:cs="Times New Roman"/>
      </w:rPr>
    </w:lvl>
    <w:lvl w:ilvl="3" w:tplc="08090001">
      <w:start w:val="1"/>
      <w:numFmt w:val="decimal"/>
      <w:lvlText w:val="%4."/>
      <w:lvlJc w:val="left"/>
      <w:pPr>
        <w:tabs>
          <w:tab w:val="num" w:pos="2313"/>
        </w:tabs>
        <w:ind w:left="2313" w:hanging="360"/>
      </w:pPr>
      <w:rPr>
        <w:rFonts w:cs="Times New Roman"/>
      </w:rPr>
    </w:lvl>
    <w:lvl w:ilvl="4" w:tplc="08090003">
      <w:start w:val="1"/>
      <w:numFmt w:val="decimal"/>
      <w:lvlText w:val="%5."/>
      <w:lvlJc w:val="left"/>
      <w:pPr>
        <w:tabs>
          <w:tab w:val="num" w:pos="3033"/>
        </w:tabs>
        <w:ind w:left="3033" w:hanging="360"/>
      </w:pPr>
      <w:rPr>
        <w:rFonts w:cs="Times New Roman"/>
      </w:rPr>
    </w:lvl>
    <w:lvl w:ilvl="5" w:tplc="08090005">
      <w:start w:val="1"/>
      <w:numFmt w:val="decimal"/>
      <w:lvlText w:val="%6."/>
      <w:lvlJc w:val="left"/>
      <w:pPr>
        <w:tabs>
          <w:tab w:val="num" w:pos="3753"/>
        </w:tabs>
        <w:ind w:left="3753" w:hanging="360"/>
      </w:pPr>
      <w:rPr>
        <w:rFonts w:cs="Times New Roman"/>
      </w:rPr>
    </w:lvl>
    <w:lvl w:ilvl="6" w:tplc="08090001">
      <w:start w:val="1"/>
      <w:numFmt w:val="decimal"/>
      <w:lvlText w:val="%7."/>
      <w:lvlJc w:val="left"/>
      <w:pPr>
        <w:tabs>
          <w:tab w:val="num" w:pos="4473"/>
        </w:tabs>
        <w:ind w:left="4473" w:hanging="360"/>
      </w:pPr>
      <w:rPr>
        <w:rFonts w:cs="Times New Roman"/>
      </w:rPr>
    </w:lvl>
    <w:lvl w:ilvl="7" w:tplc="08090003">
      <w:start w:val="1"/>
      <w:numFmt w:val="decimal"/>
      <w:lvlText w:val="%8."/>
      <w:lvlJc w:val="left"/>
      <w:pPr>
        <w:tabs>
          <w:tab w:val="num" w:pos="5193"/>
        </w:tabs>
        <w:ind w:left="5193" w:hanging="360"/>
      </w:pPr>
      <w:rPr>
        <w:rFonts w:cs="Times New Roman"/>
      </w:rPr>
    </w:lvl>
    <w:lvl w:ilvl="8" w:tplc="08090005">
      <w:start w:val="1"/>
      <w:numFmt w:val="decimal"/>
      <w:lvlText w:val="%9."/>
      <w:lvlJc w:val="left"/>
      <w:pPr>
        <w:tabs>
          <w:tab w:val="num" w:pos="5913"/>
        </w:tabs>
        <w:ind w:left="5913" w:hanging="360"/>
      </w:pPr>
      <w:rPr>
        <w:rFonts w:cs="Times New Roman"/>
      </w:rPr>
    </w:lvl>
  </w:abstractNum>
  <w:abstractNum w:abstractNumId="17" w15:restartNumberingAfterBreak="0">
    <w:nsid w:val="217412B4"/>
    <w:multiLevelType w:val="hybridMultilevel"/>
    <w:tmpl w:val="748E00CE"/>
    <w:lvl w:ilvl="0" w:tplc="08090001">
      <w:start w:val="1"/>
      <w:numFmt w:val="bullet"/>
      <w:lvlText w:val=""/>
      <w:lvlJc w:val="left"/>
      <w:pPr>
        <w:ind w:left="720" w:hanging="360"/>
      </w:pPr>
      <w:rPr>
        <w:rFonts w:ascii="Symbol" w:hAnsi="Symbol" w:hint="default"/>
      </w:rPr>
    </w:lvl>
    <w:lvl w:ilvl="1" w:tplc="C0BEC99A">
      <w:start w:val="1"/>
      <w:numFmt w:val="bullet"/>
      <w:lvlText w:val="−"/>
      <w:lvlJc w:val="left"/>
      <w:pPr>
        <w:ind w:left="1440" w:hanging="360"/>
      </w:pPr>
      <w:rPr>
        <w:rFonts w:ascii="Verdana" w:hAnsi="Verdana"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2B708F8"/>
    <w:multiLevelType w:val="hybridMultilevel"/>
    <w:tmpl w:val="9B3E491A"/>
    <w:lvl w:ilvl="0" w:tplc="0BF867A2">
      <w:start w:val="1"/>
      <w:numFmt w:val="bullet"/>
      <w:lvlText w:val=""/>
      <w:lvlJc w:val="left"/>
      <w:pPr>
        <w:tabs>
          <w:tab w:val="num" w:pos="624"/>
        </w:tabs>
        <w:ind w:left="624" w:hanging="284"/>
      </w:pPr>
      <w:rPr>
        <w:rFonts w:ascii="Wingdings" w:hAnsi="Wingdings" w:hint="default"/>
        <w:color w:val="auto"/>
        <w:sz w:val="22"/>
      </w:rPr>
    </w:lvl>
    <w:lvl w:ilvl="1" w:tplc="08090003">
      <w:start w:val="1"/>
      <w:numFmt w:val="bullet"/>
      <w:pStyle w:val="IndentBullet"/>
      <w:lvlText w:val="o"/>
      <w:lvlJc w:val="left"/>
      <w:pPr>
        <w:tabs>
          <w:tab w:val="num" w:pos="1080"/>
        </w:tabs>
        <w:ind w:left="1080"/>
      </w:pPr>
      <w:rPr>
        <w:rFonts w:ascii="Verdana" w:hAnsi="Verdana" w:hint="default"/>
        <w:color w:val="auto"/>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5E7831"/>
    <w:multiLevelType w:val="multilevel"/>
    <w:tmpl w:val="E8966AE6"/>
    <w:lvl w:ilvl="0">
      <w:start w:val="1"/>
      <w:numFmt w:val="decimal"/>
      <w:lvlText w:val="%1."/>
      <w:lvlJc w:val="left"/>
      <w:pPr>
        <w:tabs>
          <w:tab w:val="num" w:pos="927"/>
        </w:tabs>
        <w:ind w:left="927" w:hanging="360"/>
      </w:pPr>
      <w:rPr>
        <w:rFonts w:cs="Times New Roman" w:hint="default"/>
      </w:rPr>
    </w:lvl>
    <w:lvl w:ilvl="1">
      <w:start w:val="9"/>
      <w:numFmt w:val="decimal"/>
      <w:isLgl/>
      <w:lvlText w:val="%1.%2"/>
      <w:lvlJc w:val="left"/>
      <w:pPr>
        <w:tabs>
          <w:tab w:val="num" w:pos="927"/>
        </w:tabs>
        <w:ind w:left="927" w:hanging="36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0" w15:restartNumberingAfterBreak="0">
    <w:nsid w:val="27EA7DD9"/>
    <w:multiLevelType w:val="hybridMultilevel"/>
    <w:tmpl w:val="2A7AF7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9EF71C5"/>
    <w:multiLevelType w:val="hybridMultilevel"/>
    <w:tmpl w:val="B126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9B20BD"/>
    <w:multiLevelType w:val="hybridMultilevel"/>
    <w:tmpl w:val="1250C960"/>
    <w:lvl w:ilvl="0" w:tplc="1E46DC58">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22C11B6"/>
    <w:multiLevelType w:val="hybridMultilevel"/>
    <w:tmpl w:val="DDB614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40A1AF0"/>
    <w:multiLevelType w:val="hybridMultilevel"/>
    <w:tmpl w:val="4A1CA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D96014"/>
    <w:multiLevelType w:val="hybridMultilevel"/>
    <w:tmpl w:val="69EAD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0C76BE"/>
    <w:multiLevelType w:val="hybridMultilevel"/>
    <w:tmpl w:val="673AB938"/>
    <w:lvl w:ilvl="0" w:tplc="08090001">
      <w:start w:val="1"/>
      <w:numFmt w:val="bullet"/>
      <w:lvlText w:val=""/>
      <w:lvlJc w:val="left"/>
      <w:pPr>
        <w:ind w:left="2007" w:hanging="360"/>
      </w:pPr>
      <w:rPr>
        <w:rFonts w:ascii="Symbol" w:hAnsi="Symbol" w:hint="default"/>
      </w:rPr>
    </w:lvl>
    <w:lvl w:ilvl="1" w:tplc="08090003">
      <w:start w:val="1"/>
      <w:numFmt w:val="bullet"/>
      <w:lvlText w:val="o"/>
      <w:lvlJc w:val="left"/>
      <w:pPr>
        <w:ind w:left="2727" w:hanging="360"/>
      </w:pPr>
      <w:rPr>
        <w:rFonts w:ascii="Courier New" w:hAnsi="Courier New" w:cs="Courier New" w:hint="default"/>
      </w:rPr>
    </w:lvl>
    <w:lvl w:ilvl="2" w:tplc="08090005">
      <w:start w:val="1"/>
      <w:numFmt w:val="bullet"/>
      <w:lvlText w:val=""/>
      <w:lvlJc w:val="left"/>
      <w:pPr>
        <w:ind w:left="3447" w:hanging="360"/>
      </w:pPr>
      <w:rPr>
        <w:rFonts w:ascii="Wingdings" w:hAnsi="Wingdings" w:hint="default"/>
      </w:rPr>
    </w:lvl>
    <w:lvl w:ilvl="3" w:tplc="08090001">
      <w:start w:val="1"/>
      <w:numFmt w:val="bullet"/>
      <w:lvlText w:val=""/>
      <w:lvlJc w:val="left"/>
      <w:pPr>
        <w:ind w:left="4167" w:hanging="360"/>
      </w:pPr>
      <w:rPr>
        <w:rFonts w:ascii="Symbol" w:hAnsi="Symbol" w:hint="default"/>
      </w:rPr>
    </w:lvl>
    <w:lvl w:ilvl="4" w:tplc="08090003">
      <w:start w:val="1"/>
      <w:numFmt w:val="bullet"/>
      <w:lvlText w:val="o"/>
      <w:lvlJc w:val="left"/>
      <w:pPr>
        <w:ind w:left="4887" w:hanging="360"/>
      </w:pPr>
      <w:rPr>
        <w:rFonts w:ascii="Courier New" w:hAnsi="Courier New" w:cs="Courier New" w:hint="default"/>
      </w:rPr>
    </w:lvl>
    <w:lvl w:ilvl="5" w:tplc="08090005">
      <w:start w:val="1"/>
      <w:numFmt w:val="bullet"/>
      <w:lvlText w:val=""/>
      <w:lvlJc w:val="left"/>
      <w:pPr>
        <w:ind w:left="5607" w:hanging="360"/>
      </w:pPr>
      <w:rPr>
        <w:rFonts w:ascii="Wingdings" w:hAnsi="Wingdings" w:hint="default"/>
      </w:rPr>
    </w:lvl>
    <w:lvl w:ilvl="6" w:tplc="08090001">
      <w:start w:val="1"/>
      <w:numFmt w:val="bullet"/>
      <w:lvlText w:val=""/>
      <w:lvlJc w:val="left"/>
      <w:pPr>
        <w:ind w:left="6327" w:hanging="360"/>
      </w:pPr>
      <w:rPr>
        <w:rFonts w:ascii="Symbol" w:hAnsi="Symbol" w:hint="default"/>
      </w:rPr>
    </w:lvl>
    <w:lvl w:ilvl="7" w:tplc="08090003">
      <w:start w:val="1"/>
      <w:numFmt w:val="bullet"/>
      <w:lvlText w:val="o"/>
      <w:lvlJc w:val="left"/>
      <w:pPr>
        <w:ind w:left="7047" w:hanging="360"/>
      </w:pPr>
      <w:rPr>
        <w:rFonts w:ascii="Courier New" w:hAnsi="Courier New" w:cs="Courier New" w:hint="default"/>
      </w:rPr>
    </w:lvl>
    <w:lvl w:ilvl="8" w:tplc="08090005">
      <w:start w:val="1"/>
      <w:numFmt w:val="bullet"/>
      <w:lvlText w:val=""/>
      <w:lvlJc w:val="left"/>
      <w:pPr>
        <w:ind w:left="7767" w:hanging="360"/>
      </w:pPr>
      <w:rPr>
        <w:rFonts w:ascii="Wingdings" w:hAnsi="Wingdings" w:hint="default"/>
      </w:rPr>
    </w:lvl>
  </w:abstractNum>
  <w:abstractNum w:abstractNumId="27" w15:restartNumberingAfterBreak="0">
    <w:nsid w:val="428F3078"/>
    <w:multiLevelType w:val="hybridMultilevel"/>
    <w:tmpl w:val="63866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4D8533E"/>
    <w:multiLevelType w:val="multilevel"/>
    <w:tmpl w:val="5BC0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EA0BA5"/>
    <w:multiLevelType w:val="hybridMultilevel"/>
    <w:tmpl w:val="B420B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443046"/>
    <w:multiLevelType w:val="hybridMultilevel"/>
    <w:tmpl w:val="54CA3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3400DC"/>
    <w:multiLevelType w:val="hybridMultilevel"/>
    <w:tmpl w:val="6BE49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986EDD"/>
    <w:multiLevelType w:val="hybridMultilevel"/>
    <w:tmpl w:val="AD2A9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C33360"/>
    <w:multiLevelType w:val="hybridMultilevel"/>
    <w:tmpl w:val="3F865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2C01E4"/>
    <w:multiLevelType w:val="hybridMultilevel"/>
    <w:tmpl w:val="5FA6F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075AFC"/>
    <w:multiLevelType w:val="hybridMultilevel"/>
    <w:tmpl w:val="731A26D8"/>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36" w15:restartNumberingAfterBreak="0">
    <w:nsid w:val="63E91C0C"/>
    <w:multiLevelType w:val="hybridMultilevel"/>
    <w:tmpl w:val="51940F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BCF4144"/>
    <w:multiLevelType w:val="hybridMultilevel"/>
    <w:tmpl w:val="FE5CC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004490"/>
    <w:multiLevelType w:val="hybridMultilevel"/>
    <w:tmpl w:val="FE62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08093C"/>
    <w:multiLevelType w:val="hybridMultilevel"/>
    <w:tmpl w:val="D9066852"/>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8A02FA"/>
    <w:multiLevelType w:val="hybridMultilevel"/>
    <w:tmpl w:val="C82A893C"/>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41" w15:restartNumberingAfterBreak="0">
    <w:nsid w:val="71645449"/>
    <w:multiLevelType w:val="hybridMultilevel"/>
    <w:tmpl w:val="64FA3584"/>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1F51833"/>
    <w:multiLevelType w:val="hybridMultilevel"/>
    <w:tmpl w:val="73A05052"/>
    <w:lvl w:ilvl="0" w:tplc="08090001">
      <w:start w:val="1"/>
      <w:numFmt w:val="bullet"/>
      <w:lvlText w:val=""/>
      <w:lvlJc w:val="left"/>
      <w:pPr>
        <w:ind w:left="1794" w:hanging="360"/>
      </w:pPr>
      <w:rPr>
        <w:rFonts w:ascii="Symbol" w:hAnsi="Symbol" w:hint="default"/>
      </w:rPr>
    </w:lvl>
    <w:lvl w:ilvl="1" w:tplc="08090001">
      <w:start w:val="1"/>
      <w:numFmt w:val="bullet"/>
      <w:lvlText w:val=""/>
      <w:lvlJc w:val="left"/>
      <w:pPr>
        <w:ind w:left="2514" w:hanging="360"/>
      </w:pPr>
      <w:rPr>
        <w:rFonts w:ascii="Symbol" w:hAnsi="Symbol" w:hint="default"/>
      </w:rPr>
    </w:lvl>
    <w:lvl w:ilvl="2" w:tplc="08090005">
      <w:start w:val="1"/>
      <w:numFmt w:val="bullet"/>
      <w:lvlText w:val=""/>
      <w:lvlJc w:val="left"/>
      <w:pPr>
        <w:ind w:left="3234" w:hanging="360"/>
      </w:pPr>
      <w:rPr>
        <w:rFonts w:ascii="Wingdings" w:hAnsi="Wingdings" w:hint="default"/>
      </w:rPr>
    </w:lvl>
    <w:lvl w:ilvl="3" w:tplc="08090001">
      <w:start w:val="1"/>
      <w:numFmt w:val="bullet"/>
      <w:lvlText w:val=""/>
      <w:lvlJc w:val="left"/>
      <w:pPr>
        <w:ind w:left="3954" w:hanging="360"/>
      </w:pPr>
      <w:rPr>
        <w:rFonts w:ascii="Symbol" w:hAnsi="Symbol" w:hint="default"/>
      </w:rPr>
    </w:lvl>
    <w:lvl w:ilvl="4" w:tplc="08090003">
      <w:start w:val="1"/>
      <w:numFmt w:val="bullet"/>
      <w:lvlText w:val="o"/>
      <w:lvlJc w:val="left"/>
      <w:pPr>
        <w:ind w:left="4674" w:hanging="360"/>
      </w:pPr>
      <w:rPr>
        <w:rFonts w:ascii="Courier New" w:hAnsi="Courier New" w:cs="Courier New" w:hint="default"/>
      </w:rPr>
    </w:lvl>
    <w:lvl w:ilvl="5" w:tplc="08090005">
      <w:start w:val="1"/>
      <w:numFmt w:val="bullet"/>
      <w:lvlText w:val=""/>
      <w:lvlJc w:val="left"/>
      <w:pPr>
        <w:ind w:left="5394" w:hanging="360"/>
      </w:pPr>
      <w:rPr>
        <w:rFonts w:ascii="Wingdings" w:hAnsi="Wingdings" w:hint="default"/>
      </w:rPr>
    </w:lvl>
    <w:lvl w:ilvl="6" w:tplc="0809000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43" w15:restartNumberingAfterBreak="0">
    <w:nsid w:val="7BE02444"/>
    <w:multiLevelType w:val="hybridMultilevel"/>
    <w:tmpl w:val="C052AFE4"/>
    <w:lvl w:ilvl="0" w:tplc="0809000F">
      <w:start w:val="1"/>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4" w15:restartNumberingAfterBreak="0">
    <w:nsid w:val="7F3B3EAE"/>
    <w:multiLevelType w:val="hybridMultilevel"/>
    <w:tmpl w:val="A830D5E6"/>
    <w:lvl w:ilvl="0" w:tplc="0809000F">
      <w:start w:val="1"/>
      <w:numFmt w:val="decimal"/>
      <w:lvlText w:val="%1."/>
      <w:lvlJc w:val="left"/>
      <w:pPr>
        <w:ind w:left="743" w:hanging="360"/>
      </w:pPr>
    </w:lvl>
    <w:lvl w:ilvl="1" w:tplc="08090019" w:tentative="1">
      <w:start w:val="1"/>
      <w:numFmt w:val="lowerLetter"/>
      <w:lvlText w:val="%2."/>
      <w:lvlJc w:val="left"/>
      <w:pPr>
        <w:ind w:left="1463" w:hanging="360"/>
      </w:pPr>
    </w:lvl>
    <w:lvl w:ilvl="2" w:tplc="0809001B" w:tentative="1">
      <w:start w:val="1"/>
      <w:numFmt w:val="lowerRoman"/>
      <w:lvlText w:val="%3."/>
      <w:lvlJc w:val="right"/>
      <w:pPr>
        <w:ind w:left="2183" w:hanging="180"/>
      </w:pPr>
    </w:lvl>
    <w:lvl w:ilvl="3" w:tplc="0809000F" w:tentative="1">
      <w:start w:val="1"/>
      <w:numFmt w:val="decimal"/>
      <w:lvlText w:val="%4."/>
      <w:lvlJc w:val="left"/>
      <w:pPr>
        <w:ind w:left="2903" w:hanging="360"/>
      </w:pPr>
    </w:lvl>
    <w:lvl w:ilvl="4" w:tplc="08090019" w:tentative="1">
      <w:start w:val="1"/>
      <w:numFmt w:val="lowerLetter"/>
      <w:lvlText w:val="%5."/>
      <w:lvlJc w:val="left"/>
      <w:pPr>
        <w:ind w:left="3623" w:hanging="360"/>
      </w:pPr>
    </w:lvl>
    <w:lvl w:ilvl="5" w:tplc="0809001B" w:tentative="1">
      <w:start w:val="1"/>
      <w:numFmt w:val="lowerRoman"/>
      <w:lvlText w:val="%6."/>
      <w:lvlJc w:val="right"/>
      <w:pPr>
        <w:ind w:left="4343" w:hanging="180"/>
      </w:pPr>
    </w:lvl>
    <w:lvl w:ilvl="6" w:tplc="0809000F" w:tentative="1">
      <w:start w:val="1"/>
      <w:numFmt w:val="decimal"/>
      <w:lvlText w:val="%7."/>
      <w:lvlJc w:val="left"/>
      <w:pPr>
        <w:ind w:left="5063" w:hanging="360"/>
      </w:pPr>
    </w:lvl>
    <w:lvl w:ilvl="7" w:tplc="08090019" w:tentative="1">
      <w:start w:val="1"/>
      <w:numFmt w:val="lowerLetter"/>
      <w:lvlText w:val="%8."/>
      <w:lvlJc w:val="left"/>
      <w:pPr>
        <w:ind w:left="5783" w:hanging="360"/>
      </w:pPr>
    </w:lvl>
    <w:lvl w:ilvl="8" w:tplc="0809001B" w:tentative="1">
      <w:start w:val="1"/>
      <w:numFmt w:val="lowerRoman"/>
      <w:lvlText w:val="%9."/>
      <w:lvlJc w:val="right"/>
      <w:pPr>
        <w:ind w:left="6503" w:hanging="180"/>
      </w:pPr>
    </w:lvl>
  </w:abstractNum>
  <w:num w:numId="1">
    <w:abstractNumId w:val="4"/>
  </w:num>
  <w:num w:numId="2">
    <w:abstractNumId w:val="15"/>
  </w:num>
  <w:num w:numId="3">
    <w:abstractNumId w:val="18"/>
  </w:num>
  <w:num w:numId="4">
    <w:abstractNumId w:val="24"/>
  </w:num>
  <w:num w:numId="5">
    <w:abstractNumId w:val="23"/>
  </w:num>
  <w:num w:numId="6">
    <w:abstractNumId w:val="38"/>
  </w:num>
  <w:num w:numId="7">
    <w:abstractNumId w:val="6"/>
  </w:num>
  <w:num w:numId="8">
    <w:abstractNumId w:val="25"/>
  </w:num>
  <w:num w:numId="9">
    <w:abstractNumId w:val="10"/>
  </w:num>
  <w:num w:numId="10">
    <w:abstractNumId w:val="16"/>
  </w:num>
  <w:num w:numId="11">
    <w:abstractNumId w:val="12"/>
  </w:num>
  <w:num w:numId="12">
    <w:abstractNumId w:val="19"/>
  </w:num>
  <w:num w:numId="13">
    <w:abstractNumId w:val="14"/>
  </w:num>
  <w:num w:numId="14">
    <w:abstractNumId w:val="36"/>
  </w:num>
  <w:num w:numId="15">
    <w:abstractNumId w:val="33"/>
  </w:num>
  <w:num w:numId="16">
    <w:abstractNumId w:val="34"/>
  </w:num>
  <w:num w:numId="17">
    <w:abstractNumId w:val="27"/>
  </w:num>
  <w:num w:numId="18">
    <w:abstractNumId w:val="37"/>
  </w:num>
  <w:num w:numId="19">
    <w:abstractNumId w:val="31"/>
  </w:num>
  <w:num w:numId="20">
    <w:abstractNumId w:val="11"/>
  </w:num>
  <w:num w:numId="21">
    <w:abstractNumId w:val="5"/>
  </w:num>
  <w:num w:numId="22">
    <w:abstractNumId w:val="29"/>
  </w:num>
  <w:num w:numId="23">
    <w:abstractNumId w:val="9"/>
  </w:num>
  <w:num w:numId="24">
    <w:abstractNumId w:val="30"/>
  </w:num>
  <w:num w:numId="25">
    <w:abstractNumId w:val="43"/>
  </w:num>
  <w:num w:numId="26">
    <w:abstractNumId w:val="20"/>
  </w:num>
  <w:num w:numId="27">
    <w:abstractNumId w:val="32"/>
  </w:num>
  <w:num w:numId="28">
    <w:abstractNumId w:val="1"/>
  </w:num>
  <w:num w:numId="29">
    <w:abstractNumId w:val="44"/>
  </w:num>
  <w:num w:numId="30">
    <w:abstractNumId w:val="13"/>
  </w:num>
  <w:num w:numId="31">
    <w:abstractNumId w:val="22"/>
  </w:num>
  <w:num w:numId="32">
    <w:abstractNumId w:val="7"/>
  </w:num>
  <w:num w:numId="33">
    <w:abstractNumId w:val="41"/>
  </w:num>
  <w:num w:numId="34">
    <w:abstractNumId w:val="8"/>
  </w:num>
  <w:num w:numId="35">
    <w:abstractNumId w:val="42"/>
  </w:num>
  <w:num w:numId="36">
    <w:abstractNumId w:val="39"/>
  </w:num>
  <w:num w:numId="37">
    <w:abstractNumId w:val="0"/>
  </w:num>
  <w:num w:numId="38">
    <w:abstractNumId w:val="28"/>
  </w:num>
  <w:num w:numId="39">
    <w:abstractNumId w:val="35"/>
  </w:num>
  <w:num w:numId="40">
    <w:abstractNumId w:val="26"/>
  </w:num>
  <w:num w:numId="41">
    <w:abstractNumId w:val="17"/>
  </w:num>
  <w:num w:numId="42">
    <w:abstractNumId w:val="21"/>
  </w:num>
  <w:num w:numId="43">
    <w:abstractNumId w:val="40"/>
  </w:num>
  <w:num w:numId="44">
    <w:abstractNumId w:val="2"/>
  </w:num>
  <w:num w:numId="4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A4"/>
    <w:rsid w:val="00002C65"/>
    <w:rsid w:val="00004013"/>
    <w:rsid w:val="00006596"/>
    <w:rsid w:val="0000693B"/>
    <w:rsid w:val="0001007F"/>
    <w:rsid w:val="00013201"/>
    <w:rsid w:val="00014690"/>
    <w:rsid w:val="0001606C"/>
    <w:rsid w:val="00016A78"/>
    <w:rsid w:val="00021902"/>
    <w:rsid w:val="0002390D"/>
    <w:rsid w:val="00035327"/>
    <w:rsid w:val="000358AA"/>
    <w:rsid w:val="00036EE2"/>
    <w:rsid w:val="000402A0"/>
    <w:rsid w:val="00041C07"/>
    <w:rsid w:val="00041E46"/>
    <w:rsid w:val="000427EE"/>
    <w:rsid w:val="0004385D"/>
    <w:rsid w:val="00043AE8"/>
    <w:rsid w:val="000503A3"/>
    <w:rsid w:val="00050AAB"/>
    <w:rsid w:val="00051749"/>
    <w:rsid w:val="000532E5"/>
    <w:rsid w:val="00053ADB"/>
    <w:rsid w:val="000546D5"/>
    <w:rsid w:val="00054AA4"/>
    <w:rsid w:val="000564D8"/>
    <w:rsid w:val="00057277"/>
    <w:rsid w:val="000577B8"/>
    <w:rsid w:val="00061AE2"/>
    <w:rsid w:val="0006459B"/>
    <w:rsid w:val="00064F81"/>
    <w:rsid w:val="0006533D"/>
    <w:rsid w:val="00066A15"/>
    <w:rsid w:val="0006702F"/>
    <w:rsid w:val="000677F3"/>
    <w:rsid w:val="000679B6"/>
    <w:rsid w:val="0007095C"/>
    <w:rsid w:val="00071645"/>
    <w:rsid w:val="00071AAC"/>
    <w:rsid w:val="00072464"/>
    <w:rsid w:val="00073D8F"/>
    <w:rsid w:val="0007415F"/>
    <w:rsid w:val="0008030F"/>
    <w:rsid w:val="000819C0"/>
    <w:rsid w:val="00081C02"/>
    <w:rsid w:val="0008248C"/>
    <w:rsid w:val="00084E79"/>
    <w:rsid w:val="00090216"/>
    <w:rsid w:val="000903FF"/>
    <w:rsid w:val="00090D7F"/>
    <w:rsid w:val="00091EF4"/>
    <w:rsid w:val="000973AF"/>
    <w:rsid w:val="000A0259"/>
    <w:rsid w:val="000A42DB"/>
    <w:rsid w:val="000A4C1C"/>
    <w:rsid w:val="000A6E80"/>
    <w:rsid w:val="000B0FB0"/>
    <w:rsid w:val="000B4F6D"/>
    <w:rsid w:val="000C0E64"/>
    <w:rsid w:val="000C1E82"/>
    <w:rsid w:val="000C263D"/>
    <w:rsid w:val="000C43D9"/>
    <w:rsid w:val="000C4A35"/>
    <w:rsid w:val="000C6219"/>
    <w:rsid w:val="000C76BA"/>
    <w:rsid w:val="000D1A4F"/>
    <w:rsid w:val="000D2372"/>
    <w:rsid w:val="000D2AA9"/>
    <w:rsid w:val="000D2CB3"/>
    <w:rsid w:val="000D5D98"/>
    <w:rsid w:val="000E03F2"/>
    <w:rsid w:val="000E0EE0"/>
    <w:rsid w:val="000E2BEC"/>
    <w:rsid w:val="000E769D"/>
    <w:rsid w:val="000F33CF"/>
    <w:rsid w:val="000F6EC6"/>
    <w:rsid w:val="000F7254"/>
    <w:rsid w:val="000F7CC9"/>
    <w:rsid w:val="00100B5B"/>
    <w:rsid w:val="00100BDF"/>
    <w:rsid w:val="00102E03"/>
    <w:rsid w:val="00104188"/>
    <w:rsid w:val="0010691E"/>
    <w:rsid w:val="0010769C"/>
    <w:rsid w:val="00111058"/>
    <w:rsid w:val="00111F96"/>
    <w:rsid w:val="00112864"/>
    <w:rsid w:val="00113CC9"/>
    <w:rsid w:val="0011498E"/>
    <w:rsid w:val="00115E64"/>
    <w:rsid w:val="00116B9B"/>
    <w:rsid w:val="00120B4D"/>
    <w:rsid w:val="0012365F"/>
    <w:rsid w:val="0012397B"/>
    <w:rsid w:val="00126989"/>
    <w:rsid w:val="001312D1"/>
    <w:rsid w:val="001313DA"/>
    <w:rsid w:val="00133424"/>
    <w:rsid w:val="001356C6"/>
    <w:rsid w:val="00135BF1"/>
    <w:rsid w:val="00140391"/>
    <w:rsid w:val="00140626"/>
    <w:rsid w:val="0014138F"/>
    <w:rsid w:val="001420C3"/>
    <w:rsid w:val="00143909"/>
    <w:rsid w:val="00144732"/>
    <w:rsid w:val="00145432"/>
    <w:rsid w:val="001454B2"/>
    <w:rsid w:val="00145C72"/>
    <w:rsid w:val="00151B40"/>
    <w:rsid w:val="00151C96"/>
    <w:rsid w:val="0015279F"/>
    <w:rsid w:val="0015407C"/>
    <w:rsid w:val="00155E82"/>
    <w:rsid w:val="00156B43"/>
    <w:rsid w:val="00156CCF"/>
    <w:rsid w:val="001573E0"/>
    <w:rsid w:val="00160DB5"/>
    <w:rsid w:val="0016279B"/>
    <w:rsid w:val="00163C5C"/>
    <w:rsid w:val="00163E9A"/>
    <w:rsid w:val="001652DA"/>
    <w:rsid w:val="001668A2"/>
    <w:rsid w:val="0017157E"/>
    <w:rsid w:val="00173B00"/>
    <w:rsid w:val="00173E90"/>
    <w:rsid w:val="001748B4"/>
    <w:rsid w:val="00176508"/>
    <w:rsid w:val="00176BEB"/>
    <w:rsid w:val="0018098A"/>
    <w:rsid w:val="00181658"/>
    <w:rsid w:val="00182D75"/>
    <w:rsid w:val="001835F9"/>
    <w:rsid w:val="00183978"/>
    <w:rsid w:val="00184CFD"/>
    <w:rsid w:val="0018583F"/>
    <w:rsid w:val="001901B9"/>
    <w:rsid w:val="00190365"/>
    <w:rsid w:val="00192A5B"/>
    <w:rsid w:val="00197C95"/>
    <w:rsid w:val="00197F64"/>
    <w:rsid w:val="00197FB6"/>
    <w:rsid w:val="001A2A60"/>
    <w:rsid w:val="001A2E80"/>
    <w:rsid w:val="001A3A0D"/>
    <w:rsid w:val="001A5B3E"/>
    <w:rsid w:val="001A64FC"/>
    <w:rsid w:val="001B09E9"/>
    <w:rsid w:val="001B5DBF"/>
    <w:rsid w:val="001B6DE5"/>
    <w:rsid w:val="001B792C"/>
    <w:rsid w:val="001C1CCD"/>
    <w:rsid w:val="001C1F8E"/>
    <w:rsid w:val="001D020B"/>
    <w:rsid w:val="001D036E"/>
    <w:rsid w:val="001D141D"/>
    <w:rsid w:val="001D1AE2"/>
    <w:rsid w:val="001E080C"/>
    <w:rsid w:val="001E0F3C"/>
    <w:rsid w:val="001E11E2"/>
    <w:rsid w:val="001E1501"/>
    <w:rsid w:val="001E47EC"/>
    <w:rsid w:val="001F03BD"/>
    <w:rsid w:val="001F1B94"/>
    <w:rsid w:val="001F3D7F"/>
    <w:rsid w:val="001F44C6"/>
    <w:rsid w:val="001F544A"/>
    <w:rsid w:val="001F5D28"/>
    <w:rsid w:val="002000B0"/>
    <w:rsid w:val="00202150"/>
    <w:rsid w:val="0020299D"/>
    <w:rsid w:val="0020336A"/>
    <w:rsid w:val="00203C5F"/>
    <w:rsid w:val="002041AE"/>
    <w:rsid w:val="00211FE5"/>
    <w:rsid w:val="002137A3"/>
    <w:rsid w:val="00216020"/>
    <w:rsid w:val="00216F27"/>
    <w:rsid w:val="0022006B"/>
    <w:rsid w:val="0022187A"/>
    <w:rsid w:val="00222AF3"/>
    <w:rsid w:val="0022327E"/>
    <w:rsid w:val="00224728"/>
    <w:rsid w:val="0023320D"/>
    <w:rsid w:val="00235DCA"/>
    <w:rsid w:val="00236821"/>
    <w:rsid w:val="002405EE"/>
    <w:rsid w:val="00240B4D"/>
    <w:rsid w:val="002454D3"/>
    <w:rsid w:val="0025060D"/>
    <w:rsid w:val="00250729"/>
    <w:rsid w:val="00251130"/>
    <w:rsid w:val="0025189A"/>
    <w:rsid w:val="00253B58"/>
    <w:rsid w:val="0025404F"/>
    <w:rsid w:val="002541E2"/>
    <w:rsid w:val="0025532A"/>
    <w:rsid w:val="00255C35"/>
    <w:rsid w:val="00260240"/>
    <w:rsid w:val="0026274A"/>
    <w:rsid w:val="002639FC"/>
    <w:rsid w:val="00264495"/>
    <w:rsid w:val="00265786"/>
    <w:rsid w:val="00267DF7"/>
    <w:rsid w:val="0027571D"/>
    <w:rsid w:val="00276603"/>
    <w:rsid w:val="002778F1"/>
    <w:rsid w:val="00280364"/>
    <w:rsid w:val="00283886"/>
    <w:rsid w:val="0028547E"/>
    <w:rsid w:val="00285A1E"/>
    <w:rsid w:val="00287429"/>
    <w:rsid w:val="002901DC"/>
    <w:rsid w:val="00295CA8"/>
    <w:rsid w:val="002A1A7A"/>
    <w:rsid w:val="002A1C8F"/>
    <w:rsid w:val="002A3F45"/>
    <w:rsid w:val="002A460A"/>
    <w:rsid w:val="002A57FF"/>
    <w:rsid w:val="002A631B"/>
    <w:rsid w:val="002A666C"/>
    <w:rsid w:val="002B0D00"/>
    <w:rsid w:val="002B39EF"/>
    <w:rsid w:val="002C4199"/>
    <w:rsid w:val="002C490E"/>
    <w:rsid w:val="002C4A18"/>
    <w:rsid w:val="002D23BE"/>
    <w:rsid w:val="002D7389"/>
    <w:rsid w:val="002D79DD"/>
    <w:rsid w:val="002E2BD4"/>
    <w:rsid w:val="002E32D7"/>
    <w:rsid w:val="002E34D2"/>
    <w:rsid w:val="002E36FB"/>
    <w:rsid w:val="002E45D0"/>
    <w:rsid w:val="002E53DD"/>
    <w:rsid w:val="002E54B2"/>
    <w:rsid w:val="002E5551"/>
    <w:rsid w:val="002F3408"/>
    <w:rsid w:val="002F40DE"/>
    <w:rsid w:val="002F63B7"/>
    <w:rsid w:val="002F6C98"/>
    <w:rsid w:val="002F707E"/>
    <w:rsid w:val="003037C7"/>
    <w:rsid w:val="003061C8"/>
    <w:rsid w:val="003065FF"/>
    <w:rsid w:val="003103FA"/>
    <w:rsid w:val="00310BBF"/>
    <w:rsid w:val="00312176"/>
    <w:rsid w:val="00315ADA"/>
    <w:rsid w:val="003204FB"/>
    <w:rsid w:val="003218EC"/>
    <w:rsid w:val="00321947"/>
    <w:rsid w:val="00321A77"/>
    <w:rsid w:val="00321C05"/>
    <w:rsid w:val="00321C32"/>
    <w:rsid w:val="00322595"/>
    <w:rsid w:val="0032434C"/>
    <w:rsid w:val="003253F8"/>
    <w:rsid w:val="003274A2"/>
    <w:rsid w:val="00330597"/>
    <w:rsid w:val="00333076"/>
    <w:rsid w:val="00334D0B"/>
    <w:rsid w:val="00335DB9"/>
    <w:rsid w:val="003372F6"/>
    <w:rsid w:val="00341A00"/>
    <w:rsid w:val="0034462C"/>
    <w:rsid w:val="00345C6A"/>
    <w:rsid w:val="00345DE6"/>
    <w:rsid w:val="003477D9"/>
    <w:rsid w:val="00354052"/>
    <w:rsid w:val="00354597"/>
    <w:rsid w:val="003554F1"/>
    <w:rsid w:val="0035687A"/>
    <w:rsid w:val="00360E56"/>
    <w:rsid w:val="00361D13"/>
    <w:rsid w:val="00362AF9"/>
    <w:rsid w:val="0036301F"/>
    <w:rsid w:val="00363BAF"/>
    <w:rsid w:val="00364C13"/>
    <w:rsid w:val="00365248"/>
    <w:rsid w:val="00365D7B"/>
    <w:rsid w:val="003710CB"/>
    <w:rsid w:val="00371146"/>
    <w:rsid w:val="003740F3"/>
    <w:rsid w:val="00381D6D"/>
    <w:rsid w:val="0038483A"/>
    <w:rsid w:val="0038499C"/>
    <w:rsid w:val="00385407"/>
    <w:rsid w:val="00385C52"/>
    <w:rsid w:val="00385CB7"/>
    <w:rsid w:val="00393529"/>
    <w:rsid w:val="003A2B94"/>
    <w:rsid w:val="003A448F"/>
    <w:rsid w:val="003A453C"/>
    <w:rsid w:val="003A5317"/>
    <w:rsid w:val="003A7920"/>
    <w:rsid w:val="003B0F84"/>
    <w:rsid w:val="003C10C5"/>
    <w:rsid w:val="003C27EF"/>
    <w:rsid w:val="003C3DF8"/>
    <w:rsid w:val="003C4611"/>
    <w:rsid w:val="003C50CE"/>
    <w:rsid w:val="003C7E89"/>
    <w:rsid w:val="003D26CC"/>
    <w:rsid w:val="003D3424"/>
    <w:rsid w:val="003E07D8"/>
    <w:rsid w:val="003E0E4B"/>
    <w:rsid w:val="003E3E4C"/>
    <w:rsid w:val="003E4666"/>
    <w:rsid w:val="003E5B10"/>
    <w:rsid w:val="003E5F73"/>
    <w:rsid w:val="003E7B23"/>
    <w:rsid w:val="003E7D9C"/>
    <w:rsid w:val="003F1F53"/>
    <w:rsid w:val="003F1FE8"/>
    <w:rsid w:val="003F3A4D"/>
    <w:rsid w:val="003F5E2A"/>
    <w:rsid w:val="003F6BD3"/>
    <w:rsid w:val="00400746"/>
    <w:rsid w:val="00404694"/>
    <w:rsid w:val="00406399"/>
    <w:rsid w:val="00412422"/>
    <w:rsid w:val="00412908"/>
    <w:rsid w:val="00414208"/>
    <w:rsid w:val="00414F25"/>
    <w:rsid w:val="004219FD"/>
    <w:rsid w:val="00424051"/>
    <w:rsid w:val="00424470"/>
    <w:rsid w:val="00424D64"/>
    <w:rsid w:val="00425A2F"/>
    <w:rsid w:val="00427608"/>
    <w:rsid w:val="0043011D"/>
    <w:rsid w:val="004309DD"/>
    <w:rsid w:val="00433724"/>
    <w:rsid w:val="004339E4"/>
    <w:rsid w:val="00434DE7"/>
    <w:rsid w:val="00435371"/>
    <w:rsid w:val="0043568D"/>
    <w:rsid w:val="004374F2"/>
    <w:rsid w:val="00437957"/>
    <w:rsid w:val="004409C1"/>
    <w:rsid w:val="0044419D"/>
    <w:rsid w:val="0044620E"/>
    <w:rsid w:val="004462DB"/>
    <w:rsid w:val="00451EEB"/>
    <w:rsid w:val="00452352"/>
    <w:rsid w:val="0045244C"/>
    <w:rsid w:val="00455CE6"/>
    <w:rsid w:val="00460181"/>
    <w:rsid w:val="004627FD"/>
    <w:rsid w:val="0046338B"/>
    <w:rsid w:val="00466022"/>
    <w:rsid w:val="004661F4"/>
    <w:rsid w:val="00470389"/>
    <w:rsid w:val="004718D7"/>
    <w:rsid w:val="00471DC9"/>
    <w:rsid w:val="0047343A"/>
    <w:rsid w:val="004738B2"/>
    <w:rsid w:val="0047530F"/>
    <w:rsid w:val="00477034"/>
    <w:rsid w:val="0048087D"/>
    <w:rsid w:val="00480E85"/>
    <w:rsid w:val="004812F5"/>
    <w:rsid w:val="0048144C"/>
    <w:rsid w:val="00482412"/>
    <w:rsid w:val="00483C22"/>
    <w:rsid w:val="00484AC5"/>
    <w:rsid w:val="0048545E"/>
    <w:rsid w:val="00487D20"/>
    <w:rsid w:val="00492933"/>
    <w:rsid w:val="004934DE"/>
    <w:rsid w:val="00494D06"/>
    <w:rsid w:val="004965EF"/>
    <w:rsid w:val="004A1195"/>
    <w:rsid w:val="004A1628"/>
    <w:rsid w:val="004A1E16"/>
    <w:rsid w:val="004A2C2C"/>
    <w:rsid w:val="004A30F5"/>
    <w:rsid w:val="004A5014"/>
    <w:rsid w:val="004A60EA"/>
    <w:rsid w:val="004A620C"/>
    <w:rsid w:val="004A6443"/>
    <w:rsid w:val="004B10BC"/>
    <w:rsid w:val="004B1C7D"/>
    <w:rsid w:val="004B2FD8"/>
    <w:rsid w:val="004B3A57"/>
    <w:rsid w:val="004B5E1B"/>
    <w:rsid w:val="004B6B48"/>
    <w:rsid w:val="004B6C80"/>
    <w:rsid w:val="004B7369"/>
    <w:rsid w:val="004C0ADC"/>
    <w:rsid w:val="004C1281"/>
    <w:rsid w:val="004C1881"/>
    <w:rsid w:val="004C1990"/>
    <w:rsid w:val="004C30AE"/>
    <w:rsid w:val="004C4A24"/>
    <w:rsid w:val="004C75F0"/>
    <w:rsid w:val="004D0159"/>
    <w:rsid w:val="004D113E"/>
    <w:rsid w:val="004D19EA"/>
    <w:rsid w:val="004D321B"/>
    <w:rsid w:val="004D3FAD"/>
    <w:rsid w:val="004D4ED8"/>
    <w:rsid w:val="004D6E39"/>
    <w:rsid w:val="004E03E3"/>
    <w:rsid w:val="004E0961"/>
    <w:rsid w:val="004E2066"/>
    <w:rsid w:val="004E46ED"/>
    <w:rsid w:val="004E4BD5"/>
    <w:rsid w:val="004E5C0E"/>
    <w:rsid w:val="004E6DFF"/>
    <w:rsid w:val="004E7C75"/>
    <w:rsid w:val="004F19F8"/>
    <w:rsid w:val="004F2267"/>
    <w:rsid w:val="004F275F"/>
    <w:rsid w:val="004F2AF2"/>
    <w:rsid w:val="00501A45"/>
    <w:rsid w:val="005043AA"/>
    <w:rsid w:val="00504F54"/>
    <w:rsid w:val="005050F6"/>
    <w:rsid w:val="0050582A"/>
    <w:rsid w:val="005058CE"/>
    <w:rsid w:val="00505C96"/>
    <w:rsid w:val="005109BC"/>
    <w:rsid w:val="00511449"/>
    <w:rsid w:val="00513A71"/>
    <w:rsid w:val="00513AF5"/>
    <w:rsid w:val="00513BEA"/>
    <w:rsid w:val="0051500A"/>
    <w:rsid w:val="00515928"/>
    <w:rsid w:val="005174FC"/>
    <w:rsid w:val="005177FE"/>
    <w:rsid w:val="00521276"/>
    <w:rsid w:val="0052188A"/>
    <w:rsid w:val="00521B44"/>
    <w:rsid w:val="005243E7"/>
    <w:rsid w:val="00525243"/>
    <w:rsid w:val="005255C6"/>
    <w:rsid w:val="00525961"/>
    <w:rsid w:val="00526B9A"/>
    <w:rsid w:val="00527C09"/>
    <w:rsid w:val="005318FE"/>
    <w:rsid w:val="005332CF"/>
    <w:rsid w:val="0053381E"/>
    <w:rsid w:val="00534411"/>
    <w:rsid w:val="0053597F"/>
    <w:rsid w:val="00537D4D"/>
    <w:rsid w:val="00540650"/>
    <w:rsid w:val="0054092C"/>
    <w:rsid w:val="00542CBA"/>
    <w:rsid w:val="0054484F"/>
    <w:rsid w:val="00545EB5"/>
    <w:rsid w:val="005463EB"/>
    <w:rsid w:val="00546428"/>
    <w:rsid w:val="00551569"/>
    <w:rsid w:val="005521F0"/>
    <w:rsid w:val="00555755"/>
    <w:rsid w:val="00555F44"/>
    <w:rsid w:val="00562B25"/>
    <w:rsid w:val="00563A6D"/>
    <w:rsid w:val="0056678A"/>
    <w:rsid w:val="00567102"/>
    <w:rsid w:val="00567147"/>
    <w:rsid w:val="0056789C"/>
    <w:rsid w:val="00572A22"/>
    <w:rsid w:val="00572CC9"/>
    <w:rsid w:val="00573679"/>
    <w:rsid w:val="0057430E"/>
    <w:rsid w:val="0057483B"/>
    <w:rsid w:val="0057675A"/>
    <w:rsid w:val="005773AB"/>
    <w:rsid w:val="005777D2"/>
    <w:rsid w:val="00577C08"/>
    <w:rsid w:val="0058008C"/>
    <w:rsid w:val="005810A1"/>
    <w:rsid w:val="005832EF"/>
    <w:rsid w:val="005856F9"/>
    <w:rsid w:val="00585707"/>
    <w:rsid w:val="00591A1C"/>
    <w:rsid w:val="005941E2"/>
    <w:rsid w:val="0059442E"/>
    <w:rsid w:val="00594B01"/>
    <w:rsid w:val="005976E1"/>
    <w:rsid w:val="005A00D9"/>
    <w:rsid w:val="005A05CC"/>
    <w:rsid w:val="005A2242"/>
    <w:rsid w:val="005A2469"/>
    <w:rsid w:val="005A3793"/>
    <w:rsid w:val="005A5D48"/>
    <w:rsid w:val="005A5EE5"/>
    <w:rsid w:val="005A67DF"/>
    <w:rsid w:val="005A7824"/>
    <w:rsid w:val="005B20F4"/>
    <w:rsid w:val="005B2294"/>
    <w:rsid w:val="005B31ED"/>
    <w:rsid w:val="005B4B5B"/>
    <w:rsid w:val="005B5A93"/>
    <w:rsid w:val="005C2B94"/>
    <w:rsid w:val="005C306D"/>
    <w:rsid w:val="005C6598"/>
    <w:rsid w:val="005C6F50"/>
    <w:rsid w:val="005D1A59"/>
    <w:rsid w:val="005D71B3"/>
    <w:rsid w:val="005D78AD"/>
    <w:rsid w:val="005E1311"/>
    <w:rsid w:val="005E1D38"/>
    <w:rsid w:val="005E2AD9"/>
    <w:rsid w:val="005E50FC"/>
    <w:rsid w:val="005F7266"/>
    <w:rsid w:val="00600809"/>
    <w:rsid w:val="00600A42"/>
    <w:rsid w:val="00604BA7"/>
    <w:rsid w:val="0060538B"/>
    <w:rsid w:val="00611D87"/>
    <w:rsid w:val="00612B67"/>
    <w:rsid w:val="00613310"/>
    <w:rsid w:val="00614BF8"/>
    <w:rsid w:val="00615D8F"/>
    <w:rsid w:val="006168D5"/>
    <w:rsid w:val="00622247"/>
    <w:rsid w:val="006231E0"/>
    <w:rsid w:val="00623D89"/>
    <w:rsid w:val="00623E80"/>
    <w:rsid w:val="00625D5F"/>
    <w:rsid w:val="0062665F"/>
    <w:rsid w:val="006305A1"/>
    <w:rsid w:val="006338C3"/>
    <w:rsid w:val="00635026"/>
    <w:rsid w:val="00636190"/>
    <w:rsid w:val="00636E66"/>
    <w:rsid w:val="00640888"/>
    <w:rsid w:val="00651BE6"/>
    <w:rsid w:val="00652308"/>
    <w:rsid w:val="0065289A"/>
    <w:rsid w:val="00654965"/>
    <w:rsid w:val="00654F37"/>
    <w:rsid w:val="0065608A"/>
    <w:rsid w:val="006569CC"/>
    <w:rsid w:val="0065719D"/>
    <w:rsid w:val="00660139"/>
    <w:rsid w:val="00660F27"/>
    <w:rsid w:val="0066361A"/>
    <w:rsid w:val="0066420F"/>
    <w:rsid w:val="0066577D"/>
    <w:rsid w:val="00666F34"/>
    <w:rsid w:val="00667A45"/>
    <w:rsid w:val="00671645"/>
    <w:rsid w:val="00673293"/>
    <w:rsid w:val="00691339"/>
    <w:rsid w:val="00691B92"/>
    <w:rsid w:val="00693640"/>
    <w:rsid w:val="00695CE1"/>
    <w:rsid w:val="006A0F8A"/>
    <w:rsid w:val="006A7EE4"/>
    <w:rsid w:val="006B5E92"/>
    <w:rsid w:val="006C02CF"/>
    <w:rsid w:val="006C0A06"/>
    <w:rsid w:val="006C0CC9"/>
    <w:rsid w:val="006C21A0"/>
    <w:rsid w:val="006C3583"/>
    <w:rsid w:val="006C3F93"/>
    <w:rsid w:val="006C4F83"/>
    <w:rsid w:val="006C7A19"/>
    <w:rsid w:val="006D05C5"/>
    <w:rsid w:val="006D06AC"/>
    <w:rsid w:val="006D39D3"/>
    <w:rsid w:val="006E3190"/>
    <w:rsid w:val="006E3477"/>
    <w:rsid w:val="006E3912"/>
    <w:rsid w:val="006E3DE2"/>
    <w:rsid w:val="006E573A"/>
    <w:rsid w:val="006F04FB"/>
    <w:rsid w:val="006F10C5"/>
    <w:rsid w:val="006F1968"/>
    <w:rsid w:val="006F2E0B"/>
    <w:rsid w:val="006F4483"/>
    <w:rsid w:val="006F724D"/>
    <w:rsid w:val="006F754D"/>
    <w:rsid w:val="007004D0"/>
    <w:rsid w:val="0070061C"/>
    <w:rsid w:val="007037E4"/>
    <w:rsid w:val="007043E4"/>
    <w:rsid w:val="007056A2"/>
    <w:rsid w:val="007071AD"/>
    <w:rsid w:val="00710422"/>
    <w:rsid w:val="00710579"/>
    <w:rsid w:val="00710B56"/>
    <w:rsid w:val="00712103"/>
    <w:rsid w:val="00712DE4"/>
    <w:rsid w:val="007147B9"/>
    <w:rsid w:val="007147BB"/>
    <w:rsid w:val="007165B0"/>
    <w:rsid w:val="00716E85"/>
    <w:rsid w:val="00716F23"/>
    <w:rsid w:val="00722B66"/>
    <w:rsid w:val="00723801"/>
    <w:rsid w:val="00724B22"/>
    <w:rsid w:val="00730903"/>
    <w:rsid w:val="00730AFD"/>
    <w:rsid w:val="00733E74"/>
    <w:rsid w:val="0073426B"/>
    <w:rsid w:val="00735156"/>
    <w:rsid w:val="007415A5"/>
    <w:rsid w:val="00744E52"/>
    <w:rsid w:val="007468A0"/>
    <w:rsid w:val="00750FB2"/>
    <w:rsid w:val="0075238E"/>
    <w:rsid w:val="007528CF"/>
    <w:rsid w:val="00752F1A"/>
    <w:rsid w:val="00753485"/>
    <w:rsid w:val="00753B65"/>
    <w:rsid w:val="007548B9"/>
    <w:rsid w:val="00754FE4"/>
    <w:rsid w:val="0075623C"/>
    <w:rsid w:val="007565F2"/>
    <w:rsid w:val="00756CDB"/>
    <w:rsid w:val="007575A4"/>
    <w:rsid w:val="0076171C"/>
    <w:rsid w:val="00762E47"/>
    <w:rsid w:val="00763BB5"/>
    <w:rsid w:val="0076475D"/>
    <w:rsid w:val="007659C2"/>
    <w:rsid w:val="00766B1D"/>
    <w:rsid w:val="00767709"/>
    <w:rsid w:val="0076772C"/>
    <w:rsid w:val="00771E3E"/>
    <w:rsid w:val="00772644"/>
    <w:rsid w:val="00772B55"/>
    <w:rsid w:val="00772C3D"/>
    <w:rsid w:val="0077439A"/>
    <w:rsid w:val="00780557"/>
    <w:rsid w:val="0078085E"/>
    <w:rsid w:val="00780C3F"/>
    <w:rsid w:val="007829B5"/>
    <w:rsid w:val="00783403"/>
    <w:rsid w:val="00784223"/>
    <w:rsid w:val="0078449D"/>
    <w:rsid w:val="00784988"/>
    <w:rsid w:val="007856F7"/>
    <w:rsid w:val="007875FE"/>
    <w:rsid w:val="00787705"/>
    <w:rsid w:val="00787909"/>
    <w:rsid w:val="0079281F"/>
    <w:rsid w:val="007A0330"/>
    <w:rsid w:val="007A045A"/>
    <w:rsid w:val="007A0963"/>
    <w:rsid w:val="007A0B0E"/>
    <w:rsid w:val="007A4101"/>
    <w:rsid w:val="007A62AF"/>
    <w:rsid w:val="007A646A"/>
    <w:rsid w:val="007A7783"/>
    <w:rsid w:val="007B176A"/>
    <w:rsid w:val="007B1D5D"/>
    <w:rsid w:val="007B1DB6"/>
    <w:rsid w:val="007B1F3B"/>
    <w:rsid w:val="007B404A"/>
    <w:rsid w:val="007B5C2B"/>
    <w:rsid w:val="007B60CD"/>
    <w:rsid w:val="007B715A"/>
    <w:rsid w:val="007C0461"/>
    <w:rsid w:val="007C0EC6"/>
    <w:rsid w:val="007C1005"/>
    <w:rsid w:val="007C1D00"/>
    <w:rsid w:val="007C3AAD"/>
    <w:rsid w:val="007C5B82"/>
    <w:rsid w:val="007D28D6"/>
    <w:rsid w:val="007D2D30"/>
    <w:rsid w:val="007D52E0"/>
    <w:rsid w:val="007E5E60"/>
    <w:rsid w:val="007E6D24"/>
    <w:rsid w:val="007E723F"/>
    <w:rsid w:val="007F0789"/>
    <w:rsid w:val="007F3274"/>
    <w:rsid w:val="007F4275"/>
    <w:rsid w:val="007F57FE"/>
    <w:rsid w:val="007F61B7"/>
    <w:rsid w:val="008048A7"/>
    <w:rsid w:val="008058A8"/>
    <w:rsid w:val="00810859"/>
    <w:rsid w:val="00810AE4"/>
    <w:rsid w:val="008118A0"/>
    <w:rsid w:val="00811FBA"/>
    <w:rsid w:val="00816372"/>
    <w:rsid w:val="00820F76"/>
    <w:rsid w:val="0083025A"/>
    <w:rsid w:val="008306C7"/>
    <w:rsid w:val="00832FFD"/>
    <w:rsid w:val="00833C40"/>
    <w:rsid w:val="00837DBB"/>
    <w:rsid w:val="008419E6"/>
    <w:rsid w:val="00842B9D"/>
    <w:rsid w:val="00847435"/>
    <w:rsid w:val="00847F78"/>
    <w:rsid w:val="00853FE6"/>
    <w:rsid w:val="0085497D"/>
    <w:rsid w:val="008553A0"/>
    <w:rsid w:val="00855E95"/>
    <w:rsid w:val="00857003"/>
    <w:rsid w:val="00857BFD"/>
    <w:rsid w:val="00861295"/>
    <w:rsid w:val="008628D7"/>
    <w:rsid w:val="00865049"/>
    <w:rsid w:val="008656D1"/>
    <w:rsid w:val="0086599E"/>
    <w:rsid w:val="008659BC"/>
    <w:rsid w:val="00865C6D"/>
    <w:rsid w:val="00866241"/>
    <w:rsid w:val="00866D2D"/>
    <w:rsid w:val="00872119"/>
    <w:rsid w:val="008737AB"/>
    <w:rsid w:val="008737DF"/>
    <w:rsid w:val="00875678"/>
    <w:rsid w:val="008770CD"/>
    <w:rsid w:val="00880D57"/>
    <w:rsid w:val="0088225C"/>
    <w:rsid w:val="0088291C"/>
    <w:rsid w:val="00882BB8"/>
    <w:rsid w:val="00883613"/>
    <w:rsid w:val="00883EE6"/>
    <w:rsid w:val="00884A60"/>
    <w:rsid w:val="00885828"/>
    <w:rsid w:val="008907C2"/>
    <w:rsid w:val="00890F32"/>
    <w:rsid w:val="00894B08"/>
    <w:rsid w:val="00895E94"/>
    <w:rsid w:val="00895F81"/>
    <w:rsid w:val="00896302"/>
    <w:rsid w:val="00896847"/>
    <w:rsid w:val="00897387"/>
    <w:rsid w:val="008A1A52"/>
    <w:rsid w:val="008A2880"/>
    <w:rsid w:val="008A36F4"/>
    <w:rsid w:val="008A68B7"/>
    <w:rsid w:val="008B14FC"/>
    <w:rsid w:val="008B1F68"/>
    <w:rsid w:val="008B2137"/>
    <w:rsid w:val="008B2C3C"/>
    <w:rsid w:val="008B4989"/>
    <w:rsid w:val="008B69D7"/>
    <w:rsid w:val="008C0228"/>
    <w:rsid w:val="008C1609"/>
    <w:rsid w:val="008C31ED"/>
    <w:rsid w:val="008C3430"/>
    <w:rsid w:val="008C3BBA"/>
    <w:rsid w:val="008D03CB"/>
    <w:rsid w:val="008D10A4"/>
    <w:rsid w:val="008D1299"/>
    <w:rsid w:val="008D24C2"/>
    <w:rsid w:val="008D2F13"/>
    <w:rsid w:val="008D5690"/>
    <w:rsid w:val="008E5F48"/>
    <w:rsid w:val="008E6B3C"/>
    <w:rsid w:val="008E7B88"/>
    <w:rsid w:val="008F0B11"/>
    <w:rsid w:val="008F22F3"/>
    <w:rsid w:val="008F34EA"/>
    <w:rsid w:val="008F3EE1"/>
    <w:rsid w:val="008F6058"/>
    <w:rsid w:val="009003FD"/>
    <w:rsid w:val="00900694"/>
    <w:rsid w:val="00900F92"/>
    <w:rsid w:val="00902A65"/>
    <w:rsid w:val="00904AF6"/>
    <w:rsid w:val="00904ECF"/>
    <w:rsid w:val="00905322"/>
    <w:rsid w:val="00905337"/>
    <w:rsid w:val="009068BE"/>
    <w:rsid w:val="00911BEB"/>
    <w:rsid w:val="0091208D"/>
    <w:rsid w:val="00912D73"/>
    <w:rsid w:val="0092153B"/>
    <w:rsid w:val="009236A7"/>
    <w:rsid w:val="009256D6"/>
    <w:rsid w:val="009267DF"/>
    <w:rsid w:val="00926DC8"/>
    <w:rsid w:val="00927DD8"/>
    <w:rsid w:val="00930DCB"/>
    <w:rsid w:val="009346F1"/>
    <w:rsid w:val="00936E62"/>
    <w:rsid w:val="00937CB0"/>
    <w:rsid w:val="00940E9C"/>
    <w:rsid w:val="0094290A"/>
    <w:rsid w:val="00943CCC"/>
    <w:rsid w:val="009451B3"/>
    <w:rsid w:val="009453F9"/>
    <w:rsid w:val="00945BD1"/>
    <w:rsid w:val="00947636"/>
    <w:rsid w:val="00950BD1"/>
    <w:rsid w:val="009516F4"/>
    <w:rsid w:val="009521AD"/>
    <w:rsid w:val="00952323"/>
    <w:rsid w:val="009525E7"/>
    <w:rsid w:val="00953585"/>
    <w:rsid w:val="00955487"/>
    <w:rsid w:val="00957E88"/>
    <w:rsid w:val="00960067"/>
    <w:rsid w:val="009626B6"/>
    <w:rsid w:val="009633AB"/>
    <w:rsid w:val="009641B5"/>
    <w:rsid w:val="009656A8"/>
    <w:rsid w:val="009710FF"/>
    <w:rsid w:val="00971F3E"/>
    <w:rsid w:val="00973FA5"/>
    <w:rsid w:val="00974045"/>
    <w:rsid w:val="00974860"/>
    <w:rsid w:val="009755EA"/>
    <w:rsid w:val="009800C3"/>
    <w:rsid w:val="009835E1"/>
    <w:rsid w:val="009852EC"/>
    <w:rsid w:val="00986B5D"/>
    <w:rsid w:val="00987C0B"/>
    <w:rsid w:val="00987E4B"/>
    <w:rsid w:val="00995FAE"/>
    <w:rsid w:val="0099662A"/>
    <w:rsid w:val="009A1B7E"/>
    <w:rsid w:val="009A305B"/>
    <w:rsid w:val="009A3142"/>
    <w:rsid w:val="009A4810"/>
    <w:rsid w:val="009A6679"/>
    <w:rsid w:val="009A6E16"/>
    <w:rsid w:val="009A754C"/>
    <w:rsid w:val="009A7F47"/>
    <w:rsid w:val="009B1790"/>
    <w:rsid w:val="009B2FDC"/>
    <w:rsid w:val="009B3D70"/>
    <w:rsid w:val="009B5365"/>
    <w:rsid w:val="009B72C6"/>
    <w:rsid w:val="009C1364"/>
    <w:rsid w:val="009C247F"/>
    <w:rsid w:val="009C39EA"/>
    <w:rsid w:val="009C52AF"/>
    <w:rsid w:val="009C7782"/>
    <w:rsid w:val="009D1210"/>
    <w:rsid w:val="009D1B7F"/>
    <w:rsid w:val="009D2CAD"/>
    <w:rsid w:val="009D470B"/>
    <w:rsid w:val="009D5983"/>
    <w:rsid w:val="009D7EAD"/>
    <w:rsid w:val="009E007C"/>
    <w:rsid w:val="009E028C"/>
    <w:rsid w:val="009E03CA"/>
    <w:rsid w:val="009E07D5"/>
    <w:rsid w:val="009E32D2"/>
    <w:rsid w:val="009E3C12"/>
    <w:rsid w:val="009E45B5"/>
    <w:rsid w:val="009E514F"/>
    <w:rsid w:val="009E53B4"/>
    <w:rsid w:val="009E6A51"/>
    <w:rsid w:val="009F01D2"/>
    <w:rsid w:val="009F19A6"/>
    <w:rsid w:val="009F4385"/>
    <w:rsid w:val="009F4A72"/>
    <w:rsid w:val="009F5F8B"/>
    <w:rsid w:val="009F6345"/>
    <w:rsid w:val="00A02706"/>
    <w:rsid w:val="00A0663A"/>
    <w:rsid w:val="00A13330"/>
    <w:rsid w:val="00A14211"/>
    <w:rsid w:val="00A16377"/>
    <w:rsid w:val="00A16BEE"/>
    <w:rsid w:val="00A1761B"/>
    <w:rsid w:val="00A20D61"/>
    <w:rsid w:val="00A22CCC"/>
    <w:rsid w:val="00A2486A"/>
    <w:rsid w:val="00A2687D"/>
    <w:rsid w:val="00A26969"/>
    <w:rsid w:val="00A26E12"/>
    <w:rsid w:val="00A27880"/>
    <w:rsid w:val="00A279C4"/>
    <w:rsid w:val="00A30B10"/>
    <w:rsid w:val="00A31658"/>
    <w:rsid w:val="00A34186"/>
    <w:rsid w:val="00A3447A"/>
    <w:rsid w:val="00A3504D"/>
    <w:rsid w:val="00A352AE"/>
    <w:rsid w:val="00A35B3B"/>
    <w:rsid w:val="00A37B2F"/>
    <w:rsid w:val="00A404B6"/>
    <w:rsid w:val="00A414D6"/>
    <w:rsid w:val="00A418B4"/>
    <w:rsid w:val="00A426C9"/>
    <w:rsid w:val="00A43799"/>
    <w:rsid w:val="00A44789"/>
    <w:rsid w:val="00A448FF"/>
    <w:rsid w:val="00A4671C"/>
    <w:rsid w:val="00A523D3"/>
    <w:rsid w:val="00A54801"/>
    <w:rsid w:val="00A552FF"/>
    <w:rsid w:val="00A55A65"/>
    <w:rsid w:val="00A561C0"/>
    <w:rsid w:val="00A57B93"/>
    <w:rsid w:val="00A610D7"/>
    <w:rsid w:val="00A639C3"/>
    <w:rsid w:val="00A64117"/>
    <w:rsid w:val="00A64BF1"/>
    <w:rsid w:val="00A6519E"/>
    <w:rsid w:val="00A66F14"/>
    <w:rsid w:val="00A6755C"/>
    <w:rsid w:val="00A73513"/>
    <w:rsid w:val="00A74C45"/>
    <w:rsid w:val="00A74C8B"/>
    <w:rsid w:val="00A75D1B"/>
    <w:rsid w:val="00A76D38"/>
    <w:rsid w:val="00A863F7"/>
    <w:rsid w:val="00A87E62"/>
    <w:rsid w:val="00A90000"/>
    <w:rsid w:val="00A92E29"/>
    <w:rsid w:val="00A94151"/>
    <w:rsid w:val="00A9523B"/>
    <w:rsid w:val="00A96246"/>
    <w:rsid w:val="00A96F62"/>
    <w:rsid w:val="00AA00D3"/>
    <w:rsid w:val="00AA19A1"/>
    <w:rsid w:val="00AA3229"/>
    <w:rsid w:val="00AA395B"/>
    <w:rsid w:val="00AA7291"/>
    <w:rsid w:val="00AA774C"/>
    <w:rsid w:val="00AA7C12"/>
    <w:rsid w:val="00AB08AF"/>
    <w:rsid w:val="00AB1E1D"/>
    <w:rsid w:val="00AB26FA"/>
    <w:rsid w:val="00AB27B3"/>
    <w:rsid w:val="00AB35C6"/>
    <w:rsid w:val="00AB3DFF"/>
    <w:rsid w:val="00AB5B1B"/>
    <w:rsid w:val="00AC427F"/>
    <w:rsid w:val="00AC4737"/>
    <w:rsid w:val="00AC5E31"/>
    <w:rsid w:val="00AC710C"/>
    <w:rsid w:val="00AD1126"/>
    <w:rsid w:val="00AD1512"/>
    <w:rsid w:val="00AD4127"/>
    <w:rsid w:val="00AD46B9"/>
    <w:rsid w:val="00AD53B5"/>
    <w:rsid w:val="00AD5535"/>
    <w:rsid w:val="00AD59A8"/>
    <w:rsid w:val="00AD7303"/>
    <w:rsid w:val="00AE2C0D"/>
    <w:rsid w:val="00AE2E91"/>
    <w:rsid w:val="00AE7093"/>
    <w:rsid w:val="00AF10DB"/>
    <w:rsid w:val="00AF587E"/>
    <w:rsid w:val="00AF7956"/>
    <w:rsid w:val="00B00612"/>
    <w:rsid w:val="00B01666"/>
    <w:rsid w:val="00B03669"/>
    <w:rsid w:val="00B0452A"/>
    <w:rsid w:val="00B0677A"/>
    <w:rsid w:val="00B12EA6"/>
    <w:rsid w:val="00B15082"/>
    <w:rsid w:val="00B15511"/>
    <w:rsid w:val="00B15F2F"/>
    <w:rsid w:val="00B22384"/>
    <w:rsid w:val="00B2316E"/>
    <w:rsid w:val="00B23CF6"/>
    <w:rsid w:val="00B259EA"/>
    <w:rsid w:val="00B2760A"/>
    <w:rsid w:val="00B27C6E"/>
    <w:rsid w:val="00B30067"/>
    <w:rsid w:val="00B378C2"/>
    <w:rsid w:val="00B40399"/>
    <w:rsid w:val="00B40D5D"/>
    <w:rsid w:val="00B4377B"/>
    <w:rsid w:val="00B439FC"/>
    <w:rsid w:val="00B45111"/>
    <w:rsid w:val="00B465FB"/>
    <w:rsid w:val="00B5260C"/>
    <w:rsid w:val="00B52A32"/>
    <w:rsid w:val="00B54D50"/>
    <w:rsid w:val="00B5599F"/>
    <w:rsid w:val="00B56B71"/>
    <w:rsid w:val="00B60E48"/>
    <w:rsid w:val="00B61E8C"/>
    <w:rsid w:val="00B62B6A"/>
    <w:rsid w:val="00B73775"/>
    <w:rsid w:val="00B760C8"/>
    <w:rsid w:val="00B80263"/>
    <w:rsid w:val="00B8088B"/>
    <w:rsid w:val="00B81500"/>
    <w:rsid w:val="00B81A62"/>
    <w:rsid w:val="00B83721"/>
    <w:rsid w:val="00B83F0B"/>
    <w:rsid w:val="00B85419"/>
    <w:rsid w:val="00B85D6B"/>
    <w:rsid w:val="00B87E29"/>
    <w:rsid w:val="00B94B08"/>
    <w:rsid w:val="00B95962"/>
    <w:rsid w:val="00BA035B"/>
    <w:rsid w:val="00BA2EC8"/>
    <w:rsid w:val="00BA4E59"/>
    <w:rsid w:val="00BB0407"/>
    <w:rsid w:val="00BB2651"/>
    <w:rsid w:val="00BB3851"/>
    <w:rsid w:val="00BB3E42"/>
    <w:rsid w:val="00BB4118"/>
    <w:rsid w:val="00BB44E7"/>
    <w:rsid w:val="00BB574C"/>
    <w:rsid w:val="00BB5C24"/>
    <w:rsid w:val="00BB5C62"/>
    <w:rsid w:val="00BB7C23"/>
    <w:rsid w:val="00BC04E7"/>
    <w:rsid w:val="00BC1CFB"/>
    <w:rsid w:val="00BC2268"/>
    <w:rsid w:val="00BC3F45"/>
    <w:rsid w:val="00BC4F85"/>
    <w:rsid w:val="00BC5AAE"/>
    <w:rsid w:val="00BC7FDB"/>
    <w:rsid w:val="00BD0CC2"/>
    <w:rsid w:val="00BD4555"/>
    <w:rsid w:val="00BE0441"/>
    <w:rsid w:val="00BE19B4"/>
    <w:rsid w:val="00BE1FC2"/>
    <w:rsid w:val="00BE5BCE"/>
    <w:rsid w:val="00BE75BB"/>
    <w:rsid w:val="00BF3075"/>
    <w:rsid w:val="00BF374E"/>
    <w:rsid w:val="00BF7794"/>
    <w:rsid w:val="00C00CF2"/>
    <w:rsid w:val="00C0139E"/>
    <w:rsid w:val="00C0211C"/>
    <w:rsid w:val="00C0321D"/>
    <w:rsid w:val="00C03F46"/>
    <w:rsid w:val="00C04561"/>
    <w:rsid w:val="00C06EEE"/>
    <w:rsid w:val="00C072A3"/>
    <w:rsid w:val="00C12C97"/>
    <w:rsid w:val="00C14575"/>
    <w:rsid w:val="00C155F7"/>
    <w:rsid w:val="00C1565A"/>
    <w:rsid w:val="00C17503"/>
    <w:rsid w:val="00C178E7"/>
    <w:rsid w:val="00C204F4"/>
    <w:rsid w:val="00C20E92"/>
    <w:rsid w:val="00C21A00"/>
    <w:rsid w:val="00C21A51"/>
    <w:rsid w:val="00C21ECB"/>
    <w:rsid w:val="00C22453"/>
    <w:rsid w:val="00C247FE"/>
    <w:rsid w:val="00C248EC"/>
    <w:rsid w:val="00C2572A"/>
    <w:rsid w:val="00C348D8"/>
    <w:rsid w:val="00C36375"/>
    <w:rsid w:val="00C37046"/>
    <w:rsid w:val="00C40366"/>
    <w:rsid w:val="00C416B4"/>
    <w:rsid w:val="00C42475"/>
    <w:rsid w:val="00C4296A"/>
    <w:rsid w:val="00C42F5F"/>
    <w:rsid w:val="00C44919"/>
    <w:rsid w:val="00C460F7"/>
    <w:rsid w:val="00C47D06"/>
    <w:rsid w:val="00C51CEC"/>
    <w:rsid w:val="00C52188"/>
    <w:rsid w:val="00C52308"/>
    <w:rsid w:val="00C55534"/>
    <w:rsid w:val="00C57D93"/>
    <w:rsid w:val="00C611EB"/>
    <w:rsid w:val="00C62212"/>
    <w:rsid w:val="00C651D6"/>
    <w:rsid w:val="00C652C8"/>
    <w:rsid w:val="00C65E89"/>
    <w:rsid w:val="00C705BC"/>
    <w:rsid w:val="00C70665"/>
    <w:rsid w:val="00C72159"/>
    <w:rsid w:val="00C744A6"/>
    <w:rsid w:val="00C744C9"/>
    <w:rsid w:val="00C74BC8"/>
    <w:rsid w:val="00C811F2"/>
    <w:rsid w:val="00C81E86"/>
    <w:rsid w:val="00C8371D"/>
    <w:rsid w:val="00C840A9"/>
    <w:rsid w:val="00C84C7B"/>
    <w:rsid w:val="00C90322"/>
    <w:rsid w:val="00C9141A"/>
    <w:rsid w:val="00C9254B"/>
    <w:rsid w:val="00CA1015"/>
    <w:rsid w:val="00CA1CE4"/>
    <w:rsid w:val="00CA2F2D"/>
    <w:rsid w:val="00CA5073"/>
    <w:rsid w:val="00CB0C96"/>
    <w:rsid w:val="00CB1AA2"/>
    <w:rsid w:val="00CB5C71"/>
    <w:rsid w:val="00CC0E54"/>
    <w:rsid w:val="00CC23EC"/>
    <w:rsid w:val="00CC2D8C"/>
    <w:rsid w:val="00CC4FBC"/>
    <w:rsid w:val="00CC5DA6"/>
    <w:rsid w:val="00CC640E"/>
    <w:rsid w:val="00CC6CBF"/>
    <w:rsid w:val="00CD246D"/>
    <w:rsid w:val="00CD6EDA"/>
    <w:rsid w:val="00CD70F6"/>
    <w:rsid w:val="00CD7B06"/>
    <w:rsid w:val="00CE0282"/>
    <w:rsid w:val="00CE30FB"/>
    <w:rsid w:val="00CE3553"/>
    <w:rsid w:val="00CF0FD4"/>
    <w:rsid w:val="00CF1C5A"/>
    <w:rsid w:val="00CF39B8"/>
    <w:rsid w:val="00CF555C"/>
    <w:rsid w:val="00CF6612"/>
    <w:rsid w:val="00CF6CD1"/>
    <w:rsid w:val="00CF71B2"/>
    <w:rsid w:val="00CF7AB0"/>
    <w:rsid w:val="00D00E46"/>
    <w:rsid w:val="00D02A11"/>
    <w:rsid w:val="00D03FF7"/>
    <w:rsid w:val="00D045C6"/>
    <w:rsid w:val="00D13052"/>
    <w:rsid w:val="00D13E70"/>
    <w:rsid w:val="00D147B6"/>
    <w:rsid w:val="00D175D0"/>
    <w:rsid w:val="00D24160"/>
    <w:rsid w:val="00D241CC"/>
    <w:rsid w:val="00D25BDB"/>
    <w:rsid w:val="00D26A58"/>
    <w:rsid w:val="00D30D45"/>
    <w:rsid w:val="00D3154E"/>
    <w:rsid w:val="00D328EB"/>
    <w:rsid w:val="00D32CD3"/>
    <w:rsid w:val="00D35265"/>
    <w:rsid w:val="00D35FC5"/>
    <w:rsid w:val="00D36692"/>
    <w:rsid w:val="00D4090D"/>
    <w:rsid w:val="00D45683"/>
    <w:rsid w:val="00D506F2"/>
    <w:rsid w:val="00D509EA"/>
    <w:rsid w:val="00D5290A"/>
    <w:rsid w:val="00D52C3C"/>
    <w:rsid w:val="00D53B75"/>
    <w:rsid w:val="00D54421"/>
    <w:rsid w:val="00D557FF"/>
    <w:rsid w:val="00D55F88"/>
    <w:rsid w:val="00D570A7"/>
    <w:rsid w:val="00D5780C"/>
    <w:rsid w:val="00D662FF"/>
    <w:rsid w:val="00D6651D"/>
    <w:rsid w:val="00D74918"/>
    <w:rsid w:val="00D75803"/>
    <w:rsid w:val="00D84A52"/>
    <w:rsid w:val="00D853DE"/>
    <w:rsid w:val="00D8561F"/>
    <w:rsid w:val="00D92944"/>
    <w:rsid w:val="00D933D0"/>
    <w:rsid w:val="00D955F8"/>
    <w:rsid w:val="00DA0AC4"/>
    <w:rsid w:val="00DA297C"/>
    <w:rsid w:val="00DA39BF"/>
    <w:rsid w:val="00DA4862"/>
    <w:rsid w:val="00DA6170"/>
    <w:rsid w:val="00DA6BDF"/>
    <w:rsid w:val="00DA7DDC"/>
    <w:rsid w:val="00DB0257"/>
    <w:rsid w:val="00DB0A8B"/>
    <w:rsid w:val="00DB1302"/>
    <w:rsid w:val="00DB1A34"/>
    <w:rsid w:val="00DB54E5"/>
    <w:rsid w:val="00DC4BE5"/>
    <w:rsid w:val="00DC5F33"/>
    <w:rsid w:val="00DC7CD7"/>
    <w:rsid w:val="00DD087B"/>
    <w:rsid w:val="00DD08FB"/>
    <w:rsid w:val="00DD0F04"/>
    <w:rsid w:val="00DD1396"/>
    <w:rsid w:val="00DD2934"/>
    <w:rsid w:val="00DD5CB2"/>
    <w:rsid w:val="00DD7874"/>
    <w:rsid w:val="00DD7FEB"/>
    <w:rsid w:val="00DE1619"/>
    <w:rsid w:val="00DE2C3C"/>
    <w:rsid w:val="00DE5482"/>
    <w:rsid w:val="00DE7A3A"/>
    <w:rsid w:val="00DE7E92"/>
    <w:rsid w:val="00DF0539"/>
    <w:rsid w:val="00DF06EC"/>
    <w:rsid w:val="00DF1E77"/>
    <w:rsid w:val="00DF1FD6"/>
    <w:rsid w:val="00DF3E31"/>
    <w:rsid w:val="00DF4AA7"/>
    <w:rsid w:val="00DF6CF7"/>
    <w:rsid w:val="00DF7066"/>
    <w:rsid w:val="00DF7341"/>
    <w:rsid w:val="00E007FE"/>
    <w:rsid w:val="00E0093A"/>
    <w:rsid w:val="00E02372"/>
    <w:rsid w:val="00E0237A"/>
    <w:rsid w:val="00E035A7"/>
    <w:rsid w:val="00E03FD9"/>
    <w:rsid w:val="00E044F4"/>
    <w:rsid w:val="00E07D2B"/>
    <w:rsid w:val="00E16F31"/>
    <w:rsid w:val="00E175FD"/>
    <w:rsid w:val="00E20C99"/>
    <w:rsid w:val="00E247CF"/>
    <w:rsid w:val="00E24F5B"/>
    <w:rsid w:val="00E2618C"/>
    <w:rsid w:val="00E264A4"/>
    <w:rsid w:val="00E312F9"/>
    <w:rsid w:val="00E318DE"/>
    <w:rsid w:val="00E32311"/>
    <w:rsid w:val="00E345A3"/>
    <w:rsid w:val="00E34E65"/>
    <w:rsid w:val="00E3550A"/>
    <w:rsid w:val="00E36BFA"/>
    <w:rsid w:val="00E426D2"/>
    <w:rsid w:val="00E43532"/>
    <w:rsid w:val="00E43E65"/>
    <w:rsid w:val="00E4613F"/>
    <w:rsid w:val="00E469C1"/>
    <w:rsid w:val="00E47A7B"/>
    <w:rsid w:val="00E53801"/>
    <w:rsid w:val="00E5755B"/>
    <w:rsid w:val="00E61DC6"/>
    <w:rsid w:val="00E62FCB"/>
    <w:rsid w:val="00E64876"/>
    <w:rsid w:val="00E6525F"/>
    <w:rsid w:val="00E6591F"/>
    <w:rsid w:val="00E669F8"/>
    <w:rsid w:val="00E67A4C"/>
    <w:rsid w:val="00E71A05"/>
    <w:rsid w:val="00E71A66"/>
    <w:rsid w:val="00E743B4"/>
    <w:rsid w:val="00E76548"/>
    <w:rsid w:val="00E77389"/>
    <w:rsid w:val="00E80CB4"/>
    <w:rsid w:val="00E817CF"/>
    <w:rsid w:val="00E824F8"/>
    <w:rsid w:val="00E82DB8"/>
    <w:rsid w:val="00E8405D"/>
    <w:rsid w:val="00E8743C"/>
    <w:rsid w:val="00E92846"/>
    <w:rsid w:val="00E92A39"/>
    <w:rsid w:val="00E95285"/>
    <w:rsid w:val="00EA090F"/>
    <w:rsid w:val="00EA2E9A"/>
    <w:rsid w:val="00EA322B"/>
    <w:rsid w:val="00EA4403"/>
    <w:rsid w:val="00EA4CF8"/>
    <w:rsid w:val="00EA6519"/>
    <w:rsid w:val="00EA676C"/>
    <w:rsid w:val="00EA69EB"/>
    <w:rsid w:val="00EB24DF"/>
    <w:rsid w:val="00EB5517"/>
    <w:rsid w:val="00EB67AD"/>
    <w:rsid w:val="00EB67D2"/>
    <w:rsid w:val="00EC301E"/>
    <w:rsid w:val="00EC557B"/>
    <w:rsid w:val="00ED0BF0"/>
    <w:rsid w:val="00ED404A"/>
    <w:rsid w:val="00ED4158"/>
    <w:rsid w:val="00ED4415"/>
    <w:rsid w:val="00ED45F0"/>
    <w:rsid w:val="00ED685A"/>
    <w:rsid w:val="00ED7D1B"/>
    <w:rsid w:val="00EE01F5"/>
    <w:rsid w:val="00EE6387"/>
    <w:rsid w:val="00EE6B8B"/>
    <w:rsid w:val="00EE7A9B"/>
    <w:rsid w:val="00EF0002"/>
    <w:rsid w:val="00EF0DBA"/>
    <w:rsid w:val="00EF10DC"/>
    <w:rsid w:val="00EF215C"/>
    <w:rsid w:val="00EF27C2"/>
    <w:rsid w:val="00EF3E82"/>
    <w:rsid w:val="00EF560A"/>
    <w:rsid w:val="00F003AF"/>
    <w:rsid w:val="00F0061E"/>
    <w:rsid w:val="00F025F9"/>
    <w:rsid w:val="00F05C27"/>
    <w:rsid w:val="00F10076"/>
    <w:rsid w:val="00F10514"/>
    <w:rsid w:val="00F107EC"/>
    <w:rsid w:val="00F11007"/>
    <w:rsid w:val="00F1270A"/>
    <w:rsid w:val="00F13CB2"/>
    <w:rsid w:val="00F1427F"/>
    <w:rsid w:val="00F161FF"/>
    <w:rsid w:val="00F22B4F"/>
    <w:rsid w:val="00F240E9"/>
    <w:rsid w:val="00F26C26"/>
    <w:rsid w:val="00F27BCE"/>
    <w:rsid w:val="00F27C36"/>
    <w:rsid w:val="00F3016F"/>
    <w:rsid w:val="00F305E4"/>
    <w:rsid w:val="00F3140B"/>
    <w:rsid w:val="00F33134"/>
    <w:rsid w:val="00F3449F"/>
    <w:rsid w:val="00F36C7D"/>
    <w:rsid w:val="00F36FB9"/>
    <w:rsid w:val="00F42142"/>
    <w:rsid w:val="00F44C21"/>
    <w:rsid w:val="00F44DBE"/>
    <w:rsid w:val="00F46934"/>
    <w:rsid w:val="00F46B1A"/>
    <w:rsid w:val="00F506D5"/>
    <w:rsid w:val="00F51C09"/>
    <w:rsid w:val="00F54629"/>
    <w:rsid w:val="00F551E3"/>
    <w:rsid w:val="00F5753E"/>
    <w:rsid w:val="00F577CD"/>
    <w:rsid w:val="00F57F25"/>
    <w:rsid w:val="00F604B6"/>
    <w:rsid w:val="00F61551"/>
    <w:rsid w:val="00F63B34"/>
    <w:rsid w:val="00F64035"/>
    <w:rsid w:val="00F64297"/>
    <w:rsid w:val="00F64F8D"/>
    <w:rsid w:val="00F65757"/>
    <w:rsid w:val="00F667FD"/>
    <w:rsid w:val="00F72177"/>
    <w:rsid w:val="00F732E0"/>
    <w:rsid w:val="00F7354C"/>
    <w:rsid w:val="00F741F7"/>
    <w:rsid w:val="00F75DB1"/>
    <w:rsid w:val="00F770DA"/>
    <w:rsid w:val="00F8017A"/>
    <w:rsid w:val="00F8030A"/>
    <w:rsid w:val="00F8381D"/>
    <w:rsid w:val="00F85724"/>
    <w:rsid w:val="00F857F1"/>
    <w:rsid w:val="00F8777E"/>
    <w:rsid w:val="00F91140"/>
    <w:rsid w:val="00F911AA"/>
    <w:rsid w:val="00F91493"/>
    <w:rsid w:val="00F92229"/>
    <w:rsid w:val="00F92DE1"/>
    <w:rsid w:val="00F9322F"/>
    <w:rsid w:val="00F95FD2"/>
    <w:rsid w:val="00F96928"/>
    <w:rsid w:val="00F96A80"/>
    <w:rsid w:val="00FA1B35"/>
    <w:rsid w:val="00FA2D11"/>
    <w:rsid w:val="00FA45DE"/>
    <w:rsid w:val="00FA609C"/>
    <w:rsid w:val="00FA775D"/>
    <w:rsid w:val="00FB1184"/>
    <w:rsid w:val="00FB45A1"/>
    <w:rsid w:val="00FB5873"/>
    <w:rsid w:val="00FC2D61"/>
    <w:rsid w:val="00FC3A45"/>
    <w:rsid w:val="00FC426A"/>
    <w:rsid w:val="00FC506E"/>
    <w:rsid w:val="00FD0000"/>
    <w:rsid w:val="00FD4680"/>
    <w:rsid w:val="00FD5D5B"/>
    <w:rsid w:val="00FD5DE5"/>
    <w:rsid w:val="00FD63C5"/>
    <w:rsid w:val="00FE1BED"/>
    <w:rsid w:val="00FE1D9F"/>
    <w:rsid w:val="00FE25EE"/>
    <w:rsid w:val="00FE314C"/>
    <w:rsid w:val="00FE31F1"/>
    <w:rsid w:val="00FE3D19"/>
    <w:rsid w:val="00FE4127"/>
    <w:rsid w:val="00FE41C1"/>
    <w:rsid w:val="00FE45A5"/>
    <w:rsid w:val="00FE58D5"/>
    <w:rsid w:val="00FF127E"/>
    <w:rsid w:val="00FF15A1"/>
    <w:rsid w:val="00FF1BFD"/>
    <w:rsid w:val="00FF415C"/>
    <w:rsid w:val="00FF5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1716EC"/>
  <w15:docId w15:val="{BC9E72F7-57B6-4085-8AF9-7E0FDF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492933"/>
    <w:pPr>
      <w:ind w:left="23"/>
    </w:pPr>
    <w:rPr>
      <w:rFonts w:ascii="Verdana" w:hAnsi="Verdana"/>
      <w:szCs w:val="24"/>
    </w:rPr>
  </w:style>
  <w:style w:type="paragraph" w:styleId="Heading1">
    <w:name w:val="heading 1"/>
    <w:basedOn w:val="Normal"/>
    <w:next w:val="Normal"/>
    <w:link w:val="Heading1Char"/>
    <w:autoRedefine/>
    <w:uiPriority w:val="99"/>
    <w:qFormat/>
    <w:rsid w:val="009267DF"/>
    <w:pPr>
      <w:keepNext/>
      <w:shd w:val="clear" w:color="auto" w:fill="D9D9D9" w:themeFill="background1" w:themeFillShade="D9"/>
      <w:spacing w:after="60"/>
      <w:ind w:left="0"/>
      <w:outlineLvl w:val="0"/>
    </w:pPr>
    <w:rPr>
      <w:rFonts w:cs="Arial"/>
      <w:b/>
      <w:bCs/>
      <w:kern w:val="32"/>
      <w:sz w:val="24"/>
      <w:szCs w:val="32"/>
    </w:rPr>
  </w:style>
  <w:style w:type="paragraph" w:styleId="Heading2">
    <w:name w:val="heading 2"/>
    <w:basedOn w:val="Normal"/>
    <w:next w:val="Normal"/>
    <w:link w:val="Heading2Char"/>
    <w:autoRedefine/>
    <w:uiPriority w:val="99"/>
    <w:qFormat/>
    <w:rsid w:val="001F5D28"/>
    <w:pPr>
      <w:keepNext/>
      <w:spacing w:before="360" w:after="60"/>
      <w:ind w:left="0"/>
      <w:outlineLvl w:val="1"/>
    </w:pPr>
    <w:rPr>
      <w:rFonts w:cs="Arial"/>
      <w:b/>
      <w:bCs/>
      <w:iCs/>
      <w:szCs w:val="28"/>
    </w:rPr>
  </w:style>
  <w:style w:type="paragraph" w:styleId="Heading3">
    <w:name w:val="heading 3"/>
    <w:basedOn w:val="Normal"/>
    <w:next w:val="Normal"/>
    <w:link w:val="Heading3Char"/>
    <w:autoRedefine/>
    <w:uiPriority w:val="99"/>
    <w:qFormat/>
    <w:rsid w:val="00562B25"/>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67DF"/>
    <w:rPr>
      <w:rFonts w:ascii="Verdana" w:hAnsi="Verdana" w:cs="Arial"/>
      <w:b/>
      <w:bCs/>
      <w:kern w:val="32"/>
      <w:sz w:val="24"/>
      <w:szCs w:val="32"/>
      <w:shd w:val="clear" w:color="auto" w:fill="D9D9D9" w:themeFill="background1" w:themeFillShade="D9"/>
    </w:rPr>
  </w:style>
  <w:style w:type="character" w:customStyle="1" w:styleId="Heading2Char">
    <w:name w:val="Heading 2 Char"/>
    <w:basedOn w:val="DefaultParagraphFont"/>
    <w:link w:val="Heading2"/>
    <w:uiPriority w:val="99"/>
    <w:locked/>
    <w:rsid w:val="001F5D28"/>
    <w:rPr>
      <w:rFonts w:ascii="Verdana" w:hAnsi="Verdana" w:cs="Arial"/>
      <w:b/>
      <w:bCs/>
      <w:iCs/>
      <w:szCs w:val="28"/>
    </w:rPr>
  </w:style>
  <w:style w:type="character" w:customStyle="1" w:styleId="Heading3Char">
    <w:name w:val="Heading 3 Char"/>
    <w:basedOn w:val="DefaultParagraphFont"/>
    <w:link w:val="Heading3"/>
    <w:uiPriority w:val="99"/>
    <w:semiHidden/>
    <w:locked/>
    <w:rsid w:val="002000B0"/>
    <w:rPr>
      <w:rFonts w:ascii="Cambria" w:hAnsi="Cambria" w:cs="Times New Roman"/>
      <w:b/>
      <w:bCs/>
      <w:sz w:val="26"/>
      <w:szCs w:val="26"/>
    </w:rPr>
  </w:style>
  <w:style w:type="table" w:styleId="TableGrid">
    <w:name w:val="Table Grid"/>
    <w:basedOn w:val="TableNormal"/>
    <w:uiPriority w:val="99"/>
    <w:rsid w:val="008048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C490E"/>
    <w:rPr>
      <w:rFonts w:cs="Times New Roman"/>
      <w:color w:val="0000FF"/>
      <w:u w:val="single"/>
    </w:rPr>
  </w:style>
  <w:style w:type="paragraph" w:customStyle="1" w:styleId="Bullet">
    <w:name w:val="Bullet"/>
    <w:basedOn w:val="Normal"/>
    <w:uiPriority w:val="99"/>
    <w:rsid w:val="008F6058"/>
    <w:pPr>
      <w:numPr>
        <w:numId w:val="2"/>
      </w:numPr>
    </w:pPr>
  </w:style>
  <w:style w:type="paragraph" w:customStyle="1" w:styleId="IndentBullet">
    <w:name w:val="Indent Bullet"/>
    <w:basedOn w:val="Normal"/>
    <w:uiPriority w:val="99"/>
    <w:rsid w:val="008F6058"/>
    <w:pPr>
      <w:numPr>
        <w:ilvl w:val="1"/>
        <w:numId w:val="3"/>
      </w:numPr>
    </w:pPr>
  </w:style>
  <w:style w:type="paragraph" w:styleId="TOC1">
    <w:name w:val="toc 1"/>
    <w:basedOn w:val="Normal"/>
    <w:next w:val="Normal"/>
    <w:autoRedefine/>
    <w:uiPriority w:val="39"/>
    <w:rsid w:val="00E20C99"/>
    <w:pPr>
      <w:spacing w:before="120" w:after="120"/>
    </w:pPr>
    <w:rPr>
      <w:rFonts w:ascii="Calibri" w:hAnsi="Calibri"/>
      <w:b/>
      <w:bCs/>
      <w:caps/>
      <w:szCs w:val="20"/>
    </w:rPr>
  </w:style>
  <w:style w:type="paragraph" w:styleId="Header">
    <w:name w:val="header"/>
    <w:basedOn w:val="Normal"/>
    <w:link w:val="HeaderChar"/>
    <w:uiPriority w:val="99"/>
    <w:rsid w:val="00ED45F0"/>
    <w:pPr>
      <w:tabs>
        <w:tab w:val="center" w:pos="4153"/>
        <w:tab w:val="right" w:pos="8306"/>
      </w:tabs>
    </w:pPr>
  </w:style>
  <w:style w:type="character" w:customStyle="1" w:styleId="HeaderChar">
    <w:name w:val="Header Char"/>
    <w:basedOn w:val="DefaultParagraphFont"/>
    <w:link w:val="Header"/>
    <w:uiPriority w:val="99"/>
    <w:locked/>
    <w:rsid w:val="00911BEB"/>
    <w:rPr>
      <w:rFonts w:ascii="Arial" w:hAnsi="Arial" w:cs="Times New Roman"/>
      <w:sz w:val="24"/>
      <w:szCs w:val="24"/>
      <w:shd w:val="clear" w:color="auto" w:fill="FFFFFF"/>
    </w:rPr>
  </w:style>
  <w:style w:type="paragraph" w:styleId="Footer">
    <w:name w:val="footer"/>
    <w:basedOn w:val="Normal"/>
    <w:link w:val="FooterChar"/>
    <w:uiPriority w:val="99"/>
    <w:rsid w:val="00ED45F0"/>
    <w:pPr>
      <w:tabs>
        <w:tab w:val="center" w:pos="4153"/>
        <w:tab w:val="right" w:pos="8306"/>
      </w:tabs>
    </w:pPr>
  </w:style>
  <w:style w:type="character" w:customStyle="1" w:styleId="FooterChar">
    <w:name w:val="Footer Char"/>
    <w:basedOn w:val="DefaultParagraphFont"/>
    <w:link w:val="Footer"/>
    <w:uiPriority w:val="99"/>
    <w:locked/>
    <w:rsid w:val="00911BEB"/>
    <w:rPr>
      <w:rFonts w:ascii="Arial" w:hAnsi="Arial" w:cs="Times New Roman"/>
      <w:sz w:val="24"/>
      <w:szCs w:val="24"/>
      <w:shd w:val="clear" w:color="auto" w:fill="FFFFFF"/>
    </w:rPr>
  </w:style>
  <w:style w:type="paragraph" w:styleId="BalloonText">
    <w:name w:val="Balloon Text"/>
    <w:basedOn w:val="Normal"/>
    <w:link w:val="BalloonTextChar"/>
    <w:uiPriority w:val="99"/>
    <w:semiHidden/>
    <w:rsid w:val="00E6591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00B0"/>
    <w:rPr>
      <w:rFonts w:cs="Times New Roman"/>
      <w:sz w:val="2"/>
    </w:rPr>
  </w:style>
  <w:style w:type="character" w:styleId="PageNumber">
    <w:name w:val="page number"/>
    <w:basedOn w:val="DefaultParagraphFont"/>
    <w:uiPriority w:val="99"/>
    <w:rsid w:val="00460181"/>
    <w:rPr>
      <w:rFonts w:ascii="Arial" w:hAnsi="Arial" w:cs="Times New Roman"/>
      <w:sz w:val="18"/>
    </w:rPr>
  </w:style>
  <w:style w:type="paragraph" w:styleId="TOC2">
    <w:name w:val="toc 2"/>
    <w:basedOn w:val="Normal"/>
    <w:next w:val="Normal"/>
    <w:autoRedefine/>
    <w:uiPriority w:val="39"/>
    <w:rsid w:val="00F8381D"/>
    <w:pPr>
      <w:ind w:left="220"/>
    </w:pPr>
    <w:rPr>
      <w:rFonts w:ascii="Calibri" w:hAnsi="Calibri"/>
      <w:smallCaps/>
      <w:szCs w:val="20"/>
    </w:rPr>
  </w:style>
  <w:style w:type="paragraph" w:styleId="TOC3">
    <w:name w:val="toc 3"/>
    <w:basedOn w:val="Normal"/>
    <w:next w:val="Normal"/>
    <w:autoRedefine/>
    <w:uiPriority w:val="99"/>
    <w:rsid w:val="00F8381D"/>
    <w:pPr>
      <w:ind w:left="440"/>
    </w:pPr>
    <w:rPr>
      <w:rFonts w:ascii="Calibri" w:hAnsi="Calibri"/>
      <w:i/>
      <w:iCs/>
      <w:szCs w:val="20"/>
    </w:rPr>
  </w:style>
  <w:style w:type="table" w:styleId="TableElegant">
    <w:name w:val="Table Elegant"/>
    <w:basedOn w:val="TableNormal"/>
    <w:uiPriority w:val="99"/>
    <w:rsid w:val="0057483B"/>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ontemporary">
    <w:name w:val="Table Contemporary"/>
    <w:basedOn w:val="TableNormal"/>
    <w:uiPriority w:val="99"/>
    <w:rsid w:val="001420C3"/>
    <w:rPr>
      <w:rFonts w:ascii="Arial" w:hAnsi="Arial"/>
      <w:sz w:val="18"/>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Underline">
    <w:name w:val="Underline"/>
    <w:basedOn w:val="Normal"/>
    <w:uiPriority w:val="99"/>
    <w:rsid w:val="0038499C"/>
    <w:rPr>
      <w:u w:val="single"/>
    </w:rPr>
  </w:style>
  <w:style w:type="table" w:styleId="TableColumns4">
    <w:name w:val="Table Columns 4"/>
    <w:basedOn w:val="TableNormal"/>
    <w:uiPriority w:val="99"/>
    <w:rsid w:val="00AE2E91"/>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paragraph" w:styleId="ListParagraph">
    <w:name w:val="List Paragraph"/>
    <w:basedOn w:val="Normal"/>
    <w:uiPriority w:val="99"/>
    <w:qFormat/>
    <w:rsid w:val="00927DD8"/>
    <w:pPr>
      <w:ind w:left="720"/>
    </w:pPr>
  </w:style>
  <w:style w:type="paragraph" w:customStyle="1" w:styleId="Default">
    <w:name w:val="Default"/>
    <w:autoRedefine/>
    <w:rsid w:val="009267DF"/>
    <w:pPr>
      <w:autoSpaceDE w:val="0"/>
      <w:autoSpaceDN w:val="0"/>
      <w:adjustRightInd w:val="0"/>
      <w:spacing w:after="360"/>
    </w:pPr>
    <w:rPr>
      <w:rFonts w:ascii="Verdana" w:hAnsi="Verdana" w:cs="Arial Narrow"/>
      <w:color w:val="000000"/>
      <w:szCs w:val="20"/>
    </w:rPr>
  </w:style>
  <w:style w:type="paragraph" w:styleId="Title">
    <w:name w:val="Title"/>
    <w:basedOn w:val="Normal"/>
    <w:next w:val="Normal"/>
    <w:link w:val="TitleChar"/>
    <w:uiPriority w:val="99"/>
    <w:qFormat/>
    <w:rsid w:val="00DF1FD6"/>
    <w:pPr>
      <w:spacing w:before="240" w:after="60"/>
      <w:jc w:val="center"/>
      <w:outlineLvl w:val="0"/>
    </w:pPr>
    <w:rPr>
      <w:b/>
      <w:bCs/>
      <w:kern w:val="28"/>
      <w:sz w:val="32"/>
      <w:szCs w:val="32"/>
    </w:rPr>
  </w:style>
  <w:style w:type="character" w:customStyle="1" w:styleId="TitleChar">
    <w:name w:val="Title Char"/>
    <w:basedOn w:val="DefaultParagraphFont"/>
    <w:link w:val="Title"/>
    <w:uiPriority w:val="99"/>
    <w:locked/>
    <w:rsid w:val="00DF1FD6"/>
    <w:rPr>
      <w:rFonts w:ascii="Arial" w:hAnsi="Arial" w:cs="Times New Roman"/>
      <w:b/>
      <w:bCs/>
      <w:kern w:val="28"/>
      <w:sz w:val="32"/>
      <w:szCs w:val="32"/>
      <w:shd w:val="clear" w:color="auto" w:fill="FFFFFF"/>
    </w:rPr>
  </w:style>
  <w:style w:type="paragraph" w:styleId="TOCHeading">
    <w:name w:val="TOC Heading"/>
    <w:basedOn w:val="Heading1"/>
    <w:next w:val="Normal"/>
    <w:uiPriority w:val="99"/>
    <w:qFormat/>
    <w:rsid w:val="00DF1FD6"/>
    <w:pPr>
      <w:keepLines/>
      <w:spacing w:before="480" w:after="0" w:line="276" w:lineRule="auto"/>
      <w:outlineLvl w:val="9"/>
    </w:pPr>
    <w:rPr>
      <w:rFonts w:ascii="Cambria" w:hAnsi="Cambria" w:cs="Times New Roman"/>
      <w:color w:val="365F91"/>
      <w:kern w:val="0"/>
      <w:sz w:val="28"/>
      <w:szCs w:val="28"/>
      <w:lang w:val="en-US" w:eastAsia="en-US"/>
    </w:rPr>
  </w:style>
  <w:style w:type="paragraph" w:styleId="TOC4">
    <w:name w:val="toc 4"/>
    <w:basedOn w:val="Normal"/>
    <w:next w:val="Normal"/>
    <w:autoRedefine/>
    <w:uiPriority w:val="99"/>
    <w:rsid w:val="00DF1FD6"/>
    <w:pPr>
      <w:ind w:left="660"/>
    </w:pPr>
    <w:rPr>
      <w:rFonts w:ascii="Calibri" w:hAnsi="Calibri"/>
      <w:sz w:val="18"/>
      <w:szCs w:val="18"/>
    </w:rPr>
  </w:style>
  <w:style w:type="paragraph" w:styleId="TOC5">
    <w:name w:val="toc 5"/>
    <w:basedOn w:val="Normal"/>
    <w:next w:val="Normal"/>
    <w:autoRedefine/>
    <w:uiPriority w:val="99"/>
    <w:rsid w:val="00DF1FD6"/>
    <w:pPr>
      <w:ind w:left="880"/>
    </w:pPr>
    <w:rPr>
      <w:rFonts w:ascii="Calibri" w:hAnsi="Calibri"/>
      <w:sz w:val="18"/>
      <w:szCs w:val="18"/>
    </w:rPr>
  </w:style>
  <w:style w:type="paragraph" w:styleId="TOC6">
    <w:name w:val="toc 6"/>
    <w:basedOn w:val="Normal"/>
    <w:next w:val="Normal"/>
    <w:autoRedefine/>
    <w:uiPriority w:val="99"/>
    <w:rsid w:val="00DF1FD6"/>
    <w:pPr>
      <w:ind w:left="1100"/>
    </w:pPr>
    <w:rPr>
      <w:rFonts w:ascii="Calibri" w:hAnsi="Calibri"/>
      <w:sz w:val="18"/>
      <w:szCs w:val="18"/>
    </w:rPr>
  </w:style>
  <w:style w:type="paragraph" w:styleId="TOC7">
    <w:name w:val="toc 7"/>
    <w:basedOn w:val="Normal"/>
    <w:next w:val="Normal"/>
    <w:autoRedefine/>
    <w:uiPriority w:val="99"/>
    <w:rsid w:val="00DF1FD6"/>
    <w:pPr>
      <w:ind w:left="1320"/>
    </w:pPr>
    <w:rPr>
      <w:rFonts w:ascii="Calibri" w:hAnsi="Calibri"/>
      <w:sz w:val="18"/>
      <w:szCs w:val="18"/>
    </w:rPr>
  </w:style>
  <w:style w:type="paragraph" w:styleId="TOC8">
    <w:name w:val="toc 8"/>
    <w:basedOn w:val="Normal"/>
    <w:next w:val="Normal"/>
    <w:autoRedefine/>
    <w:uiPriority w:val="99"/>
    <w:rsid w:val="00DF1FD6"/>
    <w:pPr>
      <w:ind w:left="1540"/>
    </w:pPr>
    <w:rPr>
      <w:rFonts w:ascii="Calibri" w:hAnsi="Calibri"/>
      <w:sz w:val="18"/>
      <w:szCs w:val="18"/>
    </w:rPr>
  </w:style>
  <w:style w:type="paragraph" w:styleId="TOC9">
    <w:name w:val="toc 9"/>
    <w:basedOn w:val="Normal"/>
    <w:next w:val="Normal"/>
    <w:autoRedefine/>
    <w:uiPriority w:val="99"/>
    <w:rsid w:val="00DF1FD6"/>
    <w:pPr>
      <w:ind w:left="1760"/>
    </w:pPr>
    <w:rPr>
      <w:rFonts w:ascii="Calibri" w:hAnsi="Calibri"/>
      <w:sz w:val="18"/>
      <w:szCs w:val="18"/>
    </w:rPr>
  </w:style>
  <w:style w:type="character" w:styleId="CommentReference">
    <w:name w:val="annotation reference"/>
    <w:basedOn w:val="DefaultParagraphFont"/>
    <w:uiPriority w:val="99"/>
    <w:semiHidden/>
    <w:rsid w:val="004B6C80"/>
    <w:rPr>
      <w:rFonts w:cs="Times New Roman"/>
      <w:sz w:val="16"/>
      <w:szCs w:val="16"/>
    </w:rPr>
  </w:style>
  <w:style w:type="paragraph" w:styleId="CommentText">
    <w:name w:val="annotation text"/>
    <w:basedOn w:val="Normal"/>
    <w:link w:val="CommentTextChar"/>
    <w:uiPriority w:val="99"/>
    <w:semiHidden/>
    <w:rsid w:val="004B6C80"/>
    <w:rPr>
      <w:szCs w:val="20"/>
    </w:rPr>
  </w:style>
  <w:style w:type="character" w:customStyle="1" w:styleId="CommentTextChar">
    <w:name w:val="Comment Text Char"/>
    <w:basedOn w:val="DefaultParagraphFont"/>
    <w:link w:val="CommentText"/>
    <w:uiPriority w:val="99"/>
    <w:semiHidden/>
    <w:locked/>
    <w:rsid w:val="002000B0"/>
    <w:rPr>
      <w:rFonts w:ascii="Verdana" w:hAnsi="Verdana" w:cs="Times New Roman"/>
      <w:sz w:val="20"/>
      <w:szCs w:val="20"/>
    </w:rPr>
  </w:style>
  <w:style w:type="paragraph" w:styleId="CommentSubject">
    <w:name w:val="annotation subject"/>
    <w:basedOn w:val="CommentText"/>
    <w:next w:val="CommentText"/>
    <w:link w:val="CommentSubjectChar"/>
    <w:uiPriority w:val="99"/>
    <w:semiHidden/>
    <w:rsid w:val="004B6C80"/>
    <w:rPr>
      <w:b/>
      <w:bCs/>
    </w:rPr>
  </w:style>
  <w:style w:type="character" w:customStyle="1" w:styleId="CommentSubjectChar">
    <w:name w:val="Comment Subject Char"/>
    <w:basedOn w:val="CommentTextChar"/>
    <w:link w:val="CommentSubject"/>
    <w:uiPriority w:val="99"/>
    <w:semiHidden/>
    <w:locked/>
    <w:rsid w:val="002000B0"/>
    <w:rPr>
      <w:rFonts w:ascii="Verdana" w:hAnsi="Verdana" w:cs="Times New Roman"/>
      <w:b/>
      <w:bCs/>
      <w:sz w:val="20"/>
      <w:szCs w:val="20"/>
    </w:rPr>
  </w:style>
  <w:style w:type="paragraph" w:styleId="FootnoteText">
    <w:name w:val="footnote text"/>
    <w:basedOn w:val="Normal"/>
    <w:link w:val="FootnoteTextChar"/>
    <w:uiPriority w:val="99"/>
    <w:rsid w:val="000C6219"/>
    <w:rPr>
      <w:szCs w:val="20"/>
    </w:rPr>
  </w:style>
  <w:style w:type="character" w:customStyle="1" w:styleId="FootnoteTextChar">
    <w:name w:val="Footnote Text Char"/>
    <w:basedOn w:val="DefaultParagraphFont"/>
    <w:link w:val="FootnoteText"/>
    <w:uiPriority w:val="99"/>
    <w:locked/>
    <w:rsid w:val="000C6219"/>
    <w:rPr>
      <w:rFonts w:ascii="Verdana" w:hAnsi="Verdana" w:cs="Times New Roman"/>
    </w:rPr>
  </w:style>
  <w:style w:type="character" w:styleId="FootnoteReference">
    <w:name w:val="footnote reference"/>
    <w:basedOn w:val="DefaultParagraphFont"/>
    <w:uiPriority w:val="99"/>
    <w:rsid w:val="000C6219"/>
    <w:rPr>
      <w:rFonts w:cs="Times New Roman"/>
      <w:vertAlign w:val="superscript"/>
    </w:rPr>
  </w:style>
  <w:style w:type="paragraph" w:styleId="EndnoteText">
    <w:name w:val="endnote text"/>
    <w:basedOn w:val="Normal"/>
    <w:link w:val="EndnoteTextChar"/>
    <w:uiPriority w:val="99"/>
    <w:rsid w:val="000C6219"/>
    <w:rPr>
      <w:szCs w:val="20"/>
    </w:rPr>
  </w:style>
  <w:style w:type="character" w:customStyle="1" w:styleId="EndnoteTextChar">
    <w:name w:val="Endnote Text Char"/>
    <w:basedOn w:val="DefaultParagraphFont"/>
    <w:link w:val="EndnoteText"/>
    <w:uiPriority w:val="99"/>
    <w:locked/>
    <w:rsid w:val="000C6219"/>
    <w:rPr>
      <w:rFonts w:ascii="Verdana" w:hAnsi="Verdana" w:cs="Times New Roman"/>
    </w:rPr>
  </w:style>
  <w:style w:type="character" w:styleId="EndnoteReference">
    <w:name w:val="endnote reference"/>
    <w:basedOn w:val="DefaultParagraphFont"/>
    <w:uiPriority w:val="99"/>
    <w:rsid w:val="000C6219"/>
    <w:rPr>
      <w:rFonts w:cs="Times New Roman"/>
      <w:vertAlign w:val="superscript"/>
    </w:rPr>
  </w:style>
  <w:style w:type="character" w:styleId="FollowedHyperlink">
    <w:name w:val="FollowedHyperlink"/>
    <w:basedOn w:val="DefaultParagraphFont"/>
    <w:uiPriority w:val="99"/>
    <w:rsid w:val="00F3449F"/>
    <w:rPr>
      <w:rFonts w:cs="Times New Roman"/>
      <w:color w:val="800080"/>
      <w:u w:val="single"/>
    </w:rPr>
  </w:style>
  <w:style w:type="paragraph" w:customStyle="1" w:styleId="ClauseLevel1">
    <w:name w:val="ClauseLevel1"/>
    <w:uiPriority w:val="99"/>
    <w:rsid w:val="00573679"/>
    <w:pPr>
      <w:widowControl w:val="0"/>
      <w:autoSpaceDE w:val="0"/>
      <w:autoSpaceDN w:val="0"/>
      <w:adjustRightInd w:val="0"/>
      <w:spacing w:line="360" w:lineRule="auto"/>
      <w:jc w:val="both"/>
    </w:pPr>
    <w:rPr>
      <w:rFonts w:ascii="Arial" w:hAnsi="Arial" w:cs="Arial"/>
      <w:color w:val="000000"/>
      <w:sz w:val="20"/>
      <w:szCs w:val="20"/>
    </w:rPr>
  </w:style>
  <w:style w:type="paragraph" w:customStyle="1" w:styleId="ClauseLevel1Heading">
    <w:name w:val="ClauseLevel1Heading"/>
    <w:uiPriority w:val="99"/>
    <w:rsid w:val="00573679"/>
    <w:pPr>
      <w:widowControl w:val="0"/>
      <w:autoSpaceDE w:val="0"/>
      <w:autoSpaceDN w:val="0"/>
      <w:adjustRightInd w:val="0"/>
      <w:spacing w:line="360" w:lineRule="auto"/>
    </w:pPr>
    <w:rPr>
      <w:rFonts w:ascii="Arial" w:hAnsi="Arial" w:cs="Arial"/>
      <w:b/>
      <w:bCs/>
      <w:color w:val="000000"/>
      <w:sz w:val="20"/>
      <w:szCs w:val="20"/>
    </w:rPr>
  </w:style>
  <w:style w:type="paragraph" w:customStyle="1" w:styleId="ClauseLevel1Continued">
    <w:name w:val="ClauseLevel1Continued"/>
    <w:uiPriority w:val="99"/>
    <w:rsid w:val="00573679"/>
    <w:pPr>
      <w:widowControl w:val="0"/>
      <w:autoSpaceDE w:val="0"/>
      <w:autoSpaceDN w:val="0"/>
      <w:adjustRightInd w:val="0"/>
      <w:spacing w:line="360" w:lineRule="auto"/>
      <w:jc w:val="both"/>
    </w:pPr>
    <w:rPr>
      <w:rFonts w:ascii="Arial" w:hAnsi="Arial" w:cs="Arial"/>
      <w:color w:val="000000"/>
      <w:sz w:val="20"/>
      <w:szCs w:val="20"/>
    </w:rPr>
  </w:style>
  <w:style w:type="paragraph" w:customStyle="1" w:styleId="ClauseLevel2">
    <w:name w:val="ClauseLevel2"/>
    <w:uiPriority w:val="99"/>
    <w:rsid w:val="00573679"/>
    <w:pPr>
      <w:widowControl w:val="0"/>
      <w:autoSpaceDE w:val="0"/>
      <w:autoSpaceDN w:val="0"/>
      <w:adjustRightInd w:val="0"/>
      <w:spacing w:line="360" w:lineRule="auto"/>
      <w:jc w:val="both"/>
    </w:pPr>
    <w:rPr>
      <w:rFonts w:ascii="Arial" w:hAnsi="Arial" w:cs="Arial"/>
      <w:color w:val="000000"/>
      <w:sz w:val="20"/>
      <w:szCs w:val="20"/>
    </w:rPr>
  </w:style>
  <w:style w:type="paragraph" w:customStyle="1" w:styleId="PrecedentSubHeading2">
    <w:name w:val="PrecedentSubHeading2"/>
    <w:uiPriority w:val="99"/>
    <w:rsid w:val="00573679"/>
    <w:pPr>
      <w:widowControl w:val="0"/>
      <w:autoSpaceDE w:val="0"/>
      <w:autoSpaceDN w:val="0"/>
      <w:adjustRightInd w:val="0"/>
      <w:spacing w:line="360" w:lineRule="auto"/>
      <w:jc w:val="center"/>
    </w:pPr>
    <w:rPr>
      <w:rFonts w:ascii="Arial" w:hAnsi="Arial" w:cs="Arial"/>
      <w:color w:val="000000"/>
      <w:sz w:val="20"/>
      <w:szCs w:val="20"/>
    </w:rPr>
  </w:style>
  <w:style w:type="paragraph" w:customStyle="1" w:styleId="p17">
    <w:name w:val="p17"/>
    <w:basedOn w:val="Normal"/>
    <w:uiPriority w:val="99"/>
    <w:rsid w:val="00573679"/>
    <w:pPr>
      <w:tabs>
        <w:tab w:val="left" w:pos="7120"/>
      </w:tabs>
      <w:overflowPunct w:val="0"/>
      <w:autoSpaceDE w:val="0"/>
      <w:autoSpaceDN w:val="0"/>
      <w:adjustRightInd w:val="0"/>
      <w:spacing w:line="240" w:lineRule="atLeast"/>
      <w:ind w:left="5616" w:hanging="7056"/>
      <w:textAlignment w:val="baseline"/>
    </w:pPr>
    <w:rPr>
      <w:rFonts w:ascii="Times New Roman" w:hAnsi="Times New Roman"/>
      <w:sz w:val="24"/>
      <w:szCs w:val="20"/>
    </w:rPr>
  </w:style>
  <w:style w:type="paragraph" w:customStyle="1" w:styleId="p2">
    <w:name w:val="p2"/>
    <w:basedOn w:val="Normal"/>
    <w:uiPriority w:val="99"/>
    <w:rsid w:val="00573679"/>
    <w:pPr>
      <w:tabs>
        <w:tab w:val="left" w:pos="2780"/>
      </w:tabs>
      <w:overflowPunct w:val="0"/>
      <w:autoSpaceDE w:val="0"/>
      <w:autoSpaceDN w:val="0"/>
      <w:adjustRightInd w:val="0"/>
      <w:spacing w:line="820" w:lineRule="atLeast"/>
      <w:ind w:left="1296" w:hanging="2736"/>
      <w:textAlignment w:val="baseline"/>
    </w:pPr>
    <w:rPr>
      <w:rFonts w:ascii="Times New Roman" w:hAnsi="Times New Roman"/>
      <w:sz w:val="24"/>
      <w:szCs w:val="20"/>
    </w:rPr>
  </w:style>
  <w:style w:type="paragraph" w:customStyle="1" w:styleId="p7">
    <w:name w:val="p7"/>
    <w:basedOn w:val="Normal"/>
    <w:uiPriority w:val="99"/>
    <w:rsid w:val="00573679"/>
    <w:pPr>
      <w:overflowPunct w:val="0"/>
      <w:autoSpaceDE w:val="0"/>
      <w:autoSpaceDN w:val="0"/>
      <w:adjustRightInd w:val="0"/>
      <w:spacing w:line="240" w:lineRule="atLeast"/>
      <w:ind w:left="864" w:hanging="576"/>
      <w:textAlignment w:val="baseline"/>
    </w:pPr>
    <w:rPr>
      <w:rFonts w:ascii="Times New Roman" w:hAnsi="Times New Roman"/>
      <w:sz w:val="24"/>
      <w:szCs w:val="20"/>
    </w:rPr>
  </w:style>
  <w:style w:type="paragraph" w:customStyle="1" w:styleId="p3">
    <w:name w:val="p3"/>
    <w:basedOn w:val="Normal"/>
    <w:uiPriority w:val="99"/>
    <w:rsid w:val="00573679"/>
    <w:pPr>
      <w:widowControl w:val="0"/>
      <w:tabs>
        <w:tab w:val="left" w:pos="440"/>
      </w:tabs>
      <w:overflowPunct w:val="0"/>
      <w:autoSpaceDE w:val="0"/>
      <w:autoSpaceDN w:val="0"/>
      <w:adjustRightInd w:val="0"/>
      <w:spacing w:line="240" w:lineRule="atLeast"/>
      <w:ind w:left="144" w:hanging="864"/>
      <w:jc w:val="both"/>
      <w:textAlignment w:val="baseline"/>
    </w:pPr>
    <w:rPr>
      <w:rFonts w:ascii="Times New Roman" w:hAnsi="Times New Roman"/>
      <w:sz w:val="24"/>
      <w:szCs w:val="20"/>
    </w:rPr>
  </w:style>
  <w:style w:type="paragraph" w:customStyle="1" w:styleId="p4">
    <w:name w:val="p4"/>
    <w:basedOn w:val="Normal"/>
    <w:uiPriority w:val="99"/>
    <w:rsid w:val="00573679"/>
    <w:pPr>
      <w:widowControl w:val="0"/>
      <w:overflowPunct w:val="0"/>
      <w:autoSpaceDE w:val="0"/>
      <w:autoSpaceDN w:val="0"/>
      <w:adjustRightInd w:val="0"/>
      <w:spacing w:line="260" w:lineRule="atLeast"/>
      <w:ind w:left="288" w:hanging="576"/>
      <w:jc w:val="both"/>
      <w:textAlignment w:val="baseline"/>
    </w:pPr>
    <w:rPr>
      <w:rFonts w:ascii="Times New Roman" w:hAnsi="Times New Roman"/>
      <w:sz w:val="24"/>
      <w:szCs w:val="20"/>
    </w:rPr>
  </w:style>
  <w:style w:type="paragraph" w:customStyle="1" w:styleId="t1">
    <w:name w:val="t1"/>
    <w:basedOn w:val="Normal"/>
    <w:uiPriority w:val="99"/>
    <w:rsid w:val="00573679"/>
    <w:pPr>
      <w:overflowPunct w:val="0"/>
      <w:autoSpaceDE w:val="0"/>
      <w:autoSpaceDN w:val="0"/>
      <w:adjustRightInd w:val="0"/>
      <w:spacing w:line="260" w:lineRule="atLeast"/>
      <w:textAlignment w:val="baseline"/>
    </w:pPr>
    <w:rPr>
      <w:rFonts w:ascii="Times New Roman" w:hAnsi="Times New Roman"/>
      <w:sz w:val="24"/>
      <w:szCs w:val="20"/>
    </w:rPr>
  </w:style>
  <w:style w:type="paragraph" w:customStyle="1" w:styleId="t10">
    <w:name w:val="t10"/>
    <w:basedOn w:val="Normal"/>
    <w:uiPriority w:val="99"/>
    <w:rsid w:val="00573679"/>
    <w:pPr>
      <w:overflowPunct w:val="0"/>
      <w:autoSpaceDE w:val="0"/>
      <w:autoSpaceDN w:val="0"/>
      <w:adjustRightInd w:val="0"/>
      <w:spacing w:line="240" w:lineRule="atLeast"/>
      <w:textAlignment w:val="baseline"/>
    </w:pPr>
    <w:rPr>
      <w:rFonts w:ascii="Times New Roman" w:hAnsi="Times New Roman"/>
      <w:sz w:val="24"/>
      <w:szCs w:val="20"/>
    </w:rPr>
  </w:style>
  <w:style w:type="paragraph" w:customStyle="1" w:styleId="p5">
    <w:name w:val="p5"/>
    <w:basedOn w:val="Normal"/>
    <w:uiPriority w:val="99"/>
    <w:rsid w:val="00573679"/>
    <w:pPr>
      <w:overflowPunct w:val="0"/>
      <w:autoSpaceDE w:val="0"/>
      <w:autoSpaceDN w:val="0"/>
      <w:adjustRightInd w:val="0"/>
      <w:spacing w:line="240" w:lineRule="atLeast"/>
      <w:textAlignment w:val="baseline"/>
    </w:pPr>
    <w:rPr>
      <w:rFonts w:ascii="Times New Roman" w:hAnsi="Times New Roman"/>
      <w:sz w:val="24"/>
      <w:szCs w:val="20"/>
    </w:rPr>
  </w:style>
  <w:style w:type="paragraph" w:customStyle="1" w:styleId="t7">
    <w:name w:val="t7"/>
    <w:basedOn w:val="Normal"/>
    <w:uiPriority w:val="99"/>
    <w:rsid w:val="00573679"/>
    <w:pPr>
      <w:overflowPunct w:val="0"/>
      <w:autoSpaceDE w:val="0"/>
      <w:autoSpaceDN w:val="0"/>
      <w:adjustRightInd w:val="0"/>
      <w:spacing w:line="260" w:lineRule="atLeast"/>
      <w:textAlignment w:val="baseline"/>
    </w:pPr>
    <w:rPr>
      <w:rFonts w:ascii="Times New Roman" w:hAnsi="Times New Roman"/>
      <w:sz w:val="24"/>
      <w:szCs w:val="20"/>
    </w:rPr>
  </w:style>
  <w:style w:type="paragraph" w:customStyle="1" w:styleId="OmniPage4876">
    <w:name w:val="OmniPage #4876"/>
    <w:basedOn w:val="Normal"/>
    <w:uiPriority w:val="99"/>
    <w:rsid w:val="00573679"/>
    <w:pPr>
      <w:tabs>
        <w:tab w:val="left" w:pos="1580"/>
      </w:tabs>
      <w:ind w:left="2820" w:right="45" w:hanging="825"/>
      <w:jc w:val="both"/>
    </w:pPr>
    <w:rPr>
      <w:rFonts w:ascii="Arial" w:hAnsi="Arial"/>
      <w:noProof/>
      <w:szCs w:val="20"/>
    </w:rPr>
  </w:style>
  <w:style w:type="paragraph" w:customStyle="1" w:styleId="OmniPage4619">
    <w:name w:val="OmniPage #4619"/>
    <w:basedOn w:val="Normal"/>
    <w:uiPriority w:val="99"/>
    <w:rsid w:val="00573679"/>
    <w:pPr>
      <w:tabs>
        <w:tab w:val="left" w:pos="740"/>
      </w:tabs>
      <w:ind w:left="2010" w:right="60" w:hanging="630"/>
      <w:jc w:val="both"/>
    </w:pPr>
    <w:rPr>
      <w:rFonts w:ascii="Arial" w:hAnsi="Arial"/>
      <w:noProof/>
      <w:szCs w:val="20"/>
    </w:rPr>
  </w:style>
  <w:style w:type="paragraph" w:customStyle="1" w:styleId="p13">
    <w:name w:val="p13"/>
    <w:basedOn w:val="Normal"/>
    <w:uiPriority w:val="99"/>
    <w:rsid w:val="00573679"/>
    <w:pPr>
      <w:tabs>
        <w:tab w:val="left" w:pos="200"/>
      </w:tabs>
      <w:overflowPunct w:val="0"/>
      <w:autoSpaceDE w:val="0"/>
      <w:autoSpaceDN w:val="0"/>
      <w:adjustRightInd w:val="0"/>
      <w:spacing w:line="260" w:lineRule="atLeast"/>
      <w:ind w:left="720" w:hanging="576"/>
      <w:textAlignment w:val="baseline"/>
    </w:pPr>
    <w:rPr>
      <w:rFonts w:ascii="Times New Roman" w:hAnsi="Times New Roman"/>
      <w:sz w:val="24"/>
      <w:szCs w:val="20"/>
    </w:rPr>
  </w:style>
  <w:style w:type="paragraph" w:customStyle="1" w:styleId="OmniPage2">
    <w:name w:val="OmniPage #2"/>
    <w:basedOn w:val="Normal"/>
    <w:uiPriority w:val="99"/>
    <w:rsid w:val="00573679"/>
    <w:pPr>
      <w:tabs>
        <w:tab w:val="left" w:pos="690"/>
        <w:tab w:val="right" w:pos="4871"/>
      </w:tabs>
      <w:ind w:left="1470"/>
    </w:pPr>
    <w:rPr>
      <w:rFonts w:ascii="Arial" w:hAnsi="Arial"/>
      <w:noProof/>
      <w:szCs w:val="20"/>
    </w:rPr>
  </w:style>
  <w:style w:type="paragraph" w:customStyle="1" w:styleId="OmniPage3587">
    <w:name w:val="OmniPage #3587"/>
    <w:basedOn w:val="Normal"/>
    <w:uiPriority w:val="99"/>
    <w:rsid w:val="00573679"/>
    <w:pPr>
      <w:tabs>
        <w:tab w:val="left" w:pos="705"/>
        <w:tab w:val="right" w:pos="9080"/>
      </w:tabs>
      <w:ind w:left="1485"/>
      <w:jc w:val="both"/>
    </w:pPr>
    <w:rPr>
      <w:rFonts w:ascii="Arial" w:hAnsi="Arial"/>
      <w:noProof/>
      <w:szCs w:val="20"/>
    </w:rPr>
  </w:style>
  <w:style w:type="paragraph" w:customStyle="1" w:styleId="OmniPage3842">
    <w:name w:val="OmniPage #3842"/>
    <w:basedOn w:val="Normal"/>
    <w:uiPriority w:val="99"/>
    <w:rsid w:val="00573679"/>
    <w:pPr>
      <w:tabs>
        <w:tab w:val="left" w:pos="755"/>
      </w:tabs>
      <w:ind w:left="2100" w:right="135" w:hanging="645"/>
      <w:jc w:val="both"/>
    </w:pPr>
    <w:rPr>
      <w:rFonts w:ascii="Arial" w:hAnsi="Arial"/>
      <w:noProof/>
      <w:szCs w:val="20"/>
    </w:rPr>
  </w:style>
  <w:style w:type="paragraph" w:customStyle="1" w:styleId="OmniPage3853">
    <w:name w:val="OmniPage #3853"/>
    <w:basedOn w:val="Normal"/>
    <w:uiPriority w:val="99"/>
    <w:rsid w:val="00573679"/>
    <w:pPr>
      <w:tabs>
        <w:tab w:val="left" w:pos="720"/>
        <w:tab w:val="right" w:pos="9112"/>
      </w:tabs>
      <w:ind w:left="1470"/>
      <w:jc w:val="both"/>
    </w:pPr>
    <w:rPr>
      <w:rFonts w:ascii="Arial" w:hAnsi="Arial"/>
      <w:noProof/>
      <w:szCs w:val="20"/>
    </w:rPr>
  </w:style>
  <w:style w:type="paragraph" w:customStyle="1" w:styleId="p18">
    <w:name w:val="p18"/>
    <w:basedOn w:val="Normal"/>
    <w:uiPriority w:val="99"/>
    <w:rsid w:val="00573679"/>
    <w:pPr>
      <w:overflowPunct w:val="0"/>
      <w:autoSpaceDE w:val="0"/>
      <w:autoSpaceDN w:val="0"/>
      <w:adjustRightInd w:val="0"/>
      <w:spacing w:line="240" w:lineRule="atLeast"/>
      <w:ind w:left="576" w:hanging="864"/>
      <w:textAlignment w:val="baseline"/>
    </w:pPr>
    <w:rPr>
      <w:rFonts w:ascii="Times New Roman" w:hAnsi="Times New Roman"/>
      <w:sz w:val="24"/>
      <w:szCs w:val="20"/>
    </w:rPr>
  </w:style>
  <w:style w:type="paragraph" w:customStyle="1" w:styleId="p12">
    <w:name w:val="p12"/>
    <w:basedOn w:val="Normal"/>
    <w:uiPriority w:val="99"/>
    <w:rsid w:val="00573679"/>
    <w:pPr>
      <w:tabs>
        <w:tab w:val="left" w:pos="2200"/>
        <w:tab w:val="left" w:pos="2840"/>
      </w:tabs>
      <w:overflowPunct w:val="0"/>
      <w:autoSpaceDE w:val="0"/>
      <w:autoSpaceDN w:val="0"/>
      <w:adjustRightInd w:val="0"/>
      <w:spacing w:line="260" w:lineRule="atLeast"/>
      <w:ind w:left="1440" w:hanging="720"/>
      <w:textAlignment w:val="baseline"/>
    </w:pPr>
    <w:rPr>
      <w:rFonts w:ascii="Times New Roman" w:hAnsi="Times New Roman"/>
      <w:sz w:val="24"/>
      <w:szCs w:val="20"/>
    </w:rPr>
  </w:style>
  <w:style w:type="paragraph" w:styleId="BodyTextIndent">
    <w:name w:val="Body Text Indent"/>
    <w:basedOn w:val="Normal"/>
    <w:link w:val="BodyTextIndentChar"/>
    <w:uiPriority w:val="99"/>
    <w:rsid w:val="00573679"/>
    <w:pPr>
      <w:overflowPunct w:val="0"/>
      <w:autoSpaceDE w:val="0"/>
      <w:autoSpaceDN w:val="0"/>
      <w:adjustRightInd w:val="0"/>
      <w:spacing w:after="120"/>
      <w:ind w:left="283"/>
      <w:textAlignment w:val="baseline"/>
    </w:pPr>
    <w:rPr>
      <w:rFonts w:ascii="Times New Roman" w:hAnsi="Times New Roman"/>
      <w:szCs w:val="20"/>
    </w:rPr>
  </w:style>
  <w:style w:type="character" w:customStyle="1" w:styleId="BodyTextIndentChar">
    <w:name w:val="Body Text Indent Char"/>
    <w:basedOn w:val="DefaultParagraphFont"/>
    <w:link w:val="BodyTextIndent"/>
    <w:uiPriority w:val="99"/>
    <w:locked/>
    <w:rsid w:val="00573679"/>
    <w:rPr>
      <w:rFonts w:cs="Times New Roman"/>
    </w:rPr>
  </w:style>
  <w:style w:type="paragraph" w:customStyle="1" w:styleId="t9">
    <w:name w:val="t9"/>
    <w:basedOn w:val="Normal"/>
    <w:uiPriority w:val="99"/>
    <w:rsid w:val="00573679"/>
    <w:pPr>
      <w:overflowPunct w:val="0"/>
      <w:autoSpaceDE w:val="0"/>
      <w:autoSpaceDN w:val="0"/>
      <w:adjustRightInd w:val="0"/>
      <w:spacing w:before="120" w:line="520" w:lineRule="atLeast"/>
      <w:ind w:left="357" w:hanging="357"/>
      <w:jc w:val="both"/>
      <w:textAlignment w:val="baseline"/>
      <w:outlineLvl w:val="0"/>
    </w:pPr>
    <w:rPr>
      <w:rFonts w:ascii="Times New Roman" w:hAnsi="Times New Roman" w:cs="Arial"/>
      <w:sz w:val="24"/>
      <w:szCs w:val="22"/>
    </w:rPr>
  </w:style>
  <w:style w:type="paragraph" w:customStyle="1" w:styleId="p19">
    <w:name w:val="p19"/>
    <w:basedOn w:val="Normal"/>
    <w:uiPriority w:val="99"/>
    <w:rsid w:val="00573679"/>
    <w:pPr>
      <w:overflowPunct w:val="0"/>
      <w:autoSpaceDE w:val="0"/>
      <w:autoSpaceDN w:val="0"/>
      <w:spacing w:line="260" w:lineRule="atLeast"/>
    </w:pPr>
    <w:rPr>
      <w:rFonts w:ascii="Times New Roman" w:hAnsi="Times New Roman"/>
      <w:sz w:val="24"/>
    </w:rPr>
  </w:style>
  <w:style w:type="paragraph" w:customStyle="1" w:styleId="04THCCTablehead">
    <w:name w:val="04TH CC Table head"/>
    <w:basedOn w:val="Normal"/>
    <w:autoRedefine/>
    <w:uiPriority w:val="99"/>
    <w:rsid w:val="0058008C"/>
    <w:pPr>
      <w:suppressAutoHyphens/>
      <w:spacing w:after="60"/>
    </w:pPr>
    <w:rPr>
      <w:b/>
      <w:szCs w:val="20"/>
      <w:lang w:eastAsia="en-US"/>
    </w:rPr>
  </w:style>
  <w:style w:type="paragraph" w:customStyle="1" w:styleId="04TCCCTableCentresubhead">
    <w:name w:val="04TC CC Table Centre subhead"/>
    <w:basedOn w:val="Normal"/>
    <w:autoRedefine/>
    <w:uiPriority w:val="99"/>
    <w:rsid w:val="00DD7FEB"/>
    <w:pPr>
      <w:suppressAutoHyphens/>
      <w:spacing w:before="120" w:after="120"/>
      <w:jc w:val="center"/>
    </w:pPr>
    <w:rPr>
      <w:b/>
      <w:szCs w:val="20"/>
      <w:lang w:eastAsia="en-US"/>
    </w:rPr>
  </w:style>
  <w:style w:type="paragraph" w:customStyle="1" w:styleId="04BSCCTableParagraphstyle">
    <w:name w:val="04BS CC Table Paragraph style"/>
    <w:basedOn w:val="Normal"/>
    <w:autoRedefine/>
    <w:uiPriority w:val="99"/>
    <w:rsid w:val="00DD7FEB"/>
    <w:pPr>
      <w:suppressAutoHyphens/>
      <w:spacing w:before="120" w:after="120"/>
      <w:ind w:left="8"/>
    </w:pPr>
    <w:rPr>
      <w:sz w:val="18"/>
      <w:szCs w:val="18"/>
      <w:lang w:eastAsia="en-US"/>
    </w:rPr>
  </w:style>
  <w:style w:type="paragraph" w:customStyle="1" w:styleId="Style1">
    <w:name w:val="Style1"/>
    <w:basedOn w:val="Normal"/>
    <w:link w:val="Style1Char"/>
    <w:autoRedefine/>
    <w:qFormat/>
    <w:rsid w:val="00DB0A8B"/>
    <w:pPr>
      <w:ind w:left="0"/>
    </w:pPr>
    <w:rPr>
      <w:i/>
    </w:rPr>
  </w:style>
  <w:style w:type="character" w:customStyle="1" w:styleId="Style1Char">
    <w:name w:val="Style1 Char"/>
    <w:basedOn w:val="DefaultParagraphFont"/>
    <w:link w:val="Style1"/>
    <w:rsid w:val="00DB0A8B"/>
    <w:rPr>
      <w:rFonts w:ascii="Verdana" w:hAnsi="Verdana"/>
      <w:i/>
      <w:szCs w:val="24"/>
    </w:rPr>
  </w:style>
  <w:style w:type="character" w:customStyle="1" w:styleId="UnresolvedMention1">
    <w:name w:val="Unresolved Mention1"/>
    <w:basedOn w:val="DefaultParagraphFont"/>
    <w:uiPriority w:val="99"/>
    <w:semiHidden/>
    <w:unhideWhenUsed/>
    <w:rsid w:val="00FD4680"/>
    <w:rPr>
      <w:color w:val="605E5C"/>
      <w:shd w:val="clear" w:color="auto" w:fill="E1DFDD"/>
    </w:rPr>
  </w:style>
  <w:style w:type="paragraph" w:styleId="BodyText">
    <w:name w:val="Body Text"/>
    <w:basedOn w:val="Normal"/>
    <w:link w:val="BodyTextChar"/>
    <w:uiPriority w:val="99"/>
    <w:semiHidden/>
    <w:unhideWhenUsed/>
    <w:rsid w:val="0034462C"/>
    <w:pPr>
      <w:spacing w:after="120"/>
    </w:pPr>
  </w:style>
  <w:style w:type="character" w:customStyle="1" w:styleId="BodyTextChar">
    <w:name w:val="Body Text Char"/>
    <w:basedOn w:val="DefaultParagraphFont"/>
    <w:link w:val="BodyText"/>
    <w:uiPriority w:val="99"/>
    <w:semiHidden/>
    <w:rsid w:val="0034462C"/>
    <w:rPr>
      <w:rFonts w:ascii="Verdana" w:hAnsi="Verdana"/>
      <w:szCs w:val="24"/>
    </w:rPr>
  </w:style>
  <w:style w:type="paragraph" w:customStyle="1" w:styleId="TableParagraph">
    <w:name w:val="Table Paragraph"/>
    <w:basedOn w:val="Normal"/>
    <w:uiPriority w:val="1"/>
    <w:qFormat/>
    <w:rsid w:val="007A0330"/>
    <w:pPr>
      <w:widowControl w:val="0"/>
      <w:autoSpaceDE w:val="0"/>
      <w:autoSpaceDN w:val="0"/>
      <w:adjustRightInd w:val="0"/>
      <w:ind w:left="0"/>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141674">
      <w:bodyDiv w:val="1"/>
      <w:marLeft w:val="0"/>
      <w:marRight w:val="0"/>
      <w:marTop w:val="0"/>
      <w:marBottom w:val="0"/>
      <w:divBdr>
        <w:top w:val="none" w:sz="0" w:space="0" w:color="auto"/>
        <w:left w:val="none" w:sz="0" w:space="0" w:color="auto"/>
        <w:bottom w:val="none" w:sz="0" w:space="0" w:color="auto"/>
        <w:right w:val="none" w:sz="0" w:space="0" w:color="auto"/>
      </w:divBdr>
    </w:div>
    <w:div w:id="359625618">
      <w:bodyDiv w:val="1"/>
      <w:marLeft w:val="0"/>
      <w:marRight w:val="0"/>
      <w:marTop w:val="0"/>
      <w:marBottom w:val="0"/>
      <w:divBdr>
        <w:top w:val="none" w:sz="0" w:space="0" w:color="auto"/>
        <w:left w:val="none" w:sz="0" w:space="0" w:color="auto"/>
        <w:bottom w:val="none" w:sz="0" w:space="0" w:color="auto"/>
        <w:right w:val="none" w:sz="0" w:space="0" w:color="auto"/>
      </w:divBdr>
    </w:div>
    <w:div w:id="378672313">
      <w:bodyDiv w:val="1"/>
      <w:marLeft w:val="0"/>
      <w:marRight w:val="0"/>
      <w:marTop w:val="0"/>
      <w:marBottom w:val="0"/>
      <w:divBdr>
        <w:top w:val="none" w:sz="0" w:space="0" w:color="auto"/>
        <w:left w:val="none" w:sz="0" w:space="0" w:color="auto"/>
        <w:bottom w:val="none" w:sz="0" w:space="0" w:color="auto"/>
        <w:right w:val="none" w:sz="0" w:space="0" w:color="auto"/>
      </w:divBdr>
    </w:div>
    <w:div w:id="551618657">
      <w:marLeft w:val="0"/>
      <w:marRight w:val="0"/>
      <w:marTop w:val="0"/>
      <w:marBottom w:val="0"/>
      <w:divBdr>
        <w:top w:val="none" w:sz="0" w:space="0" w:color="auto"/>
        <w:left w:val="none" w:sz="0" w:space="0" w:color="auto"/>
        <w:bottom w:val="none" w:sz="0" w:space="0" w:color="auto"/>
        <w:right w:val="none" w:sz="0" w:space="0" w:color="auto"/>
      </w:divBdr>
    </w:div>
    <w:div w:id="941884826">
      <w:bodyDiv w:val="1"/>
      <w:marLeft w:val="0"/>
      <w:marRight w:val="0"/>
      <w:marTop w:val="0"/>
      <w:marBottom w:val="0"/>
      <w:divBdr>
        <w:top w:val="none" w:sz="0" w:space="0" w:color="auto"/>
        <w:left w:val="none" w:sz="0" w:space="0" w:color="auto"/>
        <w:bottom w:val="none" w:sz="0" w:space="0" w:color="auto"/>
        <w:right w:val="none" w:sz="0" w:space="0" w:color="auto"/>
      </w:divBdr>
    </w:div>
    <w:div w:id="163259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tu@ciosgrowthhub.com"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inance@cornwalldevelopmentcompany.co.uk"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ciosgrowthhub.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EEC03-A8C9-45B1-AB5B-8FE204C8A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2633</Words>
  <Characters>14678</Characters>
  <Application>Microsoft Office Word</Application>
  <DocSecurity>0</DocSecurity>
  <Lines>464</Lines>
  <Paragraphs>169</Paragraphs>
  <ScaleCrop>false</ScaleCrop>
  <HeadingPairs>
    <vt:vector size="2" baseType="variant">
      <vt:variant>
        <vt:lpstr>Title</vt:lpstr>
      </vt:variant>
      <vt:variant>
        <vt:i4>1</vt:i4>
      </vt:variant>
    </vt:vector>
  </HeadingPairs>
  <TitlesOfParts>
    <vt:vector size="1" baseType="lpstr">
      <vt:lpstr>Invitation to tender for Phase 1 and Phase 2 Habitat Survey and Ecological Impact Assessment</vt:lpstr>
    </vt:vector>
  </TitlesOfParts>
  <Company>Information Services</Company>
  <LinksUpToDate>false</LinksUpToDate>
  <CharactersWithSpaces>17230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for Phase 1 and Phase 2 Habitat Survey and Ecological Impact Assessment</dc:title>
  <dc:creator>Information Services Group</dc:creator>
  <cp:lastModifiedBy>Kirsty Miles-Musgrave</cp:lastModifiedBy>
  <cp:revision>5</cp:revision>
  <cp:lastPrinted>2017-03-14T15:55:00Z</cp:lastPrinted>
  <dcterms:created xsi:type="dcterms:W3CDTF">2018-12-05T12:53:00Z</dcterms:created>
  <dcterms:modified xsi:type="dcterms:W3CDTF">2018-12-05T13:20:00Z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