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Schedule 18 (Background Checks) </w:t>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the Contract. </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Relevant Convictions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 check with the records held by the Department for Education (DfE);</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thorough questioning regarding any Relevant Convictions; and</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12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0"/>
          <w:szCs w:val="2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F">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4"/>
          <w:szCs w:val="24"/>
        </w:rPr>
      </w:pPr>
      <w:r w:rsidDel="00000000" w:rsidR="00000000" w:rsidRPr="00000000">
        <w:rPr>
          <w:rFonts w:ascii="Arial" w:cs="Arial" w:eastAsia="Arial" w:hAnsi="Arial"/>
          <w:b w:val="1"/>
          <w:color w:val="222222"/>
          <w:highlight w:val="white"/>
          <w:rtl w:val="0"/>
        </w:rPr>
        <w:t xml:space="preserve">The definition for relevant convictions can be found in Order Schedule 9 (Security Management)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RM6126 - Research &amp; Insights DPS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v1.0</w:t>
    </w:r>
    <w:bookmarkStart w:colFirst="0" w:colLast="0" w:name="bookmark=id.3znysh7" w:id="3"/>
    <w:bookmarkEnd w:id="3"/>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DPS Ref: RM</w:t>
      <w:tab/>
      <w:t xml:space="preserve">                                           </w:t>
    </w:r>
  </w:p>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Schedule 18 (Background Checks)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Order Ref:</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2021</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clear" w:pos="1996"/>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character" w:styleId="GPSL2NumberedBoldHeadingChar" w:customStyle="1">
    <w:name w:val="GPS L2 Numbered Bold Heading Char"/>
    <w:link w:val="GPSL2NumberedBoldHeading"/>
    <w:rsid w:val="00633ACA"/>
    <w:rPr>
      <w:rFonts w:ascii="Calibri" w:cs="Arial" w:eastAsia="Times New Roman" w:hAnsi="Calibri"/>
      <w:lang w:eastAsia="zh-CN"/>
    </w:rPr>
  </w:style>
  <w:style w:type="paragraph" w:styleId="GPSL3Indent" w:customStyle="1">
    <w:name w:val="GPS L3 Indent"/>
    <w:basedOn w:val="Normal"/>
    <w:rsid w:val="00633ACA"/>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9oVh1jbkMU0gt1wIPT17xw0gQ==">CgMxLjAyCGguZ2pkZ3hzMgloLjMwajB6bGwyCWguMWZvYjl0ZTIKaWQuM3pueXNoNzgAciExeUxYREZUcDViaGxmaTR6eGpJaDFmT3FnYnc5R0xVMkw=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2019-04-10T22:59:00Z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