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84D25" w:rsidRPr="002C4984" w:rsidRDefault="002B38FD">
      <w:pPr>
        <w:spacing w:after="101" w:line="259" w:lineRule="auto"/>
        <w:ind w:left="0" w:firstLine="0"/>
        <w:jc w:val="left"/>
        <w:rPr>
          <w:rFonts w:ascii="Arial" w:hAnsi="Arial" w:cs="Arial"/>
          <w:sz w:val="22"/>
        </w:rPr>
      </w:pPr>
      <w:r w:rsidRPr="002C4984">
        <w:rPr>
          <w:rFonts w:ascii="Arial" w:hAnsi="Arial" w:cs="Arial"/>
          <w:sz w:val="22"/>
        </w:rPr>
        <w:t>Order Form</w:t>
      </w:r>
    </w:p>
    <w:tbl>
      <w:tblPr>
        <w:tblStyle w:val="TableGrid"/>
        <w:tblW w:w="6869" w:type="dxa"/>
        <w:tblInd w:w="0" w:type="dxa"/>
        <w:tblCellMar>
          <w:top w:w="13" w:type="dxa"/>
        </w:tblCellMar>
        <w:tblLook w:val="04A0" w:firstRow="1" w:lastRow="0" w:firstColumn="1" w:lastColumn="0" w:noHBand="0" w:noVBand="1"/>
      </w:tblPr>
      <w:tblGrid>
        <w:gridCol w:w="3269"/>
        <w:gridCol w:w="3600"/>
      </w:tblGrid>
      <w:tr w:rsidR="00E84D25" w:rsidRPr="002C4984">
        <w:trPr>
          <w:trHeight w:val="484"/>
        </w:trPr>
        <w:tc>
          <w:tcPr>
            <w:tcW w:w="3269"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hAnsi="Arial" w:cs="Arial"/>
                <w:sz w:val="22"/>
              </w:rPr>
              <w:t>CALL-OFF REFERENCE:</w:t>
            </w:r>
          </w:p>
        </w:tc>
        <w:tc>
          <w:tcPr>
            <w:tcW w:w="3600" w:type="dxa"/>
            <w:tcBorders>
              <w:top w:val="nil"/>
              <w:left w:val="nil"/>
              <w:bottom w:val="nil"/>
              <w:right w:val="nil"/>
            </w:tcBorders>
          </w:tcPr>
          <w:p w:rsidR="00E84D25" w:rsidRPr="002C4984" w:rsidRDefault="002B38FD">
            <w:pPr>
              <w:spacing w:after="0" w:line="259" w:lineRule="auto"/>
              <w:ind w:left="0" w:firstLine="0"/>
              <w:jc w:val="left"/>
              <w:rPr>
                <w:rFonts w:ascii="Arial" w:hAnsi="Arial" w:cs="Arial"/>
                <w:sz w:val="22"/>
              </w:rPr>
            </w:pPr>
            <w:r w:rsidRPr="002C4984">
              <w:rPr>
                <w:rFonts w:ascii="Arial" w:hAnsi="Arial" w:cs="Arial"/>
                <w:sz w:val="22"/>
              </w:rPr>
              <w:t>CCDE23A11</w:t>
            </w:r>
          </w:p>
        </w:tc>
      </w:tr>
      <w:tr w:rsidR="00E84D25" w:rsidRPr="002C4984">
        <w:trPr>
          <w:trHeight w:val="552"/>
        </w:trPr>
        <w:tc>
          <w:tcPr>
            <w:tcW w:w="3269" w:type="dxa"/>
            <w:tcBorders>
              <w:top w:val="nil"/>
              <w:left w:val="nil"/>
              <w:bottom w:val="nil"/>
              <w:right w:val="nil"/>
            </w:tcBorders>
            <w:vAlign w:val="bottom"/>
          </w:tcPr>
          <w:p w:rsidR="00E84D25" w:rsidRPr="002C4984" w:rsidRDefault="002B38FD">
            <w:pPr>
              <w:spacing w:after="0" w:line="259" w:lineRule="auto"/>
              <w:ind w:left="0" w:firstLine="0"/>
              <w:jc w:val="left"/>
              <w:rPr>
                <w:rFonts w:ascii="Arial" w:hAnsi="Arial" w:cs="Arial"/>
                <w:sz w:val="22"/>
              </w:rPr>
            </w:pPr>
            <w:r w:rsidRPr="002C4984">
              <w:rPr>
                <w:rFonts w:ascii="Arial" w:hAnsi="Arial" w:cs="Arial"/>
                <w:sz w:val="22"/>
              </w:rPr>
              <w:t>THE BUYER.</w:t>
            </w:r>
          </w:p>
        </w:tc>
        <w:tc>
          <w:tcPr>
            <w:tcW w:w="3600" w:type="dxa"/>
            <w:tcBorders>
              <w:top w:val="nil"/>
              <w:left w:val="nil"/>
              <w:bottom w:val="nil"/>
              <w:right w:val="nil"/>
            </w:tcBorders>
            <w:vAlign w:val="bottom"/>
          </w:tcPr>
          <w:p w:rsidR="00E84D25" w:rsidRPr="002C4984" w:rsidRDefault="002B38FD">
            <w:pPr>
              <w:spacing w:after="0" w:line="259" w:lineRule="auto"/>
              <w:ind w:left="10" w:firstLine="0"/>
              <w:jc w:val="left"/>
              <w:rPr>
                <w:rFonts w:ascii="Arial" w:hAnsi="Arial" w:cs="Arial"/>
                <w:sz w:val="22"/>
              </w:rPr>
            </w:pPr>
            <w:r w:rsidRPr="002C4984">
              <w:rPr>
                <w:rFonts w:ascii="Arial" w:hAnsi="Arial" w:cs="Arial"/>
                <w:sz w:val="22"/>
              </w:rPr>
              <w:t>UK Export Finance</w:t>
            </w:r>
          </w:p>
        </w:tc>
      </w:tr>
      <w:tr w:rsidR="00E84D25" w:rsidRPr="002C4984">
        <w:trPr>
          <w:trHeight w:val="721"/>
        </w:trPr>
        <w:tc>
          <w:tcPr>
            <w:tcW w:w="3269" w:type="dxa"/>
            <w:tcBorders>
              <w:top w:val="nil"/>
              <w:left w:val="nil"/>
              <w:bottom w:val="nil"/>
              <w:right w:val="nil"/>
            </w:tcBorders>
          </w:tcPr>
          <w:p w:rsidR="00E84D25" w:rsidRPr="002C4984" w:rsidRDefault="002B38FD">
            <w:pPr>
              <w:spacing w:after="0" w:line="259" w:lineRule="auto"/>
              <w:ind w:left="10" w:firstLine="0"/>
              <w:jc w:val="left"/>
              <w:rPr>
                <w:rFonts w:ascii="Arial" w:hAnsi="Arial" w:cs="Arial"/>
                <w:sz w:val="22"/>
              </w:rPr>
            </w:pPr>
            <w:r w:rsidRPr="002C4984">
              <w:rPr>
                <w:rFonts w:ascii="Arial" w:hAnsi="Arial" w:cs="Arial"/>
                <w:sz w:val="22"/>
              </w:rPr>
              <w:t>BUYER ADDRESS</w:t>
            </w:r>
          </w:p>
        </w:tc>
        <w:tc>
          <w:tcPr>
            <w:tcW w:w="3600" w:type="dxa"/>
            <w:tcBorders>
              <w:top w:val="nil"/>
              <w:left w:val="nil"/>
              <w:bottom w:val="nil"/>
              <w:right w:val="nil"/>
            </w:tcBorders>
          </w:tcPr>
          <w:p w:rsidR="00E84D25" w:rsidRPr="002C4984" w:rsidRDefault="002B38FD">
            <w:pPr>
              <w:spacing w:after="64" w:line="259" w:lineRule="auto"/>
              <w:ind w:left="14" w:firstLine="0"/>
              <w:jc w:val="left"/>
              <w:rPr>
                <w:rFonts w:ascii="Arial" w:hAnsi="Arial" w:cs="Arial"/>
                <w:sz w:val="22"/>
              </w:rPr>
            </w:pPr>
            <w:r w:rsidRPr="002C4984">
              <w:rPr>
                <w:rFonts w:ascii="Arial" w:hAnsi="Arial" w:cs="Arial"/>
                <w:sz w:val="22"/>
              </w:rPr>
              <w:t>1 Horse Guards Road,</w:t>
            </w:r>
          </w:p>
          <w:p w:rsidR="00E84D25" w:rsidRPr="002C4984" w:rsidRDefault="002B38FD">
            <w:pPr>
              <w:spacing w:after="0" w:line="259" w:lineRule="auto"/>
              <w:ind w:left="10" w:firstLine="0"/>
              <w:jc w:val="left"/>
              <w:rPr>
                <w:rFonts w:ascii="Arial" w:hAnsi="Arial" w:cs="Arial"/>
                <w:sz w:val="22"/>
              </w:rPr>
            </w:pPr>
            <w:r w:rsidRPr="002C4984">
              <w:rPr>
                <w:rFonts w:ascii="Arial" w:hAnsi="Arial" w:cs="Arial"/>
                <w:sz w:val="22"/>
              </w:rPr>
              <w:t>London, Middlesex, SWIA 2HQ</w:t>
            </w:r>
          </w:p>
        </w:tc>
      </w:tr>
      <w:tr w:rsidR="00E84D25" w:rsidRPr="002C4984">
        <w:trPr>
          <w:trHeight w:val="376"/>
        </w:trPr>
        <w:tc>
          <w:tcPr>
            <w:tcW w:w="3269" w:type="dxa"/>
            <w:tcBorders>
              <w:top w:val="nil"/>
              <w:left w:val="nil"/>
              <w:bottom w:val="nil"/>
              <w:right w:val="nil"/>
            </w:tcBorders>
          </w:tcPr>
          <w:p w:rsidR="00E84D25" w:rsidRPr="002C4984" w:rsidRDefault="002B38FD">
            <w:pPr>
              <w:spacing w:after="0" w:line="259" w:lineRule="auto"/>
              <w:ind w:left="0" w:firstLine="0"/>
              <w:jc w:val="left"/>
              <w:rPr>
                <w:rFonts w:ascii="Arial" w:hAnsi="Arial" w:cs="Arial"/>
                <w:sz w:val="22"/>
              </w:rPr>
            </w:pPr>
            <w:r w:rsidRPr="002C4984">
              <w:rPr>
                <w:rFonts w:ascii="Arial" w:hAnsi="Arial" w:cs="Arial"/>
                <w:sz w:val="22"/>
              </w:rPr>
              <w:t>THE SUPPLIER.</w:t>
            </w:r>
          </w:p>
        </w:tc>
        <w:tc>
          <w:tcPr>
            <w:tcW w:w="3600" w:type="dxa"/>
            <w:tcBorders>
              <w:top w:val="nil"/>
              <w:left w:val="nil"/>
              <w:bottom w:val="nil"/>
              <w:right w:val="nil"/>
            </w:tcBorders>
          </w:tcPr>
          <w:p w:rsidR="00E84D25" w:rsidRPr="002C4984" w:rsidRDefault="002B38FD">
            <w:pPr>
              <w:spacing w:after="0" w:line="259" w:lineRule="auto"/>
              <w:ind w:left="10" w:firstLine="0"/>
              <w:jc w:val="left"/>
              <w:rPr>
                <w:rFonts w:ascii="Arial" w:hAnsi="Arial" w:cs="Arial"/>
                <w:sz w:val="22"/>
              </w:rPr>
            </w:pPr>
            <w:r w:rsidRPr="002C4984">
              <w:rPr>
                <w:rFonts w:ascii="Arial" w:hAnsi="Arial" w:cs="Arial"/>
                <w:sz w:val="22"/>
              </w:rPr>
              <w:t>KPMG</w:t>
            </w:r>
          </w:p>
        </w:tc>
      </w:tr>
      <w:tr w:rsidR="00E84D25" w:rsidRPr="002C4984">
        <w:trPr>
          <w:trHeight w:val="354"/>
        </w:trPr>
        <w:tc>
          <w:tcPr>
            <w:tcW w:w="3269"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hAnsi="Arial" w:cs="Arial"/>
                <w:sz w:val="22"/>
              </w:rPr>
              <w:t>SUPPLIER ADDRESS:</w:t>
            </w:r>
          </w:p>
        </w:tc>
        <w:tc>
          <w:tcPr>
            <w:tcW w:w="3600" w:type="dxa"/>
            <w:tcBorders>
              <w:top w:val="nil"/>
              <w:left w:val="nil"/>
              <w:bottom w:val="nil"/>
              <w:right w:val="nil"/>
            </w:tcBorders>
          </w:tcPr>
          <w:p w:rsidR="00E84D25" w:rsidRPr="002C4984" w:rsidRDefault="002B38FD">
            <w:pPr>
              <w:spacing w:after="0" w:line="259" w:lineRule="auto"/>
              <w:ind w:left="19" w:firstLine="0"/>
              <w:rPr>
                <w:rFonts w:ascii="Arial" w:hAnsi="Arial" w:cs="Arial"/>
                <w:sz w:val="22"/>
              </w:rPr>
            </w:pPr>
            <w:r w:rsidRPr="002C4984">
              <w:rPr>
                <w:rFonts w:ascii="Arial" w:hAnsi="Arial" w:cs="Arial"/>
                <w:sz w:val="22"/>
              </w:rPr>
              <w:t>15 Canada Square, London E 14 5GL</w:t>
            </w:r>
          </w:p>
        </w:tc>
      </w:tr>
      <w:tr w:rsidR="00E84D25" w:rsidRPr="002C4984">
        <w:trPr>
          <w:trHeight w:val="360"/>
        </w:trPr>
        <w:tc>
          <w:tcPr>
            <w:tcW w:w="3269" w:type="dxa"/>
            <w:tcBorders>
              <w:top w:val="nil"/>
              <w:left w:val="nil"/>
              <w:bottom w:val="nil"/>
              <w:right w:val="nil"/>
            </w:tcBorders>
          </w:tcPr>
          <w:p w:rsidR="00E84D25" w:rsidRPr="002C4984" w:rsidRDefault="002B38FD">
            <w:pPr>
              <w:spacing w:after="0" w:line="259" w:lineRule="auto"/>
              <w:ind w:left="10" w:firstLine="0"/>
              <w:jc w:val="left"/>
              <w:rPr>
                <w:rFonts w:ascii="Arial" w:hAnsi="Arial" w:cs="Arial"/>
                <w:sz w:val="22"/>
              </w:rPr>
            </w:pPr>
            <w:r w:rsidRPr="002C4984">
              <w:rPr>
                <w:rFonts w:ascii="Arial" w:hAnsi="Arial" w:cs="Arial"/>
                <w:sz w:val="22"/>
              </w:rPr>
              <w:t>REGISTRATION NUMBER</w:t>
            </w:r>
            <w:r w:rsidRPr="002C4984">
              <w:rPr>
                <w:rFonts w:ascii="Arial" w:hAnsi="Arial" w:cs="Arial"/>
                <w:noProof/>
                <w:sz w:val="22"/>
              </w:rPr>
              <w:drawing>
                <wp:inline distT="0" distB="0" distL="0" distR="0">
                  <wp:extent cx="18288" cy="12195"/>
                  <wp:effectExtent l="0" t="0" r="0" b="0"/>
                  <wp:docPr id="2593" name="Picture 2593"/>
                  <wp:cNvGraphicFramePr/>
                  <a:graphic xmlns:a="http://schemas.openxmlformats.org/drawingml/2006/main">
                    <a:graphicData uri="http://schemas.openxmlformats.org/drawingml/2006/picture">
                      <pic:pic xmlns:pic="http://schemas.openxmlformats.org/drawingml/2006/picture">
                        <pic:nvPicPr>
                          <pic:cNvPr id="2593" name="Picture 2593"/>
                          <pic:cNvPicPr/>
                        </pic:nvPicPr>
                        <pic:blipFill>
                          <a:blip r:embed="rId7"/>
                          <a:stretch>
                            <a:fillRect/>
                          </a:stretch>
                        </pic:blipFill>
                        <pic:spPr>
                          <a:xfrm>
                            <a:off x="0" y="0"/>
                            <a:ext cx="18288" cy="12195"/>
                          </a:xfrm>
                          <a:prstGeom prst="rect">
                            <a:avLst/>
                          </a:prstGeom>
                        </pic:spPr>
                      </pic:pic>
                    </a:graphicData>
                  </a:graphic>
                </wp:inline>
              </w:drawing>
            </w:r>
            <w:r w:rsidRPr="002C4984">
              <w:rPr>
                <w:rFonts w:ascii="Arial" w:hAnsi="Arial" w:cs="Arial"/>
                <w:noProof/>
                <w:sz w:val="22"/>
              </w:rPr>
              <w:drawing>
                <wp:inline distT="0" distB="0" distL="0" distR="0">
                  <wp:extent cx="18288" cy="24391"/>
                  <wp:effectExtent l="0" t="0" r="0" b="0"/>
                  <wp:docPr id="2594" name="Picture 2594"/>
                  <wp:cNvGraphicFramePr/>
                  <a:graphic xmlns:a="http://schemas.openxmlformats.org/drawingml/2006/main">
                    <a:graphicData uri="http://schemas.openxmlformats.org/drawingml/2006/picture">
                      <pic:pic xmlns:pic="http://schemas.openxmlformats.org/drawingml/2006/picture">
                        <pic:nvPicPr>
                          <pic:cNvPr id="2594" name="Picture 2594"/>
                          <pic:cNvPicPr/>
                        </pic:nvPicPr>
                        <pic:blipFill>
                          <a:blip r:embed="rId8"/>
                          <a:stretch>
                            <a:fillRect/>
                          </a:stretch>
                        </pic:blipFill>
                        <pic:spPr>
                          <a:xfrm>
                            <a:off x="0" y="0"/>
                            <a:ext cx="18288" cy="24391"/>
                          </a:xfrm>
                          <a:prstGeom prst="rect">
                            <a:avLst/>
                          </a:prstGeom>
                        </pic:spPr>
                      </pic:pic>
                    </a:graphicData>
                  </a:graphic>
                </wp:inline>
              </w:drawing>
            </w:r>
          </w:p>
        </w:tc>
        <w:tc>
          <w:tcPr>
            <w:tcW w:w="3600" w:type="dxa"/>
            <w:tcBorders>
              <w:top w:val="nil"/>
              <w:left w:val="nil"/>
              <w:bottom w:val="nil"/>
              <w:right w:val="nil"/>
            </w:tcBorders>
          </w:tcPr>
          <w:p w:rsidR="00E84D25" w:rsidRPr="002C4984" w:rsidRDefault="002B38FD">
            <w:pPr>
              <w:spacing w:after="0" w:line="259" w:lineRule="auto"/>
              <w:ind w:left="10" w:firstLine="0"/>
              <w:jc w:val="left"/>
              <w:rPr>
                <w:rFonts w:ascii="Arial" w:hAnsi="Arial" w:cs="Arial"/>
                <w:sz w:val="22"/>
              </w:rPr>
            </w:pPr>
            <w:r w:rsidRPr="002C4984">
              <w:rPr>
                <w:rFonts w:ascii="Arial" w:eastAsia="Courier New" w:hAnsi="Arial" w:cs="Arial"/>
                <w:sz w:val="22"/>
              </w:rPr>
              <w:t>OC301540</w:t>
            </w:r>
          </w:p>
        </w:tc>
      </w:tr>
      <w:tr w:rsidR="00E84D25" w:rsidRPr="002C4984">
        <w:trPr>
          <w:trHeight w:val="259"/>
        </w:trPr>
        <w:tc>
          <w:tcPr>
            <w:tcW w:w="3269"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hAnsi="Arial" w:cs="Arial"/>
                <w:sz w:val="22"/>
              </w:rPr>
              <w:t>DUNS NUMBER:</w:t>
            </w:r>
          </w:p>
        </w:tc>
        <w:tc>
          <w:tcPr>
            <w:tcW w:w="3600"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eastAsia="Times New Roman" w:hAnsi="Arial" w:cs="Arial"/>
                <w:sz w:val="22"/>
              </w:rPr>
              <w:t>001667906</w:t>
            </w:r>
          </w:p>
        </w:tc>
      </w:tr>
    </w:tbl>
    <w:p w:rsidR="00E84D25" w:rsidRPr="002C4984" w:rsidRDefault="00E84D25">
      <w:pPr>
        <w:rPr>
          <w:rFonts w:ascii="Arial" w:hAnsi="Arial" w:cs="Arial"/>
          <w:sz w:val="22"/>
        </w:rPr>
        <w:sectPr w:rsidR="00E84D25" w:rsidRPr="002C4984">
          <w:footerReference w:type="even" r:id="rId9"/>
          <w:footerReference w:type="default" r:id="rId10"/>
          <w:footerReference w:type="first" r:id="rId11"/>
          <w:pgSz w:w="11904" w:h="16829"/>
          <w:pgMar w:top="1844" w:right="8635" w:bottom="2385" w:left="1891" w:header="720" w:footer="1407" w:gutter="0"/>
          <w:cols w:space="720"/>
        </w:sectPr>
      </w:pPr>
    </w:p>
    <w:p w:rsidR="00E84D25" w:rsidRPr="002C4984" w:rsidRDefault="002B38FD">
      <w:pPr>
        <w:spacing w:after="49"/>
        <w:ind w:left="106" w:right="115" w:hanging="10"/>
        <w:jc w:val="left"/>
        <w:rPr>
          <w:rFonts w:ascii="Arial" w:hAnsi="Arial" w:cs="Arial"/>
          <w:sz w:val="22"/>
        </w:rPr>
      </w:pPr>
      <w:r w:rsidRPr="002C4984">
        <w:rPr>
          <w:rFonts w:ascii="Arial" w:hAnsi="Arial" w:cs="Arial"/>
          <w:sz w:val="22"/>
        </w:rPr>
        <w:t>Applicable framework contract</w:t>
      </w:r>
    </w:p>
    <w:p w:rsidR="00E84D25" w:rsidRPr="002C4984" w:rsidRDefault="002B38FD">
      <w:pPr>
        <w:spacing w:after="55"/>
        <w:ind w:right="91"/>
        <w:rPr>
          <w:rFonts w:ascii="Arial" w:hAnsi="Arial" w:cs="Arial"/>
          <w:sz w:val="22"/>
        </w:rPr>
      </w:pPr>
      <w:r w:rsidRPr="002C4984">
        <w:rPr>
          <w:rFonts w:ascii="Arial" w:hAnsi="Arial" w:cs="Arial"/>
          <w:sz w:val="22"/>
        </w:rPr>
        <w:t>This Order Form is for the provision of the Call-Off Deliverables and dated to be confirmed at award.</w:t>
      </w:r>
    </w:p>
    <w:p w:rsidR="00E84D25" w:rsidRPr="002C4984" w:rsidRDefault="002B38FD">
      <w:pPr>
        <w:spacing w:after="388"/>
        <w:ind w:right="91"/>
        <w:rPr>
          <w:rFonts w:ascii="Arial" w:hAnsi="Arial" w:cs="Arial"/>
          <w:sz w:val="22"/>
        </w:rPr>
      </w:pPr>
      <w:r w:rsidRPr="002C4984">
        <w:rPr>
          <w:rFonts w:ascii="Arial" w:hAnsi="Arial" w:cs="Arial"/>
          <w:sz w:val="22"/>
        </w:rPr>
        <w:t>It's issued under the Framework Contract with the reference number RM6187 for the provision of Financial Reporting Changes - Accounting and Actuarial Advice.</w:t>
      </w:r>
    </w:p>
    <w:p w:rsidR="00E84D25" w:rsidRPr="002C4984" w:rsidRDefault="002B38FD">
      <w:pPr>
        <w:spacing w:line="259" w:lineRule="auto"/>
        <w:ind w:hanging="10"/>
        <w:jc w:val="left"/>
        <w:rPr>
          <w:rFonts w:ascii="Arial" w:hAnsi="Arial" w:cs="Arial"/>
          <w:sz w:val="22"/>
        </w:rPr>
      </w:pPr>
      <w:r w:rsidRPr="002C4984">
        <w:rPr>
          <w:rFonts w:ascii="Arial" w:hAnsi="Arial" w:cs="Arial"/>
          <w:sz w:val="22"/>
        </w:rPr>
        <w:t>CALL-OFF LOT:</w:t>
      </w:r>
    </w:p>
    <w:p w:rsidR="00E84D25" w:rsidRPr="002C4984" w:rsidRDefault="002B38FD">
      <w:pPr>
        <w:spacing w:after="397"/>
        <w:ind w:left="101" w:right="115" w:hanging="10"/>
        <w:jc w:val="left"/>
        <w:rPr>
          <w:rFonts w:ascii="Arial" w:hAnsi="Arial" w:cs="Arial"/>
          <w:sz w:val="22"/>
        </w:rPr>
      </w:pPr>
      <w:r w:rsidRPr="002C4984">
        <w:rPr>
          <w:rFonts w:ascii="Arial" w:hAnsi="Arial" w:cs="Arial"/>
          <w:sz w:val="22"/>
        </w:rPr>
        <w:t>Lot 4 — Finance</w:t>
      </w:r>
    </w:p>
    <w:p w:rsidR="00E84D25" w:rsidRPr="002C4984" w:rsidRDefault="002B38FD">
      <w:pPr>
        <w:spacing w:after="31"/>
        <w:ind w:left="92" w:right="115" w:hanging="10"/>
        <w:jc w:val="left"/>
        <w:rPr>
          <w:rFonts w:ascii="Arial" w:hAnsi="Arial" w:cs="Arial"/>
          <w:sz w:val="22"/>
        </w:rPr>
      </w:pPr>
      <w:r w:rsidRPr="002C4984">
        <w:rPr>
          <w:rFonts w:ascii="Arial" w:hAnsi="Arial" w:cs="Arial"/>
          <w:sz w:val="22"/>
        </w:rPr>
        <w:t>Call-off incorporated terms</w:t>
      </w:r>
    </w:p>
    <w:p w:rsidR="00E84D25" w:rsidRPr="002C4984" w:rsidRDefault="002B38FD">
      <w:pPr>
        <w:spacing w:after="34"/>
        <w:ind w:left="77" w:right="91"/>
        <w:rPr>
          <w:rFonts w:ascii="Arial" w:hAnsi="Arial" w:cs="Arial"/>
          <w:sz w:val="22"/>
        </w:rPr>
      </w:pPr>
      <w:r w:rsidRPr="002C4984">
        <w:rPr>
          <w:rFonts w:ascii="Arial" w:hAnsi="Arial" w:cs="Arial"/>
          <w:sz w:val="22"/>
        </w:rPr>
        <w:t>The following documents are incorporated into this Call-Off Contract.</w:t>
      </w:r>
    </w:p>
    <w:p w:rsidR="00E84D25" w:rsidRPr="002C4984" w:rsidRDefault="002B38FD">
      <w:pPr>
        <w:spacing w:after="57"/>
        <w:ind w:left="82" w:right="115" w:hanging="10"/>
        <w:jc w:val="left"/>
        <w:rPr>
          <w:rFonts w:ascii="Arial" w:hAnsi="Arial" w:cs="Arial"/>
          <w:sz w:val="22"/>
        </w:rPr>
      </w:pPr>
      <w:r w:rsidRPr="002C4984">
        <w:rPr>
          <w:rFonts w:ascii="Arial" w:hAnsi="Arial" w:cs="Arial"/>
          <w:sz w:val="22"/>
        </w:rPr>
        <w:t xml:space="preserve">Where schedules are missing, those schedules are not part of the agreement and </w:t>
      </w:r>
      <w:r w:rsidR="00DA3690" w:rsidRPr="002C4984">
        <w:rPr>
          <w:rFonts w:ascii="Arial" w:hAnsi="Arial" w:cs="Arial"/>
          <w:sz w:val="22"/>
        </w:rPr>
        <w:t>cannot</w:t>
      </w:r>
      <w:r w:rsidRPr="002C4984">
        <w:rPr>
          <w:rFonts w:ascii="Arial" w:hAnsi="Arial" w:cs="Arial"/>
          <w:sz w:val="22"/>
        </w:rPr>
        <w:t xml:space="preserve"> be used.</w:t>
      </w:r>
    </w:p>
    <w:p w:rsidR="00E84D25" w:rsidRPr="002C4984" w:rsidRDefault="002B38FD">
      <w:pPr>
        <w:spacing w:after="56"/>
        <w:ind w:left="82" w:right="91"/>
        <w:rPr>
          <w:rFonts w:ascii="Arial" w:hAnsi="Arial" w:cs="Arial"/>
          <w:sz w:val="22"/>
        </w:rPr>
      </w:pPr>
      <w:r w:rsidRPr="002C4984">
        <w:rPr>
          <w:rFonts w:ascii="Arial" w:hAnsi="Arial" w:cs="Arial"/>
          <w:sz w:val="22"/>
        </w:rPr>
        <w:t>If the documents conflict, the following order of precedence applies:</w:t>
      </w:r>
      <w:r w:rsidRPr="002C4984">
        <w:rPr>
          <w:rFonts w:ascii="Arial" w:hAnsi="Arial" w:cs="Arial"/>
          <w:noProof/>
          <w:sz w:val="22"/>
        </w:rPr>
        <w:drawing>
          <wp:inline distT="0" distB="0" distL="0" distR="0">
            <wp:extent cx="9144" cy="6098"/>
            <wp:effectExtent l="0" t="0" r="0" b="0"/>
            <wp:docPr id="2595" name="Picture 2595"/>
            <wp:cNvGraphicFramePr/>
            <a:graphic xmlns:a="http://schemas.openxmlformats.org/drawingml/2006/main">
              <a:graphicData uri="http://schemas.openxmlformats.org/drawingml/2006/picture">
                <pic:pic xmlns:pic="http://schemas.openxmlformats.org/drawingml/2006/picture">
                  <pic:nvPicPr>
                    <pic:cNvPr id="2595" name="Picture 2595"/>
                    <pic:cNvPicPr/>
                  </pic:nvPicPr>
                  <pic:blipFill>
                    <a:blip r:embed="rId12"/>
                    <a:stretch>
                      <a:fillRect/>
                    </a:stretch>
                  </pic:blipFill>
                  <pic:spPr>
                    <a:xfrm>
                      <a:off x="0" y="0"/>
                      <a:ext cx="9144" cy="6098"/>
                    </a:xfrm>
                    <a:prstGeom prst="rect">
                      <a:avLst/>
                    </a:prstGeom>
                  </pic:spPr>
                </pic:pic>
              </a:graphicData>
            </a:graphic>
          </wp:inline>
        </w:drawing>
      </w:r>
    </w:p>
    <w:p w:rsidR="00E84D25" w:rsidRPr="002C4984" w:rsidRDefault="00DA3690">
      <w:pPr>
        <w:spacing w:after="27"/>
        <w:ind w:left="720" w:right="115" w:hanging="312"/>
        <w:jc w:val="left"/>
        <w:rPr>
          <w:rFonts w:ascii="Arial" w:hAnsi="Arial" w:cs="Arial"/>
          <w:sz w:val="22"/>
        </w:rPr>
      </w:pPr>
      <w:r w:rsidRPr="002C4984">
        <w:rPr>
          <w:rFonts w:ascii="Arial" w:hAnsi="Arial" w:cs="Arial"/>
          <w:sz w:val="22"/>
        </w:rPr>
        <w:t>1.</w:t>
      </w:r>
      <w:r w:rsidR="002B38FD" w:rsidRPr="002C4984">
        <w:rPr>
          <w:rFonts w:ascii="Arial" w:hAnsi="Arial" w:cs="Arial"/>
          <w:sz w:val="22"/>
        </w:rPr>
        <w:t xml:space="preserve"> This Order Form includes the Call-Off Special Terms and Call-Off Special Schedules.</w:t>
      </w:r>
    </w:p>
    <w:p w:rsidR="00E84D25" w:rsidRPr="002C4984" w:rsidRDefault="002B38FD">
      <w:pPr>
        <w:numPr>
          <w:ilvl w:val="0"/>
          <w:numId w:val="1"/>
        </w:numPr>
        <w:ind w:right="91" w:hanging="336"/>
        <w:rPr>
          <w:rFonts w:ascii="Arial" w:hAnsi="Arial" w:cs="Arial"/>
          <w:sz w:val="22"/>
        </w:rPr>
      </w:pPr>
      <w:r w:rsidRPr="002C4984">
        <w:rPr>
          <w:rFonts w:ascii="Arial" w:hAnsi="Arial" w:cs="Arial"/>
          <w:sz w:val="22"/>
        </w:rPr>
        <w:t xml:space="preserve">Joint Schedule </w:t>
      </w:r>
      <w:r w:rsidR="00576D04">
        <w:rPr>
          <w:rFonts w:ascii="Arial" w:hAnsi="Arial" w:cs="Arial"/>
          <w:sz w:val="22"/>
        </w:rPr>
        <w:t xml:space="preserve">1 </w:t>
      </w:r>
      <w:r w:rsidRPr="002C4984">
        <w:rPr>
          <w:rFonts w:ascii="Arial" w:hAnsi="Arial" w:cs="Arial"/>
          <w:sz w:val="22"/>
        </w:rPr>
        <w:t>(Definitions and Interpretation) RM6187</w:t>
      </w:r>
    </w:p>
    <w:p w:rsidR="00E84D25" w:rsidRPr="002C4984" w:rsidRDefault="002B38FD">
      <w:pPr>
        <w:numPr>
          <w:ilvl w:val="0"/>
          <w:numId w:val="1"/>
        </w:numPr>
        <w:spacing w:after="27"/>
        <w:ind w:right="91" w:hanging="336"/>
        <w:rPr>
          <w:rFonts w:ascii="Arial" w:hAnsi="Arial" w:cs="Arial"/>
          <w:sz w:val="22"/>
        </w:rPr>
      </w:pPr>
      <w:r w:rsidRPr="002C4984">
        <w:rPr>
          <w:rFonts w:ascii="Arial" w:hAnsi="Arial" w:cs="Arial"/>
          <w:sz w:val="22"/>
        </w:rPr>
        <w:t>The following Schedules in equal order of precedence:</w:t>
      </w:r>
    </w:p>
    <w:p w:rsidR="00E84D25" w:rsidRPr="002C4984" w:rsidRDefault="002B38FD">
      <w:pPr>
        <w:spacing w:after="52"/>
        <w:ind w:left="72" w:right="115" w:hanging="10"/>
        <w:jc w:val="left"/>
        <w:rPr>
          <w:rFonts w:ascii="Arial" w:hAnsi="Arial" w:cs="Arial"/>
          <w:sz w:val="22"/>
        </w:rPr>
      </w:pPr>
      <w:r w:rsidRPr="002C4984">
        <w:rPr>
          <w:rFonts w:ascii="Arial" w:hAnsi="Arial" w:cs="Arial"/>
          <w:sz w:val="22"/>
        </w:rPr>
        <w:t>Joint Schedules for RM6187 Management Consultancy Framework Three</w:t>
      </w:r>
    </w:p>
    <w:p w:rsidR="00E84D25" w:rsidRPr="002C4984" w:rsidRDefault="002B38FD">
      <w:pPr>
        <w:numPr>
          <w:ilvl w:val="1"/>
          <w:numId w:val="1"/>
        </w:numPr>
        <w:spacing w:after="57"/>
        <w:ind w:right="91"/>
        <w:rPr>
          <w:rFonts w:ascii="Arial" w:hAnsi="Arial" w:cs="Arial"/>
          <w:sz w:val="22"/>
        </w:rPr>
      </w:pPr>
      <w:r w:rsidRPr="002C4984">
        <w:rPr>
          <w:rFonts w:ascii="Arial" w:hAnsi="Arial" w:cs="Arial"/>
          <w:sz w:val="22"/>
        </w:rPr>
        <w:t>Joint Schedule 1 (Definitions)</w:t>
      </w:r>
    </w:p>
    <w:p w:rsidR="00E84D25" w:rsidRDefault="002B38FD">
      <w:pPr>
        <w:numPr>
          <w:ilvl w:val="1"/>
          <w:numId w:val="1"/>
        </w:numPr>
        <w:ind w:right="91"/>
        <w:rPr>
          <w:rFonts w:ascii="Arial" w:hAnsi="Arial" w:cs="Arial"/>
          <w:sz w:val="22"/>
        </w:rPr>
      </w:pPr>
      <w:r w:rsidRPr="002C4984">
        <w:rPr>
          <w:rFonts w:ascii="Arial" w:hAnsi="Arial" w:cs="Arial"/>
          <w:sz w:val="22"/>
        </w:rPr>
        <w:t>Joint Schedule 2 (Variation Form)</w:t>
      </w:r>
    </w:p>
    <w:p w:rsidR="00576D04" w:rsidRDefault="00576D04">
      <w:pPr>
        <w:numPr>
          <w:ilvl w:val="1"/>
          <w:numId w:val="1"/>
        </w:numPr>
        <w:ind w:right="91"/>
        <w:rPr>
          <w:rFonts w:ascii="Arial" w:hAnsi="Arial" w:cs="Arial"/>
          <w:sz w:val="22"/>
        </w:rPr>
      </w:pPr>
      <w:r>
        <w:rPr>
          <w:rFonts w:ascii="Arial" w:hAnsi="Arial" w:cs="Arial"/>
          <w:sz w:val="22"/>
        </w:rPr>
        <w:t>Joint Schedule 3 (Insurance Requirements)</w:t>
      </w:r>
    </w:p>
    <w:p w:rsidR="00576D04" w:rsidRDefault="00576D04" w:rsidP="00576D04">
      <w:pPr>
        <w:numPr>
          <w:ilvl w:val="1"/>
          <w:numId w:val="1"/>
        </w:numPr>
        <w:ind w:right="91"/>
        <w:rPr>
          <w:rFonts w:ascii="Arial" w:hAnsi="Arial" w:cs="Arial"/>
          <w:sz w:val="22"/>
        </w:rPr>
      </w:pPr>
      <w:r>
        <w:rPr>
          <w:rFonts w:ascii="Arial" w:hAnsi="Arial" w:cs="Arial"/>
          <w:sz w:val="22"/>
        </w:rPr>
        <w:t>Joint Schedule 4 (Commercially Sensitive Information)</w:t>
      </w:r>
    </w:p>
    <w:p w:rsidR="00E84D25" w:rsidRDefault="002B38FD" w:rsidP="00576D04">
      <w:pPr>
        <w:numPr>
          <w:ilvl w:val="1"/>
          <w:numId w:val="1"/>
        </w:numPr>
        <w:ind w:right="91"/>
        <w:rPr>
          <w:rFonts w:ascii="Arial" w:hAnsi="Arial" w:cs="Arial"/>
          <w:sz w:val="22"/>
        </w:rPr>
      </w:pPr>
      <w:r w:rsidRPr="00576D04">
        <w:rPr>
          <w:rFonts w:ascii="Arial" w:hAnsi="Arial" w:cs="Arial"/>
          <w:sz w:val="22"/>
        </w:rPr>
        <w:t>Joint Schedule 5 (Corporate Social Responsibility)</w:t>
      </w:r>
    </w:p>
    <w:p w:rsidR="00E84D25" w:rsidRPr="00576D04" w:rsidRDefault="00576D04" w:rsidP="00576D04">
      <w:pPr>
        <w:numPr>
          <w:ilvl w:val="1"/>
          <w:numId w:val="1"/>
        </w:numPr>
        <w:ind w:right="91"/>
        <w:rPr>
          <w:rFonts w:ascii="Arial" w:hAnsi="Arial" w:cs="Arial"/>
          <w:sz w:val="22"/>
        </w:rPr>
      </w:pPr>
      <w:r>
        <w:rPr>
          <w:rFonts w:ascii="Arial" w:hAnsi="Arial" w:cs="Arial"/>
          <w:sz w:val="22"/>
        </w:rPr>
        <w:lastRenderedPageBreak/>
        <w:t>Joint Schedule 7 (Financial Difficulties)</w:t>
      </w:r>
    </w:p>
    <w:p w:rsidR="00E84D25" w:rsidRPr="002C4984" w:rsidRDefault="002B38FD">
      <w:pPr>
        <w:numPr>
          <w:ilvl w:val="1"/>
          <w:numId w:val="1"/>
        </w:numPr>
        <w:spacing w:after="48"/>
        <w:ind w:right="91"/>
        <w:rPr>
          <w:rFonts w:ascii="Arial" w:hAnsi="Arial" w:cs="Arial"/>
          <w:sz w:val="22"/>
        </w:rPr>
      </w:pPr>
      <w:r w:rsidRPr="002C4984">
        <w:rPr>
          <w:rFonts w:ascii="Arial" w:hAnsi="Arial" w:cs="Arial"/>
          <w:sz w:val="22"/>
        </w:rPr>
        <w:t>Joint Schedule 8 (Guarantee)</w:t>
      </w:r>
    </w:p>
    <w:p w:rsidR="00E84D25" w:rsidRPr="002C4984" w:rsidRDefault="002B38FD">
      <w:pPr>
        <w:numPr>
          <w:ilvl w:val="1"/>
          <w:numId w:val="1"/>
        </w:numPr>
        <w:spacing w:after="55"/>
        <w:ind w:right="91"/>
        <w:rPr>
          <w:rFonts w:ascii="Arial" w:hAnsi="Arial" w:cs="Arial"/>
          <w:sz w:val="22"/>
        </w:rPr>
      </w:pPr>
      <w:r w:rsidRPr="002C4984">
        <w:rPr>
          <w:rFonts w:ascii="Arial" w:hAnsi="Arial" w:cs="Arial"/>
          <w:sz w:val="22"/>
        </w:rPr>
        <w:t>Joint Schedule 9 (Minimum Standards of Reliability)</w:t>
      </w:r>
    </w:p>
    <w:p w:rsidR="00576D04" w:rsidRDefault="002B38FD" w:rsidP="00576D04">
      <w:pPr>
        <w:numPr>
          <w:ilvl w:val="1"/>
          <w:numId w:val="1"/>
        </w:numPr>
        <w:spacing w:after="33"/>
        <w:ind w:right="91"/>
        <w:rPr>
          <w:rFonts w:ascii="Arial" w:hAnsi="Arial" w:cs="Arial"/>
          <w:sz w:val="22"/>
        </w:rPr>
      </w:pPr>
      <w:r w:rsidRPr="002C4984">
        <w:rPr>
          <w:rFonts w:ascii="Arial" w:hAnsi="Arial" w:cs="Arial"/>
          <w:sz w:val="22"/>
        </w:rPr>
        <w:t>Joint Schedule 10 (Rectification Plan)</w:t>
      </w:r>
    </w:p>
    <w:p w:rsidR="00E84D25" w:rsidRPr="00576D04" w:rsidRDefault="002B38FD" w:rsidP="00576D04">
      <w:pPr>
        <w:numPr>
          <w:ilvl w:val="1"/>
          <w:numId w:val="1"/>
        </w:numPr>
        <w:spacing w:after="33"/>
        <w:ind w:right="91"/>
        <w:rPr>
          <w:rFonts w:ascii="Arial" w:hAnsi="Arial" w:cs="Arial"/>
          <w:sz w:val="22"/>
        </w:rPr>
      </w:pPr>
      <w:r w:rsidRPr="00576D04">
        <w:rPr>
          <w:rFonts w:ascii="Arial" w:hAnsi="Arial" w:cs="Arial"/>
          <w:sz w:val="22"/>
        </w:rPr>
        <w:t>Joint Schedule 11 (Processing Data)</w:t>
      </w:r>
    </w:p>
    <w:p w:rsidR="00E84D25" w:rsidRPr="002C4984" w:rsidRDefault="002B38FD">
      <w:pPr>
        <w:spacing w:after="49"/>
        <w:ind w:left="206" w:right="115" w:hanging="10"/>
        <w:jc w:val="left"/>
        <w:rPr>
          <w:rFonts w:ascii="Arial" w:hAnsi="Arial" w:cs="Arial"/>
          <w:sz w:val="22"/>
        </w:rPr>
      </w:pPr>
      <w:r w:rsidRPr="002C4984">
        <w:rPr>
          <w:rFonts w:ascii="Arial" w:hAnsi="Arial" w:cs="Arial"/>
          <w:sz w:val="22"/>
        </w:rPr>
        <w:t>Call-Off Schedules</w:t>
      </w:r>
    </w:p>
    <w:p w:rsidR="00E84D25" w:rsidRPr="002C4984" w:rsidRDefault="002B38FD">
      <w:pPr>
        <w:numPr>
          <w:ilvl w:val="1"/>
          <w:numId w:val="1"/>
        </w:numPr>
        <w:spacing w:after="77"/>
        <w:ind w:right="91"/>
        <w:rPr>
          <w:rFonts w:ascii="Arial" w:hAnsi="Arial" w:cs="Arial"/>
          <w:sz w:val="22"/>
        </w:rPr>
      </w:pPr>
      <w:r w:rsidRPr="002C4984">
        <w:rPr>
          <w:rFonts w:ascii="Arial" w:hAnsi="Arial" w:cs="Arial"/>
          <w:sz w:val="22"/>
        </w:rPr>
        <w:t>Call-Off Schedule 1 (Transparency Reports)</w:t>
      </w:r>
    </w:p>
    <w:p w:rsidR="00576D04" w:rsidRDefault="002B38FD">
      <w:pPr>
        <w:numPr>
          <w:ilvl w:val="1"/>
          <w:numId w:val="1"/>
        </w:numPr>
        <w:spacing w:line="347" w:lineRule="auto"/>
        <w:ind w:right="91"/>
        <w:rPr>
          <w:rFonts w:ascii="Arial" w:hAnsi="Arial" w:cs="Arial"/>
          <w:sz w:val="22"/>
        </w:rPr>
      </w:pPr>
      <w:r w:rsidRPr="002C4984">
        <w:rPr>
          <w:rFonts w:ascii="Arial" w:hAnsi="Arial" w:cs="Arial"/>
          <w:sz w:val="22"/>
        </w:rPr>
        <w:t>Call-Off Schedule 3 (Continuous Improvement)</w:t>
      </w:r>
    </w:p>
    <w:p w:rsidR="00576D04" w:rsidRDefault="002B38FD" w:rsidP="00576D04">
      <w:pPr>
        <w:numPr>
          <w:ilvl w:val="1"/>
          <w:numId w:val="1"/>
        </w:numPr>
        <w:spacing w:line="347" w:lineRule="auto"/>
        <w:ind w:right="91"/>
        <w:rPr>
          <w:rFonts w:ascii="Arial" w:hAnsi="Arial" w:cs="Arial"/>
          <w:sz w:val="22"/>
        </w:rPr>
      </w:pPr>
      <w:r w:rsidRPr="002C4984">
        <w:rPr>
          <w:rFonts w:ascii="Arial" w:hAnsi="Arial" w:cs="Arial"/>
          <w:sz w:val="22"/>
        </w:rPr>
        <w:t>Call-Off Schedule 5 (Pricing Details)</w:t>
      </w:r>
    </w:p>
    <w:p w:rsidR="00E84D25" w:rsidRPr="00576D04" w:rsidRDefault="002B38FD" w:rsidP="00576D04">
      <w:pPr>
        <w:numPr>
          <w:ilvl w:val="1"/>
          <w:numId w:val="1"/>
        </w:numPr>
        <w:spacing w:line="347" w:lineRule="auto"/>
        <w:ind w:right="91"/>
        <w:rPr>
          <w:rFonts w:ascii="Arial" w:hAnsi="Arial" w:cs="Arial"/>
          <w:sz w:val="22"/>
        </w:rPr>
      </w:pPr>
      <w:r w:rsidRPr="00576D04">
        <w:rPr>
          <w:rFonts w:ascii="Arial" w:hAnsi="Arial" w:cs="Arial"/>
          <w:sz w:val="22"/>
        </w:rPr>
        <w:t xml:space="preserve">Call-Off Schedule 8 (Business Continuity and </w:t>
      </w:r>
      <w:r w:rsidR="00DA3690" w:rsidRPr="00576D04">
        <w:rPr>
          <w:rFonts w:ascii="Arial" w:hAnsi="Arial" w:cs="Arial"/>
          <w:sz w:val="22"/>
        </w:rPr>
        <w:t>Disaster Recovery</w:t>
      </w:r>
      <w:r w:rsidRPr="00576D04">
        <w:rPr>
          <w:rFonts w:ascii="Arial" w:hAnsi="Arial" w:cs="Arial"/>
          <w:sz w:val="22"/>
        </w:rPr>
        <w:t>)</w:t>
      </w:r>
    </w:p>
    <w:p w:rsidR="00E84D25" w:rsidRPr="002C4984" w:rsidRDefault="002B38FD">
      <w:pPr>
        <w:numPr>
          <w:ilvl w:val="1"/>
          <w:numId w:val="1"/>
        </w:numPr>
        <w:spacing w:after="61"/>
        <w:ind w:right="91"/>
        <w:rPr>
          <w:rFonts w:ascii="Arial" w:hAnsi="Arial" w:cs="Arial"/>
          <w:sz w:val="22"/>
        </w:rPr>
      </w:pPr>
      <w:r w:rsidRPr="002C4984">
        <w:rPr>
          <w:rFonts w:ascii="Arial" w:hAnsi="Arial" w:cs="Arial"/>
          <w:sz w:val="22"/>
        </w:rPr>
        <w:t>Call-Off Schedule 9 (Security)</w:t>
      </w:r>
    </w:p>
    <w:p w:rsidR="00E84D25" w:rsidRPr="002C4984" w:rsidRDefault="002B38FD">
      <w:pPr>
        <w:numPr>
          <w:ilvl w:val="1"/>
          <w:numId w:val="1"/>
        </w:numPr>
        <w:spacing w:after="73"/>
        <w:ind w:right="91"/>
        <w:rPr>
          <w:rFonts w:ascii="Arial" w:hAnsi="Arial" w:cs="Arial"/>
          <w:sz w:val="22"/>
        </w:rPr>
      </w:pPr>
      <w:r w:rsidRPr="002C4984">
        <w:rPr>
          <w:rFonts w:ascii="Arial" w:hAnsi="Arial" w:cs="Arial"/>
          <w:sz w:val="22"/>
        </w:rPr>
        <w:t>Call-Off Schedule 14 (Service Levels)</w:t>
      </w:r>
    </w:p>
    <w:p w:rsidR="00E84D25" w:rsidRPr="002C4984" w:rsidRDefault="002B38FD">
      <w:pPr>
        <w:numPr>
          <w:ilvl w:val="1"/>
          <w:numId w:val="1"/>
        </w:numPr>
        <w:spacing w:after="62"/>
        <w:ind w:right="91"/>
        <w:rPr>
          <w:rFonts w:ascii="Arial" w:hAnsi="Arial" w:cs="Arial"/>
          <w:sz w:val="22"/>
        </w:rPr>
      </w:pPr>
      <w:r w:rsidRPr="002C4984">
        <w:rPr>
          <w:rFonts w:ascii="Arial" w:hAnsi="Arial" w:cs="Arial"/>
          <w:sz w:val="22"/>
        </w:rPr>
        <w:t>Call-Off Schedule 15 (Call-Off Contract Management)</w:t>
      </w:r>
    </w:p>
    <w:p w:rsidR="00E84D25" w:rsidRPr="002C4984" w:rsidRDefault="002B38FD">
      <w:pPr>
        <w:numPr>
          <w:ilvl w:val="1"/>
          <w:numId w:val="1"/>
        </w:numPr>
        <w:spacing w:after="40"/>
        <w:ind w:right="91"/>
        <w:rPr>
          <w:rFonts w:ascii="Arial" w:hAnsi="Arial" w:cs="Arial"/>
          <w:sz w:val="22"/>
        </w:rPr>
      </w:pPr>
      <w:r w:rsidRPr="002C4984">
        <w:rPr>
          <w:rFonts w:ascii="Arial" w:hAnsi="Arial" w:cs="Arial"/>
          <w:sz w:val="22"/>
        </w:rPr>
        <w:t>Call-Off Schedule 18 (Background Checks)</w:t>
      </w:r>
    </w:p>
    <w:p w:rsidR="00E84D25" w:rsidRPr="002C4984" w:rsidRDefault="002B38FD">
      <w:pPr>
        <w:numPr>
          <w:ilvl w:val="0"/>
          <w:numId w:val="1"/>
        </w:numPr>
        <w:spacing w:after="112" w:line="259" w:lineRule="auto"/>
        <w:ind w:right="91" w:hanging="336"/>
        <w:rPr>
          <w:rFonts w:ascii="Arial" w:hAnsi="Arial" w:cs="Arial"/>
          <w:sz w:val="22"/>
        </w:rPr>
      </w:pPr>
      <w:r w:rsidRPr="002C4984">
        <w:rPr>
          <w:rFonts w:ascii="Arial" w:eastAsia="Courier New" w:hAnsi="Arial" w:cs="Arial"/>
          <w:sz w:val="22"/>
        </w:rPr>
        <w:t>CCS Core Terms</w:t>
      </w:r>
    </w:p>
    <w:p w:rsidR="00E84D25" w:rsidRPr="002C4984" w:rsidRDefault="002B38FD">
      <w:pPr>
        <w:numPr>
          <w:ilvl w:val="0"/>
          <w:numId w:val="1"/>
        </w:numPr>
        <w:ind w:right="91" w:hanging="336"/>
        <w:rPr>
          <w:rFonts w:ascii="Arial" w:hAnsi="Arial" w:cs="Arial"/>
          <w:sz w:val="22"/>
        </w:rPr>
      </w:pPr>
      <w:r w:rsidRPr="002C4984">
        <w:rPr>
          <w:rFonts w:ascii="Arial" w:hAnsi="Arial" w:cs="Arial"/>
          <w:sz w:val="22"/>
        </w:rPr>
        <w:t>Joint Schedule 5 (Corporate Social Responsibility)</w:t>
      </w:r>
    </w:p>
    <w:p w:rsidR="00E84D25" w:rsidRPr="002C4984" w:rsidRDefault="002B38FD">
      <w:pPr>
        <w:numPr>
          <w:ilvl w:val="0"/>
          <w:numId w:val="1"/>
        </w:numPr>
        <w:spacing w:after="94" w:line="216" w:lineRule="auto"/>
        <w:ind w:right="91" w:hanging="336"/>
        <w:rPr>
          <w:rFonts w:ascii="Arial" w:hAnsi="Arial" w:cs="Arial"/>
          <w:sz w:val="22"/>
        </w:rPr>
      </w:pPr>
      <w:r w:rsidRPr="002C4984">
        <w:rPr>
          <w:rFonts w:ascii="Arial" w:hAnsi="Arial" w:cs="Arial"/>
          <w:sz w:val="22"/>
        </w:rPr>
        <w:t>Call-Off Schedule 4 (Call-Off Tender) as long as any parts of the Call-Off Tender that offer a better commercial position for the Buyer (as decided by the Buyer) take precedence over the documents above.</w:t>
      </w:r>
    </w:p>
    <w:p w:rsidR="00E84D25" w:rsidRPr="002C4984" w:rsidRDefault="002B38FD">
      <w:pPr>
        <w:spacing w:after="32"/>
        <w:ind w:left="182" w:right="91"/>
        <w:rPr>
          <w:rFonts w:ascii="Arial" w:hAnsi="Arial" w:cs="Arial"/>
          <w:sz w:val="22"/>
        </w:rPr>
      </w:pPr>
      <w:r w:rsidRPr="002C4984">
        <w:rPr>
          <w:rFonts w:ascii="Arial" w:hAnsi="Arial" w:cs="Arial"/>
          <w:sz w:val="22"/>
        </w:rPr>
        <w:t>Supplier terms are not part of the Call-Off Contract.</w:t>
      </w:r>
    </w:p>
    <w:p w:rsidR="00E84D25" w:rsidRPr="002C4984" w:rsidRDefault="002B38FD">
      <w:pPr>
        <w:spacing w:after="419"/>
        <w:ind w:left="182" w:right="91"/>
        <w:rPr>
          <w:rFonts w:ascii="Arial" w:hAnsi="Arial" w:cs="Arial"/>
          <w:sz w:val="22"/>
        </w:rPr>
      </w:pPr>
      <w:r w:rsidRPr="002C4984">
        <w:rPr>
          <w:rFonts w:ascii="Arial" w:hAnsi="Arial" w:cs="Arial"/>
          <w:sz w:val="22"/>
        </w:rPr>
        <w:t>That includes any terms written on the back of, added to this Order Form, or presented at the time of delivery.</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Call-off special terms:</w:t>
      </w:r>
    </w:p>
    <w:p w:rsidR="00E84D25" w:rsidRPr="002C4984" w:rsidRDefault="002B38FD">
      <w:pPr>
        <w:spacing w:after="25"/>
        <w:ind w:left="206" w:right="115" w:hanging="10"/>
        <w:jc w:val="left"/>
        <w:rPr>
          <w:rFonts w:ascii="Arial" w:hAnsi="Arial" w:cs="Arial"/>
          <w:sz w:val="22"/>
        </w:rPr>
      </w:pPr>
      <w:r w:rsidRPr="002C4984">
        <w:rPr>
          <w:rFonts w:ascii="Arial" w:hAnsi="Arial" w:cs="Arial"/>
          <w:sz w:val="22"/>
        </w:rPr>
        <w:t>The following Special Terms are incorporated into this Call-Off Contract:</w:t>
      </w:r>
    </w:p>
    <w:p w:rsidR="00E84D25" w:rsidRPr="002C4984" w:rsidRDefault="002B38FD">
      <w:pPr>
        <w:spacing w:after="547" w:line="259" w:lineRule="auto"/>
        <w:ind w:left="206" w:right="34" w:firstLine="19"/>
        <w:jc w:val="left"/>
        <w:rPr>
          <w:rFonts w:ascii="Arial" w:hAnsi="Arial" w:cs="Arial"/>
          <w:sz w:val="22"/>
        </w:rPr>
      </w:pPr>
      <w:r w:rsidRPr="002C4984">
        <w:rPr>
          <w:rFonts w:ascii="Arial" w:hAnsi="Arial" w:cs="Arial"/>
          <w:sz w:val="22"/>
        </w:rPr>
        <w:t>1. If Supplier Non-Performance arises from an Authority Cause, the Supplier may request the Buyer to consult with it (and the Buyer agrees to enter into such consultation) to discuss the Authority Cause including its root cause and impact on the Delivery of the Services and the Deliverables. The Parties wi</w:t>
      </w:r>
      <w:r w:rsidR="00576D04">
        <w:rPr>
          <w:rFonts w:ascii="Arial" w:hAnsi="Arial" w:cs="Arial"/>
          <w:sz w:val="22"/>
        </w:rPr>
        <w:t xml:space="preserve">ll </w:t>
      </w:r>
      <w:r w:rsidRPr="002C4984">
        <w:rPr>
          <w:rFonts w:ascii="Arial" w:hAnsi="Arial" w:cs="Arial"/>
          <w:sz w:val="22"/>
        </w:rPr>
        <w:t>accordingly and in good faith endeavour to agree any actions or measures that will be undertaken by either Party to address and rectify any adverse impacts of the Authority Cause on the provision of the Services and Deliverables including agreeing timescales for such actions or measures or any corresponding Variation and any cost implications.</w:t>
      </w:r>
    </w:p>
    <w:tbl>
      <w:tblPr>
        <w:tblStyle w:val="TableGrid"/>
        <w:tblW w:w="5237" w:type="dxa"/>
        <w:tblInd w:w="202" w:type="dxa"/>
        <w:tblCellMar>
          <w:top w:w="3" w:type="dxa"/>
        </w:tblCellMar>
        <w:tblLook w:val="04A0" w:firstRow="1" w:lastRow="0" w:firstColumn="1" w:lastColumn="0" w:noHBand="0" w:noVBand="1"/>
      </w:tblPr>
      <w:tblGrid>
        <w:gridCol w:w="2981"/>
        <w:gridCol w:w="2256"/>
      </w:tblGrid>
      <w:tr w:rsidR="00E84D25" w:rsidRPr="002C4984">
        <w:trPr>
          <w:trHeight w:val="295"/>
        </w:trPr>
        <w:tc>
          <w:tcPr>
            <w:tcW w:w="2981"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hAnsi="Arial" w:cs="Arial"/>
                <w:sz w:val="22"/>
              </w:rPr>
              <w:t>Call-off start date:</w:t>
            </w:r>
          </w:p>
        </w:tc>
        <w:tc>
          <w:tcPr>
            <w:tcW w:w="2256" w:type="dxa"/>
            <w:tcBorders>
              <w:top w:val="nil"/>
              <w:left w:val="nil"/>
              <w:bottom w:val="nil"/>
              <w:right w:val="nil"/>
            </w:tcBorders>
          </w:tcPr>
          <w:p w:rsidR="00E84D25" w:rsidRPr="002C4984" w:rsidRDefault="002B38FD">
            <w:pPr>
              <w:spacing w:after="0" w:line="259" w:lineRule="auto"/>
              <w:ind w:left="0" w:firstLine="0"/>
              <w:jc w:val="right"/>
              <w:rPr>
                <w:rFonts w:ascii="Arial" w:hAnsi="Arial" w:cs="Arial"/>
                <w:sz w:val="22"/>
              </w:rPr>
            </w:pPr>
            <w:r w:rsidRPr="002C4984">
              <w:rPr>
                <w:rFonts w:ascii="Arial" w:hAnsi="Arial" w:cs="Arial"/>
                <w:sz w:val="22"/>
              </w:rPr>
              <w:t>20</w:t>
            </w:r>
            <w:r w:rsidRPr="002C4984">
              <w:rPr>
                <w:rFonts w:ascii="Arial" w:hAnsi="Arial" w:cs="Arial"/>
                <w:sz w:val="22"/>
                <w:vertAlign w:val="superscript"/>
              </w:rPr>
              <w:t xml:space="preserve">th </w:t>
            </w:r>
            <w:r w:rsidRPr="002C4984">
              <w:rPr>
                <w:rFonts w:ascii="Arial" w:hAnsi="Arial" w:cs="Arial"/>
                <w:sz w:val="22"/>
              </w:rPr>
              <w:t>November 2023</w:t>
            </w:r>
          </w:p>
        </w:tc>
      </w:tr>
      <w:tr w:rsidR="00E84D25" w:rsidRPr="002C4984">
        <w:trPr>
          <w:trHeight w:val="354"/>
        </w:trPr>
        <w:tc>
          <w:tcPr>
            <w:tcW w:w="2981" w:type="dxa"/>
            <w:tcBorders>
              <w:top w:val="nil"/>
              <w:left w:val="nil"/>
              <w:bottom w:val="nil"/>
              <w:right w:val="nil"/>
            </w:tcBorders>
          </w:tcPr>
          <w:p w:rsidR="00E84D25" w:rsidRPr="002C4984" w:rsidRDefault="002B38FD">
            <w:pPr>
              <w:spacing w:after="0" w:line="259" w:lineRule="auto"/>
              <w:ind w:left="5" w:firstLine="0"/>
              <w:jc w:val="left"/>
              <w:rPr>
                <w:rFonts w:ascii="Arial" w:hAnsi="Arial" w:cs="Arial"/>
                <w:sz w:val="22"/>
              </w:rPr>
            </w:pPr>
            <w:r w:rsidRPr="002C4984">
              <w:rPr>
                <w:rFonts w:ascii="Arial" w:hAnsi="Arial" w:cs="Arial"/>
                <w:sz w:val="22"/>
              </w:rPr>
              <w:t>Call-off expiry date:</w:t>
            </w:r>
          </w:p>
        </w:tc>
        <w:tc>
          <w:tcPr>
            <w:tcW w:w="2256" w:type="dxa"/>
            <w:tcBorders>
              <w:top w:val="nil"/>
              <w:left w:val="nil"/>
              <w:bottom w:val="nil"/>
              <w:right w:val="nil"/>
            </w:tcBorders>
          </w:tcPr>
          <w:p w:rsidR="00E84D25" w:rsidRPr="002C4984" w:rsidRDefault="002B38FD">
            <w:pPr>
              <w:spacing w:after="0" w:line="259" w:lineRule="auto"/>
              <w:ind w:left="0" w:right="5" w:firstLine="0"/>
              <w:jc w:val="right"/>
              <w:rPr>
                <w:rFonts w:ascii="Arial" w:hAnsi="Arial" w:cs="Arial"/>
                <w:sz w:val="22"/>
              </w:rPr>
            </w:pPr>
            <w:r w:rsidRPr="002C4984">
              <w:rPr>
                <w:rFonts w:ascii="Arial" w:hAnsi="Arial" w:cs="Arial"/>
                <w:sz w:val="22"/>
              </w:rPr>
              <w:t>1 9</w:t>
            </w:r>
            <w:r w:rsidRPr="002C4984">
              <w:rPr>
                <w:rFonts w:ascii="Arial" w:hAnsi="Arial" w:cs="Arial"/>
                <w:sz w:val="22"/>
                <w:vertAlign w:val="superscript"/>
              </w:rPr>
              <w:t xml:space="preserve">th </w:t>
            </w:r>
            <w:r w:rsidRPr="002C4984">
              <w:rPr>
                <w:rFonts w:ascii="Arial" w:hAnsi="Arial" w:cs="Arial"/>
                <w:sz w:val="22"/>
              </w:rPr>
              <w:t>November 2025</w:t>
            </w:r>
          </w:p>
        </w:tc>
      </w:tr>
      <w:tr w:rsidR="00E84D25" w:rsidRPr="002C4984">
        <w:trPr>
          <w:trHeight w:val="297"/>
        </w:trPr>
        <w:tc>
          <w:tcPr>
            <w:tcW w:w="2981" w:type="dxa"/>
            <w:tcBorders>
              <w:top w:val="nil"/>
              <w:left w:val="nil"/>
              <w:bottom w:val="nil"/>
              <w:right w:val="nil"/>
            </w:tcBorders>
          </w:tcPr>
          <w:p w:rsidR="00E84D25" w:rsidRPr="002C4984" w:rsidRDefault="002B38FD">
            <w:pPr>
              <w:spacing w:after="0" w:line="259" w:lineRule="auto"/>
              <w:ind w:left="0" w:firstLine="0"/>
              <w:jc w:val="left"/>
              <w:rPr>
                <w:rFonts w:ascii="Arial" w:hAnsi="Arial" w:cs="Arial"/>
                <w:sz w:val="22"/>
              </w:rPr>
            </w:pPr>
            <w:r w:rsidRPr="002C4984">
              <w:rPr>
                <w:rFonts w:ascii="Arial" w:hAnsi="Arial" w:cs="Arial"/>
                <w:sz w:val="22"/>
              </w:rPr>
              <w:t>Call-off initial period:</w:t>
            </w:r>
          </w:p>
        </w:tc>
        <w:tc>
          <w:tcPr>
            <w:tcW w:w="2256" w:type="dxa"/>
            <w:tcBorders>
              <w:top w:val="nil"/>
              <w:left w:val="nil"/>
              <w:bottom w:val="nil"/>
              <w:right w:val="nil"/>
            </w:tcBorders>
          </w:tcPr>
          <w:p w:rsidR="00E84D25" w:rsidRPr="002C4984" w:rsidRDefault="002B38FD">
            <w:pPr>
              <w:spacing w:after="0" w:line="259" w:lineRule="auto"/>
              <w:ind w:left="293" w:firstLine="0"/>
              <w:jc w:val="left"/>
              <w:rPr>
                <w:rFonts w:ascii="Arial" w:hAnsi="Arial" w:cs="Arial"/>
                <w:sz w:val="22"/>
              </w:rPr>
            </w:pPr>
            <w:r w:rsidRPr="002C4984">
              <w:rPr>
                <w:rFonts w:ascii="Arial" w:hAnsi="Arial" w:cs="Arial"/>
                <w:sz w:val="22"/>
              </w:rPr>
              <w:t>Two (2) years</w:t>
            </w:r>
          </w:p>
        </w:tc>
      </w:tr>
    </w:tbl>
    <w:p w:rsidR="00E84D25" w:rsidRPr="002C4984" w:rsidRDefault="002B38FD">
      <w:pPr>
        <w:spacing w:after="4"/>
        <w:ind w:left="206" w:right="115" w:hanging="10"/>
        <w:jc w:val="left"/>
        <w:rPr>
          <w:rFonts w:ascii="Arial" w:hAnsi="Arial" w:cs="Arial"/>
          <w:sz w:val="22"/>
        </w:rPr>
      </w:pPr>
      <w:r w:rsidRPr="002C4984">
        <w:rPr>
          <w:rFonts w:ascii="Arial" w:hAnsi="Arial" w:cs="Arial"/>
          <w:sz w:val="22"/>
        </w:rPr>
        <w:t>Call-Off option extension period: One (1) year</w:t>
      </w:r>
    </w:p>
    <w:p w:rsidR="00E84D25" w:rsidRPr="002C4984" w:rsidRDefault="002B38FD">
      <w:pPr>
        <w:spacing w:after="4"/>
        <w:ind w:left="140" w:right="115" w:hanging="10"/>
        <w:jc w:val="left"/>
        <w:rPr>
          <w:rFonts w:ascii="Arial" w:hAnsi="Arial" w:cs="Arial"/>
          <w:sz w:val="22"/>
        </w:rPr>
      </w:pPr>
      <w:r w:rsidRPr="002C4984">
        <w:rPr>
          <w:rFonts w:ascii="Arial" w:hAnsi="Arial" w:cs="Arial"/>
          <w:sz w:val="22"/>
        </w:rPr>
        <w:lastRenderedPageBreak/>
        <w:t>Call-off deliverables:</w:t>
      </w:r>
    </w:p>
    <w:p w:rsidR="00E84D25" w:rsidRPr="002C4984" w:rsidRDefault="002B38FD">
      <w:pPr>
        <w:spacing w:after="368"/>
        <w:ind w:left="140" w:right="115" w:hanging="10"/>
        <w:jc w:val="left"/>
        <w:rPr>
          <w:rFonts w:ascii="Arial" w:hAnsi="Arial" w:cs="Arial"/>
          <w:sz w:val="22"/>
        </w:rPr>
      </w:pPr>
      <w:r w:rsidRPr="002C4984">
        <w:rPr>
          <w:rFonts w:ascii="Arial" w:hAnsi="Arial" w:cs="Arial"/>
          <w:sz w:val="22"/>
        </w:rPr>
        <w:t>See details in Call-Off Schedule 20 (Call-Off Specification)</w:t>
      </w:r>
    </w:p>
    <w:p w:rsidR="00E84D25" w:rsidRPr="002C4984" w:rsidRDefault="002B38FD">
      <w:pPr>
        <w:spacing w:after="4"/>
        <w:ind w:left="135" w:right="115" w:hanging="10"/>
        <w:jc w:val="left"/>
        <w:rPr>
          <w:rFonts w:ascii="Arial" w:hAnsi="Arial" w:cs="Arial"/>
          <w:sz w:val="22"/>
        </w:rPr>
      </w:pPr>
      <w:r w:rsidRPr="002C4984">
        <w:rPr>
          <w:rFonts w:ascii="Arial" w:hAnsi="Arial" w:cs="Arial"/>
          <w:sz w:val="22"/>
        </w:rPr>
        <w:t>Security</w:t>
      </w:r>
    </w:p>
    <w:p w:rsidR="00E84D25" w:rsidRPr="002C4984" w:rsidRDefault="002B38FD">
      <w:pPr>
        <w:spacing w:after="388"/>
        <w:ind w:left="182" w:right="91"/>
        <w:rPr>
          <w:rFonts w:ascii="Arial" w:hAnsi="Arial" w:cs="Arial"/>
          <w:sz w:val="22"/>
        </w:rPr>
      </w:pPr>
      <w:r w:rsidRPr="002C4984">
        <w:rPr>
          <w:rFonts w:ascii="Arial" w:hAnsi="Arial" w:cs="Arial"/>
          <w:sz w:val="22"/>
        </w:rPr>
        <w:t>Short Form Security will apply.</w:t>
      </w:r>
    </w:p>
    <w:p w:rsidR="00E84D25" w:rsidRPr="002C4984" w:rsidRDefault="002B38FD">
      <w:pPr>
        <w:spacing w:after="26"/>
        <w:ind w:left="135" w:right="115" w:hanging="10"/>
        <w:jc w:val="left"/>
        <w:rPr>
          <w:rFonts w:ascii="Arial" w:hAnsi="Arial" w:cs="Arial"/>
          <w:sz w:val="22"/>
        </w:rPr>
      </w:pPr>
      <w:r w:rsidRPr="002C4984">
        <w:rPr>
          <w:rFonts w:ascii="Arial" w:hAnsi="Arial" w:cs="Arial"/>
          <w:sz w:val="22"/>
        </w:rPr>
        <w:t>Maximum liability</w:t>
      </w:r>
    </w:p>
    <w:p w:rsidR="00E84D25" w:rsidRPr="002C4984" w:rsidRDefault="002B38FD">
      <w:pPr>
        <w:spacing w:after="56"/>
        <w:ind w:left="115" w:right="91"/>
        <w:rPr>
          <w:rFonts w:ascii="Arial" w:hAnsi="Arial" w:cs="Arial"/>
          <w:sz w:val="22"/>
        </w:rPr>
      </w:pPr>
      <w:r w:rsidRPr="002C4984">
        <w:rPr>
          <w:rFonts w:ascii="Arial" w:hAnsi="Arial" w:cs="Arial"/>
          <w:sz w:val="22"/>
        </w:rPr>
        <w:t>The limitation of liability for this Call-Off Contract is stated in Clause 11.2 of the Core Terms.</w:t>
      </w:r>
    </w:p>
    <w:p w:rsidR="00E84D25" w:rsidRPr="002C4984" w:rsidRDefault="002B38FD">
      <w:pPr>
        <w:spacing w:after="265"/>
        <w:ind w:left="801" w:right="91" w:hanging="686"/>
        <w:rPr>
          <w:rFonts w:ascii="Arial" w:hAnsi="Arial" w:cs="Arial"/>
          <w:sz w:val="22"/>
        </w:rPr>
      </w:pPr>
      <w:r w:rsidRPr="002C4984">
        <w:rPr>
          <w:rFonts w:ascii="Arial" w:hAnsi="Arial" w:cs="Arial"/>
          <w:sz w:val="22"/>
        </w:rPr>
        <w:t>The Estimated Year 1 Charges used to calculate liability in the first contract year are</w:t>
      </w:r>
      <w:r w:rsidR="002C4984" w:rsidRPr="002C4984">
        <w:rPr>
          <w:rFonts w:ascii="Arial" w:hAnsi="Arial" w:cs="Arial"/>
          <w:sz w:val="22"/>
        </w:rPr>
        <w:t xml:space="preserve"> Redacted under FOIA section 43, Commercial Interests</w:t>
      </w:r>
      <w:r w:rsidRPr="002C4984">
        <w:rPr>
          <w:rFonts w:ascii="Arial" w:hAnsi="Arial" w:cs="Arial"/>
          <w:sz w:val="22"/>
        </w:rPr>
        <w:t>.</w:t>
      </w:r>
    </w:p>
    <w:p w:rsidR="00E84D25" w:rsidRPr="002C4984" w:rsidRDefault="002B38FD">
      <w:pPr>
        <w:spacing w:after="30"/>
        <w:ind w:left="125" w:right="115" w:hanging="10"/>
        <w:jc w:val="left"/>
        <w:rPr>
          <w:rFonts w:ascii="Arial" w:hAnsi="Arial" w:cs="Arial"/>
          <w:sz w:val="22"/>
        </w:rPr>
      </w:pPr>
      <w:r w:rsidRPr="002C4984">
        <w:rPr>
          <w:rFonts w:ascii="Arial" w:hAnsi="Arial" w:cs="Arial"/>
          <w:sz w:val="22"/>
        </w:rPr>
        <w:t>Call-off charges</w:t>
      </w:r>
    </w:p>
    <w:p w:rsidR="00E84D25" w:rsidRPr="002C4984" w:rsidRDefault="002B38FD">
      <w:pPr>
        <w:ind w:left="115" w:right="595"/>
        <w:rPr>
          <w:rFonts w:ascii="Arial" w:hAnsi="Arial" w:cs="Arial"/>
          <w:sz w:val="22"/>
        </w:rPr>
      </w:pPr>
      <w:r w:rsidRPr="002C4984">
        <w:rPr>
          <w:rFonts w:ascii="Arial" w:hAnsi="Arial" w:cs="Arial"/>
          <w:sz w:val="22"/>
        </w:rPr>
        <w:t xml:space="preserve">The total contract value including all expenses but excluding VAT </w:t>
      </w:r>
      <w:r w:rsidR="002C4984" w:rsidRPr="002C4984">
        <w:rPr>
          <w:rFonts w:ascii="Arial" w:hAnsi="Arial" w:cs="Arial"/>
          <w:sz w:val="22"/>
        </w:rPr>
        <w:t xml:space="preserve">Redacted under FOIA section 43, Commercial Interests. </w:t>
      </w:r>
      <w:r w:rsidRPr="002C4984">
        <w:rPr>
          <w:rFonts w:ascii="Arial" w:hAnsi="Arial" w:cs="Arial"/>
          <w:sz w:val="22"/>
        </w:rPr>
        <w:t xml:space="preserve">Total fixed price including all expenses but excluding VAT - </w:t>
      </w:r>
      <w:r w:rsidR="002C4984" w:rsidRPr="002C4984">
        <w:rPr>
          <w:rFonts w:ascii="Arial" w:hAnsi="Arial" w:cs="Arial"/>
          <w:sz w:val="22"/>
        </w:rPr>
        <w:t>Redacted under FOIA section 43, Commercial Interests</w:t>
      </w:r>
    </w:p>
    <w:p w:rsidR="00E84D25" w:rsidRPr="002C4984" w:rsidRDefault="002B38FD">
      <w:pPr>
        <w:ind w:left="120" w:right="91"/>
        <w:rPr>
          <w:rFonts w:ascii="Arial" w:hAnsi="Arial" w:cs="Arial"/>
          <w:sz w:val="22"/>
        </w:rPr>
      </w:pPr>
      <w:r w:rsidRPr="002C4984">
        <w:rPr>
          <w:rFonts w:ascii="Arial" w:hAnsi="Arial" w:cs="Arial"/>
          <w:sz w:val="22"/>
        </w:rPr>
        <w:t xml:space="preserve">Incremental cost to include the comparative balance sheet, comparative profit and loss, and comparative disclosures excluding VAT - </w:t>
      </w:r>
      <w:r w:rsidR="002C4984" w:rsidRPr="002C4984">
        <w:rPr>
          <w:rFonts w:ascii="Arial" w:hAnsi="Arial" w:cs="Arial"/>
          <w:sz w:val="22"/>
        </w:rPr>
        <w:t>Redacted under FOIA section 43, Commercial Interests</w:t>
      </w:r>
    </w:p>
    <w:p w:rsidR="00E84D25" w:rsidRPr="002C4984" w:rsidRDefault="002B38FD">
      <w:pPr>
        <w:spacing w:after="68"/>
        <w:ind w:left="101" w:right="91"/>
        <w:rPr>
          <w:rFonts w:ascii="Arial" w:hAnsi="Arial" w:cs="Arial"/>
          <w:sz w:val="22"/>
        </w:rPr>
      </w:pPr>
      <w:r w:rsidRPr="002C4984">
        <w:rPr>
          <w:rFonts w:ascii="Arial" w:hAnsi="Arial" w:cs="Arial"/>
          <w:sz w:val="22"/>
        </w:rPr>
        <w:t>All costs and rates must remain firm for the first 12 months of the contract.</w:t>
      </w:r>
    </w:p>
    <w:p w:rsidR="00E84D25" w:rsidRPr="002C4984" w:rsidRDefault="002B38FD">
      <w:pPr>
        <w:spacing w:after="39"/>
        <w:ind w:left="125" w:right="115" w:hanging="10"/>
        <w:jc w:val="left"/>
        <w:rPr>
          <w:rFonts w:ascii="Arial" w:hAnsi="Arial" w:cs="Arial"/>
          <w:sz w:val="22"/>
        </w:rPr>
      </w:pPr>
      <w:r w:rsidRPr="002C4984">
        <w:rPr>
          <w:rFonts w:ascii="Arial" w:hAnsi="Arial" w:cs="Arial"/>
          <w:sz w:val="22"/>
        </w:rPr>
        <w:t>Refer to Call-Off Schedule 5 (Pricing) for further details.</w:t>
      </w:r>
    </w:p>
    <w:p w:rsidR="00E84D25" w:rsidRPr="002C4984" w:rsidRDefault="002B38FD">
      <w:pPr>
        <w:spacing w:after="42"/>
        <w:ind w:left="111" w:right="115" w:hanging="10"/>
        <w:jc w:val="left"/>
        <w:rPr>
          <w:rFonts w:ascii="Arial" w:hAnsi="Arial" w:cs="Arial"/>
          <w:sz w:val="22"/>
        </w:rPr>
      </w:pPr>
      <w:r w:rsidRPr="002C4984">
        <w:rPr>
          <w:rFonts w:ascii="Arial" w:hAnsi="Arial" w:cs="Arial"/>
          <w:sz w:val="22"/>
        </w:rPr>
        <w:t>The Charges will not be impacted by any change to the Framework Prices.</w:t>
      </w:r>
    </w:p>
    <w:p w:rsidR="00E84D25" w:rsidRPr="002C4984" w:rsidRDefault="002B38FD">
      <w:pPr>
        <w:spacing w:after="30"/>
        <w:ind w:left="91" w:right="91"/>
        <w:rPr>
          <w:rFonts w:ascii="Arial" w:hAnsi="Arial" w:cs="Arial"/>
          <w:sz w:val="22"/>
        </w:rPr>
      </w:pPr>
      <w:r w:rsidRPr="002C4984">
        <w:rPr>
          <w:rFonts w:ascii="Arial" w:hAnsi="Arial" w:cs="Arial"/>
          <w:sz w:val="22"/>
        </w:rPr>
        <w:t>The Charges can only be changed by agreement in writing between the Buyer and the Supplier because of:</w:t>
      </w:r>
    </w:p>
    <w:p w:rsidR="00E84D25" w:rsidRPr="002C4984" w:rsidRDefault="002B38FD">
      <w:pPr>
        <w:spacing w:after="4"/>
        <w:ind w:left="428" w:right="115" w:hanging="10"/>
        <w:jc w:val="left"/>
        <w:rPr>
          <w:rFonts w:ascii="Arial" w:hAnsi="Arial" w:cs="Arial"/>
          <w:sz w:val="22"/>
        </w:rPr>
      </w:pPr>
      <w:r w:rsidRPr="002C4984">
        <w:rPr>
          <w:rFonts w:ascii="Arial" w:hAnsi="Arial" w:cs="Arial"/>
          <w:sz w:val="22"/>
        </w:rPr>
        <w:t>• Specific Change in Law</w:t>
      </w:r>
    </w:p>
    <w:p w:rsidR="00E84D25" w:rsidRPr="002C4984" w:rsidRDefault="002B38FD">
      <w:pPr>
        <w:spacing w:after="379"/>
        <w:ind w:left="422" w:right="91"/>
        <w:rPr>
          <w:rFonts w:ascii="Arial" w:hAnsi="Arial" w:cs="Arial"/>
          <w:sz w:val="22"/>
        </w:rPr>
      </w:pPr>
      <w:r w:rsidRPr="002C4984">
        <w:rPr>
          <w:rFonts w:ascii="Arial" w:hAnsi="Arial" w:cs="Arial"/>
          <w:noProof/>
          <w:sz w:val="22"/>
        </w:rPr>
        <w:drawing>
          <wp:inline distT="0" distB="0" distL="0" distR="0">
            <wp:extent cx="60960" cy="67075"/>
            <wp:effectExtent l="0" t="0" r="0" b="0"/>
            <wp:docPr id="6330" name="Picture 6330"/>
            <wp:cNvGraphicFramePr/>
            <a:graphic xmlns:a="http://schemas.openxmlformats.org/drawingml/2006/main">
              <a:graphicData uri="http://schemas.openxmlformats.org/drawingml/2006/picture">
                <pic:pic xmlns:pic="http://schemas.openxmlformats.org/drawingml/2006/picture">
                  <pic:nvPicPr>
                    <pic:cNvPr id="6330" name="Picture 6330"/>
                    <pic:cNvPicPr/>
                  </pic:nvPicPr>
                  <pic:blipFill>
                    <a:blip r:embed="rId13"/>
                    <a:stretch>
                      <a:fillRect/>
                    </a:stretch>
                  </pic:blipFill>
                  <pic:spPr>
                    <a:xfrm>
                      <a:off x="0" y="0"/>
                      <a:ext cx="60960" cy="67075"/>
                    </a:xfrm>
                    <a:prstGeom prst="rect">
                      <a:avLst/>
                    </a:prstGeom>
                  </pic:spPr>
                </pic:pic>
              </a:graphicData>
            </a:graphic>
          </wp:inline>
        </w:drawing>
      </w:r>
      <w:r w:rsidRPr="002C4984">
        <w:rPr>
          <w:rFonts w:ascii="Arial" w:hAnsi="Arial" w:cs="Arial"/>
          <w:sz w:val="22"/>
        </w:rPr>
        <w:t xml:space="preserve"> Benchmarking using Call-Off Schedule 16 (Benchmarking)</w:t>
      </w:r>
    </w:p>
    <w:p w:rsidR="00E84D25" w:rsidRPr="002C4984" w:rsidRDefault="002B38FD">
      <w:pPr>
        <w:spacing w:after="4"/>
        <w:ind w:left="87" w:right="115" w:hanging="10"/>
        <w:jc w:val="left"/>
        <w:rPr>
          <w:rFonts w:ascii="Arial" w:hAnsi="Arial" w:cs="Arial"/>
          <w:sz w:val="22"/>
        </w:rPr>
      </w:pPr>
      <w:r w:rsidRPr="002C4984">
        <w:rPr>
          <w:rFonts w:ascii="Arial" w:hAnsi="Arial" w:cs="Arial"/>
          <w:sz w:val="22"/>
        </w:rPr>
        <w:t>Reimbursable expenses</w:t>
      </w:r>
    </w:p>
    <w:p w:rsidR="00E84D25" w:rsidRPr="002C4984" w:rsidRDefault="002B38FD">
      <w:pPr>
        <w:spacing w:after="4"/>
        <w:ind w:left="92" w:right="115" w:hanging="10"/>
        <w:jc w:val="left"/>
        <w:rPr>
          <w:rFonts w:ascii="Arial" w:hAnsi="Arial" w:cs="Arial"/>
          <w:sz w:val="22"/>
        </w:rPr>
      </w:pPr>
      <w:r w:rsidRPr="002C4984">
        <w:rPr>
          <w:rFonts w:ascii="Arial" w:hAnsi="Arial" w:cs="Arial"/>
          <w:sz w:val="22"/>
        </w:rPr>
        <w:t>Not Recoverable</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Payment method</w:t>
      </w:r>
    </w:p>
    <w:p w:rsidR="00E84D25" w:rsidRPr="002C4984" w:rsidRDefault="002B38FD">
      <w:pPr>
        <w:ind w:left="182" w:right="91"/>
        <w:rPr>
          <w:rFonts w:ascii="Arial" w:hAnsi="Arial" w:cs="Arial"/>
          <w:sz w:val="22"/>
        </w:rPr>
      </w:pPr>
      <w:r w:rsidRPr="002C4984">
        <w:rPr>
          <w:rFonts w:ascii="Arial" w:hAnsi="Arial" w:cs="Arial"/>
          <w:sz w:val="22"/>
        </w:rPr>
        <w:t>Invoicing will be on completion of an approved Deliverable, with invoices separated for each Deliverable.</w:t>
      </w:r>
    </w:p>
    <w:p w:rsidR="00E84D25" w:rsidRPr="002C4984" w:rsidRDefault="002B38FD">
      <w:pPr>
        <w:ind w:left="182" w:right="29"/>
        <w:rPr>
          <w:rFonts w:ascii="Arial" w:hAnsi="Arial" w:cs="Arial"/>
          <w:sz w:val="22"/>
        </w:rPr>
      </w:pPr>
      <w:r w:rsidRPr="002C4984">
        <w:rPr>
          <w:rFonts w:ascii="Arial" w:hAnsi="Arial" w:cs="Arial"/>
          <w:sz w:val="22"/>
        </w:rPr>
        <w:t xml:space="preserve">Payment can only be made following satisfactory delivery and </w:t>
      </w:r>
      <w:r w:rsidR="00576D04">
        <w:rPr>
          <w:rFonts w:ascii="Arial" w:hAnsi="Arial" w:cs="Arial"/>
          <w:sz w:val="22"/>
        </w:rPr>
        <w:t>U</w:t>
      </w:r>
      <w:r w:rsidRPr="002C4984">
        <w:rPr>
          <w:rFonts w:ascii="Arial" w:hAnsi="Arial" w:cs="Arial"/>
          <w:sz w:val="22"/>
        </w:rPr>
        <w:t xml:space="preserve">KEF approval of preagreed </w:t>
      </w:r>
      <w:bookmarkStart w:id="0" w:name="_GoBack"/>
      <w:bookmarkEnd w:id="0"/>
      <w:r w:rsidR="00DA3690" w:rsidRPr="002C4984">
        <w:rPr>
          <w:rFonts w:ascii="Arial" w:hAnsi="Arial" w:cs="Arial"/>
          <w:sz w:val="22"/>
        </w:rPr>
        <w:t>certified</w:t>
      </w:r>
      <w:r w:rsidRPr="002C4984">
        <w:rPr>
          <w:rFonts w:ascii="Arial" w:hAnsi="Arial" w:cs="Arial"/>
          <w:sz w:val="22"/>
        </w:rPr>
        <w:t xml:space="preserve"> products and deliverables as set out within schedule 20 and schedule 5.</w:t>
      </w:r>
    </w:p>
    <w:p w:rsidR="00E84D25" w:rsidRPr="002C4984" w:rsidRDefault="002B38FD">
      <w:pPr>
        <w:ind w:left="182" w:right="91"/>
        <w:rPr>
          <w:rFonts w:ascii="Arial" w:hAnsi="Arial" w:cs="Arial"/>
          <w:sz w:val="22"/>
        </w:rPr>
      </w:pPr>
      <w:r w:rsidRPr="002C4984">
        <w:rPr>
          <w:rFonts w:ascii="Arial" w:hAnsi="Arial" w:cs="Arial"/>
          <w:sz w:val="22"/>
        </w:rPr>
        <w:t>Before payment can be considered, each invoice must include a detailed elemental breakdown of work completed and the associated costs.</w:t>
      </w:r>
    </w:p>
    <w:p w:rsidR="00E84D25" w:rsidRPr="002C4984" w:rsidRDefault="002B38FD">
      <w:pPr>
        <w:ind w:left="182" w:right="91"/>
        <w:rPr>
          <w:rFonts w:ascii="Arial" w:hAnsi="Arial" w:cs="Arial"/>
          <w:sz w:val="22"/>
        </w:rPr>
      </w:pPr>
      <w:r w:rsidRPr="002C4984">
        <w:rPr>
          <w:rFonts w:ascii="Arial" w:hAnsi="Arial" w:cs="Arial"/>
          <w:sz w:val="22"/>
        </w:rPr>
        <w:t>Works detailed against deliverables within the invoices will need to be approved by the Customer.</w:t>
      </w:r>
    </w:p>
    <w:p w:rsidR="00E84D25" w:rsidRPr="002C4984" w:rsidRDefault="002B38FD">
      <w:pPr>
        <w:ind w:left="182" w:right="91"/>
        <w:rPr>
          <w:rFonts w:ascii="Arial" w:hAnsi="Arial" w:cs="Arial"/>
          <w:sz w:val="22"/>
        </w:rPr>
      </w:pPr>
      <w:r w:rsidRPr="002C4984">
        <w:rPr>
          <w:rFonts w:ascii="Arial" w:hAnsi="Arial" w:cs="Arial"/>
          <w:sz w:val="22"/>
        </w:rPr>
        <w:t>The approvals will be stored on the UKEF system (SharePoint).</w:t>
      </w:r>
    </w:p>
    <w:p w:rsidR="00E84D25" w:rsidRPr="002C4984" w:rsidRDefault="002B38FD">
      <w:pPr>
        <w:spacing w:after="739"/>
        <w:ind w:left="182" w:right="91"/>
        <w:rPr>
          <w:rFonts w:ascii="Arial" w:hAnsi="Arial" w:cs="Arial"/>
          <w:sz w:val="22"/>
        </w:rPr>
      </w:pPr>
      <w:r w:rsidRPr="002C4984">
        <w:rPr>
          <w:rFonts w:ascii="Arial" w:hAnsi="Arial" w:cs="Arial"/>
          <w:sz w:val="22"/>
        </w:rPr>
        <w:t>Invoices and approvals must be presented to the Programme Manager ahead of submission,</w:t>
      </w:r>
    </w:p>
    <w:p w:rsidR="00E84D25" w:rsidRPr="002C4984" w:rsidRDefault="002B38FD">
      <w:pPr>
        <w:pStyle w:val="Heading1"/>
        <w:ind w:left="197"/>
        <w:rPr>
          <w:rFonts w:ascii="Arial" w:hAnsi="Arial" w:cs="Arial"/>
          <w:sz w:val="22"/>
        </w:rPr>
      </w:pPr>
      <w:r w:rsidRPr="002C4984">
        <w:rPr>
          <w:rFonts w:ascii="Arial" w:hAnsi="Arial" w:cs="Arial"/>
          <w:sz w:val="22"/>
        </w:rPr>
        <w:lastRenderedPageBreak/>
        <w:t>Buyer's invoice address</w:t>
      </w:r>
    </w:p>
    <w:p w:rsidR="00E84D25" w:rsidRPr="002C4984" w:rsidRDefault="002B38FD">
      <w:pPr>
        <w:ind w:left="182" w:right="91"/>
        <w:rPr>
          <w:rFonts w:ascii="Arial" w:hAnsi="Arial" w:cs="Arial"/>
          <w:sz w:val="22"/>
        </w:rPr>
      </w:pPr>
      <w:r w:rsidRPr="002C4984">
        <w:rPr>
          <w:rFonts w:ascii="Arial" w:hAnsi="Arial" w:cs="Arial"/>
          <w:sz w:val="22"/>
        </w:rPr>
        <w:t xml:space="preserve">Invoices should be submitted (and copied to the Programme Manager and UKEF FRC PMO) to: </w:t>
      </w:r>
      <w:r w:rsidR="002C4984" w:rsidRPr="002C4984">
        <w:rPr>
          <w:rFonts w:ascii="Arial" w:hAnsi="Arial" w:cs="Arial"/>
          <w:sz w:val="22"/>
        </w:rPr>
        <w:t>Redacted under FOIA section 40, Personal Information</w:t>
      </w:r>
    </w:p>
    <w:p w:rsidR="00E84D25" w:rsidRPr="002C4984" w:rsidRDefault="002B38FD">
      <w:pPr>
        <w:spacing w:after="282"/>
        <w:ind w:left="182" w:right="91"/>
        <w:rPr>
          <w:rFonts w:ascii="Arial" w:hAnsi="Arial" w:cs="Arial"/>
          <w:sz w:val="22"/>
        </w:rPr>
      </w:pPr>
      <w:r w:rsidRPr="002C4984">
        <w:rPr>
          <w:rFonts w:ascii="Arial" w:hAnsi="Arial" w:cs="Arial"/>
          <w:sz w:val="22"/>
        </w:rPr>
        <w:t>All invoices will require a PO number. Any without will not be processed.</w:t>
      </w:r>
    </w:p>
    <w:p w:rsidR="00E84D25" w:rsidRPr="002C4984" w:rsidRDefault="002B38FD">
      <w:pPr>
        <w:pStyle w:val="Heading1"/>
        <w:ind w:left="197"/>
        <w:rPr>
          <w:rFonts w:ascii="Arial" w:hAnsi="Arial" w:cs="Arial"/>
          <w:sz w:val="22"/>
        </w:rPr>
      </w:pPr>
      <w:r w:rsidRPr="002C4984">
        <w:rPr>
          <w:rFonts w:ascii="Arial" w:hAnsi="Arial" w:cs="Arial"/>
          <w:sz w:val="22"/>
        </w:rPr>
        <w:t>FINANCIAL TRANSPARENCY OBJECTIVES</w:t>
      </w:r>
    </w:p>
    <w:p w:rsidR="00E84D25" w:rsidRPr="002C4984" w:rsidRDefault="002B38FD">
      <w:pPr>
        <w:spacing w:after="364"/>
        <w:ind w:left="182" w:right="91"/>
        <w:rPr>
          <w:rFonts w:ascii="Arial" w:hAnsi="Arial" w:cs="Arial"/>
          <w:sz w:val="22"/>
        </w:rPr>
      </w:pPr>
      <w:r w:rsidRPr="002C4984">
        <w:rPr>
          <w:rFonts w:ascii="Arial" w:hAnsi="Arial" w:cs="Arial"/>
          <w:sz w:val="22"/>
        </w:rPr>
        <w:t>The Financial Transparency Objectives do not apply to this Call-Off Contract.</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Buyer's authorised representative</w:t>
      </w:r>
    </w:p>
    <w:p w:rsidR="002C4984" w:rsidRPr="002C4984" w:rsidRDefault="002C4984" w:rsidP="002C4984">
      <w:pPr>
        <w:spacing w:after="4"/>
        <w:ind w:left="206" w:right="115" w:hanging="10"/>
        <w:jc w:val="left"/>
        <w:rPr>
          <w:rFonts w:ascii="Arial" w:hAnsi="Arial" w:cs="Arial"/>
          <w:sz w:val="22"/>
        </w:rPr>
      </w:pPr>
      <w:r w:rsidRPr="002C4984">
        <w:rPr>
          <w:rFonts w:ascii="Arial" w:hAnsi="Arial" w:cs="Arial"/>
          <w:sz w:val="22"/>
        </w:rPr>
        <w:t>Redacted under FOIA section 40, Personal Information</w:t>
      </w:r>
    </w:p>
    <w:p w:rsidR="002C4984" w:rsidRPr="002C4984" w:rsidRDefault="002C4984" w:rsidP="002C4984">
      <w:pPr>
        <w:spacing w:after="4"/>
        <w:ind w:left="206" w:right="115" w:hanging="10"/>
        <w:jc w:val="left"/>
        <w:rPr>
          <w:rFonts w:ascii="Arial" w:hAnsi="Arial" w:cs="Arial"/>
          <w:sz w:val="22"/>
        </w:rPr>
      </w:pPr>
    </w:p>
    <w:p w:rsidR="00E84D25" w:rsidRPr="002C4984" w:rsidRDefault="002B38FD">
      <w:pPr>
        <w:spacing w:after="438"/>
        <w:ind w:left="182" w:right="4939"/>
        <w:rPr>
          <w:rFonts w:ascii="Arial" w:hAnsi="Arial" w:cs="Arial"/>
          <w:sz w:val="22"/>
        </w:rPr>
      </w:pPr>
      <w:r w:rsidRPr="002C4984">
        <w:rPr>
          <w:rFonts w:ascii="Arial" w:hAnsi="Arial" w:cs="Arial"/>
          <w:sz w:val="22"/>
        </w:rPr>
        <w:t>Buyer's security policy Available here:</w:t>
      </w:r>
    </w:p>
    <w:p w:rsidR="00E84D25" w:rsidRPr="002C4984" w:rsidRDefault="00576D04">
      <w:pPr>
        <w:spacing w:after="0"/>
        <w:ind w:left="225" w:hanging="10"/>
        <w:jc w:val="left"/>
        <w:rPr>
          <w:rFonts w:ascii="Arial" w:hAnsi="Arial" w:cs="Arial"/>
          <w:sz w:val="22"/>
        </w:rPr>
      </w:pPr>
      <w:r>
        <w:rPr>
          <w:rFonts w:ascii="Arial" w:hAnsi="Arial" w:cs="Arial"/>
          <w:sz w:val="22"/>
        </w:rPr>
        <w:t>Security</w:t>
      </w:r>
      <w:r w:rsidR="002B38FD" w:rsidRPr="002C4984">
        <w:rPr>
          <w:rFonts w:ascii="Arial" w:hAnsi="Arial" w:cs="Arial"/>
          <w:sz w:val="22"/>
        </w:rPr>
        <w:t xml:space="preserve"> Framework</w:t>
      </w:r>
    </w:p>
    <w:p w:rsidR="00E84D25" w:rsidRPr="002C4984" w:rsidRDefault="002B38FD">
      <w:pPr>
        <w:spacing w:after="568"/>
        <w:ind w:left="528" w:hanging="10"/>
        <w:jc w:val="left"/>
        <w:rPr>
          <w:rFonts w:ascii="Arial" w:hAnsi="Arial" w:cs="Arial"/>
          <w:sz w:val="22"/>
        </w:rPr>
      </w:pPr>
      <w:r w:rsidRPr="002C4984">
        <w:rPr>
          <w:rFonts w:ascii="Arial" w:hAnsi="Arial" w:cs="Arial"/>
          <w:sz w:val="22"/>
        </w:rPr>
        <w:t>Policy.docx</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Supplier's authorised representative</w:t>
      </w:r>
    </w:p>
    <w:p w:rsidR="00E84D25" w:rsidRPr="002C4984" w:rsidRDefault="002C4984">
      <w:pPr>
        <w:spacing w:after="4"/>
        <w:ind w:left="206" w:right="115" w:hanging="10"/>
        <w:jc w:val="left"/>
        <w:rPr>
          <w:rFonts w:ascii="Arial" w:hAnsi="Arial" w:cs="Arial"/>
          <w:sz w:val="22"/>
        </w:rPr>
      </w:pPr>
      <w:r w:rsidRPr="002C4984">
        <w:rPr>
          <w:rFonts w:ascii="Arial" w:hAnsi="Arial" w:cs="Arial"/>
          <w:sz w:val="22"/>
        </w:rPr>
        <w:t>Redacted under FOIA section 40, Personal Information</w:t>
      </w:r>
    </w:p>
    <w:p w:rsidR="002C4984" w:rsidRPr="002C4984" w:rsidRDefault="002C4984">
      <w:pPr>
        <w:spacing w:after="4"/>
        <w:ind w:left="206" w:right="115" w:hanging="10"/>
        <w:jc w:val="left"/>
        <w:rPr>
          <w:rFonts w:ascii="Arial" w:hAnsi="Arial" w:cs="Arial"/>
          <w:sz w:val="22"/>
        </w:rPr>
      </w:pP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Progress report frequency</w:t>
      </w:r>
    </w:p>
    <w:p w:rsidR="00E84D25" w:rsidRPr="002C4984" w:rsidRDefault="002B38FD">
      <w:pPr>
        <w:spacing w:after="169"/>
        <w:ind w:left="182" w:right="91"/>
        <w:rPr>
          <w:rFonts w:ascii="Arial" w:hAnsi="Arial" w:cs="Arial"/>
          <w:sz w:val="22"/>
        </w:rPr>
      </w:pPr>
      <w:r w:rsidRPr="002C4984">
        <w:rPr>
          <w:rFonts w:ascii="Arial" w:hAnsi="Arial" w:cs="Arial"/>
          <w:sz w:val="22"/>
        </w:rPr>
        <w:t>The reporting requirements for this project:</w:t>
      </w:r>
    </w:p>
    <w:p w:rsidR="00E84D25" w:rsidRPr="002C4984" w:rsidRDefault="002B38FD">
      <w:pPr>
        <w:ind w:left="182" w:right="91"/>
        <w:rPr>
          <w:rFonts w:ascii="Arial" w:hAnsi="Arial" w:cs="Arial"/>
          <w:sz w:val="22"/>
        </w:rPr>
      </w:pPr>
      <w:r w:rsidRPr="002C4984">
        <w:rPr>
          <w:rFonts w:ascii="Arial" w:hAnsi="Arial" w:cs="Arial"/>
          <w:sz w:val="22"/>
        </w:rPr>
        <w:t>Weekly: actual days per role used for each deliverable to allow for spend tracking</w:t>
      </w:r>
    </w:p>
    <w:p w:rsidR="00E84D25" w:rsidRPr="002C4984" w:rsidRDefault="002B38FD">
      <w:pPr>
        <w:ind w:left="182" w:right="91"/>
        <w:rPr>
          <w:rFonts w:ascii="Arial" w:hAnsi="Arial" w:cs="Arial"/>
          <w:sz w:val="22"/>
        </w:rPr>
      </w:pPr>
      <w:r w:rsidRPr="002C4984">
        <w:rPr>
          <w:rFonts w:ascii="Arial" w:hAnsi="Arial" w:cs="Arial"/>
          <w:sz w:val="22"/>
        </w:rPr>
        <w:t>Fortnightly: progress against plan and any deviation</w:t>
      </w:r>
    </w:p>
    <w:p w:rsidR="00E84D25" w:rsidRPr="002C4984" w:rsidRDefault="002B38FD">
      <w:pPr>
        <w:spacing w:after="449"/>
        <w:ind w:left="182" w:right="302"/>
        <w:rPr>
          <w:rFonts w:ascii="Arial" w:hAnsi="Arial" w:cs="Arial"/>
          <w:sz w:val="22"/>
        </w:rPr>
      </w:pPr>
      <w:r w:rsidRPr="002C4984">
        <w:rPr>
          <w:rFonts w:ascii="Arial" w:hAnsi="Arial" w:cs="Arial"/>
          <w:sz w:val="22"/>
        </w:rPr>
        <w:t>Monthly: roles coming onto the programme in the next quarter and their SC status Monthly: performance reports detailing achievement against the KPls set out in section 15 in Attachment 3 — Statement of Requirements.</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Progress meeting frequency</w:t>
      </w:r>
    </w:p>
    <w:p w:rsidR="00E84D25" w:rsidRPr="002C4984" w:rsidRDefault="002B38FD">
      <w:pPr>
        <w:spacing w:after="433" w:line="216" w:lineRule="auto"/>
        <w:ind w:left="100" w:right="34" w:firstLine="14"/>
        <w:jc w:val="left"/>
        <w:rPr>
          <w:rFonts w:ascii="Arial" w:hAnsi="Arial" w:cs="Arial"/>
          <w:sz w:val="22"/>
        </w:rPr>
      </w:pPr>
      <w:r w:rsidRPr="002C4984">
        <w:rPr>
          <w:rFonts w:ascii="Arial" w:hAnsi="Arial" w:cs="Arial"/>
          <w:sz w:val="22"/>
        </w:rPr>
        <w:t>The Supplier will be required to attend monthly Contract performance meetings (or more often as agreed by supplier and customer) which will be virtual/in-person on a 2-monthly rotating basis (in-person month 1, virtual month 2, in-person month 3). Attendance shall be at the Supplier's own expense.</w:t>
      </w:r>
    </w:p>
    <w:p w:rsidR="00E84D25" w:rsidRPr="002C4984" w:rsidRDefault="002B38FD">
      <w:pPr>
        <w:spacing w:after="4"/>
        <w:ind w:left="135" w:right="115" w:hanging="10"/>
        <w:jc w:val="left"/>
        <w:rPr>
          <w:rFonts w:ascii="Arial" w:hAnsi="Arial" w:cs="Arial"/>
          <w:sz w:val="22"/>
        </w:rPr>
      </w:pPr>
      <w:r w:rsidRPr="002C4984">
        <w:rPr>
          <w:rFonts w:ascii="Arial" w:hAnsi="Arial" w:cs="Arial"/>
          <w:sz w:val="22"/>
        </w:rPr>
        <w:t>Key staff</w:t>
      </w:r>
    </w:p>
    <w:p w:rsidR="002C4984" w:rsidRPr="002C4984" w:rsidRDefault="002C4984">
      <w:pPr>
        <w:spacing w:after="4"/>
        <w:ind w:left="72" w:right="115" w:hanging="10"/>
        <w:jc w:val="left"/>
        <w:rPr>
          <w:rFonts w:ascii="Arial" w:hAnsi="Arial" w:cs="Arial"/>
          <w:sz w:val="22"/>
        </w:rPr>
      </w:pPr>
      <w:r w:rsidRPr="002C4984">
        <w:rPr>
          <w:rFonts w:ascii="Arial" w:hAnsi="Arial" w:cs="Arial"/>
          <w:sz w:val="22"/>
        </w:rPr>
        <w:t>Redacted under FOIA section 40, Personal Information</w:t>
      </w:r>
    </w:p>
    <w:p w:rsidR="002C4984" w:rsidRPr="002C4984" w:rsidRDefault="002C4984">
      <w:pPr>
        <w:spacing w:after="4"/>
        <w:ind w:left="72" w:right="115" w:hanging="10"/>
        <w:jc w:val="left"/>
        <w:rPr>
          <w:rFonts w:ascii="Arial" w:hAnsi="Arial" w:cs="Arial"/>
          <w:sz w:val="22"/>
        </w:rPr>
      </w:pPr>
    </w:p>
    <w:p w:rsidR="00E84D25" w:rsidRPr="002C4984" w:rsidRDefault="002B38FD">
      <w:pPr>
        <w:spacing w:after="4"/>
        <w:ind w:left="72" w:right="115" w:hanging="10"/>
        <w:jc w:val="left"/>
        <w:rPr>
          <w:rFonts w:ascii="Arial" w:hAnsi="Arial" w:cs="Arial"/>
          <w:sz w:val="22"/>
        </w:rPr>
      </w:pPr>
      <w:r w:rsidRPr="002C4984">
        <w:rPr>
          <w:rFonts w:ascii="Arial" w:hAnsi="Arial" w:cs="Arial"/>
          <w:sz w:val="22"/>
        </w:rPr>
        <w:t>Key subcontractor(s)</w:t>
      </w:r>
    </w:p>
    <w:p w:rsidR="00E84D25" w:rsidRPr="002C4984" w:rsidRDefault="002B38FD">
      <w:pPr>
        <w:spacing w:after="418"/>
        <w:ind w:left="58" w:right="91"/>
        <w:rPr>
          <w:rFonts w:ascii="Arial" w:hAnsi="Arial" w:cs="Arial"/>
          <w:sz w:val="22"/>
        </w:rPr>
      </w:pPr>
      <w:r w:rsidRPr="002C4984">
        <w:rPr>
          <w:rFonts w:ascii="Arial" w:hAnsi="Arial" w:cs="Arial"/>
          <w:sz w:val="22"/>
        </w:rPr>
        <w:t>Not applicable</w:t>
      </w:r>
    </w:p>
    <w:p w:rsidR="00E84D25" w:rsidRPr="002C4984" w:rsidRDefault="002B38FD">
      <w:pPr>
        <w:pStyle w:val="Heading1"/>
        <w:spacing w:after="102"/>
        <w:ind w:left="44"/>
        <w:rPr>
          <w:rFonts w:ascii="Arial" w:hAnsi="Arial" w:cs="Arial"/>
          <w:sz w:val="22"/>
        </w:rPr>
      </w:pPr>
      <w:r w:rsidRPr="002C4984">
        <w:rPr>
          <w:rFonts w:ascii="Arial" w:hAnsi="Arial" w:cs="Arial"/>
          <w:sz w:val="22"/>
        </w:rPr>
        <w:lastRenderedPageBreak/>
        <w:t>Service credits</w:t>
      </w:r>
    </w:p>
    <w:p w:rsidR="00E84D25" w:rsidRPr="002C4984" w:rsidRDefault="002B38FD">
      <w:pPr>
        <w:spacing w:after="125"/>
        <w:ind w:left="24" w:right="91"/>
        <w:rPr>
          <w:rFonts w:ascii="Arial" w:hAnsi="Arial" w:cs="Arial"/>
          <w:sz w:val="22"/>
        </w:rPr>
      </w:pPr>
      <w:r w:rsidRPr="002C4984">
        <w:rPr>
          <w:rFonts w:ascii="Arial" w:hAnsi="Arial" w:cs="Arial"/>
          <w:sz w:val="22"/>
        </w:rPr>
        <w:t>Each week of delay beyond the Delivery Date for a Deliverable will accrue one service credit.</w:t>
      </w:r>
    </w:p>
    <w:p w:rsidR="00E84D25" w:rsidRPr="002C4984" w:rsidRDefault="002B38FD">
      <w:pPr>
        <w:spacing w:after="77"/>
        <w:ind w:left="10" w:right="91"/>
        <w:rPr>
          <w:rFonts w:ascii="Arial" w:hAnsi="Arial" w:cs="Arial"/>
          <w:sz w:val="22"/>
        </w:rPr>
      </w:pPr>
      <w:r w:rsidRPr="002C4984">
        <w:rPr>
          <w:rFonts w:ascii="Arial" w:hAnsi="Arial" w:cs="Arial"/>
          <w:sz w:val="22"/>
        </w:rPr>
        <w:t>A service credit will be equivalent to 2.5% of the actuals for that Deliverable.</w:t>
      </w:r>
    </w:p>
    <w:p w:rsidR="00E84D25" w:rsidRPr="002C4984" w:rsidRDefault="002B38FD">
      <w:pPr>
        <w:spacing w:after="79"/>
        <w:ind w:left="5" w:right="192"/>
        <w:rPr>
          <w:rFonts w:ascii="Arial" w:hAnsi="Arial" w:cs="Arial"/>
          <w:sz w:val="22"/>
        </w:rPr>
      </w:pPr>
      <w:r w:rsidRPr="002C4984">
        <w:rPr>
          <w:rFonts w:ascii="Arial" w:hAnsi="Arial" w:cs="Arial"/>
          <w:sz w:val="22"/>
        </w:rPr>
        <w:t>Service Credits will only be applied where the delay is a result of the Supplier's action or inaction.</w:t>
      </w:r>
    </w:p>
    <w:p w:rsidR="00E84D25" w:rsidRPr="002C4984" w:rsidRDefault="002B38FD">
      <w:pPr>
        <w:spacing w:after="104"/>
        <w:ind w:left="0" w:right="91"/>
        <w:rPr>
          <w:rFonts w:ascii="Arial" w:hAnsi="Arial" w:cs="Arial"/>
          <w:sz w:val="22"/>
        </w:rPr>
      </w:pPr>
      <w:r w:rsidRPr="002C4984">
        <w:rPr>
          <w:rFonts w:ascii="Arial" w:hAnsi="Arial" w:cs="Arial"/>
          <w:sz w:val="22"/>
        </w:rPr>
        <w:t xml:space="preserve">The </w:t>
      </w:r>
      <w:r w:rsidR="00576D04">
        <w:rPr>
          <w:rFonts w:ascii="Arial" w:hAnsi="Arial" w:cs="Arial"/>
          <w:sz w:val="22"/>
        </w:rPr>
        <w:t>Service</w:t>
      </w:r>
      <w:r w:rsidRPr="002C4984">
        <w:rPr>
          <w:rFonts w:ascii="Arial" w:hAnsi="Arial" w:cs="Arial"/>
          <w:sz w:val="22"/>
        </w:rPr>
        <w:t xml:space="preserve"> Period is: one week</w:t>
      </w:r>
    </w:p>
    <w:p w:rsidR="00E84D25" w:rsidRPr="002C4984" w:rsidRDefault="002B38FD">
      <w:pPr>
        <w:spacing w:after="118"/>
        <w:ind w:left="58" w:right="115" w:hanging="10"/>
        <w:jc w:val="left"/>
        <w:rPr>
          <w:rFonts w:ascii="Arial" w:hAnsi="Arial" w:cs="Arial"/>
          <w:sz w:val="22"/>
        </w:rPr>
      </w:pPr>
      <w:r w:rsidRPr="002C4984">
        <w:rPr>
          <w:rFonts w:ascii="Arial" w:hAnsi="Arial" w:cs="Arial"/>
          <w:sz w:val="22"/>
        </w:rPr>
        <w:t>A Critical Service Level Failure is: See Call-Off Schedule 14 (Service Levels)</w:t>
      </w:r>
    </w:p>
    <w:p w:rsidR="00E84D25" w:rsidRPr="002C4984" w:rsidRDefault="002B38FD">
      <w:pPr>
        <w:numPr>
          <w:ilvl w:val="0"/>
          <w:numId w:val="2"/>
        </w:numPr>
        <w:ind w:left="711" w:right="91" w:hanging="341"/>
        <w:rPr>
          <w:rFonts w:ascii="Arial" w:hAnsi="Arial" w:cs="Arial"/>
          <w:sz w:val="22"/>
        </w:rPr>
      </w:pPr>
      <w:r w:rsidRPr="002C4984">
        <w:rPr>
          <w:rFonts w:ascii="Arial" w:hAnsi="Arial" w:cs="Arial"/>
          <w:sz w:val="22"/>
        </w:rPr>
        <w:t>Failure to meet the Service Level Performance Measure for 3 or more</w:t>
      </w:r>
    </w:p>
    <w:p w:rsidR="00E84D25" w:rsidRPr="002C4984" w:rsidRDefault="002B38FD">
      <w:pPr>
        <w:ind w:left="706" w:right="91"/>
        <w:rPr>
          <w:rFonts w:ascii="Arial" w:hAnsi="Arial" w:cs="Arial"/>
          <w:sz w:val="22"/>
        </w:rPr>
      </w:pPr>
      <w:r w:rsidRPr="002C4984">
        <w:rPr>
          <w:rFonts w:ascii="Arial" w:hAnsi="Arial" w:cs="Arial"/>
          <w:sz w:val="22"/>
        </w:rPr>
        <w:t>Service Level Performance Criterion in a given Service Period; or,</w:t>
      </w:r>
    </w:p>
    <w:p w:rsidR="00E84D25" w:rsidRPr="002C4984" w:rsidRDefault="002B38FD">
      <w:pPr>
        <w:numPr>
          <w:ilvl w:val="0"/>
          <w:numId w:val="2"/>
        </w:numPr>
        <w:ind w:left="711" w:right="91" w:hanging="341"/>
        <w:rPr>
          <w:rFonts w:ascii="Arial" w:hAnsi="Arial" w:cs="Arial"/>
          <w:sz w:val="22"/>
        </w:rPr>
      </w:pPr>
      <w:r w:rsidRPr="002C4984">
        <w:rPr>
          <w:rFonts w:ascii="Arial" w:hAnsi="Arial" w:cs="Arial"/>
          <w:sz w:val="22"/>
        </w:rPr>
        <w:t>Failure to meet the same Service Level Performance Measure over 3 consecutive Service Periods:</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Additional insurances</w:t>
      </w:r>
    </w:p>
    <w:p w:rsidR="00E84D25" w:rsidRPr="002C4984" w:rsidRDefault="002B38FD">
      <w:pPr>
        <w:spacing w:after="423"/>
        <w:ind w:left="182" w:right="91"/>
        <w:rPr>
          <w:rFonts w:ascii="Arial" w:hAnsi="Arial" w:cs="Arial"/>
          <w:sz w:val="22"/>
        </w:rPr>
      </w:pPr>
      <w:r w:rsidRPr="002C4984">
        <w:rPr>
          <w:rFonts w:ascii="Arial" w:hAnsi="Arial" w:cs="Arial"/>
          <w:sz w:val="22"/>
        </w:rPr>
        <w:t>Not applicable</w:t>
      </w:r>
    </w:p>
    <w:p w:rsidR="00E84D25" w:rsidRPr="002C4984" w:rsidRDefault="002B38FD">
      <w:pPr>
        <w:spacing w:after="4"/>
        <w:ind w:left="206" w:right="115" w:hanging="10"/>
        <w:jc w:val="left"/>
        <w:rPr>
          <w:rFonts w:ascii="Arial" w:hAnsi="Arial" w:cs="Arial"/>
          <w:sz w:val="22"/>
        </w:rPr>
      </w:pPr>
      <w:r w:rsidRPr="002C4984">
        <w:rPr>
          <w:rFonts w:ascii="Arial" w:hAnsi="Arial" w:cs="Arial"/>
          <w:sz w:val="22"/>
        </w:rPr>
        <w:t>Guarantee</w:t>
      </w:r>
    </w:p>
    <w:p w:rsidR="00E84D25" w:rsidRPr="002C4984" w:rsidRDefault="002B38FD">
      <w:pPr>
        <w:spacing w:after="390"/>
        <w:ind w:left="182" w:right="91"/>
        <w:rPr>
          <w:rFonts w:ascii="Arial" w:hAnsi="Arial" w:cs="Arial"/>
          <w:sz w:val="22"/>
        </w:rPr>
      </w:pPr>
      <w:r w:rsidRPr="002C4984">
        <w:rPr>
          <w:rFonts w:ascii="Arial" w:hAnsi="Arial" w:cs="Arial"/>
          <w:sz w:val="22"/>
        </w:rPr>
        <w:t>Not Applicable</w:t>
      </w:r>
    </w:p>
    <w:p w:rsidR="00E84D25" w:rsidRPr="002C4984" w:rsidRDefault="002B38FD">
      <w:pPr>
        <w:pStyle w:val="Heading1"/>
        <w:ind w:left="197"/>
        <w:rPr>
          <w:rFonts w:ascii="Arial" w:hAnsi="Arial" w:cs="Arial"/>
          <w:sz w:val="22"/>
        </w:rPr>
      </w:pPr>
      <w:r w:rsidRPr="002C4984">
        <w:rPr>
          <w:rFonts w:ascii="Arial" w:hAnsi="Arial" w:cs="Arial"/>
          <w:sz w:val="22"/>
        </w:rPr>
        <w:t>Buyer's environmental and social value policy</w:t>
      </w:r>
    </w:p>
    <w:p w:rsidR="00E84D25" w:rsidRPr="002C4984" w:rsidRDefault="002B38FD">
      <w:pPr>
        <w:ind w:left="182" w:right="91"/>
        <w:rPr>
          <w:rFonts w:ascii="Arial" w:hAnsi="Arial" w:cs="Arial"/>
          <w:sz w:val="22"/>
        </w:rPr>
      </w:pPr>
      <w:r w:rsidRPr="002C4984">
        <w:rPr>
          <w:rFonts w:ascii="Arial" w:hAnsi="Arial" w:cs="Arial"/>
          <w:sz w:val="22"/>
        </w:rPr>
        <w:t>There are no specific sustainability requirements of this contract.</w:t>
      </w:r>
    </w:p>
    <w:p w:rsidR="00E84D25" w:rsidRPr="002C4984" w:rsidRDefault="002B38FD">
      <w:pPr>
        <w:spacing w:after="401"/>
        <w:ind w:left="182" w:right="202"/>
        <w:rPr>
          <w:rFonts w:ascii="Arial" w:hAnsi="Arial" w:cs="Arial"/>
          <w:sz w:val="22"/>
        </w:rPr>
      </w:pPr>
      <w:r w:rsidRPr="002C4984">
        <w:rPr>
          <w:rFonts w:ascii="Arial" w:hAnsi="Arial" w:cs="Arial"/>
          <w:sz w:val="22"/>
        </w:rPr>
        <w:t>The Supplier will be required to describe how they will support health and wellbeing in the workplace and will deliver activities to support the mental health of the programme.</w:t>
      </w:r>
    </w:p>
    <w:p w:rsidR="00E84D25" w:rsidRPr="002C4984" w:rsidRDefault="002B38FD">
      <w:pPr>
        <w:spacing w:after="4"/>
        <w:ind w:left="206" w:right="115" w:hanging="10"/>
        <w:jc w:val="left"/>
        <w:rPr>
          <w:rFonts w:ascii="Arial" w:hAnsi="Arial" w:cs="Arial"/>
          <w:sz w:val="22"/>
        </w:rPr>
      </w:pPr>
      <w:r w:rsidRPr="002C4984">
        <w:rPr>
          <w:rFonts w:ascii="Arial" w:hAnsi="Arial" w:cs="Arial"/>
          <w:noProof/>
          <w:sz w:val="22"/>
        </w:rPr>
        <w:drawing>
          <wp:inline distT="0" distB="0" distL="0" distR="0">
            <wp:extent cx="9144" cy="6098"/>
            <wp:effectExtent l="0" t="0" r="0" b="0"/>
            <wp:docPr id="10743" name="Picture 10743"/>
            <wp:cNvGraphicFramePr/>
            <a:graphic xmlns:a="http://schemas.openxmlformats.org/drawingml/2006/main">
              <a:graphicData uri="http://schemas.openxmlformats.org/drawingml/2006/picture">
                <pic:pic xmlns:pic="http://schemas.openxmlformats.org/drawingml/2006/picture">
                  <pic:nvPicPr>
                    <pic:cNvPr id="10743" name="Picture 10743"/>
                    <pic:cNvPicPr/>
                  </pic:nvPicPr>
                  <pic:blipFill>
                    <a:blip r:embed="rId14"/>
                    <a:stretch>
                      <a:fillRect/>
                    </a:stretch>
                  </pic:blipFill>
                  <pic:spPr>
                    <a:xfrm>
                      <a:off x="0" y="0"/>
                      <a:ext cx="9144" cy="6098"/>
                    </a:xfrm>
                    <a:prstGeom prst="rect">
                      <a:avLst/>
                    </a:prstGeom>
                  </pic:spPr>
                </pic:pic>
              </a:graphicData>
            </a:graphic>
          </wp:inline>
        </w:drawing>
      </w:r>
      <w:r w:rsidRPr="002C4984">
        <w:rPr>
          <w:rFonts w:ascii="Arial" w:hAnsi="Arial" w:cs="Arial"/>
          <w:sz w:val="22"/>
        </w:rPr>
        <w:t>Social value commitment</w:t>
      </w:r>
    </w:p>
    <w:p w:rsidR="00E84D25" w:rsidRPr="002C4984" w:rsidRDefault="002B38FD">
      <w:pPr>
        <w:ind w:left="182"/>
        <w:rPr>
          <w:rFonts w:ascii="Arial" w:hAnsi="Arial" w:cs="Arial"/>
          <w:sz w:val="22"/>
        </w:rPr>
      </w:pPr>
      <w:r w:rsidRPr="002C4984">
        <w:rPr>
          <w:rFonts w:ascii="Arial" w:hAnsi="Arial" w:cs="Arial"/>
          <w:sz w:val="22"/>
        </w:rPr>
        <w:t>The Supplier agrees, in providing the Deliverables and performing its obligations under the Call-Off Contract, that it will comply with the social value commitments in Call-Off Schedule 4 (Call-Off Tender)</w:t>
      </w:r>
      <w:r w:rsidRPr="002C4984">
        <w:rPr>
          <w:rFonts w:ascii="Arial" w:hAnsi="Arial" w:cs="Arial"/>
          <w:sz w:val="22"/>
        </w:rPr>
        <w:br w:type="page"/>
      </w:r>
    </w:p>
    <w:p w:rsidR="00E84D25" w:rsidRPr="002C4984" w:rsidRDefault="002B38FD">
      <w:pPr>
        <w:spacing w:after="4"/>
        <w:ind w:left="92" w:right="115" w:hanging="10"/>
        <w:jc w:val="left"/>
        <w:rPr>
          <w:rFonts w:ascii="Arial" w:hAnsi="Arial" w:cs="Arial"/>
          <w:sz w:val="22"/>
        </w:rPr>
      </w:pPr>
      <w:r w:rsidRPr="002C4984">
        <w:rPr>
          <w:rFonts w:ascii="Arial" w:hAnsi="Arial" w:cs="Arial"/>
          <w:sz w:val="22"/>
        </w:rPr>
        <w:lastRenderedPageBreak/>
        <w:t>Formation of call off contract</w:t>
      </w:r>
    </w:p>
    <w:p w:rsidR="00E84D25" w:rsidRPr="002C4984" w:rsidRDefault="002B38FD">
      <w:pPr>
        <w:spacing w:after="54"/>
        <w:ind w:left="72" w:right="91"/>
        <w:rPr>
          <w:rFonts w:ascii="Arial" w:hAnsi="Arial" w:cs="Arial"/>
          <w:sz w:val="22"/>
        </w:rPr>
      </w:pPr>
      <w:r w:rsidRPr="002C4984">
        <w:rPr>
          <w:rFonts w:ascii="Arial" w:hAnsi="Arial" w:cs="Arial"/>
          <w:sz w:val="22"/>
        </w:rPr>
        <w:t>By signing and returning this Call-Off Order Form the Supplier agrees to enter a CallOff Contract with the Buyer to provide the Services in accordance with the Call-Off Order Form and the Call-Off Terms,</w:t>
      </w:r>
    </w:p>
    <w:p w:rsidR="00E84D25" w:rsidRPr="002C4984" w:rsidRDefault="002B38FD">
      <w:pPr>
        <w:spacing w:after="147"/>
        <w:ind w:left="67" w:right="91"/>
        <w:rPr>
          <w:rFonts w:ascii="Arial" w:hAnsi="Arial" w:cs="Arial"/>
          <w:sz w:val="22"/>
        </w:rPr>
      </w:pPr>
      <w:r w:rsidRPr="002C4984">
        <w:rPr>
          <w:rFonts w:ascii="Arial" w:hAnsi="Arial" w:cs="Arial"/>
          <w:sz w:val="22"/>
        </w:rPr>
        <w:t>The Parties hereby acknowledge and agree that they have read the Call-Off Order Form and the Call-Off Terms and by signing below agree to be bound by this Call-Off Contract.</w:t>
      </w:r>
    </w:p>
    <w:p w:rsidR="00E84D25" w:rsidRPr="002C4984" w:rsidRDefault="002C4984">
      <w:pPr>
        <w:spacing w:after="181" w:line="259" w:lineRule="auto"/>
        <w:ind w:left="19" w:firstLine="0"/>
        <w:jc w:val="left"/>
        <w:rPr>
          <w:rFonts w:ascii="Arial" w:hAnsi="Arial" w:cs="Arial"/>
          <w:sz w:val="22"/>
        </w:rPr>
      </w:pPr>
      <w:r w:rsidRPr="002C4984">
        <w:rPr>
          <w:rFonts w:ascii="Arial" w:hAnsi="Arial" w:cs="Arial"/>
          <w:sz w:val="22"/>
        </w:rPr>
        <w:t>Redacted under FOIA section 40, Personal Information</w:t>
      </w:r>
    </w:p>
    <w:p w:rsidR="00E84D25" w:rsidRPr="002C4984" w:rsidRDefault="002B38FD">
      <w:pPr>
        <w:spacing w:line="259" w:lineRule="auto"/>
        <w:ind w:left="63" w:hanging="10"/>
        <w:jc w:val="left"/>
        <w:rPr>
          <w:rFonts w:ascii="Arial" w:hAnsi="Arial" w:cs="Arial"/>
          <w:sz w:val="22"/>
        </w:rPr>
      </w:pPr>
      <w:r w:rsidRPr="002C4984">
        <w:rPr>
          <w:rFonts w:ascii="Arial" w:hAnsi="Arial" w:cs="Arial"/>
          <w:sz w:val="22"/>
        </w:rPr>
        <w:t>For and on behalf of the Buyer:</w:t>
      </w:r>
    </w:p>
    <w:p w:rsidR="00E84D25" w:rsidRPr="002C4984" w:rsidRDefault="00E84D25">
      <w:pPr>
        <w:rPr>
          <w:rFonts w:ascii="Arial" w:hAnsi="Arial" w:cs="Arial"/>
          <w:sz w:val="22"/>
        </w:rPr>
        <w:sectPr w:rsidR="00E84D25" w:rsidRPr="002C4984">
          <w:type w:val="continuous"/>
          <w:pgSz w:w="11904" w:h="16829"/>
          <w:pgMar w:top="1708" w:right="1728" w:bottom="2385" w:left="1795" w:header="720" w:footer="720" w:gutter="0"/>
          <w:cols w:space="720"/>
        </w:sectPr>
      </w:pPr>
    </w:p>
    <w:p w:rsidR="00E84D25" w:rsidRPr="00576D04" w:rsidRDefault="002C4984" w:rsidP="00576D04">
      <w:pPr>
        <w:spacing w:after="0" w:line="259" w:lineRule="auto"/>
        <w:ind w:left="0" w:firstLine="0"/>
        <w:rPr>
          <w:rFonts w:ascii="Arial" w:hAnsi="Arial" w:cs="Arial"/>
          <w:sz w:val="22"/>
        </w:rPr>
        <w:sectPr w:rsidR="00E84D25" w:rsidRPr="00576D04">
          <w:type w:val="continuous"/>
          <w:pgSz w:w="11904" w:h="16829"/>
          <w:pgMar w:top="1708" w:right="6206" w:bottom="2002" w:left="1834" w:header="720" w:footer="720" w:gutter="0"/>
          <w:cols w:space="720"/>
        </w:sectPr>
      </w:pPr>
      <w:r w:rsidRPr="002C4984">
        <w:rPr>
          <w:rFonts w:ascii="Arial" w:hAnsi="Arial" w:cs="Arial"/>
          <w:sz w:val="22"/>
        </w:rPr>
        <w:t>Redacted under FOIA section 40, Personal Informati</w:t>
      </w:r>
      <w:r w:rsidR="00DA3690">
        <w:rPr>
          <w:rFonts w:ascii="Arial" w:hAnsi="Arial" w:cs="Arial"/>
          <w:sz w:val="22"/>
        </w:rPr>
        <w:t>on</w:t>
      </w:r>
    </w:p>
    <w:p w:rsidR="00E84D25" w:rsidRDefault="00E84D25" w:rsidP="00576D04">
      <w:pPr>
        <w:spacing w:after="0" w:line="259" w:lineRule="auto"/>
        <w:ind w:left="0" w:right="10464" w:firstLine="0"/>
        <w:jc w:val="left"/>
      </w:pPr>
    </w:p>
    <w:sectPr w:rsidR="00E84D25">
      <w:footerReference w:type="even" r:id="rId15"/>
      <w:footerReference w:type="default" r:id="rId16"/>
      <w:footerReference w:type="first" r:id="rId17"/>
      <w:pgSz w:w="11904" w:h="1682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44E8F" w:rsidRDefault="00344E8F">
      <w:pPr>
        <w:spacing w:after="0" w:line="240" w:lineRule="auto"/>
      </w:pPr>
      <w:r>
        <w:separator/>
      </w:r>
    </w:p>
  </w:endnote>
  <w:endnote w:type="continuationSeparator" w:id="0">
    <w:p w:rsidR="00344E8F" w:rsidRDefault="00344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2B38FD">
    <w:pPr>
      <w:spacing w:after="0" w:line="259" w:lineRule="auto"/>
      <w:ind w:left="-34" w:right="-6437" w:firstLine="0"/>
      <w:jc w:val="left"/>
    </w:pPr>
    <w:r>
      <w:t xml:space="preserve">Bid pack </w:t>
    </w:r>
    <w:r>
      <w:rPr>
        <w:sz w:val="20"/>
      </w:rPr>
      <w:t xml:space="preserve">for </w:t>
    </w:r>
    <w:r>
      <w:t xml:space="preserve">Provision </w:t>
    </w:r>
    <w:r>
      <w:rPr>
        <w:sz w:val="22"/>
      </w:rPr>
      <w:t xml:space="preserve">of </w:t>
    </w:r>
    <w:r>
      <w:t xml:space="preserve">Financial </w:t>
    </w:r>
    <w:r>
      <w:rPr>
        <w:sz w:val="22"/>
      </w:rPr>
      <w:t xml:space="preserve">Reporting </w:t>
    </w:r>
    <w:r>
      <w:t xml:space="preserve">Changes </w:t>
    </w:r>
    <w:r>
      <w:rPr>
        <w:sz w:val="26"/>
      </w:rPr>
      <w:t xml:space="preserve">- </w:t>
    </w:r>
    <w:r>
      <w:rPr>
        <w:sz w:val="22"/>
      </w:rPr>
      <w:t xml:space="preserve">Accounting </w:t>
    </w:r>
    <w:r>
      <w:t xml:space="preserve">and </w:t>
    </w:r>
    <w:r>
      <w:rPr>
        <w:sz w:val="22"/>
      </w:rPr>
      <w:t>Actuarial Advice</w:t>
    </w:r>
  </w:p>
  <w:p w:rsidR="00E84D25" w:rsidRDefault="002B38FD">
    <w:pPr>
      <w:tabs>
        <w:tab w:val="right" w:pos="8170"/>
      </w:tabs>
      <w:spacing w:after="0" w:line="259" w:lineRule="auto"/>
      <w:ind w:left="-38" w:right="-6792" w:firstLine="0"/>
      <w:jc w:val="left"/>
    </w:pPr>
    <w:r>
      <w:rPr>
        <w:sz w:val="22"/>
      </w:rPr>
      <w:t xml:space="preserve">Contract </w:t>
    </w:r>
    <w:r>
      <w:t>Reference: CCDE23A11</w:t>
    </w:r>
    <w:r>
      <w:tab/>
      <w:t xml:space="preserve">26 </w:t>
    </w:r>
    <w:r>
      <w:rPr>
        <w:sz w:val="22"/>
      </w:rPr>
      <w:t>September 2023</w:t>
    </w:r>
  </w:p>
  <w:p w:rsidR="00E84D25" w:rsidRDefault="002B38FD">
    <w:pPr>
      <w:spacing w:after="0" w:line="259" w:lineRule="auto"/>
      <w:ind w:left="-34" w:right="-1440" w:firstLine="0"/>
      <w:jc w:val="left"/>
    </w:pPr>
    <w:r>
      <w:rPr>
        <w:sz w:val="22"/>
      </w:rPr>
      <w:t xml:space="preserve">Framework </w:t>
    </w:r>
    <w:r>
      <w:t xml:space="preserve">Reference: </w:t>
    </w:r>
    <w:r>
      <w:rPr>
        <w:sz w:val="22"/>
      </w:rPr>
      <w:t>RM6187</w:t>
    </w:r>
  </w:p>
  <w:p w:rsidR="00E84D25" w:rsidRDefault="002B38FD">
    <w:pPr>
      <w:tabs>
        <w:tab w:val="right" w:pos="8146"/>
      </w:tabs>
      <w:spacing w:after="0" w:line="259" w:lineRule="auto"/>
      <w:ind w:left="-48" w:right="-6768" w:firstLine="0"/>
      <w:jc w:val="left"/>
    </w:pPr>
    <w:r>
      <w:rPr>
        <w:sz w:val="28"/>
      </w:rPr>
      <w:t xml:space="preserve">O </w:t>
    </w:r>
    <w:r>
      <w:rPr>
        <w:sz w:val="22"/>
      </w:rPr>
      <w:t xml:space="preserve">Crown Copyright </w:t>
    </w:r>
    <w:r>
      <w:t>2023</w:t>
    </w:r>
    <w: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2B38FD">
    <w:pPr>
      <w:spacing w:after="0" w:line="259" w:lineRule="auto"/>
      <w:ind w:left="-34" w:right="-6437" w:firstLine="0"/>
      <w:jc w:val="left"/>
    </w:pPr>
    <w:r>
      <w:t xml:space="preserve">Bid pack </w:t>
    </w:r>
    <w:r>
      <w:rPr>
        <w:sz w:val="20"/>
      </w:rPr>
      <w:t xml:space="preserve">for </w:t>
    </w:r>
    <w:r>
      <w:t xml:space="preserve">Provision </w:t>
    </w:r>
    <w:r>
      <w:rPr>
        <w:sz w:val="22"/>
      </w:rPr>
      <w:t xml:space="preserve">of </w:t>
    </w:r>
    <w:r>
      <w:t xml:space="preserve">Financial </w:t>
    </w:r>
    <w:r>
      <w:rPr>
        <w:sz w:val="22"/>
      </w:rPr>
      <w:t xml:space="preserve">Reporting </w:t>
    </w:r>
    <w:r>
      <w:t xml:space="preserve">Changes </w:t>
    </w:r>
    <w:r>
      <w:rPr>
        <w:sz w:val="26"/>
      </w:rPr>
      <w:t xml:space="preserve">- </w:t>
    </w:r>
    <w:r>
      <w:rPr>
        <w:sz w:val="22"/>
      </w:rPr>
      <w:t xml:space="preserve">Accounting </w:t>
    </w:r>
    <w:r>
      <w:t xml:space="preserve">and </w:t>
    </w:r>
    <w:r>
      <w:rPr>
        <w:sz w:val="22"/>
      </w:rPr>
      <w:t>Actuarial Advice</w:t>
    </w:r>
  </w:p>
  <w:p w:rsidR="00E84D25" w:rsidRDefault="002B38FD">
    <w:pPr>
      <w:tabs>
        <w:tab w:val="right" w:pos="8170"/>
      </w:tabs>
      <w:spacing w:after="0" w:line="259" w:lineRule="auto"/>
      <w:ind w:left="-38" w:right="-6792" w:firstLine="0"/>
      <w:jc w:val="left"/>
    </w:pPr>
    <w:r>
      <w:rPr>
        <w:sz w:val="22"/>
      </w:rPr>
      <w:t xml:space="preserve">Contract </w:t>
    </w:r>
    <w:r>
      <w:t>Reference: CCDE23A11</w:t>
    </w:r>
    <w:r>
      <w:tab/>
      <w:t xml:space="preserve">26 </w:t>
    </w:r>
    <w:r>
      <w:rPr>
        <w:sz w:val="22"/>
      </w:rPr>
      <w:t>September 2023</w:t>
    </w:r>
  </w:p>
  <w:p w:rsidR="00E84D25" w:rsidRDefault="002B38FD">
    <w:pPr>
      <w:spacing w:after="0" w:line="259" w:lineRule="auto"/>
      <w:ind w:left="-34" w:right="-1440" w:firstLine="0"/>
      <w:jc w:val="left"/>
    </w:pPr>
    <w:r>
      <w:rPr>
        <w:sz w:val="22"/>
      </w:rPr>
      <w:t xml:space="preserve">Framework </w:t>
    </w:r>
    <w:r>
      <w:t xml:space="preserve">Reference: </w:t>
    </w:r>
    <w:r>
      <w:rPr>
        <w:sz w:val="22"/>
      </w:rPr>
      <w:t>RM6187</w:t>
    </w:r>
  </w:p>
  <w:p w:rsidR="00E84D25" w:rsidRDefault="002B38FD">
    <w:pPr>
      <w:tabs>
        <w:tab w:val="right" w:pos="8146"/>
      </w:tabs>
      <w:spacing w:after="0" w:line="259" w:lineRule="auto"/>
      <w:ind w:left="-48" w:right="-6768" w:firstLine="0"/>
      <w:jc w:val="left"/>
    </w:pPr>
    <w:r>
      <w:rPr>
        <w:sz w:val="28"/>
      </w:rPr>
      <w:t xml:space="preserve">O </w:t>
    </w:r>
    <w:r>
      <w:rPr>
        <w:sz w:val="22"/>
      </w:rPr>
      <w:t xml:space="preserve">Crown Copyright </w:t>
    </w:r>
    <w:r>
      <w:t>2023</w:t>
    </w:r>
    <w: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2B38FD">
    <w:pPr>
      <w:spacing w:after="0" w:line="259" w:lineRule="auto"/>
      <w:ind w:left="-34" w:right="-6437" w:firstLine="0"/>
      <w:jc w:val="left"/>
    </w:pPr>
    <w:r>
      <w:t xml:space="preserve">Bid pack </w:t>
    </w:r>
    <w:r>
      <w:rPr>
        <w:sz w:val="20"/>
      </w:rPr>
      <w:t xml:space="preserve">for </w:t>
    </w:r>
    <w:r>
      <w:t xml:space="preserve">Provision </w:t>
    </w:r>
    <w:r>
      <w:rPr>
        <w:sz w:val="22"/>
      </w:rPr>
      <w:t xml:space="preserve">of </w:t>
    </w:r>
    <w:r>
      <w:t xml:space="preserve">Financial </w:t>
    </w:r>
    <w:r>
      <w:rPr>
        <w:sz w:val="22"/>
      </w:rPr>
      <w:t xml:space="preserve">Reporting </w:t>
    </w:r>
    <w:r>
      <w:t xml:space="preserve">Changes </w:t>
    </w:r>
    <w:r>
      <w:rPr>
        <w:sz w:val="26"/>
      </w:rPr>
      <w:t xml:space="preserve">- </w:t>
    </w:r>
    <w:r>
      <w:rPr>
        <w:sz w:val="22"/>
      </w:rPr>
      <w:t xml:space="preserve">Accounting </w:t>
    </w:r>
    <w:r>
      <w:t xml:space="preserve">and </w:t>
    </w:r>
    <w:r>
      <w:rPr>
        <w:sz w:val="22"/>
      </w:rPr>
      <w:t>Actuarial Advice</w:t>
    </w:r>
  </w:p>
  <w:p w:rsidR="00E84D25" w:rsidRDefault="002B38FD">
    <w:pPr>
      <w:tabs>
        <w:tab w:val="right" w:pos="8170"/>
      </w:tabs>
      <w:spacing w:after="0" w:line="259" w:lineRule="auto"/>
      <w:ind w:left="-38" w:right="-6792" w:firstLine="0"/>
      <w:jc w:val="left"/>
    </w:pPr>
    <w:r>
      <w:rPr>
        <w:sz w:val="22"/>
      </w:rPr>
      <w:t xml:space="preserve">Contract </w:t>
    </w:r>
    <w:r>
      <w:t>Reference: CCDE23A11</w:t>
    </w:r>
    <w:r>
      <w:tab/>
      <w:t xml:space="preserve">26 </w:t>
    </w:r>
    <w:r>
      <w:rPr>
        <w:sz w:val="22"/>
      </w:rPr>
      <w:t>September 2023</w:t>
    </w:r>
  </w:p>
  <w:p w:rsidR="00E84D25" w:rsidRDefault="002B38FD">
    <w:pPr>
      <w:spacing w:after="0" w:line="259" w:lineRule="auto"/>
      <w:ind w:left="-34" w:right="-1440" w:firstLine="0"/>
      <w:jc w:val="left"/>
    </w:pPr>
    <w:r>
      <w:rPr>
        <w:sz w:val="22"/>
      </w:rPr>
      <w:t xml:space="preserve">Framework </w:t>
    </w:r>
    <w:r>
      <w:t xml:space="preserve">Reference: </w:t>
    </w:r>
    <w:r>
      <w:rPr>
        <w:sz w:val="22"/>
      </w:rPr>
      <w:t>RM6187</w:t>
    </w:r>
  </w:p>
  <w:p w:rsidR="00E84D25" w:rsidRDefault="002B38FD">
    <w:pPr>
      <w:tabs>
        <w:tab w:val="right" w:pos="8146"/>
      </w:tabs>
      <w:spacing w:after="0" w:line="259" w:lineRule="auto"/>
      <w:ind w:left="-48" w:right="-6768" w:firstLine="0"/>
      <w:jc w:val="left"/>
    </w:pPr>
    <w:r>
      <w:rPr>
        <w:sz w:val="28"/>
      </w:rPr>
      <w:t xml:space="preserve">O </w:t>
    </w:r>
    <w:r>
      <w:rPr>
        <w:sz w:val="22"/>
      </w:rPr>
      <w:t xml:space="preserve">Crown Copyright </w:t>
    </w:r>
    <w:r>
      <w:t>2023</w:t>
    </w:r>
    <w:r>
      <w:tab/>
    </w:r>
    <w:r>
      <w:fldChar w:fldCharType="begin"/>
    </w:r>
    <w:r>
      <w:instrText xml:space="preserve"> PAGE   \* MERGEFORMAT </w:instrText>
    </w:r>
    <w:r>
      <w:fldChar w:fldCharType="separate"/>
    </w:r>
    <w:r>
      <w:rPr>
        <w:rFonts w:ascii="Times New Roman" w:eastAsia="Times New Roman" w:hAnsi="Times New Roman" w:cs="Times New Roman"/>
        <w:sz w:val="22"/>
      </w:rPr>
      <w:t>1</w:t>
    </w:r>
    <w:r>
      <w:rPr>
        <w:rFonts w:ascii="Times New Roman" w:eastAsia="Times New Roman" w:hAnsi="Times New Roman" w:cs="Times New Roman"/>
        <w:sz w:val="22"/>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E84D25">
    <w:pPr>
      <w:spacing w:after="160" w:line="259" w:lineRule="auto"/>
      <w:ind w:left="0" w:firstLine="0"/>
      <w:jc w:val="lef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E84D25">
    <w:pPr>
      <w:spacing w:after="160" w:line="259" w:lineRule="auto"/>
      <w:ind w:left="0" w:firstLine="0"/>
      <w:jc w:val="left"/>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84D25" w:rsidRDefault="00E84D25">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44E8F" w:rsidRDefault="00344E8F">
      <w:pPr>
        <w:spacing w:after="0" w:line="240" w:lineRule="auto"/>
      </w:pPr>
      <w:r>
        <w:separator/>
      </w:r>
    </w:p>
  </w:footnote>
  <w:footnote w:type="continuationSeparator" w:id="0">
    <w:p w:rsidR="00344E8F" w:rsidRDefault="00344E8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 id="_x0000_i1028" style="width:5pt;height:5pt" coordsize="" o:spt="100" o:bullet="t" adj="0,,0" path="" stroked="f">
        <v:stroke joinstyle="miter"/>
        <v:imagedata r:id="rId1" o:title="image21"/>
        <v:formulas/>
        <v:path o:connecttype="segments"/>
      </v:shape>
    </w:pict>
  </w:numPicBullet>
  <w:numPicBullet w:numPicBulletId="1">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9" type="#_x0000_t75" style="width:5pt;height:5pt;visibility:visible;mso-wrap-style:square" o:bullet="t">
        <v:imagedata r:id="rId2" o:title=""/>
      </v:shape>
    </w:pict>
  </w:numPicBullet>
  <w:abstractNum w:abstractNumId="0" w15:restartNumberingAfterBreak="0">
    <w:nsid w:val="16A60363"/>
    <w:multiLevelType w:val="hybridMultilevel"/>
    <w:tmpl w:val="1B586532"/>
    <w:lvl w:ilvl="0" w:tplc="B4F815CC">
      <w:start w:val="1"/>
      <w:numFmt w:val="bullet"/>
      <w:lvlText w:val="•"/>
      <w:lvlJc w:val="left"/>
      <w:pPr>
        <w:ind w:left="7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1" w:tplc="9CD41E74">
      <w:start w:val="1"/>
      <w:numFmt w:val="bullet"/>
      <w:lvlText w:val="o"/>
      <w:lvlJc w:val="left"/>
      <w:pPr>
        <w:ind w:left="14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2" w:tplc="A6B030B8">
      <w:start w:val="1"/>
      <w:numFmt w:val="bullet"/>
      <w:lvlText w:val="▪"/>
      <w:lvlJc w:val="left"/>
      <w:pPr>
        <w:ind w:left="21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3" w:tplc="586807DC">
      <w:start w:val="1"/>
      <w:numFmt w:val="bullet"/>
      <w:lvlText w:val="•"/>
      <w:lvlJc w:val="left"/>
      <w:pPr>
        <w:ind w:left="28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4" w:tplc="CC3CD00A">
      <w:start w:val="1"/>
      <w:numFmt w:val="bullet"/>
      <w:lvlText w:val="o"/>
      <w:lvlJc w:val="left"/>
      <w:pPr>
        <w:ind w:left="361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5" w:tplc="930A7A9A">
      <w:start w:val="1"/>
      <w:numFmt w:val="bullet"/>
      <w:lvlText w:val="▪"/>
      <w:lvlJc w:val="left"/>
      <w:pPr>
        <w:ind w:left="433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6" w:tplc="EADE0D0C">
      <w:start w:val="1"/>
      <w:numFmt w:val="bullet"/>
      <w:lvlText w:val="•"/>
      <w:lvlJc w:val="left"/>
      <w:pPr>
        <w:ind w:left="505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7" w:tplc="F8D49766">
      <w:start w:val="1"/>
      <w:numFmt w:val="bullet"/>
      <w:lvlText w:val="o"/>
      <w:lvlJc w:val="left"/>
      <w:pPr>
        <w:ind w:left="577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lvl w:ilvl="8" w:tplc="C8EA7112">
      <w:start w:val="1"/>
      <w:numFmt w:val="bullet"/>
      <w:lvlText w:val="▪"/>
      <w:lvlJc w:val="left"/>
      <w:pPr>
        <w:ind w:left="6490"/>
      </w:pPr>
      <w:rPr>
        <w:rFonts w:ascii="Calibri" w:eastAsia="Calibri" w:hAnsi="Calibri" w:cs="Calibri"/>
        <w:b w:val="0"/>
        <w:i w:val="0"/>
        <w:strike w:val="0"/>
        <w:dstrike w:val="0"/>
        <w:color w:val="000000"/>
        <w:sz w:val="30"/>
        <w:szCs w:val="30"/>
        <w:u w:val="none" w:color="000000"/>
        <w:bdr w:val="none" w:sz="0" w:space="0" w:color="auto"/>
        <w:shd w:val="clear" w:color="auto" w:fill="auto"/>
        <w:vertAlign w:val="baseline"/>
      </w:rPr>
    </w:lvl>
  </w:abstractNum>
  <w:abstractNum w:abstractNumId="1" w15:restartNumberingAfterBreak="0">
    <w:nsid w:val="28910248"/>
    <w:multiLevelType w:val="hybridMultilevel"/>
    <w:tmpl w:val="5394B2F4"/>
    <w:lvl w:ilvl="0" w:tplc="B31492EE">
      <w:start w:val="1"/>
      <w:numFmt w:val="bullet"/>
      <w:lvlText w:val=""/>
      <w:lvlPicBulletId w:val="1"/>
      <w:lvlJc w:val="left"/>
      <w:pPr>
        <w:tabs>
          <w:tab w:val="num" w:pos="720"/>
        </w:tabs>
        <w:ind w:left="720" w:hanging="360"/>
      </w:pPr>
      <w:rPr>
        <w:rFonts w:ascii="Symbol" w:hAnsi="Symbol" w:hint="default"/>
      </w:rPr>
    </w:lvl>
    <w:lvl w:ilvl="1" w:tplc="5CD011EA" w:tentative="1">
      <w:start w:val="1"/>
      <w:numFmt w:val="bullet"/>
      <w:lvlText w:val=""/>
      <w:lvlJc w:val="left"/>
      <w:pPr>
        <w:tabs>
          <w:tab w:val="num" w:pos="1440"/>
        </w:tabs>
        <w:ind w:left="1440" w:hanging="360"/>
      </w:pPr>
      <w:rPr>
        <w:rFonts w:ascii="Symbol" w:hAnsi="Symbol" w:hint="default"/>
      </w:rPr>
    </w:lvl>
    <w:lvl w:ilvl="2" w:tplc="7D78D2DC" w:tentative="1">
      <w:start w:val="1"/>
      <w:numFmt w:val="bullet"/>
      <w:lvlText w:val=""/>
      <w:lvlJc w:val="left"/>
      <w:pPr>
        <w:tabs>
          <w:tab w:val="num" w:pos="2160"/>
        </w:tabs>
        <w:ind w:left="2160" w:hanging="360"/>
      </w:pPr>
      <w:rPr>
        <w:rFonts w:ascii="Symbol" w:hAnsi="Symbol" w:hint="default"/>
      </w:rPr>
    </w:lvl>
    <w:lvl w:ilvl="3" w:tplc="E01E8572" w:tentative="1">
      <w:start w:val="1"/>
      <w:numFmt w:val="bullet"/>
      <w:lvlText w:val=""/>
      <w:lvlJc w:val="left"/>
      <w:pPr>
        <w:tabs>
          <w:tab w:val="num" w:pos="2880"/>
        </w:tabs>
        <w:ind w:left="2880" w:hanging="360"/>
      </w:pPr>
      <w:rPr>
        <w:rFonts w:ascii="Symbol" w:hAnsi="Symbol" w:hint="default"/>
      </w:rPr>
    </w:lvl>
    <w:lvl w:ilvl="4" w:tplc="0994F836" w:tentative="1">
      <w:start w:val="1"/>
      <w:numFmt w:val="bullet"/>
      <w:lvlText w:val=""/>
      <w:lvlJc w:val="left"/>
      <w:pPr>
        <w:tabs>
          <w:tab w:val="num" w:pos="3600"/>
        </w:tabs>
        <w:ind w:left="3600" w:hanging="360"/>
      </w:pPr>
      <w:rPr>
        <w:rFonts w:ascii="Symbol" w:hAnsi="Symbol" w:hint="default"/>
      </w:rPr>
    </w:lvl>
    <w:lvl w:ilvl="5" w:tplc="FA06702C" w:tentative="1">
      <w:start w:val="1"/>
      <w:numFmt w:val="bullet"/>
      <w:lvlText w:val=""/>
      <w:lvlJc w:val="left"/>
      <w:pPr>
        <w:tabs>
          <w:tab w:val="num" w:pos="4320"/>
        </w:tabs>
        <w:ind w:left="4320" w:hanging="360"/>
      </w:pPr>
      <w:rPr>
        <w:rFonts w:ascii="Symbol" w:hAnsi="Symbol" w:hint="default"/>
      </w:rPr>
    </w:lvl>
    <w:lvl w:ilvl="6" w:tplc="C0FC034C" w:tentative="1">
      <w:start w:val="1"/>
      <w:numFmt w:val="bullet"/>
      <w:lvlText w:val=""/>
      <w:lvlJc w:val="left"/>
      <w:pPr>
        <w:tabs>
          <w:tab w:val="num" w:pos="5040"/>
        </w:tabs>
        <w:ind w:left="5040" w:hanging="360"/>
      </w:pPr>
      <w:rPr>
        <w:rFonts w:ascii="Symbol" w:hAnsi="Symbol" w:hint="default"/>
      </w:rPr>
    </w:lvl>
    <w:lvl w:ilvl="7" w:tplc="FE0CAB70" w:tentative="1">
      <w:start w:val="1"/>
      <w:numFmt w:val="bullet"/>
      <w:lvlText w:val=""/>
      <w:lvlJc w:val="left"/>
      <w:pPr>
        <w:tabs>
          <w:tab w:val="num" w:pos="5760"/>
        </w:tabs>
        <w:ind w:left="5760" w:hanging="360"/>
      </w:pPr>
      <w:rPr>
        <w:rFonts w:ascii="Symbol" w:hAnsi="Symbol" w:hint="default"/>
      </w:rPr>
    </w:lvl>
    <w:lvl w:ilvl="8" w:tplc="7E5876F4"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3B8E77C1"/>
    <w:multiLevelType w:val="hybridMultilevel"/>
    <w:tmpl w:val="E6D8ADD8"/>
    <w:lvl w:ilvl="0" w:tplc="DB34E2B6">
      <w:start w:val="2"/>
      <w:numFmt w:val="decimal"/>
      <w:lvlText w:val="%1."/>
      <w:lvlJc w:val="left"/>
      <w:pPr>
        <w:ind w:left="8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11B6C5B4">
      <w:start w:val="1"/>
      <w:numFmt w:val="bullet"/>
      <w:lvlText w:val="•"/>
      <w:lvlPicBulletId w:val="0"/>
      <w:lvlJc w:val="left"/>
      <w:pPr>
        <w:ind w:left="1526"/>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2" w:tplc="402C4884">
      <w:start w:val="1"/>
      <w:numFmt w:val="bullet"/>
      <w:lvlText w:val="▪"/>
      <w:lvlJc w:val="left"/>
      <w:pPr>
        <w:ind w:left="27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3" w:tplc="71623B88">
      <w:start w:val="1"/>
      <w:numFmt w:val="bullet"/>
      <w:lvlText w:val="•"/>
      <w:lvlJc w:val="left"/>
      <w:pPr>
        <w:ind w:left="34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4" w:tplc="1DBAE0CE">
      <w:start w:val="1"/>
      <w:numFmt w:val="bullet"/>
      <w:lvlText w:val="o"/>
      <w:lvlJc w:val="left"/>
      <w:pPr>
        <w:ind w:left="414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5" w:tplc="EF10E6FC">
      <w:start w:val="1"/>
      <w:numFmt w:val="bullet"/>
      <w:lvlText w:val="▪"/>
      <w:lvlJc w:val="left"/>
      <w:pPr>
        <w:ind w:left="486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6" w:tplc="D682BD5A">
      <w:start w:val="1"/>
      <w:numFmt w:val="bullet"/>
      <w:lvlText w:val="•"/>
      <w:lvlJc w:val="left"/>
      <w:pPr>
        <w:ind w:left="558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7" w:tplc="B4E07F66">
      <w:start w:val="1"/>
      <w:numFmt w:val="bullet"/>
      <w:lvlText w:val="o"/>
      <w:lvlJc w:val="left"/>
      <w:pPr>
        <w:ind w:left="630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lvl w:ilvl="8" w:tplc="0F94078E">
      <w:start w:val="1"/>
      <w:numFmt w:val="bullet"/>
      <w:lvlText w:val="▪"/>
      <w:lvlJc w:val="left"/>
      <w:pPr>
        <w:ind w:left="7021"/>
      </w:pPr>
      <w:rPr>
        <w:rFonts w:ascii="Calibri" w:eastAsia="Calibri" w:hAnsi="Calibri" w:cs="Calibri"/>
        <w:b w:val="0"/>
        <w:i w:val="0"/>
        <w:strike w:val="0"/>
        <w:dstrike w:val="0"/>
        <w:color w:val="000000"/>
        <w:sz w:val="26"/>
        <w:szCs w:val="26"/>
        <w:u w:val="none" w:color="000000"/>
        <w:bdr w:val="none" w:sz="0" w:space="0" w:color="auto"/>
        <w:shd w:val="clear" w:color="auto" w:fill="auto"/>
        <w:vertAlign w:val="baseline"/>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4D25"/>
    <w:rsid w:val="002B38FD"/>
    <w:rsid w:val="002C4984"/>
    <w:rsid w:val="00306658"/>
    <w:rsid w:val="00344E8F"/>
    <w:rsid w:val="00576D04"/>
    <w:rsid w:val="00DA3690"/>
    <w:rsid w:val="00E84D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F3260C"/>
  <w15:docId w15:val="{EB006B1F-B591-430F-AA98-A9EC2E0E8B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3" w:line="265" w:lineRule="auto"/>
      <w:ind w:left="96" w:firstLine="4"/>
      <w:jc w:val="both"/>
    </w:pPr>
    <w:rPr>
      <w:rFonts w:ascii="Calibri" w:eastAsia="Calibri" w:hAnsi="Calibri" w:cs="Calibri"/>
      <w:color w:val="000000"/>
      <w:sz w:val="24"/>
    </w:rPr>
  </w:style>
  <w:style w:type="paragraph" w:styleId="Heading1">
    <w:name w:val="heading 1"/>
    <w:next w:val="Normal"/>
    <w:link w:val="Heading1Char"/>
    <w:uiPriority w:val="9"/>
    <w:qFormat/>
    <w:pPr>
      <w:keepNext/>
      <w:keepLines/>
      <w:spacing w:after="3"/>
      <w:ind w:left="96" w:hanging="10"/>
      <w:outlineLvl w:val="0"/>
    </w:pPr>
    <w:rPr>
      <w:rFonts w:ascii="Calibri" w:eastAsia="Calibri" w:hAnsi="Calibri" w:cs="Calibri"/>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libri" w:eastAsia="Calibri" w:hAnsi="Calibri" w:cs="Calibri"/>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Header">
    <w:name w:val="header"/>
    <w:basedOn w:val="Normal"/>
    <w:link w:val="HeaderChar"/>
    <w:uiPriority w:val="99"/>
    <w:unhideWhenUsed/>
    <w:rsid w:val="002C4984"/>
    <w:pPr>
      <w:tabs>
        <w:tab w:val="center" w:pos="4513"/>
        <w:tab w:val="right" w:pos="9026"/>
      </w:tabs>
      <w:spacing w:after="0" w:line="240" w:lineRule="auto"/>
    </w:pPr>
  </w:style>
  <w:style w:type="character" w:customStyle="1" w:styleId="HeaderChar">
    <w:name w:val="Header Char"/>
    <w:basedOn w:val="DefaultParagraphFont"/>
    <w:link w:val="Header"/>
    <w:uiPriority w:val="99"/>
    <w:rsid w:val="002C4984"/>
    <w:rPr>
      <w:rFonts w:ascii="Calibri" w:eastAsia="Calibri" w:hAnsi="Calibri" w:cs="Calibri"/>
      <w:color w:val="000000"/>
      <w:sz w:val="24"/>
    </w:rPr>
  </w:style>
  <w:style w:type="paragraph" w:styleId="ListParagraph">
    <w:name w:val="List Paragraph"/>
    <w:basedOn w:val="Normal"/>
    <w:uiPriority w:val="34"/>
    <w:qFormat/>
    <w:rsid w:val="00576D0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4.jp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g"/><Relationship Id="rId12" Type="http://schemas.openxmlformats.org/officeDocument/2006/relationships/image" Target="media/image5.jpg"/><Relationship Id="rId17" Type="http://schemas.openxmlformats.org/officeDocument/2006/relationships/footer" Target="footer6.xml"/><Relationship Id="rId2" Type="http://schemas.openxmlformats.org/officeDocument/2006/relationships/styles" Target="styles.xml"/><Relationship Id="rId16" Type="http://schemas.openxmlformats.org/officeDocument/2006/relationships/footer" Target="footer5.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2.xm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image" Target="media/image7.jpg"/></Relationships>
</file>

<file path=word/_rels/numbering.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7</Pages>
  <Words>1253</Words>
  <Characters>7148</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Tjay Singh</dc:creator>
  <cp:keywords/>
  <cp:lastModifiedBy>Tjay Singh</cp:lastModifiedBy>
  <cp:revision>4</cp:revision>
  <dcterms:created xsi:type="dcterms:W3CDTF">2023-12-18T09:36:00Z</dcterms:created>
  <dcterms:modified xsi:type="dcterms:W3CDTF">2024-01-05T10:08:00Z</dcterms:modified>
</cp:coreProperties>
</file>