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Pr>
        <w:drawing>
          <wp:inline distB="114300" distT="114300" distL="114300" distR="114300">
            <wp:extent cx="1190625" cy="847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06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Notice reserved rights for Crown Commercial Service Framework Agreement Procurement RM6125</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there is a challenge to the Procurement and such a challenge is confined to any one particular Lot, the Authority reserves the right to the extent that it is lawful to do so, to conclude a Framework Agreement with the successful Suppliers in respect of the Lot(s) that has (have) not been so challenged.</w:t>
      </w:r>
    </w:p>
    <w:p w:rsidR="00000000" w:rsidDel="00000000" w:rsidP="00000000" w:rsidRDefault="00000000" w:rsidRPr="00000000" w14:paraId="0000000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E397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dtfObSOKKSE5145TX4JT2WgJ9A==">AMUW2mVKowzzf7P++5KXNaw3lJmaDXBXIeEGQawfu0STH1w5p2nORtvkaiFNjAPrsGhgBExFJQnyketgifJ2oLNRiRy/OQTcqFkHKwK+juub2nvccQ1nYK20y5T5ozgQnFE3VH/o+cM5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2017-04-24T11:55:00Z</dcterms:created>
  <dc:creator>Jo Molyneux</dc:creator>
</cp:coreProperties>
</file>