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Call-Off Schedule 10 (Exit Management)</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rPr>
          <w:rFonts w:ascii="Arial" w:cs="Arial" w:eastAsia="Arial" w:hAnsi="Arial"/>
        </w:rPr>
      </w:pPr>
      <w:r w:rsidDel="00000000" w:rsidR="00000000" w:rsidRPr="00000000">
        <w:rPr>
          <w:rFonts w:ascii="Arial" w:cs="Arial" w:eastAsia="Arial" w:hAnsi="Arial"/>
          <w:color w:val="000000"/>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7867.0" w:type="dxa"/>
        <w:jc w:val="left"/>
        <w:tblInd w:w="1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9"/>
        <w:gridCol w:w="4928"/>
        <w:tblGridChange w:id="0">
          <w:tblGrid>
            <w:gridCol w:w="2939"/>
            <w:gridCol w:w="4928"/>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"Exclusive Assets"</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Supplier Assets used exclusively by the Supplier or any Key Subcontractor in the provision of the Deliverables;</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"Exit Information"</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has the meaning given to it in Paragraph 3.1 of this Schedule;</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"Exit Manager"</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person appointed by each Party to manage their respective obligations under this Schedule;</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“Exit Plan”</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plan produced and updated by the Supplier during the initial period in accordance with Paragraph 4 of this Schedule;</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"Net Book Value"</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current net book value of the relevant Supplier Asset(s) calculated in accordance with the Framework Tender Response or Call-Off  Tender (if stated) or (if not stated) the depreciation policy of the Supplier (which the Supplier shall ensure is in accordance with Good Industry Practice);</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"Non-Exclusive Assets"</w:t>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those Supplier Assets used by the Supplier or any Key Subcontractor in connection with the Deliverables but which are also used by the Supplier or any Key Subcontractor for other purposes;</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"Registers"</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register and configuration database referred to in Paragraph 2.2.2 of this Schedule; </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3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"Replacement Services"</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services which are substantially similar to any of the Services and which the Buyer receives in substitution for any of the Services following the End Date, whether those services are provided by the Buyer internally and/or by any third party;</w:t>
            </w:r>
          </w:p>
        </w:tc>
      </w:tr>
      <w:tr>
        <w:trPr>
          <w:cantSplit w:val="0"/>
          <w:tblHeader w:val="0"/>
        </w:trPr>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"Termination Assistance"</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activities to be performed by the Supplier pursuant to the Exit Plan, and other assistance required by the Buyer pursuant to the Termination Assistance Notice;</w:t>
            </w:r>
          </w:p>
        </w:tc>
      </w:tr>
      <w:tr>
        <w:trPr>
          <w:cantSplit w:val="0"/>
          <w:tblHeader w:val="0"/>
        </w:trPr>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"Termination Assistance Notice"</w:t>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has the meaning given to it in Paragraph 5.1 of this Schedule;</w:t>
            </w:r>
          </w:p>
        </w:tc>
      </w:tr>
      <w:tr>
        <w:trPr>
          <w:cantSplit w:val="0"/>
          <w:tblHeader w:val="0"/>
        </w:trPr>
        <w:tc>
          <w:tcPr>
            <w:shd w:fill="auto" w:val="clear"/>
          </w:tcPr>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"Termination Assistance Period"</w:t>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"Transferable Assets"</w:t>
            </w:r>
          </w:p>
        </w:tc>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Exclusive Assets which are capable of legal transfer to the Buyer;</w:t>
            </w:r>
          </w:p>
        </w:tc>
      </w:tr>
      <w:tr>
        <w:trPr>
          <w:cantSplit w:val="0"/>
          <w:tblHeader w:val="0"/>
        </w:trPr>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"Transferable Contracts"</w:t>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Sub-Contracts, licences for Supplier Software, licences for Third Party IPRs or other agreements which are necessary to enable the Buyer or any Replacement Supplier to provide the Deliverables  and/or Replacement Services, including in relation to licences all relevant Documentation;</w:t>
            </w:r>
          </w:p>
        </w:tc>
      </w:tr>
      <w:tr>
        <w:trPr>
          <w:cantSplit w:val="0"/>
          <w:tblHeader w:val="0"/>
        </w:trPr>
        <w:tc>
          <w:tcPr>
            <w:shd w:fill="auto"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"Transferring Assets"</w:t>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has the meaning given to it in Paragraph 9.2.1 of this Schedule; and</w:t>
            </w:r>
          </w:p>
        </w:tc>
      </w:tr>
      <w:tr>
        <w:trPr>
          <w:cantSplit w:val="0"/>
          <w:tblHeader w:val="0"/>
        </w:trPr>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3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"Transferring Contracts"</w:t>
            </w:r>
          </w:p>
        </w:tc>
        <w:tc>
          <w:tcPr>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ind w:right="9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has the meaning given to it in Paragraph 9.2.3 of this Schedule.</w:t>
            </w:r>
          </w:p>
        </w:tc>
      </w:tr>
    </w:tbl>
    <w:p w:rsidR="00000000" w:rsidDel="00000000" w:rsidP="00000000" w:rsidRDefault="00000000" w:rsidRPr="00000000" w14:paraId="00000023">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Supplier must always be prepared for contract exit </w:t>
      </w:r>
      <w:r w:rsidDel="00000000" w:rsidR="00000000" w:rsidRPr="00000000">
        <w:rPr>
          <w:rtl w:val="0"/>
        </w:rPr>
      </w:r>
    </w:p>
    <w:p w:rsidR="00000000" w:rsidDel="00000000" w:rsidP="00000000" w:rsidRDefault="00000000" w:rsidRPr="00000000" w14:paraId="00000024">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gjdgxs" w:id="0"/>
      <w:bookmarkEnd w:id="0"/>
      <w:r w:rsidDel="00000000" w:rsidR="00000000" w:rsidRPr="00000000">
        <w:rPr>
          <w:rFonts w:ascii="Arial" w:cs="Arial" w:eastAsia="Arial" w:hAnsi="Arial"/>
          <w:color w:val="000000"/>
          <w:rtl w:val="0"/>
        </w:rPr>
        <w:t xml:space="preserve">The Supplier shall within 30 days from the Start Date provide to the Buyer a copy of its depreciation policy to be used for the purposes of calculating Net Book Value.</w:t>
      </w:r>
      <w:r w:rsidDel="00000000" w:rsidR="00000000" w:rsidRPr="00000000">
        <w:rPr>
          <w:rtl w:val="0"/>
        </w:rPr>
      </w:r>
    </w:p>
    <w:p w:rsidR="00000000" w:rsidDel="00000000" w:rsidP="00000000" w:rsidRDefault="00000000" w:rsidRPr="00000000" w14:paraId="00000025">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30j0zll" w:id="1"/>
      <w:bookmarkEnd w:id="1"/>
      <w:r w:rsidDel="00000000" w:rsidR="00000000" w:rsidRPr="00000000">
        <w:rPr>
          <w:rFonts w:ascii="Arial" w:cs="Arial" w:eastAsia="Arial" w:hAnsi="Arial"/>
          <w:color w:val="000000"/>
          <w:rtl w:val="0"/>
        </w:rPr>
        <w:t xml:space="preserve">During the Contract Period, the Supplier shall promptly:</w:t>
      </w:r>
      <w:r w:rsidDel="00000000" w:rsidR="00000000" w:rsidRPr="00000000">
        <w:rPr>
          <w:rtl w:val="0"/>
        </w:rPr>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1fob9te" w:id="2"/>
      <w:bookmarkEnd w:id="2"/>
      <w:r w:rsidDel="00000000" w:rsidR="00000000" w:rsidRPr="00000000">
        <w:rPr>
          <w:rFonts w:ascii="Arial" w:cs="Arial" w:eastAsia="Arial" w:hAnsi="Arial"/>
          <w:color w:val="000000"/>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rtl w:val="0"/>
        </w:rPr>
        <w:t xml:space="preserve">create and maintain a configuration database detailing the technical infrastructure and operating procedures through which the Supplier provides the Deliverables  ("</w:t>
      </w:r>
      <w:r w:rsidDel="00000000" w:rsidR="00000000" w:rsidRPr="00000000">
        <w:rPr>
          <w:rFonts w:ascii="Arial" w:cs="Arial" w:eastAsia="Arial" w:hAnsi="Arial"/>
          <w:b w:val="1"/>
          <w:color w:val="000000"/>
          <w:rtl w:val="0"/>
        </w:rPr>
        <w:t xml:space="preserve">Registers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8">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The Supplier shall:</w:t>
      </w:r>
      <w:r w:rsidDel="00000000" w:rsidR="00000000" w:rsidRPr="00000000">
        <w:rPr>
          <w:rtl w:val="0"/>
        </w:rPr>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all Exclusive Assets listed in the Registers are clearly physically identified as such; and</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2et92p0" w:id="4"/>
      <w:bookmarkEnd w:id="4"/>
      <w:r w:rsidDel="00000000" w:rsidR="00000000" w:rsidRPr="00000000">
        <w:rPr>
          <w:rFonts w:ascii="Arial" w:cs="Arial" w:eastAsia="Arial" w:hAnsi="Arial"/>
          <w:color w:val="000000"/>
          <w:rtl w:val="0"/>
        </w:rPr>
        <w:t xml:space="preserve">procure that all licences for Third Party IPRs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B">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tyjcwt" w:id="5"/>
      <w:bookmarkEnd w:id="5"/>
      <w:r w:rsidDel="00000000" w:rsidR="00000000" w:rsidRPr="00000000">
        <w:rPr>
          <w:rFonts w:ascii="Arial" w:cs="Arial" w:eastAsia="Arial" w:hAnsi="Arial"/>
          <w:color w:val="000000"/>
          <w:rtl w:val="0"/>
        </w:rPr>
        <w:t xml:space="preserve">Each Party shall appoint an Exit Manager within three (3) Months of the Start Date. The Parties' Exit Managers will liaise with one another in relation to all issues relevant to the expiry or termination of this Contract.</w:t>
      </w:r>
      <w:r w:rsidDel="00000000" w:rsidR="00000000" w:rsidRPr="00000000">
        <w:rPr>
          <w:rtl w:val="0"/>
        </w:rPr>
      </w:r>
    </w:p>
    <w:p w:rsidR="00000000" w:rsidDel="00000000" w:rsidP="00000000" w:rsidRDefault="00000000" w:rsidRPr="00000000" w14:paraId="0000002C">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Assisting re-competition for Deliverables </w:t>
      </w:r>
    </w:p>
    <w:p w:rsidR="00000000" w:rsidDel="00000000" w:rsidP="00000000" w:rsidRDefault="00000000" w:rsidRPr="00000000" w14:paraId="0000002D">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3dy6vkm" w:id="6"/>
      <w:bookmarkEnd w:id="6"/>
      <w:r w:rsidDel="00000000" w:rsidR="00000000" w:rsidRPr="00000000">
        <w:rPr>
          <w:rFonts w:ascii="Arial" w:cs="Arial" w:eastAsia="Arial" w:hAnsi="Arial"/>
          <w:color w:val="000000"/>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color w:val="000000"/>
          <w:rtl w:val="0"/>
        </w:rPr>
        <w:t xml:space="preserve">Exit Information</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2E">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1t3h5sf" w:id="7"/>
      <w:bookmarkEnd w:id="7"/>
      <w:r w:rsidDel="00000000" w:rsidR="00000000" w:rsidRPr="00000000">
        <w:rPr>
          <w:rFonts w:ascii="Arial" w:cs="Arial" w:eastAsia="Arial" w:hAnsi="Arial"/>
          <w:color w:val="000000"/>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r w:rsidDel="00000000" w:rsidR="00000000" w:rsidRPr="00000000">
        <w:rPr>
          <w:rtl w:val="0"/>
        </w:rPr>
      </w:r>
    </w:p>
    <w:p w:rsidR="00000000" w:rsidDel="00000000" w:rsidP="00000000" w:rsidRDefault="00000000" w:rsidRPr="00000000" w14:paraId="0000002F">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r w:rsidDel="00000000" w:rsidR="00000000" w:rsidRPr="00000000">
        <w:rPr>
          <w:rtl w:val="0"/>
        </w:rPr>
      </w:r>
    </w:p>
    <w:p w:rsidR="00000000" w:rsidDel="00000000" w:rsidP="00000000" w:rsidRDefault="00000000" w:rsidRPr="00000000" w14:paraId="00000030">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r w:rsidDel="00000000" w:rsidR="00000000" w:rsidRPr="00000000">
        <w:rPr>
          <w:rtl w:val="0"/>
        </w:rPr>
      </w:r>
    </w:p>
    <w:p w:rsidR="00000000" w:rsidDel="00000000" w:rsidP="00000000" w:rsidRDefault="00000000" w:rsidRPr="00000000" w14:paraId="00000031">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Exit Plan</w:t>
      </w:r>
    </w:p>
    <w:p w:rsidR="00000000" w:rsidDel="00000000" w:rsidP="00000000" w:rsidRDefault="00000000" w:rsidRPr="00000000" w14:paraId="00000032">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4d34og8" w:id="8"/>
      <w:bookmarkEnd w:id="8"/>
      <w:r w:rsidDel="00000000" w:rsidR="00000000" w:rsidRPr="00000000">
        <w:rPr>
          <w:rFonts w:ascii="Arial" w:cs="Arial" w:eastAsia="Arial" w:hAnsi="Arial"/>
          <w:color w:val="000000"/>
          <w:rtl w:val="0"/>
        </w:rPr>
        <w:t xml:space="preserve">The Supplier shall, within three (3) Months after the Start Date, deliver to the Buyer an Exit Plan which complies with the requirements set out in Paragraph 4.3 of this Schedule and is otherwise reasonably satisfactory to the Buyer.</w:t>
      </w:r>
      <w:r w:rsidDel="00000000" w:rsidR="00000000" w:rsidRPr="00000000">
        <w:rPr>
          <w:rtl w:val="0"/>
        </w:rPr>
      </w:r>
    </w:p>
    <w:p w:rsidR="00000000" w:rsidDel="00000000" w:rsidP="00000000" w:rsidRDefault="00000000" w:rsidRPr="00000000" w14:paraId="00000033">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2s8eyo1" w:id="9"/>
      <w:bookmarkEnd w:id="9"/>
      <w:r w:rsidDel="00000000" w:rsidR="00000000" w:rsidRPr="00000000">
        <w:rPr>
          <w:rFonts w:ascii="Arial" w:cs="Arial" w:eastAsia="Arial" w:hAnsi="Arial"/>
          <w:color w:val="000000"/>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r w:rsidDel="00000000" w:rsidR="00000000" w:rsidRPr="00000000">
        <w:rPr>
          <w:rtl w:val="0"/>
        </w:rPr>
      </w:r>
    </w:p>
    <w:p w:rsidR="00000000" w:rsidDel="00000000" w:rsidP="00000000" w:rsidRDefault="00000000" w:rsidRPr="00000000" w14:paraId="00000034">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17dp8vu" w:id="10"/>
      <w:bookmarkEnd w:id="10"/>
      <w:r w:rsidDel="00000000" w:rsidR="00000000" w:rsidRPr="00000000">
        <w:rPr>
          <w:rFonts w:ascii="Arial" w:cs="Arial" w:eastAsia="Arial" w:hAnsi="Arial"/>
          <w:color w:val="000000"/>
          <w:rtl w:val="0"/>
        </w:rPr>
        <w:t xml:space="preserve">The Exit Plan shall set out, as a minimum:</w:t>
      </w:r>
      <w:r w:rsidDel="00000000" w:rsidR="00000000" w:rsidRPr="00000000">
        <w:rPr>
          <w:rtl w:val="0"/>
        </w:rPr>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 detailed description of both the transfer and cessation processes, including a timetable; </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how the Deliverables will transfer to the Replacement Supplier and/or the Buyer;</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proposals for the disposal of any redundant Deliverables and materials;</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any other information or assistance reasonably required by the Buyer or a Replacement Supplier.</w:t>
      </w:r>
    </w:p>
    <w:p w:rsidR="00000000" w:rsidDel="00000000" w:rsidP="00000000" w:rsidRDefault="00000000" w:rsidRPr="00000000" w14:paraId="0000003F">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3rdcrjn" w:id="11"/>
      <w:bookmarkEnd w:id="11"/>
      <w:r w:rsidDel="00000000" w:rsidR="00000000" w:rsidRPr="00000000">
        <w:rPr>
          <w:rFonts w:ascii="Arial" w:cs="Arial" w:eastAsia="Arial" w:hAnsi="Arial"/>
          <w:color w:val="000000"/>
          <w:rtl w:val="0"/>
        </w:rPr>
        <w:t xml:space="preserve">The Supplier shall:</w:t>
      </w:r>
      <w:r w:rsidDel="00000000" w:rsidR="00000000" w:rsidRPr="00000000">
        <w:rPr>
          <w:rtl w:val="0"/>
        </w:rPr>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maintain and update the Exit Plan (and risk management plan) no less frequently than: </w:t>
      </w:r>
    </w:p>
    <w:p w:rsidR="00000000" w:rsidDel="00000000" w:rsidP="00000000" w:rsidRDefault="00000000" w:rsidRPr="00000000" w14:paraId="00000041">
      <w:pPr>
        <w:numPr>
          <w:ilvl w:val="3"/>
          <w:numId w:val="1"/>
        </w:numPr>
        <w:pBdr>
          <w:top w:space="0" w:sz="0" w:val="nil"/>
          <w:left w:space="0" w:sz="0" w:val="nil"/>
          <w:bottom w:space="0" w:sz="0" w:val="nil"/>
          <w:right w:space="0" w:sz="0" w:val="nil"/>
          <w:between w:space="0" w:sz="0" w:val="nil"/>
        </w:pBdr>
        <w:tabs>
          <w:tab w:val="left" w:pos="2835"/>
        </w:tabs>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every [six (6) months] throughout the Contract Period; and</w:t>
      </w:r>
    </w:p>
    <w:p w:rsidR="00000000" w:rsidDel="00000000" w:rsidP="00000000" w:rsidRDefault="00000000" w:rsidRPr="00000000" w14:paraId="00000042">
      <w:pPr>
        <w:numPr>
          <w:ilvl w:val="3"/>
          <w:numId w:val="1"/>
        </w:numPr>
        <w:pBdr>
          <w:top w:space="0" w:sz="0" w:val="nil"/>
          <w:left w:space="0" w:sz="0" w:val="nil"/>
          <w:bottom w:space="0" w:sz="0" w:val="nil"/>
          <w:right w:space="0" w:sz="0" w:val="nil"/>
          <w:between w:space="0" w:sz="0" w:val="nil"/>
        </w:pBdr>
        <w:tabs>
          <w:tab w:val="left" w:pos="2835"/>
        </w:tabs>
        <w:spacing w:after="120" w:before="120" w:line="240" w:lineRule="auto"/>
        <w:ind w:left="2835" w:hanging="850"/>
        <w:jc w:val="both"/>
        <w:rPr>
          <w:rFonts w:ascii="Arial" w:cs="Arial" w:eastAsia="Arial" w:hAnsi="Arial"/>
          <w:color w:val="000000"/>
        </w:rPr>
      </w:pPr>
      <w:bookmarkStart w:colFirst="0" w:colLast="0" w:name="_heading=h.26in1rg" w:id="12"/>
      <w:bookmarkEnd w:id="12"/>
      <w:r w:rsidDel="00000000" w:rsidR="00000000" w:rsidRPr="00000000">
        <w:rPr>
          <w:rFonts w:ascii="Arial" w:cs="Arial" w:eastAsia="Arial" w:hAnsi="Arial"/>
          <w:color w:val="000000"/>
          <w:rtl w:val="0"/>
        </w:rPr>
        <w:t xml:space="preserve">no later than [twenty (20) Working Days] after a request from the Buyer for an up-to-date copy of the Exit Plan; </w:t>
      </w:r>
    </w:p>
    <w:p w:rsidR="00000000" w:rsidDel="00000000" w:rsidP="00000000" w:rsidRDefault="00000000" w:rsidRPr="00000000" w14:paraId="00000043">
      <w:pPr>
        <w:numPr>
          <w:ilvl w:val="3"/>
          <w:numId w:val="1"/>
        </w:numPr>
        <w:pBdr>
          <w:top w:space="0" w:sz="0" w:val="nil"/>
          <w:left w:space="0" w:sz="0" w:val="nil"/>
          <w:bottom w:space="0" w:sz="0" w:val="nil"/>
          <w:right w:space="0" w:sz="0" w:val="nil"/>
          <w:between w:space="0" w:sz="0" w:val="nil"/>
        </w:pBdr>
        <w:tabs>
          <w:tab w:val="left" w:pos="2835"/>
        </w:tabs>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as soon as reasonably possible following a Termination Assistance Notice, and in any event no later than [ten (10) Working Days] after the date of the Termination Assistance Notice;</w:t>
      </w:r>
    </w:p>
    <w:p w:rsidR="00000000" w:rsidDel="00000000" w:rsidP="00000000" w:rsidRDefault="00000000" w:rsidRPr="00000000" w14:paraId="00000044">
      <w:pPr>
        <w:numPr>
          <w:ilvl w:val="3"/>
          <w:numId w:val="1"/>
        </w:numPr>
        <w:pBdr>
          <w:top w:space="0" w:sz="0" w:val="nil"/>
          <w:left w:space="0" w:sz="0" w:val="nil"/>
          <w:bottom w:space="0" w:sz="0" w:val="nil"/>
          <w:right w:space="0" w:sz="0" w:val="nil"/>
          <w:between w:space="0" w:sz="0" w:val="nil"/>
        </w:pBdr>
        <w:tabs>
          <w:tab w:val="left" w:pos="2835"/>
        </w:tabs>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as soon as reasonably possible following, and in any event no later than [twenty (20) Working Days] following, any material change to the Deliverables (including all changes under the Variation Procedure); and  </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jointly review and verify the Exit Plan if required by the Buyer and promptly correct any identified failures.</w:t>
      </w:r>
    </w:p>
    <w:p w:rsidR="00000000" w:rsidDel="00000000" w:rsidP="00000000" w:rsidRDefault="00000000" w:rsidRPr="00000000" w14:paraId="00000046">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Only if (by notification to the Supplier in writing) the Buyer agrees with a draft Exit Plan provided by the Supplier under Paragraph 4.2 or 4.4 (as the context requires), shall that draft become the Exit Plan for this Contract.  </w:t>
      </w:r>
      <w:r w:rsidDel="00000000" w:rsidR="00000000" w:rsidRPr="00000000">
        <w:rPr>
          <w:rtl w:val="0"/>
        </w:rPr>
      </w:r>
    </w:p>
    <w:p w:rsidR="00000000" w:rsidDel="00000000" w:rsidP="00000000" w:rsidRDefault="00000000" w:rsidRPr="00000000" w14:paraId="00000047">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A version of an Exit Plan agreed between the parties shall not be superseded by any draft submitted by the Supplier.</w:t>
      </w:r>
      <w:r w:rsidDel="00000000" w:rsidR="00000000" w:rsidRPr="00000000">
        <w:rPr>
          <w:rtl w:val="0"/>
        </w:rPr>
      </w:r>
    </w:p>
    <w:p w:rsidR="00000000" w:rsidDel="00000000" w:rsidP="00000000" w:rsidRDefault="00000000" w:rsidRPr="00000000" w14:paraId="00000048">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Termination Assistance </w:t>
      </w:r>
    </w:p>
    <w:p w:rsidR="00000000" w:rsidDel="00000000" w:rsidP="00000000" w:rsidRDefault="00000000" w:rsidRPr="00000000" w14:paraId="00000049">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lnxbz9" w:id="13"/>
      <w:bookmarkEnd w:id="13"/>
      <w:r w:rsidDel="00000000" w:rsidR="00000000" w:rsidRPr="00000000">
        <w:rPr>
          <w:rFonts w:ascii="Arial" w:cs="Arial" w:eastAsia="Arial" w:hAnsi="Arial"/>
          <w:color w:val="000000"/>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color w:val="000000"/>
          <w:rtl w:val="0"/>
        </w:rPr>
        <w:t xml:space="preserve">"Termination Assistance Notice"</w:t>
      </w:r>
      <w:r w:rsidDel="00000000" w:rsidR="00000000" w:rsidRPr="00000000">
        <w:rPr>
          <w:rFonts w:ascii="Arial" w:cs="Arial" w:eastAsia="Arial" w:hAnsi="Arial"/>
          <w:color w:val="000000"/>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r w:rsidDel="00000000" w:rsidR="00000000" w:rsidRPr="00000000">
        <w:rPr>
          <w:rtl w:val="0"/>
        </w:rPr>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nature of the Termination Assistance required; and</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start date and initial period during which it is anticipated that Termination Assistance will be required, which shall continue no longer than twelve (12) Months after the End Date.</w:t>
      </w:r>
    </w:p>
    <w:p w:rsidR="00000000" w:rsidDel="00000000" w:rsidP="00000000" w:rsidRDefault="00000000" w:rsidRPr="00000000" w14:paraId="0000004C">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35nkun2" w:id="14"/>
      <w:bookmarkEnd w:id="14"/>
      <w:r w:rsidDel="00000000" w:rsidR="00000000" w:rsidRPr="00000000">
        <w:rPr>
          <w:rFonts w:ascii="Arial" w:cs="Arial" w:eastAsia="Arial" w:hAnsi="Arial"/>
          <w:color w:val="000000"/>
          <w:rtl w:val="0"/>
        </w:rPr>
        <w:t xml:space="preserve">The Buyer shall have an option to extend the Termination Assistance Period beyond the initial period specified in the Termination Assistance Notice in one or more extensions, in each case provided that:</w:t>
      </w:r>
      <w:r w:rsidDel="00000000" w:rsidR="00000000" w:rsidRPr="00000000">
        <w:rPr>
          <w:rtl w:val="0"/>
        </w:rPr>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no such extension shall extend the Termination Assistance Period beyond the date twelve (12) Months after the End Date; and </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4F">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The Buyer shall have the right to terminate its requirement for Termination Assistance by serving not less than (20) Working Days' written notice upon the Supplier.</w:t>
      </w:r>
      <w:r w:rsidDel="00000000" w:rsidR="00000000" w:rsidRPr="00000000">
        <w:rPr>
          <w:rtl w:val="0"/>
        </w:rPr>
      </w:r>
    </w:p>
    <w:p w:rsidR="00000000" w:rsidDel="00000000" w:rsidP="00000000" w:rsidRDefault="00000000" w:rsidRPr="00000000" w14:paraId="00000050">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r w:rsidDel="00000000" w:rsidR="00000000" w:rsidRPr="00000000">
        <w:rPr>
          <w:rtl w:val="0"/>
        </w:rPr>
      </w:r>
    </w:p>
    <w:p w:rsidR="00000000" w:rsidDel="00000000" w:rsidP="00000000" w:rsidRDefault="00000000" w:rsidRPr="00000000" w14:paraId="00000051">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Termination Assistance Period </w:t>
      </w:r>
      <w:r w:rsidDel="00000000" w:rsidR="00000000" w:rsidRPr="00000000">
        <w:rPr>
          <w:rtl w:val="0"/>
        </w:rPr>
      </w:r>
    </w:p>
    <w:p w:rsidR="00000000" w:rsidDel="00000000" w:rsidP="00000000" w:rsidRDefault="00000000" w:rsidRPr="00000000" w14:paraId="00000052">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1ksv4uv" w:id="15"/>
      <w:bookmarkEnd w:id="15"/>
      <w:r w:rsidDel="00000000" w:rsidR="00000000" w:rsidRPr="00000000">
        <w:rPr>
          <w:rFonts w:ascii="Arial" w:cs="Arial" w:eastAsia="Arial" w:hAnsi="Arial"/>
          <w:color w:val="000000"/>
          <w:rtl w:val="0"/>
        </w:rPr>
        <w:t xml:space="preserve">Throughout the Termination Assistance Period the Supplier shall:</w:t>
      </w:r>
      <w:r w:rsidDel="00000000" w:rsidR="00000000" w:rsidRPr="00000000">
        <w:rPr>
          <w:rtl w:val="0"/>
        </w:rPr>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44sinio" w:id="16"/>
      <w:bookmarkEnd w:id="16"/>
      <w:r w:rsidDel="00000000" w:rsidR="00000000" w:rsidRPr="00000000">
        <w:rPr>
          <w:rFonts w:ascii="Arial" w:cs="Arial" w:eastAsia="Arial" w:hAnsi="Arial"/>
          <w:color w:val="000000"/>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2jxsxqh" w:id="17"/>
      <w:bookmarkEnd w:id="17"/>
      <w:r w:rsidDel="00000000" w:rsidR="00000000" w:rsidRPr="00000000">
        <w:rPr>
          <w:rFonts w:ascii="Arial" w:cs="Arial" w:eastAsia="Arial" w:hAnsi="Arial"/>
          <w:color w:val="000000"/>
          <w:rtl w:val="0"/>
        </w:rPr>
        <w:t xml:space="preserve">use all reasonable endeavours to reallocate resources to provide such assistance without additional costs to the Buyer;</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z337ya" w:id="18"/>
      <w:bookmarkEnd w:id="18"/>
      <w:r w:rsidDel="00000000" w:rsidR="00000000" w:rsidRPr="00000000">
        <w:rPr>
          <w:rFonts w:ascii="Arial" w:cs="Arial" w:eastAsia="Arial" w:hAnsi="Arial"/>
          <w:color w:val="000000"/>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bookmarkStart w:colFirst="0" w:colLast="0" w:name="_heading=h.3j2qqm3" w:id="19"/>
      <w:bookmarkEnd w:id="19"/>
      <w:r w:rsidDel="00000000" w:rsidR="00000000" w:rsidRPr="00000000">
        <w:rPr>
          <w:rFonts w:ascii="Arial" w:cs="Arial" w:eastAsia="Arial" w:hAnsi="Arial"/>
          <w:color w:val="000000"/>
          <w:rtl w:val="0"/>
        </w:rPr>
        <w:t xml:space="preserve">at the Buyer's request and on reasonable notice, deliver up-to-date Registers to the Buyer; and</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59">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r w:rsidDel="00000000" w:rsidR="00000000" w:rsidRPr="00000000">
        <w:rPr>
          <w:rFonts w:ascii="Arial" w:cs="Arial" w:eastAsia="Arial" w:hAnsi="Arial"/>
          <w:color w:val="000000"/>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agreement through the Variation Procedure.</w:t>
      </w:r>
      <w:r w:rsidDel="00000000" w:rsidR="00000000" w:rsidRPr="00000000">
        <w:rPr>
          <w:rtl w:val="0"/>
        </w:rPr>
      </w:r>
    </w:p>
    <w:p w:rsidR="00000000" w:rsidDel="00000000" w:rsidP="00000000" w:rsidRDefault="00000000" w:rsidRPr="00000000" w14:paraId="0000005A">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rPr>
      </w:pPr>
      <w:bookmarkStart w:colFirst="0" w:colLast="0" w:name="_heading=h.1y810tw" w:id="20"/>
      <w:bookmarkEnd w:id="20"/>
      <w:r w:rsidDel="00000000" w:rsidR="00000000" w:rsidRPr="00000000">
        <w:rPr>
          <w:rFonts w:ascii="Arial" w:cs="Arial" w:eastAsia="Arial" w:hAnsi="Arial"/>
          <w:color w:val="000000"/>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r w:rsidDel="00000000" w:rsidR="00000000" w:rsidRPr="00000000">
        <w:rPr>
          <w:rtl w:val="0"/>
        </w:rPr>
      </w:r>
    </w:p>
    <w:p w:rsidR="00000000" w:rsidDel="00000000" w:rsidP="00000000" w:rsidRDefault="00000000" w:rsidRPr="00000000" w14:paraId="0000005B">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Obligations prior to exit</w:t>
      </w:r>
      <w:r w:rsidDel="00000000" w:rsidR="00000000" w:rsidRPr="00000000">
        <w:rPr>
          <w:rtl w:val="0"/>
        </w:rPr>
      </w:r>
    </w:p>
    <w:p w:rsidR="00000000" w:rsidDel="00000000" w:rsidP="00000000" w:rsidRDefault="00000000" w:rsidRPr="00000000" w14:paraId="0000005C">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ds3walh7htlc" w:id="21"/>
      <w:bookmarkEnd w:id="21"/>
      <w:r w:rsidDel="00000000" w:rsidR="00000000" w:rsidRPr="00000000">
        <w:rPr>
          <w:rFonts w:ascii="Arial" w:cs="Arial" w:eastAsia="Arial" w:hAnsi="Arial"/>
          <w:color w:val="000000"/>
          <w:rtl w:val="0"/>
        </w:rPr>
        <w:t xml:space="preserve">As part of the exit management process, where requested by the Buyer prior to the expiry or termination of this Contract, the Supplier shall provide to the Buyer:</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an updated Call-Off Contract checklist (clearly outlining where things have changed during the lifetime of the Call-Off Contract e.g. preferred payment terms, policy for use of first class travel, rail ticket fulfilment default choice etc.);</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named Supplier Staff who will work with the Buyer to develop and implement the agreed exit strategy;</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all Traveller profiles, including, but not limited to, staff number, email address and contact number to be provide to the Buyer as part of the Contract handover;</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spend volume and transaction numbers broken down air, accommodation, venue, rail and other services;</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payment methods used;</w:t>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booking policies;</w:t>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performance of the Deliverables against the Service Levels during the Contract Period;</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details of all live bookings, including, but not limited to, live bookings that will continue after expiry or termination, together with refunds, changes and exchanges; and</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any other information that is specific to the Buyer in connection with the provision of the Services,</w:t>
      </w:r>
    </w:p>
    <w:p w:rsidR="00000000" w:rsidDel="00000000" w:rsidP="00000000" w:rsidRDefault="00000000" w:rsidRPr="00000000" w14:paraId="00000066">
      <w:pPr>
        <w:keepNext w:val="1"/>
        <w:pBdr>
          <w:top w:space="0" w:sz="0" w:val="nil"/>
          <w:left w:space="0" w:sz="0" w:val="nil"/>
          <w:bottom w:space="0" w:sz="0" w:val="nil"/>
          <w:right w:space="0" w:sz="0" w:val="nil"/>
          <w:between w:space="0" w:sz="0" w:val="nil"/>
        </w:pBdr>
        <w:spacing w:after="120" w:before="120" w:line="240" w:lineRule="auto"/>
        <w:ind w:left="113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(together being the</w:t>
      </w:r>
      <w:r w:rsidDel="00000000" w:rsidR="00000000" w:rsidRPr="00000000">
        <w:rPr>
          <w:rFonts w:ascii="Arial" w:cs="Arial" w:eastAsia="Arial" w:hAnsi="Arial"/>
          <w:b w:val="1"/>
          <w:color w:val="000000"/>
          <w:rtl w:val="0"/>
        </w:rPr>
        <w:t xml:space="preserve"> "Final Data Set"</w:t>
      </w:r>
      <w:r w:rsidDel="00000000" w:rsidR="00000000" w:rsidRPr="00000000">
        <w:rPr>
          <w:rFonts w:ascii="Arial" w:cs="Arial" w:eastAsia="Arial" w:hAnsi="Arial"/>
          <w:color w:val="000000"/>
          <w:rtl w:val="0"/>
        </w:rPr>
        <w:t xml:space="preserve">) 3 Months prior to the expiry or termination of this Contract, the Supplier shall also provide to the Buyer, promptly upon request a refreshed Final Data Set, to capture any bookings that had a longer lead time.</w:t>
      </w:r>
    </w:p>
    <w:p w:rsidR="00000000" w:rsidDel="00000000" w:rsidP="00000000" w:rsidRDefault="00000000" w:rsidRPr="00000000" w14:paraId="00000067">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Obligations when the contract is terminated  </w:t>
      </w:r>
      <w:r w:rsidDel="00000000" w:rsidR="00000000" w:rsidRPr="00000000">
        <w:rPr>
          <w:rtl w:val="0"/>
        </w:rPr>
      </w:r>
    </w:p>
    <w:p w:rsidR="00000000" w:rsidDel="00000000" w:rsidP="00000000" w:rsidRDefault="00000000" w:rsidRPr="00000000" w14:paraId="00000068">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4i7ojhp" w:id="22"/>
      <w:bookmarkEnd w:id="22"/>
      <w:r w:rsidDel="00000000" w:rsidR="00000000" w:rsidRPr="00000000">
        <w:rPr>
          <w:rFonts w:ascii="Arial" w:cs="Arial" w:eastAsia="Arial" w:hAnsi="Arial"/>
          <w:color w:val="000000"/>
          <w:rtl w:val="0"/>
        </w:rPr>
        <w:t xml:space="preserve">The Supplier shall comply with all of its obligations contained in the Exit Plan.</w:t>
      </w:r>
    </w:p>
    <w:p w:rsidR="00000000" w:rsidDel="00000000" w:rsidP="00000000" w:rsidRDefault="00000000" w:rsidRPr="00000000" w14:paraId="00000069">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2xcytpi" w:id="23"/>
      <w:bookmarkEnd w:id="23"/>
      <w:r w:rsidDel="00000000" w:rsidR="00000000" w:rsidRPr="00000000">
        <w:rPr>
          <w:rFonts w:ascii="Arial" w:cs="Arial" w:eastAsia="Arial" w:hAnsi="Arial"/>
          <w:color w:val="000000"/>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vacate any Buyer Premises;</w:t>
      </w:r>
    </w:p>
    <w:p w:rsidR="00000000" w:rsidDel="00000000" w:rsidP="00000000" w:rsidRDefault="00000000" w:rsidRPr="00000000" w14:paraId="0000006B">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provide the Buyer with the notices, information and assistance in relation to staff transfers and pensions as more particularly described in Call-Off Schedule 2 (Staff Transfer);</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if the Buyer requires, provide the Buyer and the Replacement Supplier with details of all profiles and all bookings with a travel date greater than 8 weeks from the expiry or termination date or the end of the Termination Assistance Period and all spend and savings data. However, in the event that a Replacement Supplier has a different global distribution system to the Supplier, and no transfer of passenger name records can be technically or legally achieved, then an alternative, appropriate plan will need to be developed. This plan, which may include, but will not be limited to, encouraging Bookers to withhold making bookings until implementation is complete, or having tickets issued with the Supplier prior to the transfer. All care should be taken by the Supplier to ensure that where possible, the chosen action does not result in increased fares or rates for the Buyer;</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for venue find, provide the following information, as a minimum, to any Replacement Supplier appointed:</w:t>
      </w:r>
    </w:p>
    <w:p w:rsidR="00000000" w:rsidDel="00000000" w:rsidP="00000000" w:rsidRDefault="00000000" w:rsidRPr="00000000" w14:paraId="0000006F">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a full list of Bookers including up to date contact details;</w:t>
      </w:r>
    </w:p>
    <w:p w:rsidR="00000000" w:rsidDel="00000000" w:rsidP="00000000" w:rsidRDefault="00000000" w:rsidRPr="00000000" w14:paraId="00000070">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spend volume and transaction levels (previous 12 Months);</w:t>
      </w:r>
    </w:p>
    <w:p w:rsidR="00000000" w:rsidDel="00000000" w:rsidP="00000000" w:rsidRDefault="00000000" w:rsidRPr="00000000" w14:paraId="00000071">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frequently used locations/venues (previous 12 Months);</w:t>
      </w:r>
    </w:p>
    <w:p w:rsidR="00000000" w:rsidDel="00000000" w:rsidP="00000000" w:rsidRDefault="00000000" w:rsidRPr="00000000" w14:paraId="00000072">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agreed payment method(s);</w:t>
      </w:r>
    </w:p>
    <w:p w:rsidR="00000000" w:rsidDel="00000000" w:rsidP="00000000" w:rsidRDefault="00000000" w:rsidRPr="00000000" w14:paraId="00000073">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Buyer’s Travel/Expenses/Meeting Policy(ies); and </w:t>
      </w:r>
    </w:p>
    <w:p w:rsidR="00000000" w:rsidDel="00000000" w:rsidP="00000000" w:rsidRDefault="00000000" w:rsidRPr="00000000" w14:paraId="00000074">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booking method(s);</w:t>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for venue find, cleanse all data and transfer it to any Replacement Supplier;</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provide the Buyer with paid invoices that have come in after the expiry or termination date of the Call-Off Contract; and</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78">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such information relating to the Deliverables as remains in the possession or control of the Supplier; and</w:t>
      </w:r>
    </w:p>
    <w:p w:rsidR="00000000" w:rsidDel="00000000" w:rsidP="00000000" w:rsidRDefault="00000000" w:rsidRPr="00000000" w14:paraId="00000079">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7A">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lffyed4mutrv" w:id="24"/>
      <w:bookmarkEnd w:id="24"/>
      <w:r w:rsidDel="00000000" w:rsidR="00000000" w:rsidRPr="00000000">
        <w:rPr>
          <w:rFonts w:ascii="Arial" w:cs="Arial" w:eastAsia="Arial" w:hAnsi="Arial"/>
          <w:color w:val="000000"/>
          <w:rtl w:val="0"/>
        </w:rPr>
        <w:t xml:space="preserve">The Buyer and the Supplier shall work together in relation to the expiry and/or termination of this Contract, including in relation to any expiry or termination dates and related exist assistance identified. </w:t>
      </w:r>
    </w:p>
    <w:p w:rsidR="00000000" w:rsidDel="00000000" w:rsidP="00000000" w:rsidRDefault="00000000" w:rsidRPr="00000000" w14:paraId="0000007B">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azwyy9mgwla9" w:id="25"/>
      <w:bookmarkEnd w:id="25"/>
      <w:r w:rsidDel="00000000" w:rsidR="00000000" w:rsidRPr="00000000">
        <w:rPr>
          <w:rFonts w:ascii="Arial" w:cs="Arial" w:eastAsia="Arial" w:hAnsi="Arial"/>
          <w:color w:val="000000"/>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7C">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566"/>
        <w:jc w:val="both"/>
        <w:rPr>
          <w:rFonts w:ascii="Arial" w:cs="Arial" w:eastAsia="Arial" w:hAnsi="Arial"/>
          <w:color w:val="000000"/>
        </w:rPr>
      </w:pPr>
      <w:bookmarkStart w:colFirst="0" w:colLast="0" w:name="_heading=h.wcmzuq3xsaqi" w:id="26"/>
      <w:bookmarkEnd w:id="26"/>
      <w:r w:rsidDel="00000000" w:rsidR="00000000" w:rsidRPr="00000000">
        <w:rPr>
          <w:rFonts w:ascii="Arial" w:cs="Arial" w:eastAsia="Arial" w:hAnsi="Arial"/>
          <w:color w:val="000000"/>
          <w:rtl w:val="0"/>
        </w:rP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Schedule):</w:t>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tabs>
          <w:tab w:val="left" w:pos="1985"/>
        </w:tabs>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Assistance or for statutory compliance purposes; and</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tabs>
          <w:tab w:val="left" w:pos="1985"/>
        </w:tabs>
        <w:spacing w:after="120" w:before="120" w:line="240" w:lineRule="auto"/>
        <w:ind w:left="1985"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Buyer shall require all current and historic data and all profiles to be permanently deleted and, unless specifically requested otherwise by the Buyer, transferred by the Supplier to a Replacement Supplier and the Supplier shall transfer and then destroy such data at no extra cost to the Buyer. The Supplier shall confirm in writing when all data has been transferred and then destroyed. </w:t>
      </w:r>
    </w:p>
    <w:p w:rsidR="00000000" w:rsidDel="00000000" w:rsidP="00000000" w:rsidRDefault="00000000" w:rsidRPr="00000000" w14:paraId="0000007F">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Assets, Sub-contracts and Software</w:t>
      </w:r>
    </w:p>
    <w:p w:rsidR="00000000" w:rsidDel="00000000" w:rsidP="00000000" w:rsidRDefault="00000000" w:rsidRPr="00000000" w14:paraId="00000080">
      <w:pPr>
        <w:keepNext w:val="1"/>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qsh70q" w:id="27"/>
      <w:bookmarkEnd w:id="27"/>
      <w:r w:rsidDel="00000000" w:rsidR="00000000" w:rsidRPr="00000000">
        <w:rPr>
          <w:rFonts w:ascii="Arial" w:cs="Arial" w:eastAsia="Arial" w:hAnsi="Arial"/>
          <w:color w:val="000000"/>
          <w:rtl w:val="0"/>
        </w:rPr>
        <w:t xml:space="preserve">Following notice of termination of this Contract and during the Termination Assistance Period, the Supplier shall not, without the Buyer's prior written consent:</w:t>
      </w:r>
      <w:r w:rsidDel="00000000" w:rsidR="00000000" w:rsidRPr="00000000">
        <w:rPr>
          <w:rtl w:val="0"/>
        </w:rPr>
      </w:r>
    </w:p>
    <w:p w:rsidR="00000000" w:rsidDel="00000000" w:rsidP="00000000" w:rsidRDefault="00000000" w:rsidRPr="00000000" w14:paraId="00000081">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terminate, enter into or vary any Sub-Contract or licence for any software in connection with the Deliverables; or</w:t>
      </w:r>
    </w:p>
    <w:p w:rsidR="00000000" w:rsidDel="00000000" w:rsidP="00000000" w:rsidRDefault="00000000" w:rsidRPr="00000000" w14:paraId="00000082">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83">
      <w:pPr>
        <w:keepNext w:val="1"/>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3as4poj" w:id="28"/>
      <w:bookmarkEnd w:id="28"/>
      <w:r w:rsidDel="00000000" w:rsidR="00000000" w:rsidRPr="00000000">
        <w:rPr>
          <w:rFonts w:ascii="Arial" w:cs="Arial" w:eastAsia="Arial" w:hAnsi="Arial"/>
          <w:color w:val="000000"/>
          <w:rtl w:val="0"/>
        </w:rPr>
        <w:t xml:space="preserve">Within twenty (20) Working Days of receipt of the up-to-date Registers provided by the Supplier, the Buyer shall notify the Supplier setting out:</w:t>
      </w:r>
      <w:r w:rsidDel="00000000" w:rsidR="00000000" w:rsidRPr="00000000">
        <w:rPr>
          <w:rtl w:val="0"/>
        </w:rPr>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bookmarkStart w:colFirst="0" w:colLast="0" w:name="_heading=h.1pxezwc" w:id="29"/>
      <w:bookmarkEnd w:id="29"/>
      <w:r w:rsidDel="00000000" w:rsidR="00000000" w:rsidRPr="00000000">
        <w:rPr>
          <w:rFonts w:ascii="Arial" w:cs="Arial" w:eastAsia="Arial" w:hAnsi="Arial"/>
          <w:color w:val="000000"/>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color w:val="000000"/>
          <w:rtl w:val="0"/>
        </w:rPr>
        <w:t xml:space="preserve">Transferring Assets</w:t>
      </w:r>
      <w:r w:rsidDel="00000000" w:rsidR="00000000" w:rsidRPr="00000000">
        <w:rPr>
          <w:rFonts w:ascii="Arial" w:cs="Arial" w:eastAsia="Arial" w:hAnsi="Arial"/>
          <w:color w:val="000000"/>
          <w:rtl w:val="0"/>
        </w:rPr>
        <w:t xml:space="preserve">"); </w:t>
      </w:r>
    </w:p>
    <w:bookmarkStart w:colFirst="0" w:colLast="0" w:name="bookmark=id.49x2ik5" w:id="30"/>
    <w:bookmarkEnd w:id="30"/>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bookmarkStart w:colFirst="0" w:colLast="0" w:name="_heading=h.2p2csry" w:id="31"/>
      <w:bookmarkEnd w:id="31"/>
      <w:r w:rsidDel="00000000" w:rsidR="00000000" w:rsidRPr="00000000">
        <w:rPr>
          <w:rFonts w:ascii="Arial" w:cs="Arial" w:eastAsia="Arial" w:hAnsi="Arial"/>
          <w:color w:val="000000"/>
          <w:rtl w:val="0"/>
        </w:rPr>
        <w:t xml:space="preserve">which, if any, of:</w:t>
      </w:r>
    </w:p>
    <w:p w:rsidR="00000000" w:rsidDel="00000000" w:rsidP="00000000" w:rsidRDefault="00000000" w:rsidRPr="00000000" w14:paraId="00000086">
      <w:pPr>
        <w:numPr>
          <w:ilvl w:val="3"/>
          <w:numId w:val="1"/>
        </w:numPr>
        <w:pBdr>
          <w:top w:space="0" w:sz="0" w:val="nil"/>
          <w:left w:space="0" w:sz="0" w:val="nil"/>
          <w:bottom w:space="0" w:sz="0" w:val="nil"/>
          <w:right w:space="0" w:sz="0" w:val="nil"/>
          <w:between w:space="0" w:sz="0" w:val="nil"/>
        </w:pBdr>
        <w:tabs>
          <w:tab w:val="left" w:pos="2268"/>
        </w:tabs>
        <w:spacing w:after="120" w:before="120" w:line="240" w:lineRule="auto"/>
        <w:ind w:left="2268"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the Exclusive Assets that are not Transferable Assets; and </w:t>
      </w:r>
    </w:p>
    <w:p w:rsidR="00000000" w:rsidDel="00000000" w:rsidP="00000000" w:rsidRDefault="00000000" w:rsidRPr="00000000" w14:paraId="00000087">
      <w:pPr>
        <w:numPr>
          <w:ilvl w:val="3"/>
          <w:numId w:val="1"/>
        </w:numPr>
        <w:pBdr>
          <w:top w:space="0" w:sz="0" w:val="nil"/>
          <w:left w:space="0" w:sz="0" w:val="nil"/>
          <w:bottom w:space="0" w:sz="0" w:val="nil"/>
          <w:right w:space="0" w:sz="0" w:val="nil"/>
          <w:between w:space="0" w:sz="0" w:val="nil"/>
        </w:pBdr>
        <w:tabs>
          <w:tab w:val="left" w:pos="2268"/>
        </w:tabs>
        <w:spacing w:after="120" w:before="120" w:line="240" w:lineRule="auto"/>
        <w:ind w:left="2268" w:hanging="850"/>
        <w:jc w:val="both"/>
        <w:rPr>
          <w:rFonts w:ascii="Arial" w:cs="Arial" w:eastAsia="Arial" w:hAnsi="Arial"/>
          <w:color w:val="000000"/>
        </w:rPr>
      </w:pPr>
      <w:r w:rsidDel="00000000" w:rsidR="00000000" w:rsidRPr="00000000">
        <w:rPr>
          <w:rFonts w:ascii="Arial" w:cs="Arial" w:eastAsia="Arial" w:hAnsi="Arial"/>
          <w:color w:val="000000"/>
          <w:rtl w:val="0"/>
        </w:rPr>
        <w:t xml:space="preserve">the Non-Exclusive Assets,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240" w:lineRule="auto"/>
        <w:ind w:left="141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Buyer and/or the Replacement Supplier requires the continued use of; and</w:t>
      </w:r>
    </w:p>
    <w:p w:rsidR="00000000" w:rsidDel="00000000" w:rsidP="00000000" w:rsidRDefault="00000000" w:rsidRPr="00000000" w14:paraId="00000089">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bookmarkStart w:colFirst="0" w:colLast="0" w:name="_heading=h.147n2zr" w:id="32"/>
      <w:bookmarkEnd w:id="32"/>
      <w:r w:rsidDel="00000000" w:rsidR="00000000" w:rsidRPr="00000000">
        <w:rPr>
          <w:rFonts w:ascii="Arial" w:cs="Arial" w:eastAsia="Arial" w:hAnsi="Arial"/>
          <w:color w:val="000000"/>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color w:val="000000"/>
          <w:rtl w:val="0"/>
        </w:rPr>
        <w:t xml:space="preserve">"Transferring Contracts"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240" w:lineRule="auto"/>
        <w:ind w:left="567" w:firstLine="20"/>
        <w:jc w:val="both"/>
        <w:rPr>
          <w:rFonts w:ascii="Arial" w:cs="Arial" w:eastAsia="Arial" w:hAnsi="Arial"/>
          <w:color w:val="000000"/>
        </w:rPr>
      </w:pPr>
      <w:r w:rsidDel="00000000" w:rsidR="00000000" w:rsidRPr="00000000">
        <w:rPr>
          <w:rFonts w:ascii="Arial" w:cs="Arial" w:eastAsia="Arial" w:hAnsi="Arial"/>
          <w:color w:val="000000"/>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and/or Replacement Services.</w:t>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3o7alnk" w:id="33"/>
      <w:bookmarkEnd w:id="33"/>
      <w:r w:rsidDel="00000000" w:rsidR="00000000" w:rsidRPr="00000000">
        <w:rPr>
          <w:rFonts w:ascii="Arial" w:cs="Arial" w:eastAsia="Arial" w:hAnsi="Arial"/>
          <w:color w:val="000000"/>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r w:rsidDel="00000000" w:rsidR="00000000" w:rsidRPr="00000000">
        <w:rPr>
          <w:rtl w:val="0"/>
        </w:rPr>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ui16opppa3hr" w:id="34"/>
      <w:bookmarkEnd w:id="34"/>
      <w:r w:rsidDel="00000000" w:rsidR="00000000" w:rsidRPr="00000000">
        <w:rPr>
          <w:rFonts w:ascii="Arial" w:cs="Arial" w:eastAsia="Arial" w:hAnsi="Arial"/>
          <w:color w:val="000000"/>
          <w:rtl w:val="0"/>
        </w:rPr>
        <w:t xml:space="preserve">Risk in the Transferring Assets shall pass to the Buyer or the Replacement Supplier (as appropriate) at the end of the Termination Assistance Period and title shall pass on payment for them.</w:t>
      </w:r>
      <w:r w:rsidDel="00000000" w:rsidR="00000000" w:rsidRPr="00000000">
        <w:rPr>
          <w:rtl w:val="0"/>
        </w:rPr>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23ckvvd" w:id="35"/>
      <w:bookmarkEnd w:id="35"/>
      <w:r w:rsidDel="00000000" w:rsidR="00000000" w:rsidRPr="00000000">
        <w:rPr>
          <w:rFonts w:ascii="Arial" w:cs="Arial" w:eastAsia="Arial" w:hAnsi="Arial"/>
          <w:color w:val="000000"/>
          <w:rtl w:val="0"/>
        </w:rPr>
        <w:t xml:space="preserve">Where the Buyer and/or the Replacement Supplier requires continued use of any Exclusive Assets that are not Transferable Assets or any Non-Exclusive Assets, the Supplier shall as soon as reasonably practicable:</w:t>
      </w:r>
      <w:r w:rsidDel="00000000" w:rsidR="00000000" w:rsidRPr="00000000">
        <w:rPr>
          <w:rtl w:val="0"/>
        </w:rPr>
      </w:r>
    </w:p>
    <w:p w:rsidR="00000000" w:rsidDel="00000000" w:rsidP="00000000" w:rsidRDefault="00000000" w:rsidRPr="00000000" w14:paraId="0000008E">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8F">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ihv636" w:id="36"/>
      <w:bookmarkEnd w:id="36"/>
      <w:r w:rsidDel="00000000" w:rsidR="00000000" w:rsidRPr="00000000">
        <w:rPr>
          <w:rFonts w:ascii="Arial" w:cs="Arial" w:eastAsia="Arial" w:hAnsi="Arial"/>
          <w:color w:val="000000"/>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r w:rsidDel="00000000" w:rsidR="00000000" w:rsidRPr="00000000">
        <w:rPr>
          <w:rtl w:val="0"/>
        </w:rPr>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32hioqz" w:id="37"/>
      <w:bookmarkEnd w:id="37"/>
      <w:r w:rsidDel="00000000" w:rsidR="00000000" w:rsidRPr="00000000">
        <w:rPr>
          <w:rFonts w:ascii="Arial" w:cs="Arial" w:eastAsia="Arial" w:hAnsi="Arial"/>
          <w:color w:val="000000"/>
          <w:rtl w:val="0"/>
        </w:rPr>
        <w:t xml:space="preserve">The Buyer shall:</w:t>
      </w:r>
      <w:r w:rsidDel="00000000" w:rsidR="00000000" w:rsidRPr="00000000">
        <w:rPr>
          <w:rtl w:val="0"/>
        </w:rPr>
      </w:r>
    </w:p>
    <w:p w:rsidR="00000000" w:rsidDel="00000000" w:rsidP="00000000" w:rsidRDefault="00000000" w:rsidRPr="00000000" w14:paraId="00000092">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accept assignments from the Supplier or join with the Supplier in procuring a novation of each Transferring Contract; and</w:t>
      </w:r>
    </w:p>
    <w:p w:rsidR="00000000" w:rsidDel="00000000" w:rsidP="00000000" w:rsidRDefault="00000000" w:rsidRPr="00000000" w14:paraId="00000093">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95">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color w:val="000000"/>
        </w:rPr>
      </w:pPr>
      <w:bookmarkStart w:colFirst="0" w:colLast="0" w:name="_heading=h.1hmsyys" w:id="38"/>
      <w:bookmarkEnd w:id="38"/>
      <w:r w:rsidDel="00000000" w:rsidR="00000000" w:rsidRPr="00000000">
        <w:rPr>
          <w:rFonts w:ascii="Arial" w:cs="Arial" w:eastAsia="Arial" w:hAnsi="Arial"/>
          <w:color w:val="000000"/>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9.6 in relation to any matters arising prior to the date of assignment or novation of such Transferring Contract. Clause 19 (Other people's rights in a contract) shall not apply to this Paragraph 9.9 which is intended to be enforceable by third party beneficiaries by virtue of the CRTPA.</w:t>
      </w:r>
    </w:p>
    <w:p w:rsidR="00000000" w:rsidDel="00000000" w:rsidP="00000000" w:rsidRDefault="00000000" w:rsidRPr="00000000" w14:paraId="00000096">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bookmarkStart w:colFirst="0" w:colLast="0" w:name="_heading=h.41mghml" w:id="39"/>
      <w:bookmarkEnd w:id="39"/>
      <w:r w:rsidDel="00000000" w:rsidR="00000000" w:rsidRPr="00000000">
        <w:rPr>
          <w:rFonts w:ascii="Arial" w:cs="Arial" w:eastAsia="Arial" w:hAnsi="Arial"/>
          <w:b w:val="1"/>
          <w:smallCaps w:val="1"/>
          <w:color w:val="000000"/>
          <w:rtl w:val="0"/>
        </w:rPr>
        <w:t xml:space="preserve">N</w:t>
      </w:r>
      <w:r w:rsidDel="00000000" w:rsidR="00000000" w:rsidRPr="00000000">
        <w:rPr>
          <w:rFonts w:ascii="Arial" w:cs="Arial" w:eastAsia="Arial" w:hAnsi="Arial"/>
          <w:b w:val="1"/>
          <w:color w:val="000000"/>
          <w:rtl w:val="0"/>
        </w:rPr>
        <w:t xml:space="preserve">o charges</w:t>
      </w:r>
      <w:r w:rsidDel="00000000" w:rsidR="00000000" w:rsidRPr="00000000">
        <w:rPr>
          <w:rFonts w:ascii="Arial" w:cs="Arial" w:eastAsia="Arial" w:hAnsi="Arial"/>
          <w:b w:val="1"/>
          <w:smallCaps w:val="1"/>
          <w:color w:val="000000"/>
          <w:rtl w:val="0"/>
        </w:rPr>
        <w:t xml:space="preserve"> </w:t>
      </w:r>
    </w:p>
    <w:p w:rsidR="00000000" w:rsidDel="00000000" w:rsidP="00000000" w:rsidRDefault="00000000" w:rsidRPr="00000000" w14:paraId="00000097">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r w:rsidDel="00000000" w:rsidR="00000000" w:rsidRPr="00000000">
        <w:rPr>
          <w:rFonts w:ascii="Arial" w:cs="Arial" w:eastAsia="Arial" w:hAnsi="Arial"/>
          <w:color w:val="000000"/>
          <w:rtl w:val="0"/>
        </w:rPr>
        <w:t xml:space="preserve">Unless otherwise stated, the Buyer shall not be obliged to pay for costs incurred by the Supplier in relation to its compliance with this Schedule.</w:t>
      </w:r>
      <w:r w:rsidDel="00000000" w:rsidR="00000000" w:rsidRPr="00000000">
        <w:rPr>
          <w:rtl w:val="0"/>
        </w:rPr>
      </w:r>
    </w:p>
    <w:p w:rsidR="00000000" w:rsidDel="00000000" w:rsidP="00000000" w:rsidRDefault="00000000" w:rsidRPr="00000000" w14:paraId="00000098">
      <w:pPr>
        <w:keepNext w:val="1"/>
        <w:numPr>
          <w:ilvl w:val="0"/>
          <w:numId w:val="1"/>
        </w:numPr>
        <w:pBdr>
          <w:top w:space="0" w:sz="0" w:val="nil"/>
          <w:left w:space="0" w:sz="0" w:val="nil"/>
          <w:bottom w:space="0" w:sz="0" w:val="nil"/>
          <w:right w:space="0" w:sz="0" w:val="nil"/>
          <w:between w:space="0" w:sz="0" w:val="nil"/>
        </w:pBdr>
        <w:spacing w:after="240" w:before="240" w:line="240" w:lineRule="auto"/>
        <w:ind w:left="567" w:hanging="567"/>
        <w:jc w:val="both"/>
        <w:rPr>
          <w:rFonts w:ascii="Arial" w:cs="Arial" w:eastAsia="Arial" w:hAnsi="Arial"/>
          <w:b w:val="1"/>
          <w:smallCaps w:val="1"/>
          <w:color w:val="000000"/>
        </w:rPr>
      </w:pPr>
      <w:r w:rsidDel="00000000" w:rsidR="00000000" w:rsidRPr="00000000">
        <w:rPr>
          <w:rFonts w:ascii="Arial" w:cs="Arial" w:eastAsia="Arial" w:hAnsi="Arial"/>
          <w:b w:val="1"/>
          <w:color w:val="000000"/>
          <w:rtl w:val="0"/>
        </w:rPr>
        <w:t xml:space="preserve">Dividing the bills </w:t>
      </w:r>
      <w:r w:rsidDel="00000000" w:rsidR="00000000" w:rsidRPr="00000000">
        <w:rPr>
          <w:rtl w:val="0"/>
        </w:rPr>
      </w:r>
    </w:p>
    <w:p w:rsidR="00000000" w:rsidDel="00000000" w:rsidP="00000000" w:rsidRDefault="00000000" w:rsidRPr="00000000" w14:paraId="00000099">
      <w:pPr>
        <w:numPr>
          <w:ilvl w:val="1"/>
          <w:numId w:val="1"/>
        </w:numPr>
        <w:pBdr>
          <w:top w:space="0" w:sz="0" w:val="nil"/>
          <w:left w:space="0" w:sz="0" w:val="nil"/>
          <w:bottom w:space="0" w:sz="0" w:val="nil"/>
          <w:right w:space="0" w:sz="0" w:val="nil"/>
          <w:between w:space="0" w:sz="0" w:val="nil"/>
        </w:pBdr>
        <w:spacing w:after="120" w:before="120" w:line="240" w:lineRule="auto"/>
        <w:ind w:left="567" w:hanging="567"/>
        <w:jc w:val="both"/>
        <w:rPr>
          <w:rFonts w:ascii="Arial" w:cs="Arial" w:eastAsia="Arial" w:hAnsi="Arial"/>
        </w:rPr>
      </w:pPr>
      <w:bookmarkStart w:colFirst="0" w:colLast="0" w:name="_heading=h.2grqrue" w:id="40"/>
      <w:bookmarkEnd w:id="40"/>
      <w:r w:rsidDel="00000000" w:rsidR="00000000" w:rsidRPr="00000000">
        <w:rPr>
          <w:rFonts w:ascii="Arial" w:cs="Arial" w:eastAsia="Arial" w:hAnsi="Arial"/>
          <w:color w:val="000000"/>
          <w:rtl w:val="0"/>
        </w:rPr>
        <w:t xml:space="preserve">All outgoings, expenses, rents, royalties and other periodical payments receivable in respect of the Transferring Assets and Transferring Contracts shall be apportioned between the Buyer and/or the Replacement Supplier and the Supplier as follows:</w:t>
      </w:r>
      <w:r w:rsidDel="00000000" w:rsidR="00000000" w:rsidRPr="00000000">
        <w:rPr>
          <w:rtl w:val="0"/>
        </w:rPr>
      </w:r>
    </w:p>
    <w:p w:rsidR="00000000" w:rsidDel="00000000" w:rsidP="00000000" w:rsidRDefault="00000000" w:rsidRPr="00000000" w14:paraId="0000009A">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amounts shall be annualised and divided by 365 to reach a daily rate;</w:t>
      </w:r>
    </w:p>
    <w:p w:rsidR="00000000" w:rsidDel="00000000" w:rsidP="00000000" w:rsidRDefault="00000000" w:rsidRPr="00000000" w14:paraId="0000009B">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9C">
      <w:pPr>
        <w:numPr>
          <w:ilvl w:val="2"/>
          <w:numId w:val="1"/>
        </w:numPr>
        <w:pBdr>
          <w:top w:space="0" w:sz="0" w:val="nil"/>
          <w:left w:space="0" w:sz="0" w:val="nil"/>
          <w:bottom w:space="0" w:sz="0" w:val="nil"/>
          <w:right w:space="0" w:sz="0" w:val="nil"/>
          <w:between w:space="0" w:sz="0" w:val="nil"/>
        </w:pBdr>
        <w:spacing w:after="120" w:before="120" w:line="240" w:lineRule="auto"/>
        <w:ind w:left="1418" w:hanging="851"/>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be responsible for or entitled to (as the case may be) the rest of the invoice.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v3.0</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RM6217</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w:t>
    </w:r>
    <w:bookmarkStart w:colFirst="0" w:colLast="0" w:name="bookmark=id.vx1227" w:id="42"/>
    <w:bookmarkEnd w:id="42"/>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10 (Exit Management)</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r w:rsidDel="00000000" w:rsidR="00000000" w:rsidRPr="00000000">
      <w:rPr>
        <w:rFonts w:ascii="Arial" w:cs="Arial" w:eastAsia="Arial" w:hAnsi="Arial"/>
        <w:sz w:val="20"/>
        <w:szCs w:val="20"/>
        <w:rtl w:val="0"/>
      </w:rPr>
      <w:t xml:space="preserve">CCCC21B23 </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bookmarkStart w:colFirst="0" w:colLast="0" w:name="_heading=h.1ci93xb" w:id="41"/>
    <w:bookmarkEnd w:id="41"/>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2022</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pos="4513"/>
        <w:tab w:val="right" w:pos="9026"/>
        <w:tab w:val="left" w:pos="3559"/>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8.99999999999994"/>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ind w:left="3402" w:hanging="567"/>
    </w:p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GPSL3Indent" w:customStyle="1">
    <w:name w:val="GPS L3 Indent"/>
    <w:basedOn w:val="Normal"/>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GPSL2Indent" w:customStyle="1">
    <w:name w:val="GPS L2 Indent"/>
    <w:basedOn w:val="GPSL2numberedclause"/>
    <w:link w:val="GPSL2IndentChar"/>
    <w:qFormat w:val="1"/>
    <w:pPr>
      <w:numPr>
        <w:ilvl w:val="0"/>
        <w:numId w:val="0"/>
      </w:numPr>
      <w:tabs>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ind w:left="360"/>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cs="Times New Roman" w:eastAsia="STZhongsong" w:hAnsi="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cs="Times New Roman" w:eastAsia="STZhongsong" w:hAnsi="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cs="Times New Roman" w:eastAsia="STZhongsong" w:hAnsi="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cs="Times New Roman" w:eastAsia="STZhongsong" w:hAnsi="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cs="Times New Roman" w:eastAsia="STZhongsong" w:hAnsi="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cs="Times New Roman" w:eastAsia="STZhongsong" w:hAnsi="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cs="Times New Roman" w:eastAsia="STZhongsong" w:hAnsi="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cs="Times New Roman" w:eastAsia="STZhongsong" w:hAnsi="Times New Roman"/>
      <w:szCs w:val="20"/>
      <w:lang w:eastAsia="zh-CN"/>
    </w:rPr>
  </w:style>
  <w:style w:type="character" w:styleId="ScheduleL2Char" w:customStyle="1">
    <w:name w:val="Schedule L2 Char"/>
    <w:link w:val="ScheduleL2"/>
    <w:locked w:val="1"/>
    <w:rPr>
      <w:rFonts w:ascii="Times New Roman" w:cs="Times New Roman" w:eastAsia="STZhongsong" w:hAnsi="Times New Roman"/>
      <w:szCs w:val="20"/>
      <w:lang w:eastAsia="zh-CN"/>
    </w:rPr>
  </w:style>
  <w:style w:type="character" w:styleId="ScheduleL3Char" w:customStyle="1">
    <w:name w:val="Schedule L3 Char"/>
    <w:link w:val="ScheduleL3"/>
    <w:locked w:val="1"/>
    <w:rPr>
      <w:rFonts w:ascii="Times New Roman" w:cs="Times New Roman" w:eastAsia="STZhongsong" w:hAnsi="Times New Roman"/>
      <w:szCs w:val="20"/>
      <w:lang w:eastAsia="zh-CN"/>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Schedule1" w:customStyle="1">
    <w:name w:val="Schedule 1"/>
    <w:basedOn w:val="Normal"/>
    <w:next w:val="BodyText"/>
    <w:pPr>
      <w:keepNext w:val="1"/>
      <w:tabs>
        <w:tab w:val="num" w:pos="720"/>
      </w:tabs>
      <w:spacing w:after="240" w:line="240" w:lineRule="auto"/>
      <w:ind w:left="720" w:hanging="720"/>
      <w:jc w:val="both"/>
    </w:pPr>
    <w:rPr>
      <w:rFonts w:ascii="Times New Roman" w:cs="Times New Roman" w:eastAsia="Times New Roman" w:hAnsi="Times New Roman"/>
      <w:b w:val="1"/>
      <w:caps w:val="1"/>
      <w:szCs w:val="20"/>
    </w:rPr>
  </w:style>
  <w:style w:type="paragraph" w:styleId="Schedule2" w:customStyle="1">
    <w:name w:val="Schedule 2"/>
    <w:basedOn w:val="Normal"/>
    <w:next w:val="BodyText"/>
    <w:pPr>
      <w:keepNext w:val="1"/>
      <w:tabs>
        <w:tab w:val="num" w:pos="1440"/>
      </w:tabs>
      <w:spacing w:after="210" w:line="264" w:lineRule="auto"/>
      <w:ind w:left="1440" w:hanging="720"/>
      <w:jc w:val="both"/>
    </w:pPr>
    <w:rPr>
      <w:rFonts w:ascii="Times New Roman" w:cs="Times New Roman" w:eastAsia="Times New Roman" w:hAnsi="Times New Roman"/>
      <w:sz w:val="23"/>
      <w:szCs w:val="20"/>
    </w:rPr>
  </w:style>
  <w:style w:type="paragraph" w:styleId="Schedule3" w:customStyle="1">
    <w:name w:val="Schedule 3"/>
    <w:basedOn w:val="Normal"/>
    <w:pPr>
      <w:tabs>
        <w:tab w:val="num" w:pos="2160"/>
      </w:tabs>
      <w:spacing w:after="210" w:line="264" w:lineRule="auto"/>
      <w:ind w:left="2160" w:hanging="720"/>
      <w:jc w:val="both"/>
    </w:pPr>
    <w:rPr>
      <w:rFonts w:ascii="Times New Roman" w:cs="Times New Roman" w:eastAsia="Times New Roman" w:hAnsi="Times New Roman"/>
      <w:sz w:val="23"/>
      <w:szCs w:val="20"/>
    </w:rPr>
  </w:style>
  <w:style w:type="paragraph" w:styleId="Schedule4" w:customStyle="1">
    <w:name w:val="Schedule 4"/>
    <w:basedOn w:val="Normal"/>
    <w:pPr>
      <w:tabs>
        <w:tab w:val="num" w:pos="2880"/>
      </w:tabs>
      <w:spacing w:after="210" w:line="264" w:lineRule="auto"/>
      <w:ind w:left="2880" w:hanging="720"/>
      <w:jc w:val="both"/>
    </w:pPr>
    <w:rPr>
      <w:rFonts w:ascii="Times New Roman" w:cs="Times New Roman" w:eastAsia="Times New Roman" w:hAnsi="Times New Roman"/>
      <w:sz w:val="23"/>
      <w:szCs w:val="20"/>
    </w:rPr>
  </w:style>
  <w:style w:type="paragraph" w:styleId="Schedule5" w:customStyle="1">
    <w:name w:val="Schedule 5"/>
    <w:basedOn w:val="Normal"/>
    <w:next w:val="Normal"/>
    <w:pPr>
      <w:tabs>
        <w:tab w:val="num" w:pos="3600"/>
      </w:tabs>
      <w:spacing w:after="210" w:line="264" w:lineRule="auto"/>
      <w:ind w:left="3600" w:hanging="720"/>
      <w:jc w:val="both"/>
    </w:pPr>
    <w:rPr>
      <w:rFonts w:ascii="Times New Roman" w:cs="Times New Roman" w:eastAsia="Times New Roman" w:hAnsi="Times New Roman"/>
      <w:sz w:val="23"/>
      <w:szCs w:val="20"/>
    </w:rPr>
  </w:style>
  <w:style w:type="paragraph" w:styleId="Schedule6" w:customStyle="1">
    <w:name w:val="Schedule 6"/>
    <w:basedOn w:val="Normal"/>
    <w:next w:val="Normal"/>
    <w:pPr>
      <w:keepNext w:val="1"/>
      <w:pageBreakBefore w:val="1"/>
      <w:tabs>
        <w:tab w:val="num" w:pos="4320"/>
      </w:tabs>
      <w:spacing w:after="360" w:line="312" w:lineRule="auto"/>
      <w:ind w:left="4320" w:hanging="720"/>
      <w:jc w:val="center"/>
    </w:pPr>
    <w:rPr>
      <w:rFonts w:ascii="Times New Roman Bold" w:cs="Times New Roman" w:eastAsia="Times New Roman" w:hAnsi="Times New Roman Bold"/>
      <w:b w:val="1"/>
      <w:smallCaps w:val="1"/>
      <w:szCs w:val="20"/>
    </w:rPr>
  </w:style>
  <w:style w:type="paragraph" w:styleId="Schedule7" w:customStyle="1">
    <w:name w:val="Schedule 7"/>
    <w:basedOn w:val="Normal"/>
    <w:next w:val="BodyText"/>
    <w:pPr>
      <w:keepNext w:val="1"/>
      <w:tabs>
        <w:tab w:val="num" w:pos="5040"/>
      </w:tabs>
      <w:spacing w:after="60" w:before="120" w:line="264" w:lineRule="auto"/>
      <w:ind w:left="5040" w:hanging="720"/>
      <w:jc w:val="both"/>
    </w:pPr>
    <w:rPr>
      <w:rFonts w:ascii="Times New Roman Bold" w:cs="Times New Roman" w:eastAsia="Times New Roman" w:hAnsi="Times New Roman Bold"/>
      <w:b w:val="1"/>
      <w:sz w:val="23"/>
      <w:szCs w:val="20"/>
    </w:rPr>
  </w:style>
  <w:style w:type="paragraph" w:styleId="Schedule8" w:customStyle="1">
    <w:name w:val="Schedule 8"/>
    <w:basedOn w:val="Normal"/>
    <w:pPr>
      <w:tabs>
        <w:tab w:val="num" w:pos="5760"/>
      </w:tabs>
      <w:spacing w:after="210" w:line="264" w:lineRule="auto"/>
      <w:ind w:left="5760" w:hanging="720"/>
      <w:jc w:val="both"/>
    </w:pPr>
    <w:rPr>
      <w:rFonts w:ascii="Times New Roman" w:cs="Times New Roman" w:eastAsia="Times New Roman" w:hAnsi="Times New Roman"/>
      <w:sz w:val="23"/>
      <w:szCs w:val="20"/>
    </w:rPr>
  </w:style>
  <w:style w:type="paragraph" w:styleId="Schedule9" w:customStyle="1">
    <w:name w:val="Schedule 9"/>
    <w:basedOn w:val="Normal"/>
    <w:next w:val="Normal"/>
    <w:pPr>
      <w:tabs>
        <w:tab w:val="num" w:pos="6480"/>
      </w:tabs>
      <w:spacing w:after="210" w:line="264" w:lineRule="auto"/>
      <w:ind w:left="6480" w:hanging="720"/>
      <w:jc w:val="both"/>
    </w:pPr>
    <w:rPr>
      <w:rFonts w:ascii="Times New Roman" w:cs="Times New Roman" w:eastAsia="Times New Roman" w:hAnsi="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val="1"/>
    <w:unhideWhenUsed w:val="1"/>
    <w:pPr>
      <w:spacing w:after="120"/>
    </w:pPr>
  </w:style>
  <w:style w:type="character" w:styleId="BodyTextChar" w:customStyle="1">
    <w:name w:val="Body Text Char"/>
    <w:basedOn w:val="DefaultParagraphFont"/>
    <w:link w:val="BodyText"/>
    <w:uiPriority w:val="99"/>
    <w:semiHidden w:val="1"/>
  </w:style>
  <w:style w:type="paragraph" w:styleId="9plus" w:customStyle="1">
    <w:name w:val="9 plus"/>
    <w:basedOn w:val="Normal"/>
    <w:pPr>
      <w:tabs>
        <w:tab w:val="num" w:pos="720"/>
      </w:tabs>
      <w:spacing w:after="210" w:line="264" w:lineRule="auto"/>
      <w:ind w:left="720" w:hanging="720"/>
      <w:jc w:val="both"/>
    </w:pPr>
    <w:rPr>
      <w:rFonts w:ascii="Times New Roman" w:cs="Times New Roman" w:eastAsia="Times New Roman" w:hAnsi="Times New Roman"/>
      <w:sz w:val="23"/>
      <w:szCs w:val="20"/>
    </w:rPr>
  </w:style>
  <w:style w:type="paragraph" w:styleId="ListParagraph">
    <w:name w:val="List Paragraph"/>
    <w:basedOn w:val="Normal"/>
    <w:uiPriority w:val="34"/>
    <w:qFormat w:val="1"/>
    <w:pPr>
      <w:spacing w:after="0" w:line="240" w:lineRule="auto"/>
      <w:ind w:left="720"/>
    </w:pPr>
    <w:rPr>
      <w:rFonts w:cs="Times New Roman"/>
    </w:rPr>
  </w:style>
  <w:style w:type="paragraph" w:styleId="GPSSchTitleandNumber" w:customStyle="1">
    <w:name w:val="GPS Sch Title and Number"/>
    <w:basedOn w:val="Normal"/>
    <w:link w:val="GPSSchTitleandNumberChar"/>
    <w:qFormat w:val="1"/>
    <w:rsid w:val="00D417E2"/>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sid w:val="00D417E2"/>
    <w:rPr>
      <w:rFonts w:ascii="Arial Bold" w:cs="Times New Roman" w:eastAsia="STZhongsong" w:hAnsi="Arial Bold"/>
      <w:b w:val="1"/>
      <w:caps w:val="1"/>
      <w:lang w:eastAsia="zh-C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rPr>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aye71Y4m1SdmDD5ubTA4Rb4COA==">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2022-08-18T10:34:00Z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