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92F73" w14:textId="0D2A68A4" w:rsidR="00123A9C" w:rsidRDefault="00123A9C" w:rsidP="00123A9C">
      <w:pPr>
        <w:rPr>
          <w:rStyle w:val="paragraph"/>
          <w:rFonts w:ascii="Verdana" w:eastAsia="Times New Roman" w:hAnsi="Verdana"/>
          <w:b/>
          <w:bCs/>
          <w:sz w:val="20"/>
          <w:szCs w:val="20"/>
        </w:rPr>
      </w:pPr>
      <w:r w:rsidRPr="4DDBB1A1">
        <w:rPr>
          <w:rStyle w:val="paragraph"/>
          <w:rFonts w:ascii="Verdana" w:eastAsia="Times New Roman" w:hAnsi="Verdana"/>
          <w:b/>
          <w:bCs/>
          <w:sz w:val="20"/>
          <w:szCs w:val="20"/>
        </w:rPr>
        <w:t>DESCRIPTION</w:t>
      </w:r>
      <w:r>
        <w:br/>
      </w:r>
    </w:p>
    <w:p w14:paraId="0A8E131E" w14:textId="77777777" w:rsidR="00123A9C" w:rsidRDefault="00123A9C" w:rsidP="00123A9C">
      <w:r w:rsidRPr="4DDBB1A1">
        <w:rPr>
          <w:rFonts w:ascii="Calibri" w:eastAsia="Calibri" w:hAnsi="Calibri" w:cs="Calibri"/>
        </w:rPr>
        <w:t xml:space="preserve">The Tenderer should be aware that the works detailed in this package are constrained due to the nature of the location they are to be conducted in. Therefore, completion of </w:t>
      </w:r>
      <w:proofErr w:type="gramStart"/>
      <w:r w:rsidRPr="4DDBB1A1">
        <w:rPr>
          <w:rFonts w:ascii="Calibri" w:eastAsia="Calibri" w:hAnsi="Calibri" w:cs="Calibri"/>
        </w:rPr>
        <w:t>a</w:t>
      </w:r>
      <w:proofErr w:type="gramEnd"/>
      <w:r w:rsidRPr="4DDBB1A1">
        <w:rPr>
          <w:rFonts w:ascii="Calibri" w:eastAsia="Calibri" w:hAnsi="Calibri" w:cs="Calibri"/>
        </w:rPr>
        <w:t xml:space="preserve"> NDA document is required prior to the release of further details.</w:t>
      </w:r>
    </w:p>
    <w:p w14:paraId="078017B1" w14:textId="77777777" w:rsidR="00123A9C" w:rsidRDefault="00123A9C" w:rsidP="00123A9C">
      <w:r w:rsidRPr="4DDBB1A1">
        <w:rPr>
          <w:rFonts w:ascii="Calibri" w:eastAsia="Calibri" w:hAnsi="Calibri" w:cs="Calibri"/>
          <w:b/>
          <w:bCs/>
        </w:rPr>
        <w:t xml:space="preserve">Project location - </w:t>
      </w:r>
      <w:r w:rsidRPr="4DDBB1A1">
        <w:rPr>
          <w:rFonts w:ascii="Calibri" w:eastAsia="Calibri" w:hAnsi="Calibri" w:cs="Calibri"/>
        </w:rPr>
        <w:t xml:space="preserve">HM Naval Base Portsmouth </w:t>
      </w:r>
    </w:p>
    <w:p w14:paraId="58199C75" w14:textId="77777777" w:rsidR="00123A9C" w:rsidRDefault="00123A9C" w:rsidP="00123A9C">
      <w:r w:rsidRPr="4DDBB1A1">
        <w:rPr>
          <w:rFonts w:ascii="Calibri" w:eastAsia="Calibri" w:hAnsi="Calibri" w:cs="Calibri"/>
        </w:rPr>
        <w:t>The Contractor shall be expected to adhere by the HMNB site security requirements, all Contractors and Sub-Contractors shall be BPSS security vetted and will be required to hold the relevant site security passes.</w:t>
      </w:r>
    </w:p>
    <w:p w14:paraId="69940AB5" w14:textId="77777777" w:rsidR="00123A9C" w:rsidRDefault="00123A9C" w:rsidP="00123A9C">
      <w:r w:rsidRPr="4DDBB1A1">
        <w:rPr>
          <w:rFonts w:ascii="Calibri" w:eastAsia="Calibri" w:hAnsi="Calibri" w:cs="Calibri"/>
        </w:rPr>
        <w:t xml:space="preserve">The Contractor shall be expected to hold the following levels of insurance £10m Public Liability, £10m Product Liability, £5m Professional Indemnity, and if successful, to maintain JOSCAR registration and Cyber Essentials certificate. </w:t>
      </w:r>
    </w:p>
    <w:p w14:paraId="6F6BADF3" w14:textId="77777777" w:rsidR="00123A9C" w:rsidRDefault="00123A9C" w:rsidP="00123A9C">
      <w:r w:rsidRPr="4DDBB1A1">
        <w:rPr>
          <w:rFonts w:ascii="Calibri" w:eastAsia="Calibri" w:hAnsi="Calibri" w:cs="Calibri"/>
          <w:b/>
          <w:bCs/>
        </w:rPr>
        <w:t>KBS Maritime - Introduction</w:t>
      </w:r>
    </w:p>
    <w:p w14:paraId="10FD2835" w14:textId="77777777" w:rsidR="00123A9C" w:rsidRDefault="00123A9C" w:rsidP="00123A9C">
      <w:r w:rsidRPr="4DDBB1A1">
        <w:rPr>
          <w:rFonts w:ascii="Calibri" w:eastAsia="Calibri" w:hAnsi="Calibri" w:cs="Calibri"/>
        </w:rPr>
        <w:t>KBS Maritime is a joint venture between KBR and BAE Systems, bringing together two global players with a rich heritage of delivering excellence, innovation and reliability. The joint venture will combine the expertise of KBR as a global leader in infrastructure asset management and services with BAE Systems’ experience and capability within Portsmouth Naval Base.  KBS Maritime are delivering an ambitious, modern and enduring change to the Portsmouth Naval base infrastructure, securing investment in the local community and ensuring fit-for-purpose, world-leading fleet support for the Royal Navy and the UK in the decades ahead.</w:t>
      </w:r>
    </w:p>
    <w:p w14:paraId="5AFC4681" w14:textId="77777777" w:rsidR="00123A9C" w:rsidRDefault="00123A9C" w:rsidP="00123A9C">
      <w:r w:rsidRPr="4DDBB1A1">
        <w:rPr>
          <w:rFonts w:ascii="Calibri" w:eastAsia="Calibri" w:hAnsi="Calibri" w:cs="Calibri"/>
        </w:rPr>
        <w:t xml:space="preserve">Part of the UK Ministry of </w:t>
      </w:r>
      <w:proofErr w:type="spellStart"/>
      <w:r w:rsidRPr="4DDBB1A1">
        <w:rPr>
          <w:rFonts w:ascii="Calibri" w:eastAsia="Calibri" w:hAnsi="Calibri" w:cs="Calibri"/>
        </w:rPr>
        <w:t>Defence’s</w:t>
      </w:r>
      <w:proofErr w:type="spellEnd"/>
      <w:r w:rsidRPr="4DDBB1A1">
        <w:rPr>
          <w:rFonts w:ascii="Calibri" w:eastAsia="Calibri" w:hAnsi="Calibri" w:cs="Calibri"/>
        </w:rPr>
        <w:t xml:space="preserve"> (MOD) Future Maritime Support </w:t>
      </w:r>
      <w:proofErr w:type="spellStart"/>
      <w:r w:rsidRPr="4DDBB1A1">
        <w:rPr>
          <w:rFonts w:ascii="Calibri" w:eastAsia="Calibri" w:hAnsi="Calibri" w:cs="Calibri"/>
        </w:rPr>
        <w:t>Programme</w:t>
      </w:r>
      <w:proofErr w:type="spellEnd"/>
      <w:r w:rsidRPr="4DDBB1A1">
        <w:rPr>
          <w:rFonts w:ascii="Calibri" w:eastAsia="Calibri" w:hAnsi="Calibri" w:cs="Calibri"/>
        </w:rPr>
        <w:t xml:space="preserve"> (FMSP), KBS Maritime will provide technology-led and data-driven facilities management and dockside services at the base.</w:t>
      </w:r>
    </w:p>
    <w:p w14:paraId="1B29A71F" w14:textId="77777777" w:rsidR="00123A9C" w:rsidRDefault="00123A9C" w:rsidP="00123A9C">
      <w:pPr>
        <w:rPr>
          <w:rFonts w:ascii="Calibri" w:eastAsia="Calibri" w:hAnsi="Calibri" w:cs="Calibri"/>
          <w:b/>
          <w:bCs/>
          <w:color w:val="156082" w:themeColor="accent1"/>
        </w:rPr>
      </w:pPr>
      <w:r w:rsidRPr="4DDBB1A1">
        <w:rPr>
          <w:rFonts w:ascii="Calibri" w:eastAsia="Calibri" w:hAnsi="Calibri" w:cs="Calibri"/>
          <w:b/>
          <w:bCs/>
          <w:color w:val="156082" w:themeColor="accent1"/>
        </w:rPr>
        <w:t>Project scopes</w:t>
      </w:r>
    </w:p>
    <w:p w14:paraId="27FD0517" w14:textId="77777777" w:rsidR="00123A9C" w:rsidRPr="0003392E" w:rsidRDefault="00123A9C" w:rsidP="00123A9C">
      <w:pPr>
        <w:rPr>
          <w:rFonts w:ascii="Calibri" w:eastAsia="Calibri" w:hAnsi="Calibri" w:cs="Calibri"/>
          <w:b/>
          <w:bCs/>
          <w:color w:val="156082" w:themeColor="accent1"/>
        </w:rPr>
      </w:pPr>
      <w:r w:rsidRPr="0003392E">
        <w:rPr>
          <w:rFonts w:ascii="Calibri" w:eastAsia="Calibri" w:hAnsi="Calibri" w:cs="Calibri"/>
          <w:b/>
          <w:bCs/>
          <w:color w:val="156082" w:themeColor="accent1"/>
        </w:rPr>
        <w:t>This project is to be delivered in a single phase to deliver an RIBA Stage 2+ Report for the upgrade of 14 &amp; 15 Docks Infrastructure. It is split into the following three Works Packages –</w:t>
      </w:r>
    </w:p>
    <w:p w14:paraId="30B8F901" w14:textId="77777777" w:rsidR="00123A9C" w:rsidRPr="0003392E" w:rsidRDefault="00123A9C" w:rsidP="00123A9C">
      <w:pPr>
        <w:rPr>
          <w:rFonts w:ascii="Calibri" w:eastAsia="Calibri" w:hAnsi="Calibri" w:cs="Calibri"/>
          <w:b/>
          <w:bCs/>
          <w:color w:val="156082" w:themeColor="accent1"/>
        </w:rPr>
      </w:pPr>
      <w:r w:rsidRPr="0003392E">
        <w:rPr>
          <w:rFonts w:ascii="Calibri" w:eastAsia="Calibri" w:hAnsi="Calibri" w:cs="Calibri"/>
          <w:b/>
          <w:bCs/>
          <w:color w:val="156082" w:themeColor="accent1"/>
        </w:rPr>
        <w:t>• WP1 – Project Review</w:t>
      </w:r>
    </w:p>
    <w:p w14:paraId="4335774D" w14:textId="77777777" w:rsidR="00123A9C" w:rsidRPr="0003392E" w:rsidRDefault="00123A9C" w:rsidP="00123A9C">
      <w:pPr>
        <w:rPr>
          <w:rFonts w:ascii="Calibri" w:eastAsia="Calibri" w:hAnsi="Calibri" w:cs="Calibri"/>
          <w:b/>
          <w:bCs/>
          <w:color w:val="156082" w:themeColor="accent1"/>
        </w:rPr>
      </w:pPr>
      <w:r w:rsidRPr="0003392E">
        <w:rPr>
          <w:rFonts w:ascii="Calibri" w:eastAsia="Calibri" w:hAnsi="Calibri" w:cs="Calibri"/>
          <w:b/>
          <w:bCs/>
          <w:color w:val="156082" w:themeColor="accent1"/>
        </w:rPr>
        <w:t>• WP 2 – RIBA Stage 1 Report - Feasibility Study</w:t>
      </w:r>
    </w:p>
    <w:p w14:paraId="752E99F0" w14:textId="77777777" w:rsidR="00123A9C" w:rsidRDefault="00123A9C" w:rsidP="00123A9C">
      <w:pPr>
        <w:rPr>
          <w:rFonts w:ascii="Calibri" w:eastAsia="Calibri" w:hAnsi="Calibri" w:cs="Calibri"/>
          <w:b/>
          <w:bCs/>
          <w:color w:val="156082" w:themeColor="accent1"/>
        </w:rPr>
      </w:pPr>
      <w:r w:rsidRPr="0003392E">
        <w:rPr>
          <w:rFonts w:ascii="Calibri" w:eastAsia="Calibri" w:hAnsi="Calibri" w:cs="Calibri"/>
          <w:b/>
          <w:bCs/>
          <w:color w:val="156082" w:themeColor="accent1"/>
        </w:rPr>
        <w:t>• WP 3 – RIBA Stage 2+ - Concept Design,</w:t>
      </w:r>
    </w:p>
    <w:p w14:paraId="17D48BA5" w14:textId="77777777" w:rsidR="00123A9C" w:rsidRPr="0003392E" w:rsidRDefault="00123A9C" w:rsidP="00123A9C">
      <w:pPr>
        <w:rPr>
          <w:rFonts w:ascii="Calibri" w:eastAsia="Calibri" w:hAnsi="Calibri" w:cs="Calibri"/>
          <w:b/>
          <w:bCs/>
          <w:color w:val="156082" w:themeColor="accent1"/>
        </w:rPr>
      </w:pPr>
      <w:r w:rsidRPr="0003392E">
        <w:rPr>
          <w:rFonts w:ascii="Calibri" w:eastAsia="Calibri" w:hAnsi="Calibri" w:cs="Calibri"/>
          <w:b/>
          <w:bCs/>
          <w:color w:val="156082" w:themeColor="accent1"/>
        </w:rPr>
        <w:t>The deliverable at the culmination of this work stream is a comprehensive RIBA Stage 2+ Report – Concept Design. This will comprise</w:t>
      </w:r>
      <w:r>
        <w:rPr>
          <w:rFonts w:ascii="Calibri" w:eastAsia="Calibri" w:hAnsi="Calibri" w:cs="Calibri"/>
          <w:b/>
          <w:bCs/>
          <w:color w:val="156082" w:themeColor="accent1"/>
        </w:rPr>
        <w:t>:</w:t>
      </w:r>
    </w:p>
    <w:p w14:paraId="4FFDEB5E" w14:textId="77777777" w:rsidR="00123A9C" w:rsidRPr="0003392E" w:rsidRDefault="00123A9C" w:rsidP="00123A9C">
      <w:pPr>
        <w:rPr>
          <w:rFonts w:ascii="Calibri" w:eastAsia="Calibri" w:hAnsi="Calibri" w:cs="Calibri"/>
          <w:b/>
          <w:bCs/>
          <w:color w:val="156082" w:themeColor="accent1"/>
        </w:rPr>
      </w:pPr>
      <w:r w:rsidRPr="0003392E">
        <w:rPr>
          <w:rFonts w:ascii="Calibri" w:eastAsia="Calibri" w:hAnsi="Calibri" w:cs="Calibri"/>
          <w:b/>
          <w:bCs/>
          <w:color w:val="156082" w:themeColor="accent1"/>
        </w:rPr>
        <w:t>1. Plans and layout drawings indicating design information for road layouts, landscape areas and a logistics plan.</w:t>
      </w:r>
    </w:p>
    <w:p w14:paraId="5B3B585A" w14:textId="77777777" w:rsidR="00123A9C" w:rsidRPr="0003392E" w:rsidRDefault="00123A9C" w:rsidP="00123A9C">
      <w:pPr>
        <w:rPr>
          <w:rFonts w:ascii="Calibri" w:eastAsia="Calibri" w:hAnsi="Calibri" w:cs="Calibri"/>
          <w:b/>
          <w:bCs/>
          <w:color w:val="156082" w:themeColor="accent1"/>
        </w:rPr>
      </w:pPr>
      <w:r w:rsidRPr="0003392E">
        <w:rPr>
          <w:rFonts w:ascii="Calibri" w:eastAsia="Calibri" w:hAnsi="Calibri" w:cs="Calibri"/>
          <w:b/>
          <w:bCs/>
          <w:color w:val="156082" w:themeColor="accent1"/>
        </w:rPr>
        <w:t xml:space="preserve">2. Specifications, cost plan and delivery </w:t>
      </w:r>
      <w:proofErr w:type="spellStart"/>
      <w:r w:rsidRPr="0003392E">
        <w:rPr>
          <w:rFonts w:ascii="Calibri" w:eastAsia="Calibri" w:hAnsi="Calibri" w:cs="Calibri"/>
          <w:b/>
          <w:bCs/>
          <w:color w:val="156082" w:themeColor="accent1"/>
        </w:rPr>
        <w:t>programme</w:t>
      </w:r>
      <w:proofErr w:type="spellEnd"/>
      <w:r w:rsidRPr="0003392E">
        <w:rPr>
          <w:rFonts w:ascii="Calibri" w:eastAsia="Calibri" w:hAnsi="Calibri" w:cs="Calibri"/>
          <w:b/>
          <w:bCs/>
          <w:color w:val="156082" w:themeColor="accent1"/>
        </w:rPr>
        <w:t>.</w:t>
      </w:r>
    </w:p>
    <w:p w14:paraId="0EB9616B" w14:textId="77777777" w:rsidR="00123A9C" w:rsidRPr="0003392E" w:rsidRDefault="00123A9C" w:rsidP="00123A9C">
      <w:pPr>
        <w:rPr>
          <w:rFonts w:ascii="Calibri" w:eastAsia="Calibri" w:hAnsi="Calibri" w:cs="Calibri"/>
          <w:b/>
          <w:bCs/>
          <w:color w:val="156082" w:themeColor="accent1"/>
        </w:rPr>
      </w:pPr>
      <w:r w:rsidRPr="0003392E">
        <w:rPr>
          <w:rFonts w:ascii="Calibri" w:eastAsia="Calibri" w:hAnsi="Calibri" w:cs="Calibri"/>
          <w:b/>
          <w:bCs/>
          <w:color w:val="156082" w:themeColor="accent1"/>
        </w:rPr>
        <w:lastRenderedPageBreak/>
        <w:t>3. A review of the services in the area supplying the whole of the 14 &amp; 15 Dock identifying any upgrades required.</w:t>
      </w:r>
    </w:p>
    <w:p w14:paraId="78DB0ED9" w14:textId="77777777" w:rsidR="00123A9C" w:rsidRPr="0003392E" w:rsidRDefault="00123A9C" w:rsidP="00123A9C">
      <w:pPr>
        <w:rPr>
          <w:rFonts w:ascii="Calibri" w:eastAsia="Calibri" w:hAnsi="Calibri" w:cs="Calibri"/>
          <w:b/>
          <w:bCs/>
          <w:color w:val="156082" w:themeColor="accent1"/>
        </w:rPr>
      </w:pPr>
      <w:r w:rsidRPr="0003392E">
        <w:rPr>
          <w:rFonts w:ascii="Calibri" w:eastAsia="Calibri" w:hAnsi="Calibri" w:cs="Calibri"/>
          <w:b/>
          <w:bCs/>
          <w:color w:val="156082" w:themeColor="accent1"/>
        </w:rPr>
        <w:t>4. Servicing and logistics strategy for deliveries, waste and access generally for personnel and to the dockside itself.</w:t>
      </w:r>
    </w:p>
    <w:p w14:paraId="06D597E4" w14:textId="77777777" w:rsidR="00123A9C" w:rsidRPr="0003392E" w:rsidRDefault="00123A9C" w:rsidP="00123A9C">
      <w:pPr>
        <w:rPr>
          <w:rFonts w:ascii="Calibri" w:eastAsia="Calibri" w:hAnsi="Calibri" w:cs="Calibri"/>
          <w:b/>
          <w:bCs/>
          <w:color w:val="156082" w:themeColor="accent1"/>
        </w:rPr>
      </w:pPr>
      <w:r w:rsidRPr="0003392E">
        <w:rPr>
          <w:rFonts w:ascii="Calibri" w:eastAsia="Calibri" w:hAnsi="Calibri" w:cs="Calibri"/>
          <w:b/>
          <w:bCs/>
          <w:color w:val="156082" w:themeColor="accent1"/>
        </w:rPr>
        <w:t>5. Detailed scoping document identifying areas where the existing road layout need</w:t>
      </w:r>
      <w:r>
        <w:rPr>
          <w:rFonts w:ascii="Calibri" w:eastAsia="Calibri" w:hAnsi="Calibri" w:cs="Calibri"/>
          <w:b/>
          <w:bCs/>
          <w:color w:val="156082" w:themeColor="accent1"/>
        </w:rPr>
        <w:t>s</w:t>
      </w:r>
      <w:r w:rsidRPr="0003392E">
        <w:rPr>
          <w:rFonts w:ascii="Calibri" w:eastAsia="Calibri" w:hAnsi="Calibri" w:cs="Calibri"/>
          <w:b/>
          <w:bCs/>
          <w:color w:val="156082" w:themeColor="accent1"/>
        </w:rPr>
        <w:t xml:space="preserve"> to be adjusted to accommodate the required increased capacity of the 14 &amp; 15 Dock area.</w:t>
      </w:r>
    </w:p>
    <w:p w14:paraId="4B30BF73" w14:textId="77777777" w:rsidR="00123A9C" w:rsidRPr="0003392E" w:rsidRDefault="00123A9C" w:rsidP="00123A9C">
      <w:pPr>
        <w:rPr>
          <w:rFonts w:ascii="Calibri" w:eastAsia="Calibri" w:hAnsi="Calibri" w:cs="Calibri"/>
          <w:b/>
          <w:bCs/>
          <w:color w:val="156082" w:themeColor="accent1"/>
        </w:rPr>
      </w:pPr>
      <w:r w:rsidRPr="0003392E">
        <w:rPr>
          <w:rFonts w:ascii="Calibri" w:eastAsia="Calibri" w:hAnsi="Calibri" w:cs="Calibri"/>
          <w:b/>
          <w:bCs/>
          <w:color w:val="156082" w:themeColor="accent1"/>
        </w:rPr>
        <w:t>6. Detailed scoping document identifying areas where the existing below and above ground services need to be adjusted to accommodate the revised road layouts in 5 above.</w:t>
      </w:r>
    </w:p>
    <w:p w14:paraId="282D6C68" w14:textId="77777777" w:rsidR="00123A9C" w:rsidRPr="0003392E" w:rsidRDefault="00123A9C" w:rsidP="00123A9C">
      <w:pPr>
        <w:rPr>
          <w:rFonts w:ascii="Calibri" w:eastAsia="Calibri" w:hAnsi="Calibri" w:cs="Calibri"/>
          <w:b/>
          <w:bCs/>
          <w:color w:val="156082" w:themeColor="accent1"/>
        </w:rPr>
      </w:pPr>
      <w:r w:rsidRPr="0003392E">
        <w:rPr>
          <w:rFonts w:ascii="Calibri" w:eastAsia="Calibri" w:hAnsi="Calibri" w:cs="Calibri"/>
          <w:b/>
          <w:bCs/>
          <w:color w:val="156082" w:themeColor="accent1"/>
        </w:rPr>
        <w:t>7. High level review of the feasibility of roofing in the docks. This could be one or both docks, temporary, demountable, retractable or permanent.</w:t>
      </w:r>
    </w:p>
    <w:p w14:paraId="71A48C26" w14:textId="77777777" w:rsidR="00123A9C" w:rsidRPr="0003392E" w:rsidRDefault="00123A9C" w:rsidP="00123A9C">
      <w:pPr>
        <w:rPr>
          <w:rFonts w:ascii="Calibri" w:eastAsia="Calibri" w:hAnsi="Calibri" w:cs="Calibri"/>
          <w:b/>
          <w:bCs/>
          <w:color w:val="156082" w:themeColor="accent1"/>
        </w:rPr>
      </w:pPr>
      <w:r w:rsidRPr="0003392E">
        <w:rPr>
          <w:rFonts w:ascii="Calibri" w:eastAsia="Calibri" w:hAnsi="Calibri" w:cs="Calibri"/>
          <w:b/>
          <w:bCs/>
          <w:color w:val="156082" w:themeColor="accent1"/>
        </w:rPr>
        <w:t>8. Undertake a comprehensive review of the logistics, services, servicing, roads, parking, lighting, data, and security associated with the whole complex.</w:t>
      </w:r>
    </w:p>
    <w:p w14:paraId="50A17AC0" w14:textId="77777777" w:rsidR="00123A9C" w:rsidRPr="0003392E" w:rsidRDefault="00123A9C" w:rsidP="00123A9C">
      <w:pPr>
        <w:rPr>
          <w:rFonts w:ascii="Calibri" w:eastAsia="Calibri" w:hAnsi="Calibri" w:cs="Calibri"/>
          <w:b/>
          <w:bCs/>
          <w:color w:val="156082" w:themeColor="accent1"/>
        </w:rPr>
      </w:pPr>
      <w:r w:rsidRPr="0003392E">
        <w:rPr>
          <w:rFonts w:ascii="Calibri" w:eastAsia="Calibri" w:hAnsi="Calibri" w:cs="Calibri"/>
          <w:b/>
          <w:bCs/>
          <w:color w:val="156082" w:themeColor="accent1"/>
        </w:rPr>
        <w:t>9. Provide an extensive and comprehensive design report outlining the design methodology for every work stream for the submitted solution such as roads, parking and landscape areas. Street and building lighting, waste management strategy, deliveries and logistics, access to and from ships in dock from the roads, delivery areas and buildings as well as waste removal. The above list is for indication purposes only and should not be considered as exhaustive.</w:t>
      </w:r>
    </w:p>
    <w:p w14:paraId="5DEEF5C9" w14:textId="77777777" w:rsidR="00123A9C" w:rsidRPr="0003392E" w:rsidRDefault="00123A9C" w:rsidP="00123A9C">
      <w:pPr>
        <w:rPr>
          <w:rFonts w:ascii="Calibri" w:eastAsia="Calibri" w:hAnsi="Calibri" w:cs="Calibri"/>
          <w:b/>
          <w:bCs/>
          <w:color w:val="156082" w:themeColor="accent1"/>
        </w:rPr>
      </w:pPr>
      <w:r w:rsidRPr="0003392E">
        <w:rPr>
          <w:rFonts w:ascii="Calibri" w:eastAsia="Calibri" w:hAnsi="Calibri" w:cs="Calibri"/>
          <w:b/>
          <w:bCs/>
          <w:color w:val="156082" w:themeColor="accent1"/>
        </w:rPr>
        <w:t>10. Supply an extensive and comprehensive set of drawings and specifications outlining the solution(s) required to meet the requirements.</w:t>
      </w:r>
    </w:p>
    <w:p w14:paraId="5408B1E9" w14:textId="77777777" w:rsidR="00F568E3" w:rsidRDefault="00F568E3"/>
    <w:sectPr w:rsidR="00F568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9C"/>
    <w:rsid w:val="00123A9C"/>
    <w:rsid w:val="002B79CF"/>
    <w:rsid w:val="00A87CC7"/>
    <w:rsid w:val="00F56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39B4"/>
  <w15:chartTrackingRefBased/>
  <w15:docId w15:val="{A10C4A44-BF6C-4009-B79B-FBEFCA37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A9C"/>
    <w:pPr>
      <w:spacing w:after="200" w:line="276" w:lineRule="auto"/>
    </w:pPr>
    <w:rPr>
      <w:kern w:val="0"/>
      <w:lang w:val="en-US"/>
      <w14:ligatures w14:val="none"/>
    </w:rPr>
  </w:style>
  <w:style w:type="paragraph" w:styleId="Heading1">
    <w:name w:val="heading 1"/>
    <w:basedOn w:val="Normal"/>
    <w:next w:val="Normal"/>
    <w:link w:val="Heading1Char"/>
    <w:uiPriority w:val="9"/>
    <w:qFormat/>
    <w:rsid w:val="00123A9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23A9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23A9C"/>
    <w:pPr>
      <w:keepNext/>
      <w:keepLines/>
      <w:spacing w:before="160" w:after="80" w:line="259"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23A9C"/>
    <w:pPr>
      <w:keepNext/>
      <w:keepLines/>
      <w:spacing w:before="80" w:after="40" w:line="259" w:lineRule="auto"/>
      <w:outlineLvl w:val="3"/>
    </w:pPr>
    <w:rPr>
      <w:rFonts w:eastAsiaTheme="majorEastAsia"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123A9C"/>
    <w:pPr>
      <w:keepNext/>
      <w:keepLines/>
      <w:spacing w:before="80" w:after="40" w:line="259" w:lineRule="auto"/>
      <w:outlineLvl w:val="4"/>
    </w:pPr>
    <w:rPr>
      <w:rFonts w:eastAsiaTheme="majorEastAsia"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123A9C"/>
    <w:pPr>
      <w:keepNext/>
      <w:keepLines/>
      <w:spacing w:before="40" w:after="0" w:line="259" w:lineRule="auto"/>
      <w:outlineLvl w:val="5"/>
    </w:pPr>
    <w:rPr>
      <w:rFonts w:eastAsiaTheme="majorEastAsia"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123A9C"/>
    <w:pPr>
      <w:keepNext/>
      <w:keepLines/>
      <w:spacing w:before="40" w:after="0" w:line="259" w:lineRule="auto"/>
      <w:outlineLvl w:val="6"/>
    </w:pPr>
    <w:rPr>
      <w:rFonts w:eastAsiaTheme="majorEastAsia"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123A9C"/>
    <w:pPr>
      <w:keepNext/>
      <w:keepLines/>
      <w:spacing w:after="0" w:line="259" w:lineRule="auto"/>
      <w:outlineLvl w:val="7"/>
    </w:pPr>
    <w:rPr>
      <w:rFonts w:eastAsiaTheme="majorEastAsia"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123A9C"/>
    <w:pPr>
      <w:keepNext/>
      <w:keepLines/>
      <w:spacing w:after="0" w:line="259" w:lineRule="auto"/>
      <w:outlineLvl w:val="8"/>
    </w:pPr>
    <w:rPr>
      <w:rFonts w:eastAsiaTheme="majorEastAsia"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A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A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A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A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A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A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A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A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A9C"/>
    <w:rPr>
      <w:rFonts w:eastAsiaTheme="majorEastAsia" w:cstheme="majorBidi"/>
      <w:color w:val="272727" w:themeColor="text1" w:themeTint="D8"/>
    </w:rPr>
  </w:style>
  <w:style w:type="paragraph" w:styleId="Title">
    <w:name w:val="Title"/>
    <w:basedOn w:val="Normal"/>
    <w:next w:val="Normal"/>
    <w:link w:val="TitleChar"/>
    <w:uiPriority w:val="10"/>
    <w:qFormat/>
    <w:rsid w:val="00123A9C"/>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23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A9C"/>
    <w:pPr>
      <w:numPr>
        <w:ilvl w:val="1"/>
      </w:numPr>
      <w:spacing w:after="160" w:line="259"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23A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A9C"/>
    <w:pPr>
      <w:spacing w:before="160" w:after="160" w:line="259" w:lineRule="auto"/>
      <w:jc w:val="center"/>
    </w:pPr>
    <w:rPr>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123A9C"/>
    <w:rPr>
      <w:i/>
      <w:iCs/>
      <w:color w:val="404040" w:themeColor="text1" w:themeTint="BF"/>
    </w:rPr>
  </w:style>
  <w:style w:type="paragraph" w:styleId="ListParagraph">
    <w:name w:val="List Paragraph"/>
    <w:basedOn w:val="Normal"/>
    <w:uiPriority w:val="34"/>
    <w:qFormat/>
    <w:rsid w:val="00123A9C"/>
    <w:pPr>
      <w:spacing w:after="160" w:line="259" w:lineRule="auto"/>
      <w:ind w:left="720"/>
      <w:contextualSpacing/>
    </w:pPr>
    <w:rPr>
      <w:kern w:val="2"/>
      <w:lang w:val="en-GB"/>
      <w14:ligatures w14:val="standardContextual"/>
    </w:rPr>
  </w:style>
  <w:style w:type="character" w:styleId="IntenseEmphasis">
    <w:name w:val="Intense Emphasis"/>
    <w:basedOn w:val="DefaultParagraphFont"/>
    <w:uiPriority w:val="21"/>
    <w:qFormat/>
    <w:rsid w:val="00123A9C"/>
    <w:rPr>
      <w:i/>
      <w:iCs/>
      <w:color w:val="0F4761" w:themeColor="accent1" w:themeShade="BF"/>
    </w:rPr>
  </w:style>
  <w:style w:type="paragraph" w:styleId="IntenseQuote">
    <w:name w:val="Intense Quote"/>
    <w:basedOn w:val="Normal"/>
    <w:next w:val="Normal"/>
    <w:link w:val="IntenseQuoteChar"/>
    <w:uiPriority w:val="30"/>
    <w:qFormat/>
    <w:rsid w:val="00123A9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123A9C"/>
    <w:rPr>
      <w:i/>
      <w:iCs/>
      <w:color w:val="0F4761" w:themeColor="accent1" w:themeShade="BF"/>
    </w:rPr>
  </w:style>
  <w:style w:type="character" w:styleId="IntenseReference">
    <w:name w:val="Intense Reference"/>
    <w:basedOn w:val="DefaultParagraphFont"/>
    <w:uiPriority w:val="32"/>
    <w:qFormat/>
    <w:rsid w:val="00123A9C"/>
    <w:rPr>
      <w:b/>
      <w:bCs/>
      <w:smallCaps/>
      <w:color w:val="0F4761" w:themeColor="accent1" w:themeShade="BF"/>
      <w:spacing w:val="5"/>
    </w:rPr>
  </w:style>
  <w:style w:type="character" w:customStyle="1" w:styleId="paragraph">
    <w:name w:val="paragraph"/>
    <w:basedOn w:val="DefaultParagraphFont"/>
    <w:rsid w:val="00123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3153</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Edward Mr (Def Comrcl-ICSSM-Sec1)</dc:creator>
  <cp:keywords/>
  <dc:description/>
  <cp:lastModifiedBy>Kent, Edward Mr (Def Comrcl-ICSSM-Sec1)</cp:lastModifiedBy>
  <cp:revision>1</cp:revision>
  <dcterms:created xsi:type="dcterms:W3CDTF">2025-06-05T13:54:00Z</dcterms:created>
  <dcterms:modified xsi:type="dcterms:W3CDTF">2025-06-05T13:55:00Z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2025-06-05T13:55:42Z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95c40daa-da86-4eda-9957-b9a39f81c145</vt:lpwstr>
  </property>
  <property fmtid="{D5CDD505-2E9C-101B-9397-08002B2CF9AE}" pid="8" name="MSIP_Label_d8a60473-494b-4586-a1bb-b0e663054676_ContentBits">
    <vt:lpwstr>0</vt:lpwstr>
  </property>
</Properties>
</file>