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066" w:rsidRDefault="00B76066">
      <w:pPr>
        <w:keepNext/>
        <w:pBdr>
          <w:top w:val="nil"/>
          <w:left w:val="nil"/>
          <w:bottom w:val="nil"/>
          <w:right w:val="nil"/>
          <w:between w:val="nil"/>
        </w:pBdr>
        <w:spacing w:after="240" w:line="240" w:lineRule="auto"/>
        <w:rPr>
          <w:rFonts w:ascii="Arial" w:eastAsia="Arial" w:hAnsi="Arial" w:cs="Arial"/>
          <w:b/>
          <w:color w:val="000000"/>
          <w:sz w:val="36"/>
          <w:szCs w:val="36"/>
        </w:rPr>
      </w:pPr>
    </w:p>
    <w:p w:rsidR="00B76066" w:rsidRDefault="00902ADB">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t>Call-Off Schedule 14 (Service Levels)</w:t>
      </w:r>
    </w:p>
    <w:p w:rsidR="00B76066" w:rsidRDefault="00902ADB">
      <w:pPr>
        <w:numPr>
          <w:ilvl w:val="0"/>
          <w:numId w:val="2"/>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Definitions</w:t>
      </w:r>
    </w:p>
    <w:p w:rsidR="00B76066" w:rsidRDefault="00902ADB">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363" w:type="dxa"/>
        <w:tblInd w:w="959" w:type="dxa"/>
        <w:tblLayout w:type="fixed"/>
        <w:tblLook w:val="0400" w:firstRow="0" w:lastRow="0" w:firstColumn="0" w:lastColumn="0" w:noHBand="0" w:noVBand="1"/>
      </w:tblPr>
      <w:tblGrid>
        <w:gridCol w:w="2410"/>
        <w:gridCol w:w="5953"/>
      </w:tblGrid>
      <w:tr w:rsidR="00B76066">
        <w:tc>
          <w:tcPr>
            <w:tcW w:w="2410" w:type="dxa"/>
            <w:shd w:val="clear" w:color="auto" w:fill="auto"/>
          </w:tcPr>
          <w:p w:rsidR="00B76066" w:rsidRDefault="00B76066">
            <w:pPr>
              <w:pBdr>
                <w:top w:val="nil"/>
                <w:left w:val="nil"/>
                <w:bottom w:val="nil"/>
                <w:right w:val="nil"/>
                <w:between w:val="nil"/>
              </w:pBdr>
              <w:spacing w:after="120" w:line="240" w:lineRule="auto"/>
              <w:ind w:left="-108"/>
              <w:rPr>
                <w:rFonts w:ascii="Arial" w:eastAsia="Arial" w:hAnsi="Arial" w:cs="Arial"/>
                <w:b/>
                <w:color w:val="000000"/>
                <w:sz w:val="24"/>
                <w:szCs w:val="24"/>
              </w:rPr>
            </w:pPr>
          </w:p>
          <w:p w:rsidR="00B76066" w:rsidRDefault="00902ADB">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“Critical Service Level Failure”</w:t>
            </w:r>
          </w:p>
          <w:p w:rsidR="00B76066" w:rsidRDefault="00B76066">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rsidR="00B76066" w:rsidRDefault="00B76066">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p>
          <w:p w:rsidR="00B76066" w:rsidRDefault="00902ADB">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B76066">
        <w:tc>
          <w:tcPr>
            <w:tcW w:w="2410" w:type="dxa"/>
            <w:shd w:val="clear" w:color="auto" w:fill="auto"/>
          </w:tcPr>
          <w:p w:rsidR="00B76066" w:rsidRDefault="00902ADB">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953" w:type="dxa"/>
            <w:shd w:val="clear" w:color="auto" w:fill="auto"/>
          </w:tcPr>
          <w:p w:rsidR="00B76066" w:rsidRDefault="00902ADB">
            <w:pPr>
              <w:numPr>
                <w:ilvl w:val="0"/>
                <w:numId w:val="3"/>
              </w:numPr>
              <w:pBdr>
                <w:top w:val="nil"/>
                <w:left w:val="nil"/>
                <w:bottom w:val="nil"/>
                <w:right w:val="nil"/>
                <w:between w:val="nil"/>
              </w:pBdr>
              <w:tabs>
                <w:tab w:val="left" w:pos="-9"/>
                <w:tab w:val="left" w:pos="-179"/>
              </w:tabs>
              <w:spacing w:after="120" w:line="240" w:lineRule="auto"/>
              <w:rPr>
                <w:color w:val="000000"/>
              </w:rPr>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B76066">
        <w:trPr>
          <w:trHeight w:val="359"/>
        </w:trPr>
        <w:tc>
          <w:tcPr>
            <w:tcW w:w="2410" w:type="dxa"/>
            <w:shd w:val="clear" w:color="auto" w:fill="auto"/>
          </w:tcPr>
          <w:p w:rsidR="00B76066" w:rsidRDefault="00902ADB">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 Cap"</w:t>
            </w:r>
          </w:p>
        </w:tc>
        <w:tc>
          <w:tcPr>
            <w:tcW w:w="5953" w:type="dxa"/>
            <w:shd w:val="clear" w:color="auto" w:fill="auto"/>
          </w:tcPr>
          <w:p w:rsidR="00B76066" w:rsidRDefault="00902ADB">
            <w:pPr>
              <w:numPr>
                <w:ilvl w:val="0"/>
                <w:numId w:val="3"/>
              </w:numPr>
              <w:pBdr>
                <w:top w:val="nil"/>
                <w:left w:val="nil"/>
                <w:bottom w:val="nil"/>
                <w:right w:val="nil"/>
                <w:between w:val="nil"/>
              </w:pBdr>
              <w:tabs>
                <w:tab w:val="left" w:pos="-9"/>
                <w:tab w:val="left" w:pos="-179"/>
              </w:tabs>
              <w:spacing w:after="120" w:line="240" w:lineRule="auto"/>
              <w:rPr>
                <w:color w:val="000000"/>
              </w:rPr>
            </w:pPr>
            <w:r>
              <w:rPr>
                <w:rFonts w:ascii="Arial" w:eastAsia="Arial" w:hAnsi="Arial" w:cs="Arial"/>
                <w:color w:val="000000"/>
                <w:sz w:val="24"/>
                <w:szCs w:val="24"/>
              </w:rPr>
              <w:t>has the meaning given to it in the Order Form;</w:t>
            </w:r>
          </w:p>
        </w:tc>
      </w:tr>
      <w:tr w:rsidR="00B76066">
        <w:tc>
          <w:tcPr>
            <w:tcW w:w="2410" w:type="dxa"/>
            <w:shd w:val="clear" w:color="auto" w:fill="auto"/>
          </w:tcPr>
          <w:p w:rsidR="00B76066" w:rsidRDefault="00B76066">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rsidR="00B76066" w:rsidRDefault="00B76066">
            <w:pPr>
              <w:numPr>
                <w:ilvl w:val="0"/>
                <w:numId w:val="3"/>
              </w:numPr>
              <w:pBdr>
                <w:top w:val="nil"/>
                <w:left w:val="nil"/>
                <w:bottom w:val="nil"/>
                <w:right w:val="nil"/>
                <w:between w:val="nil"/>
              </w:pBdr>
              <w:tabs>
                <w:tab w:val="left" w:pos="-9"/>
                <w:tab w:val="left" w:pos="-179"/>
              </w:tabs>
              <w:spacing w:after="120" w:line="240" w:lineRule="auto"/>
              <w:rPr>
                <w:color w:val="000000"/>
              </w:rPr>
            </w:pPr>
          </w:p>
        </w:tc>
      </w:tr>
      <w:tr w:rsidR="00B76066">
        <w:tc>
          <w:tcPr>
            <w:tcW w:w="2410" w:type="dxa"/>
            <w:shd w:val="clear" w:color="auto" w:fill="auto"/>
          </w:tcPr>
          <w:p w:rsidR="00B76066" w:rsidRDefault="00902ADB">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shd w:val="clear" w:color="auto" w:fill="auto"/>
          </w:tcPr>
          <w:p w:rsidR="00B76066" w:rsidRDefault="00902ADB">
            <w:pPr>
              <w:numPr>
                <w:ilvl w:val="0"/>
                <w:numId w:val="3"/>
              </w:numPr>
              <w:pBdr>
                <w:top w:val="nil"/>
                <w:left w:val="nil"/>
                <w:bottom w:val="nil"/>
                <w:right w:val="nil"/>
                <w:between w:val="nil"/>
              </w:pBdr>
              <w:tabs>
                <w:tab w:val="left" w:pos="-9"/>
                <w:tab w:val="left" w:pos="-179"/>
              </w:tabs>
              <w:spacing w:after="120" w:line="240" w:lineRule="auto"/>
              <w:rPr>
                <w:color w:val="000000"/>
              </w:rPr>
            </w:pPr>
            <w:r>
              <w:rPr>
                <w:rFonts w:ascii="Arial" w:eastAsia="Arial" w:hAnsi="Arial" w:cs="Arial"/>
                <w:color w:val="000000"/>
                <w:sz w:val="24"/>
                <w:szCs w:val="24"/>
              </w:rPr>
              <w:t>means a failure to meet the Service Level Performance Measure in respect of a Service Level;</w:t>
            </w:r>
          </w:p>
        </w:tc>
      </w:tr>
      <w:tr w:rsidR="00B76066">
        <w:tc>
          <w:tcPr>
            <w:tcW w:w="2410" w:type="dxa"/>
            <w:shd w:val="clear" w:color="auto" w:fill="auto"/>
          </w:tcPr>
          <w:p w:rsidR="00B76066" w:rsidRDefault="00902ADB">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shd w:val="clear" w:color="auto" w:fill="auto"/>
          </w:tcPr>
          <w:p w:rsidR="00B76066" w:rsidRDefault="00902ADB">
            <w:pPr>
              <w:numPr>
                <w:ilvl w:val="0"/>
                <w:numId w:val="3"/>
              </w:numPr>
              <w:pBdr>
                <w:top w:val="nil"/>
                <w:left w:val="nil"/>
                <w:bottom w:val="nil"/>
                <w:right w:val="nil"/>
                <w:between w:val="nil"/>
              </w:pBdr>
              <w:tabs>
                <w:tab w:val="left" w:pos="-9"/>
                <w:tab w:val="left" w:pos="-179"/>
              </w:tabs>
              <w:spacing w:after="120" w:line="240" w:lineRule="auto"/>
              <w:rPr>
                <w:color w:val="000000"/>
              </w:rPr>
            </w:pPr>
            <w:r>
              <w:rPr>
                <w:rFonts w:ascii="Arial" w:eastAsia="Arial" w:hAnsi="Arial" w:cs="Arial"/>
                <w:color w:val="000000"/>
                <w:sz w:val="24"/>
                <w:szCs w:val="24"/>
              </w:rPr>
              <w:t>shall be as set out against the relevant Service Level in the Annex to Part A of this Schedule; and</w:t>
            </w:r>
          </w:p>
        </w:tc>
      </w:tr>
      <w:tr w:rsidR="00B76066">
        <w:tc>
          <w:tcPr>
            <w:tcW w:w="2410" w:type="dxa"/>
            <w:shd w:val="clear" w:color="auto" w:fill="auto"/>
          </w:tcPr>
          <w:p w:rsidR="00B76066" w:rsidRDefault="00902ADB">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Threshold"</w:t>
            </w:r>
          </w:p>
        </w:tc>
        <w:tc>
          <w:tcPr>
            <w:tcW w:w="5953" w:type="dxa"/>
            <w:shd w:val="clear" w:color="auto" w:fill="auto"/>
          </w:tcPr>
          <w:p w:rsidR="00B76066" w:rsidRDefault="00902ADB">
            <w:pPr>
              <w:numPr>
                <w:ilvl w:val="0"/>
                <w:numId w:val="3"/>
              </w:numPr>
              <w:pBdr>
                <w:top w:val="nil"/>
                <w:left w:val="nil"/>
                <w:bottom w:val="nil"/>
                <w:right w:val="nil"/>
                <w:between w:val="nil"/>
              </w:pBdr>
              <w:tabs>
                <w:tab w:val="left" w:pos="-9"/>
                <w:tab w:val="left" w:pos="-179"/>
              </w:tabs>
              <w:spacing w:after="120" w:line="240" w:lineRule="auto"/>
              <w:rPr>
                <w:color w:val="000000"/>
              </w:rPr>
            </w:pPr>
            <w:r>
              <w:rPr>
                <w:rFonts w:ascii="Arial" w:eastAsia="Arial" w:hAnsi="Arial" w:cs="Arial"/>
                <w:color w:val="000000"/>
                <w:sz w:val="24"/>
                <w:szCs w:val="24"/>
              </w:rPr>
              <w:t>shall be as set out against the relevant Service Level in the Annex to Part A of this Schedule.</w:t>
            </w:r>
          </w:p>
        </w:tc>
      </w:tr>
    </w:tbl>
    <w:p w:rsidR="00B76066" w:rsidRDefault="00902ADB">
      <w:pPr>
        <w:numPr>
          <w:ilvl w:val="0"/>
          <w:numId w:val="2"/>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What happens if you don’t meet the Service Levels</w:t>
      </w:r>
    </w:p>
    <w:p w:rsidR="00B76066" w:rsidRDefault="00902ADB">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The Supplier shall at all times provide the Deliverables to meet or exceed the Service Level Performance Measure for each Service Level.</w:t>
      </w:r>
    </w:p>
    <w:p w:rsidR="00B76066" w:rsidRDefault="00902ADB">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w:t>
      </w:r>
      <w:r>
        <w:rPr>
          <w:rFonts w:ascii="Arial" w:eastAsia="Arial" w:hAnsi="Arial" w:cs="Arial"/>
          <w:color w:val="000000"/>
          <w:sz w:val="24"/>
          <w:szCs w:val="24"/>
        </w:rPr>
        <w:t>hat may be suffered by the Buyer as a result of the Supplier’s failure to meet any Service Level Performance Measure.</w:t>
      </w:r>
    </w:p>
    <w:p w:rsidR="00B76066" w:rsidRDefault="00902ADB">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The Supplier shall send Performance Monitoring Reports to the Buyer detailing the level of service which was achieved in accordance with t</w:t>
      </w:r>
      <w:r>
        <w:rPr>
          <w:rFonts w:ascii="Arial" w:eastAsia="Arial" w:hAnsi="Arial" w:cs="Arial"/>
          <w:color w:val="000000"/>
          <w:sz w:val="24"/>
          <w:szCs w:val="24"/>
        </w:rPr>
        <w:t>he provisions of Part B (Performance Monitoring) of this Schedule.</w:t>
      </w:r>
    </w:p>
    <w:p w:rsidR="00B76066" w:rsidRDefault="00902ADB">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A Service Credit shall be the Buyer’s exclusive financial remedy for a Service Level Failure except where:</w:t>
      </w:r>
    </w:p>
    <w:p w:rsidR="00B76066" w:rsidRDefault="00902ADB">
      <w:pPr>
        <w:numPr>
          <w:ilvl w:val="2"/>
          <w:numId w:val="2"/>
        </w:numPr>
        <w:pBdr>
          <w:top w:val="nil"/>
          <w:left w:val="nil"/>
          <w:bottom w:val="nil"/>
          <w:right w:val="nil"/>
          <w:between w:val="nil"/>
        </w:pBdr>
        <w:spacing w:before="120" w:after="120" w:line="240" w:lineRule="auto"/>
      </w:pPr>
      <w:r>
        <w:rPr>
          <w:rFonts w:ascii="Arial" w:eastAsia="Arial" w:hAnsi="Arial" w:cs="Arial"/>
          <w:color w:val="000000"/>
          <w:sz w:val="24"/>
          <w:szCs w:val="24"/>
        </w:rPr>
        <w:lastRenderedPageBreak/>
        <w:t>the Supplier has over the previous (twelve) 12 Month period exceeded the Service C</w:t>
      </w:r>
      <w:r>
        <w:rPr>
          <w:rFonts w:ascii="Arial" w:eastAsia="Arial" w:hAnsi="Arial" w:cs="Arial"/>
          <w:color w:val="000000"/>
          <w:sz w:val="24"/>
          <w:szCs w:val="24"/>
        </w:rPr>
        <w:t>redit Cap; and/or</w:t>
      </w:r>
    </w:p>
    <w:p w:rsidR="00B76066" w:rsidRDefault="00902ADB">
      <w:pPr>
        <w:numPr>
          <w:ilvl w:val="2"/>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the Service Level Failure:</w:t>
      </w:r>
    </w:p>
    <w:p w:rsidR="00B76066" w:rsidRDefault="00902ADB">
      <w:pPr>
        <w:numPr>
          <w:ilvl w:val="3"/>
          <w:numId w:val="2"/>
        </w:numPr>
        <w:pBdr>
          <w:top w:val="nil"/>
          <w:left w:val="nil"/>
          <w:bottom w:val="nil"/>
          <w:right w:val="nil"/>
          <w:between w:val="nil"/>
        </w:pBdr>
        <w:spacing w:before="120" w:after="120" w:line="240" w:lineRule="auto"/>
      </w:pPr>
      <w:r>
        <w:rPr>
          <w:rFonts w:ascii="Arial" w:eastAsia="Arial" w:hAnsi="Arial" w:cs="Arial"/>
          <w:color w:val="000000"/>
          <w:sz w:val="24"/>
          <w:szCs w:val="24"/>
        </w:rPr>
        <w:t>exceeds the relevant Service Level Threshold;</w:t>
      </w:r>
    </w:p>
    <w:p w:rsidR="00B76066" w:rsidRDefault="00902ADB">
      <w:pPr>
        <w:numPr>
          <w:ilvl w:val="3"/>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has arisen due to a Prohibited Act or wilful Default by the Supplier; </w:t>
      </w:r>
    </w:p>
    <w:p w:rsidR="00B76066" w:rsidRDefault="00902ADB">
      <w:pPr>
        <w:numPr>
          <w:ilvl w:val="3"/>
          <w:numId w:val="2"/>
        </w:numPr>
        <w:pBdr>
          <w:top w:val="nil"/>
          <w:left w:val="nil"/>
          <w:bottom w:val="nil"/>
          <w:right w:val="nil"/>
          <w:between w:val="nil"/>
        </w:pBdr>
        <w:spacing w:before="120" w:after="120" w:line="240" w:lineRule="auto"/>
      </w:pPr>
      <w:r>
        <w:rPr>
          <w:rFonts w:ascii="Arial" w:eastAsia="Arial" w:hAnsi="Arial" w:cs="Arial"/>
          <w:color w:val="000000"/>
          <w:sz w:val="24"/>
          <w:szCs w:val="24"/>
        </w:rPr>
        <w:t>results in the corruption or loss of any Government Data; and/or</w:t>
      </w:r>
    </w:p>
    <w:p w:rsidR="00B76066" w:rsidRDefault="00902ADB">
      <w:pPr>
        <w:numPr>
          <w:ilvl w:val="3"/>
          <w:numId w:val="2"/>
        </w:numPr>
        <w:pBdr>
          <w:top w:val="nil"/>
          <w:left w:val="nil"/>
          <w:bottom w:val="nil"/>
          <w:right w:val="nil"/>
          <w:between w:val="nil"/>
        </w:pBdr>
        <w:spacing w:before="120" w:after="120" w:line="240" w:lineRule="auto"/>
      </w:pPr>
      <w:r>
        <w:rPr>
          <w:rFonts w:ascii="Arial" w:eastAsia="Arial" w:hAnsi="Arial" w:cs="Arial"/>
          <w:color w:val="000000"/>
          <w:sz w:val="24"/>
          <w:szCs w:val="24"/>
        </w:rPr>
        <w:t>results in the Buyer being re</w:t>
      </w:r>
      <w:r>
        <w:rPr>
          <w:rFonts w:ascii="Arial" w:eastAsia="Arial" w:hAnsi="Arial" w:cs="Arial"/>
          <w:color w:val="000000"/>
          <w:sz w:val="24"/>
          <w:szCs w:val="24"/>
        </w:rPr>
        <w:t>quired to make a compensation payment to one or more third parties; and/or</w:t>
      </w:r>
    </w:p>
    <w:p w:rsidR="00B76066" w:rsidRDefault="00902ADB">
      <w:pPr>
        <w:numPr>
          <w:ilvl w:val="2"/>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the Buyer is entitled to or does terminate this Contract pursuant to Clause 10.4 (CCS and Buyer Termination Rights).</w:t>
      </w:r>
    </w:p>
    <w:p w:rsidR="00B76066" w:rsidRDefault="00902ADB">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Not more than once in each Contract Year, the Buyer may, on giving the Supplier at least three (3) Months’ notice, change the weighting of Service Level Performance Measure in respect of one or more Service Levels and the Supplier shall not be entitled to </w:t>
      </w:r>
      <w:r>
        <w:rPr>
          <w:rFonts w:ascii="Arial" w:eastAsia="Arial" w:hAnsi="Arial" w:cs="Arial"/>
          <w:color w:val="000000"/>
          <w:sz w:val="24"/>
          <w:szCs w:val="24"/>
        </w:rPr>
        <w:t>object to, or increase the Charges as a result of such changes, provided that:</w:t>
      </w:r>
    </w:p>
    <w:p w:rsidR="00B76066" w:rsidRDefault="00902ADB">
      <w:pPr>
        <w:numPr>
          <w:ilvl w:val="2"/>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the total number of Service Levels for which the weighting is to be changed does not exceed the number applicable as at the Start Date; </w:t>
      </w:r>
    </w:p>
    <w:p w:rsidR="00B76066" w:rsidRDefault="00902ADB">
      <w:pPr>
        <w:numPr>
          <w:ilvl w:val="2"/>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the principal purpose of the change is t</w:t>
      </w:r>
      <w:r>
        <w:rPr>
          <w:rFonts w:ascii="Arial" w:eastAsia="Arial" w:hAnsi="Arial" w:cs="Arial"/>
          <w:color w:val="000000"/>
          <w:sz w:val="24"/>
          <w:szCs w:val="24"/>
        </w:rPr>
        <w:t>o reflect changes in the Buyer's business requirements and/or priorities or to reflect changing industry standards; and</w:t>
      </w:r>
    </w:p>
    <w:p w:rsidR="00B76066" w:rsidRDefault="00902ADB">
      <w:pPr>
        <w:numPr>
          <w:ilvl w:val="2"/>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there is no change to the Service Credit Cap.</w:t>
      </w:r>
    </w:p>
    <w:p w:rsidR="00B76066" w:rsidRDefault="00902ADB">
      <w:pPr>
        <w:numPr>
          <w:ilvl w:val="0"/>
          <w:numId w:val="2"/>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Critical Service Level Failure</w:t>
      </w:r>
    </w:p>
    <w:p w:rsidR="00B76066" w:rsidRDefault="00902ADB">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rsidR="00B76066" w:rsidRDefault="00902ADB">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any Service Credits that would otherwise have accrued during the relevant Service Period shall not accrue; and</w:t>
      </w:r>
    </w:p>
    <w:p w:rsidR="00B76066" w:rsidRDefault="00902ADB">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the Buyer shall (subject to the Service Credit Cap) be entitled to withhold and retain as compensation a sum equal to any Charges which would oth</w:t>
      </w:r>
      <w:r>
        <w:rPr>
          <w:rFonts w:ascii="Arial" w:eastAsia="Arial" w:hAnsi="Arial" w:cs="Arial"/>
          <w:color w:val="000000"/>
          <w:sz w:val="24"/>
          <w:szCs w:val="24"/>
        </w:rPr>
        <w:t>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rsidR="00B76066" w:rsidRDefault="00902ADB">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Pr>
          <w:rFonts w:ascii="Arial" w:eastAsia="Arial" w:hAnsi="Arial" w:cs="Arial"/>
          <w:color w:val="000000"/>
          <w:sz w:val="24"/>
          <w:szCs w:val="24"/>
        </w:rPr>
        <w:t>provided that the operation of this paragraph 3 shall be without prejudice to the right of the Buyer to terminate this Contract and/</w:t>
      </w:r>
      <w:r>
        <w:rPr>
          <w:rFonts w:ascii="Arial" w:eastAsia="Arial" w:hAnsi="Arial" w:cs="Arial"/>
          <w:color w:val="000000"/>
          <w:sz w:val="24"/>
          <w:szCs w:val="24"/>
        </w:rPr>
        <w:t>or to claim damages from the Supplier for material Default.</w:t>
      </w:r>
    </w:p>
    <w:p w:rsidR="00B76066" w:rsidRDefault="00B76066">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rsidR="00B76066" w:rsidRDefault="00902ADB">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A: Service Levels and Service Credits </w:t>
      </w:r>
    </w:p>
    <w:p w:rsidR="00B76066" w:rsidRDefault="00902ADB">
      <w:pPr>
        <w:numPr>
          <w:ilvl w:val="0"/>
          <w:numId w:val="4"/>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Service Levels</w:t>
      </w:r>
    </w:p>
    <w:p w:rsidR="00B76066" w:rsidRDefault="00902ADB">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rsidR="00B76066" w:rsidRDefault="00902ADB">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is likely to or fails to meet any Service Level Performance Measure; or</w:t>
      </w:r>
    </w:p>
    <w:p w:rsidR="00B76066" w:rsidRDefault="00902ADB">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is likely to cause or causes a Critical Service Failure to occur, </w:t>
      </w:r>
    </w:p>
    <w:p w:rsidR="00B76066" w:rsidRDefault="00902ADB">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rsidR="00B76066" w:rsidRDefault="00902ADB">
      <w:pPr>
        <w:numPr>
          <w:ilvl w:val="2"/>
          <w:numId w:val="1"/>
        </w:numPr>
        <w:pBdr>
          <w:top w:val="nil"/>
          <w:left w:val="nil"/>
          <w:bottom w:val="nil"/>
          <w:right w:val="nil"/>
          <w:between w:val="nil"/>
        </w:pBdr>
        <w:spacing w:before="120" w:after="120" w:line="240" w:lineRule="auto"/>
      </w:pPr>
      <w:r>
        <w:rPr>
          <w:rFonts w:ascii="Arial" w:eastAsia="Arial" w:hAnsi="Arial" w:cs="Arial"/>
          <w:color w:val="000000"/>
          <w:sz w:val="24"/>
          <w:szCs w:val="24"/>
        </w:rPr>
        <w:t>require the Supplier to immediately t</w:t>
      </w:r>
      <w:r>
        <w:rPr>
          <w:rFonts w:ascii="Arial" w:eastAsia="Arial" w:hAnsi="Arial" w:cs="Arial"/>
          <w:color w:val="000000"/>
          <w:sz w:val="24"/>
          <w:szCs w:val="24"/>
        </w:rPr>
        <w:t xml:space="preserve">ake all remedial action that is reasonable to mitigate the impact on the Buyer and to rectify or prevent a Service Level Failure or Critical Service Level Failure from taking place or recurring; </w:t>
      </w:r>
    </w:p>
    <w:p w:rsidR="00B76066" w:rsidRDefault="00902ADB">
      <w:pPr>
        <w:numPr>
          <w:ilvl w:val="2"/>
          <w:numId w:val="1"/>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instruct the Supplier to comply with the Rectification Plan </w:t>
      </w:r>
      <w:r>
        <w:rPr>
          <w:rFonts w:ascii="Arial" w:eastAsia="Arial" w:hAnsi="Arial" w:cs="Arial"/>
          <w:color w:val="000000"/>
          <w:sz w:val="24"/>
          <w:szCs w:val="24"/>
        </w:rPr>
        <w:t xml:space="preserve">Process; </w:t>
      </w:r>
    </w:p>
    <w:p w:rsidR="00B76066" w:rsidRDefault="00902ADB">
      <w:pPr>
        <w:numPr>
          <w:ilvl w:val="2"/>
          <w:numId w:val="1"/>
        </w:numPr>
        <w:pBdr>
          <w:top w:val="nil"/>
          <w:left w:val="nil"/>
          <w:bottom w:val="nil"/>
          <w:right w:val="nil"/>
          <w:between w:val="nil"/>
        </w:pBdr>
        <w:spacing w:before="120" w:after="120" w:line="240" w:lineRule="auto"/>
      </w:pPr>
      <w:r>
        <w:rPr>
          <w:rFonts w:ascii="Arial" w:eastAsia="Arial" w:hAnsi="Arial" w:cs="Arial"/>
          <w:color w:val="000000"/>
          <w:sz w:val="24"/>
          <w:szCs w:val="24"/>
        </w:rPr>
        <w:t>if a Service Level Failure has occurred, deduct the applicable Service Level Credits payable by the Supplier to the Buyer; and/or</w:t>
      </w:r>
    </w:p>
    <w:p w:rsidR="00B76066" w:rsidRDefault="00902ADB">
      <w:pPr>
        <w:numPr>
          <w:ilvl w:val="2"/>
          <w:numId w:val="1"/>
        </w:numPr>
        <w:pBdr>
          <w:top w:val="nil"/>
          <w:left w:val="nil"/>
          <w:bottom w:val="nil"/>
          <w:right w:val="nil"/>
          <w:between w:val="nil"/>
        </w:pBdr>
        <w:spacing w:before="120" w:after="120" w:line="240" w:lineRule="auto"/>
      </w:pPr>
      <w:r>
        <w:rPr>
          <w:rFonts w:ascii="Arial" w:eastAsia="Arial" w:hAnsi="Arial" w:cs="Arial"/>
          <w:color w:val="000000"/>
          <w:sz w:val="24"/>
          <w:szCs w:val="24"/>
        </w:rPr>
        <w:t>if a Critical Service Level Failure has occurred, exercise its right to Compensation for Critical Service Level Fail</w:t>
      </w:r>
      <w:r>
        <w:rPr>
          <w:rFonts w:ascii="Arial" w:eastAsia="Arial" w:hAnsi="Arial" w:cs="Arial"/>
          <w:color w:val="000000"/>
          <w:sz w:val="24"/>
          <w:szCs w:val="24"/>
        </w:rPr>
        <w:t>ure (including the right to terminate for material Default).</w:t>
      </w:r>
    </w:p>
    <w:p w:rsidR="00B76066" w:rsidRDefault="00902ADB">
      <w:pPr>
        <w:numPr>
          <w:ilvl w:val="0"/>
          <w:numId w:val="4"/>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Service Credits</w:t>
      </w:r>
    </w:p>
    <w:p w:rsidR="00B76066" w:rsidRDefault="00902ADB">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rsidR="00B76066" w:rsidRDefault="00902ADB">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Service Credits are a reduction of the amounts payable in respect of t</w:t>
      </w:r>
      <w:r>
        <w:rPr>
          <w:rFonts w:ascii="Arial" w:eastAsia="Arial" w:hAnsi="Arial" w:cs="Arial"/>
          <w:color w:val="000000"/>
          <w:sz w:val="24"/>
          <w:szCs w:val="24"/>
        </w:rPr>
        <w:t xml:space="preserve">he Deliverables and do not include VAT. The Supplier shall set-off the value of any Service Credits against the appropriate invoice in accordance with calculation formula in the Annex to Part A of this Schedule. </w:t>
      </w:r>
    </w:p>
    <w:p w:rsidR="00B76066" w:rsidRPr="005C1F9F" w:rsidRDefault="00902ADB" w:rsidP="005C1F9F">
      <w:pPr>
        <w:keepNext/>
        <w:pBdr>
          <w:top w:val="nil"/>
          <w:left w:val="nil"/>
          <w:bottom w:val="nil"/>
          <w:right w:val="nil"/>
          <w:between w:val="nil"/>
        </w:pBdr>
        <w:spacing w:after="240" w:line="240" w:lineRule="auto"/>
        <w:rPr>
          <w:rFonts w:ascii="Arial Bold" w:eastAsia="Arial Bold" w:hAnsi="Arial Bold" w:cs="Arial Bold"/>
          <w:b/>
          <w:color w:val="000000"/>
          <w:sz w:val="24"/>
          <w:szCs w:val="24"/>
        </w:rPr>
      </w:pPr>
      <w:r>
        <w:br w:type="page"/>
      </w:r>
      <w:r>
        <w:rPr>
          <w:rFonts w:ascii="Arial Bold" w:eastAsia="Arial Bold" w:hAnsi="Arial Bold" w:cs="Arial Bold"/>
          <w:b/>
          <w:color w:val="000000"/>
          <w:sz w:val="36"/>
          <w:szCs w:val="36"/>
        </w:rPr>
        <w:lastRenderedPageBreak/>
        <w:t>Annex A to Part A: Services Levels and Ser</w:t>
      </w:r>
      <w:r>
        <w:rPr>
          <w:rFonts w:ascii="Arial Bold" w:eastAsia="Arial Bold" w:hAnsi="Arial Bold" w:cs="Arial Bold"/>
          <w:b/>
          <w:color w:val="000000"/>
          <w:sz w:val="36"/>
          <w:szCs w:val="36"/>
        </w:rPr>
        <w:t>vice Credits Table</w:t>
      </w:r>
      <w:bookmarkStart w:id="0" w:name="_GoBack"/>
      <w:bookmarkEnd w:id="0"/>
    </w:p>
    <w:tbl>
      <w:tblPr>
        <w:tblStyle w:val="a0"/>
        <w:tblW w:w="106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3"/>
        <w:gridCol w:w="1571"/>
        <w:gridCol w:w="1701"/>
        <w:gridCol w:w="1418"/>
        <w:gridCol w:w="2102"/>
        <w:gridCol w:w="2102"/>
      </w:tblGrid>
      <w:tr w:rsidR="00B76066">
        <w:trPr>
          <w:trHeight w:val="1213"/>
          <w:tblHeader/>
          <w:jc w:val="center"/>
        </w:trPr>
        <w:tc>
          <w:tcPr>
            <w:tcW w:w="6403" w:type="dxa"/>
            <w:gridSpan w:val="4"/>
            <w:shd w:val="clear" w:color="auto" w:fill="D9D9D9"/>
          </w:tcPr>
          <w:p w:rsidR="00B76066" w:rsidRDefault="00902ADB">
            <w:pPr>
              <w:ind w:left="95"/>
              <w:rPr>
                <w:rFonts w:ascii="Arial" w:eastAsia="Arial" w:hAnsi="Arial" w:cs="Arial"/>
                <w:sz w:val="24"/>
                <w:szCs w:val="24"/>
              </w:rPr>
            </w:pPr>
            <w:r>
              <w:rPr>
                <w:rFonts w:ascii="Arial" w:eastAsia="Arial" w:hAnsi="Arial" w:cs="Arial"/>
                <w:sz w:val="24"/>
                <w:szCs w:val="24"/>
              </w:rPr>
              <w:t>Service Levels</w:t>
            </w:r>
          </w:p>
        </w:tc>
        <w:tc>
          <w:tcPr>
            <w:tcW w:w="2102" w:type="dxa"/>
            <w:vMerge w:val="restart"/>
            <w:shd w:val="clear" w:color="auto" w:fill="D9D9D9"/>
            <w:vAlign w:val="center"/>
          </w:tcPr>
          <w:p w:rsidR="00B76066" w:rsidRDefault="00902ADB">
            <w:pPr>
              <w:ind w:left="95"/>
              <w:rPr>
                <w:rFonts w:ascii="Arial" w:eastAsia="Arial" w:hAnsi="Arial" w:cs="Arial"/>
                <w:sz w:val="24"/>
                <w:szCs w:val="24"/>
              </w:rPr>
            </w:pPr>
            <w:r>
              <w:rPr>
                <w:rFonts w:ascii="Arial" w:eastAsia="Arial" w:hAnsi="Arial" w:cs="Arial"/>
                <w:sz w:val="24"/>
                <w:szCs w:val="24"/>
              </w:rPr>
              <w:t>Service Credit for each Service Period</w:t>
            </w:r>
          </w:p>
          <w:p w:rsidR="00B76066" w:rsidRDefault="00B76066">
            <w:pPr>
              <w:ind w:left="95"/>
              <w:rPr>
                <w:rFonts w:ascii="Arial" w:eastAsia="Arial" w:hAnsi="Arial" w:cs="Arial"/>
                <w:sz w:val="24"/>
                <w:szCs w:val="24"/>
              </w:rPr>
            </w:pPr>
          </w:p>
        </w:tc>
        <w:tc>
          <w:tcPr>
            <w:tcW w:w="2102" w:type="dxa"/>
            <w:shd w:val="clear" w:color="auto" w:fill="D9D9D9"/>
          </w:tcPr>
          <w:p w:rsidR="00B76066" w:rsidRDefault="00B76066">
            <w:pPr>
              <w:ind w:left="95"/>
              <w:rPr>
                <w:rFonts w:ascii="Arial" w:eastAsia="Arial" w:hAnsi="Arial" w:cs="Arial"/>
                <w:sz w:val="24"/>
                <w:szCs w:val="24"/>
              </w:rPr>
            </w:pPr>
          </w:p>
        </w:tc>
      </w:tr>
      <w:tr w:rsidR="00B76066">
        <w:trPr>
          <w:trHeight w:val="1213"/>
          <w:tblHeader/>
          <w:jc w:val="center"/>
        </w:trPr>
        <w:tc>
          <w:tcPr>
            <w:tcW w:w="1713" w:type="dxa"/>
            <w:shd w:val="clear" w:color="auto" w:fill="D9D9D9"/>
            <w:vAlign w:val="center"/>
          </w:tcPr>
          <w:p w:rsidR="00B76066" w:rsidRDefault="00902ADB">
            <w:pPr>
              <w:ind w:left="61"/>
              <w:rPr>
                <w:rFonts w:ascii="Arial" w:eastAsia="Arial" w:hAnsi="Arial" w:cs="Arial"/>
                <w:sz w:val="24"/>
                <w:szCs w:val="24"/>
              </w:rPr>
            </w:pPr>
            <w:r>
              <w:rPr>
                <w:rFonts w:ascii="Arial" w:eastAsia="Arial" w:hAnsi="Arial" w:cs="Arial"/>
                <w:sz w:val="24"/>
                <w:szCs w:val="24"/>
              </w:rPr>
              <w:t>Service Level Performance Criterion</w:t>
            </w:r>
          </w:p>
        </w:tc>
        <w:tc>
          <w:tcPr>
            <w:tcW w:w="1571" w:type="dxa"/>
            <w:shd w:val="clear" w:color="auto" w:fill="D9D9D9"/>
            <w:vAlign w:val="center"/>
          </w:tcPr>
          <w:p w:rsidR="00B76066" w:rsidRDefault="00902ADB">
            <w:pPr>
              <w:ind w:left="95"/>
              <w:rPr>
                <w:rFonts w:ascii="Arial" w:eastAsia="Arial" w:hAnsi="Arial" w:cs="Arial"/>
                <w:sz w:val="24"/>
                <w:szCs w:val="24"/>
              </w:rPr>
            </w:pPr>
            <w:r>
              <w:rPr>
                <w:rFonts w:ascii="Arial" w:eastAsia="Arial" w:hAnsi="Arial" w:cs="Arial"/>
                <w:sz w:val="24"/>
                <w:szCs w:val="24"/>
              </w:rPr>
              <w:t>Key Indicator</w:t>
            </w:r>
          </w:p>
        </w:tc>
        <w:tc>
          <w:tcPr>
            <w:tcW w:w="1701" w:type="dxa"/>
            <w:shd w:val="clear" w:color="auto" w:fill="D9D9D9"/>
            <w:vAlign w:val="center"/>
          </w:tcPr>
          <w:p w:rsidR="00B76066" w:rsidRDefault="00902ADB">
            <w:pPr>
              <w:rPr>
                <w:rFonts w:ascii="Arial" w:eastAsia="Arial" w:hAnsi="Arial" w:cs="Arial"/>
                <w:sz w:val="24"/>
                <w:szCs w:val="24"/>
              </w:rPr>
            </w:pPr>
            <w:r>
              <w:rPr>
                <w:rFonts w:ascii="Arial" w:eastAsia="Arial" w:hAnsi="Arial" w:cs="Arial"/>
                <w:sz w:val="24"/>
                <w:szCs w:val="24"/>
              </w:rPr>
              <w:t>Service Level Performance Measure</w:t>
            </w:r>
          </w:p>
        </w:tc>
        <w:tc>
          <w:tcPr>
            <w:tcW w:w="1418" w:type="dxa"/>
            <w:shd w:val="clear" w:color="auto" w:fill="D9D9D9"/>
          </w:tcPr>
          <w:p w:rsidR="00B76066" w:rsidRDefault="00902ADB">
            <w:pPr>
              <w:ind w:left="95"/>
              <w:rPr>
                <w:rFonts w:ascii="Arial" w:eastAsia="Arial" w:hAnsi="Arial" w:cs="Arial"/>
                <w:sz w:val="24"/>
                <w:szCs w:val="24"/>
              </w:rPr>
            </w:pPr>
            <w:r>
              <w:rPr>
                <w:rFonts w:ascii="Arial" w:eastAsia="Arial" w:hAnsi="Arial" w:cs="Arial"/>
                <w:sz w:val="24"/>
                <w:szCs w:val="24"/>
              </w:rPr>
              <w:t>Service Level Threshold</w:t>
            </w:r>
          </w:p>
        </w:tc>
        <w:tc>
          <w:tcPr>
            <w:tcW w:w="2102" w:type="dxa"/>
            <w:vMerge/>
            <w:shd w:val="clear" w:color="auto" w:fill="D9D9D9"/>
            <w:vAlign w:val="center"/>
          </w:tcPr>
          <w:p w:rsidR="00B76066" w:rsidRDefault="00B76066">
            <w:pPr>
              <w:widowControl w:val="0"/>
              <w:pBdr>
                <w:top w:val="nil"/>
                <w:left w:val="nil"/>
                <w:bottom w:val="nil"/>
                <w:right w:val="nil"/>
                <w:between w:val="nil"/>
              </w:pBdr>
              <w:spacing w:after="0"/>
              <w:rPr>
                <w:rFonts w:ascii="Arial" w:eastAsia="Arial" w:hAnsi="Arial" w:cs="Arial"/>
                <w:sz w:val="24"/>
                <w:szCs w:val="24"/>
              </w:rPr>
            </w:pPr>
          </w:p>
        </w:tc>
        <w:tc>
          <w:tcPr>
            <w:tcW w:w="2102" w:type="dxa"/>
            <w:shd w:val="clear" w:color="auto" w:fill="D9D9D9"/>
          </w:tcPr>
          <w:p w:rsidR="00B76066" w:rsidRDefault="00902ADB">
            <w:pPr>
              <w:ind w:left="95"/>
              <w:rPr>
                <w:rFonts w:ascii="Arial" w:eastAsia="Arial" w:hAnsi="Arial" w:cs="Arial"/>
                <w:sz w:val="24"/>
                <w:szCs w:val="24"/>
              </w:rPr>
            </w:pPr>
            <w:r>
              <w:rPr>
                <w:rFonts w:ascii="Arial" w:eastAsia="Arial" w:hAnsi="Arial" w:cs="Arial"/>
                <w:sz w:val="24"/>
                <w:szCs w:val="24"/>
              </w:rPr>
              <w:t>Publishable KPI</w:t>
            </w:r>
          </w:p>
        </w:tc>
      </w:tr>
      <w:tr w:rsidR="00B76066">
        <w:trPr>
          <w:trHeight w:val="1474"/>
          <w:jc w:val="center"/>
        </w:trPr>
        <w:tc>
          <w:tcPr>
            <w:tcW w:w="1713" w:type="dxa"/>
          </w:tcPr>
          <w:p w:rsidR="00B76066" w:rsidRDefault="005C1F9F">
            <w:pPr>
              <w:spacing w:after="120"/>
              <w:ind w:left="61"/>
              <w:rPr>
                <w:rFonts w:ascii="Arial" w:eastAsia="Arial" w:hAnsi="Arial" w:cs="Arial"/>
                <w:sz w:val="24"/>
                <w:szCs w:val="24"/>
              </w:rPr>
            </w:pPr>
            <w:r w:rsidRPr="005C1F9F">
              <w:rPr>
                <w:rFonts w:ascii="Arial" w:eastAsia="Arial" w:hAnsi="Arial" w:cs="Arial"/>
                <w:sz w:val="24"/>
                <w:szCs w:val="24"/>
              </w:rPr>
              <w:t>Delivery Timescales</w:t>
            </w:r>
          </w:p>
        </w:tc>
        <w:tc>
          <w:tcPr>
            <w:tcW w:w="1571" w:type="dxa"/>
          </w:tcPr>
          <w:p w:rsidR="00B76066" w:rsidRDefault="005C1F9F">
            <w:pPr>
              <w:spacing w:after="120"/>
              <w:ind w:left="95"/>
              <w:rPr>
                <w:rFonts w:ascii="Arial" w:eastAsia="Arial" w:hAnsi="Arial" w:cs="Arial"/>
                <w:sz w:val="24"/>
                <w:szCs w:val="24"/>
              </w:rPr>
            </w:pPr>
            <w:r w:rsidRPr="005C1F9F">
              <w:rPr>
                <w:rFonts w:ascii="Arial" w:eastAsia="Arial" w:hAnsi="Arial" w:cs="Arial"/>
                <w:sz w:val="24"/>
                <w:szCs w:val="24"/>
              </w:rPr>
              <w:t xml:space="preserve">Delivery timescales are to be made in line with the contract milestones </w:t>
            </w:r>
          </w:p>
        </w:tc>
        <w:tc>
          <w:tcPr>
            <w:tcW w:w="1701" w:type="dxa"/>
          </w:tcPr>
          <w:p w:rsidR="00B76066" w:rsidRPr="005C1F9F" w:rsidRDefault="00902ADB">
            <w:pPr>
              <w:spacing w:after="120"/>
              <w:rPr>
                <w:rFonts w:ascii="Arial" w:eastAsia="Arial" w:hAnsi="Arial" w:cs="Arial"/>
                <w:sz w:val="24"/>
                <w:szCs w:val="24"/>
              </w:rPr>
            </w:pPr>
            <w:r w:rsidRPr="005C1F9F">
              <w:rPr>
                <w:rFonts w:ascii="Arial" w:eastAsia="Arial" w:hAnsi="Arial" w:cs="Arial"/>
                <w:sz w:val="24"/>
                <w:szCs w:val="24"/>
              </w:rPr>
              <w:t xml:space="preserve">at least </w:t>
            </w:r>
            <w:r w:rsidR="005C1F9F" w:rsidRPr="005C1F9F">
              <w:rPr>
                <w:rFonts w:ascii="Arial" w:eastAsia="Arial" w:hAnsi="Arial" w:cs="Arial"/>
                <w:sz w:val="24"/>
                <w:szCs w:val="24"/>
              </w:rPr>
              <w:t>100%</w:t>
            </w:r>
          </w:p>
          <w:p w:rsidR="00B76066" w:rsidRDefault="00B76066">
            <w:pPr>
              <w:spacing w:after="120"/>
              <w:rPr>
                <w:rFonts w:ascii="Arial" w:eastAsia="Arial" w:hAnsi="Arial" w:cs="Arial"/>
                <w:sz w:val="24"/>
                <w:szCs w:val="24"/>
              </w:rPr>
            </w:pPr>
          </w:p>
        </w:tc>
        <w:tc>
          <w:tcPr>
            <w:tcW w:w="1418" w:type="dxa"/>
          </w:tcPr>
          <w:p w:rsidR="00B76066" w:rsidRDefault="005C1F9F">
            <w:pPr>
              <w:spacing w:after="120"/>
              <w:ind w:left="95"/>
              <w:rPr>
                <w:rFonts w:ascii="Arial" w:eastAsia="Arial" w:hAnsi="Arial" w:cs="Arial"/>
                <w:sz w:val="24"/>
                <w:szCs w:val="24"/>
              </w:rPr>
            </w:pPr>
            <w:r w:rsidRPr="005C1F9F">
              <w:rPr>
                <w:rFonts w:ascii="Arial" w:eastAsia="Arial" w:hAnsi="Arial" w:cs="Arial"/>
                <w:sz w:val="24"/>
                <w:szCs w:val="24"/>
              </w:rPr>
              <w:t>100</w:t>
            </w:r>
            <w:r>
              <w:rPr>
                <w:rFonts w:ascii="Arial" w:eastAsia="Arial" w:hAnsi="Arial" w:cs="Arial"/>
                <w:sz w:val="24"/>
                <w:szCs w:val="24"/>
              </w:rPr>
              <w:t>%</w:t>
            </w:r>
          </w:p>
        </w:tc>
        <w:tc>
          <w:tcPr>
            <w:tcW w:w="2102" w:type="dxa"/>
          </w:tcPr>
          <w:p w:rsidR="00B76066" w:rsidRDefault="00902ADB">
            <w:pPr>
              <w:spacing w:after="120"/>
              <w:ind w:left="95"/>
              <w:rPr>
                <w:rFonts w:ascii="Arial" w:eastAsia="Arial" w:hAnsi="Arial" w:cs="Arial"/>
                <w:sz w:val="24"/>
                <w:szCs w:val="24"/>
              </w:rPr>
            </w:pPr>
            <w:r w:rsidRPr="005C1F9F">
              <w:rPr>
                <w:rFonts w:ascii="Arial" w:eastAsia="Arial" w:hAnsi="Arial" w:cs="Arial"/>
                <w:sz w:val="24"/>
                <w:szCs w:val="24"/>
              </w:rPr>
              <w:t>0.5% Service Credit gained for each percentage under the specified Service Level Performance Measure</w:t>
            </w:r>
          </w:p>
        </w:tc>
        <w:tc>
          <w:tcPr>
            <w:tcW w:w="2102" w:type="dxa"/>
          </w:tcPr>
          <w:p w:rsidR="00B76066" w:rsidRDefault="00902ADB">
            <w:pPr>
              <w:spacing w:after="120"/>
              <w:ind w:left="95"/>
              <w:rPr>
                <w:rFonts w:ascii="Arial" w:eastAsia="Arial" w:hAnsi="Arial" w:cs="Arial"/>
                <w:sz w:val="24"/>
                <w:szCs w:val="24"/>
              </w:rPr>
            </w:pPr>
            <w:bookmarkStart w:id="1" w:name="_gjdgxs" w:colFirst="0" w:colLast="0"/>
            <w:bookmarkEnd w:id="1"/>
            <w:r>
              <w:rPr>
                <w:rFonts w:ascii="Arial" w:eastAsia="Arial" w:hAnsi="Arial" w:cs="Arial"/>
              </w:rPr>
              <w:t>Y</w:t>
            </w:r>
            <w:r>
              <w:rPr>
                <w:rFonts w:ascii="Arial" w:eastAsia="Arial" w:hAnsi="Arial" w:cs="Arial"/>
              </w:rPr>
              <w:t>e</w:t>
            </w:r>
            <w:r>
              <w:rPr>
                <w:rFonts w:ascii="Arial" w:eastAsia="Arial" w:hAnsi="Arial" w:cs="Arial"/>
              </w:rPr>
              <w:t>s</w:t>
            </w:r>
          </w:p>
        </w:tc>
      </w:tr>
      <w:tr w:rsidR="005C1F9F">
        <w:trPr>
          <w:trHeight w:val="1474"/>
          <w:jc w:val="center"/>
        </w:trPr>
        <w:tc>
          <w:tcPr>
            <w:tcW w:w="1713" w:type="dxa"/>
          </w:tcPr>
          <w:p w:rsidR="005C1F9F" w:rsidRDefault="005C1F9F" w:rsidP="005C1F9F">
            <w:pPr>
              <w:spacing w:after="120"/>
              <w:ind w:left="61"/>
              <w:rPr>
                <w:rFonts w:ascii="Arial" w:eastAsia="Arial" w:hAnsi="Arial" w:cs="Arial"/>
                <w:sz w:val="24"/>
                <w:szCs w:val="24"/>
              </w:rPr>
            </w:pPr>
            <w:r w:rsidRPr="005C1F9F">
              <w:rPr>
                <w:rFonts w:ascii="Arial" w:eastAsia="Arial" w:hAnsi="Arial" w:cs="Arial"/>
                <w:sz w:val="24"/>
                <w:szCs w:val="24"/>
              </w:rPr>
              <w:t>Service Delivery</w:t>
            </w:r>
            <w:r>
              <w:rPr>
                <w:rFonts w:ascii="Arial" w:eastAsia="Arial" w:hAnsi="Arial" w:cs="Arial"/>
                <w:sz w:val="24"/>
                <w:szCs w:val="24"/>
              </w:rPr>
              <w:t xml:space="preserve"> </w:t>
            </w:r>
          </w:p>
        </w:tc>
        <w:tc>
          <w:tcPr>
            <w:tcW w:w="1571" w:type="dxa"/>
          </w:tcPr>
          <w:p w:rsidR="005C1F9F" w:rsidRDefault="005C1F9F" w:rsidP="005C1F9F">
            <w:pPr>
              <w:spacing w:after="120"/>
              <w:ind w:left="95"/>
              <w:rPr>
                <w:rFonts w:ascii="Arial" w:eastAsia="Arial" w:hAnsi="Arial" w:cs="Arial"/>
                <w:sz w:val="24"/>
                <w:szCs w:val="24"/>
              </w:rPr>
            </w:pPr>
            <w:r w:rsidRPr="005C1F9F">
              <w:rPr>
                <w:rFonts w:ascii="Arial" w:eastAsia="Arial" w:hAnsi="Arial" w:cs="Arial"/>
                <w:sz w:val="24"/>
                <w:szCs w:val="24"/>
              </w:rPr>
              <w:t>All products, upgrades and patches to be received during the contract terms of the licences.</w:t>
            </w:r>
          </w:p>
        </w:tc>
        <w:tc>
          <w:tcPr>
            <w:tcW w:w="1701" w:type="dxa"/>
          </w:tcPr>
          <w:p w:rsidR="005C1F9F" w:rsidRPr="005C1F9F" w:rsidRDefault="005C1F9F" w:rsidP="005C1F9F">
            <w:pPr>
              <w:spacing w:after="120"/>
              <w:rPr>
                <w:rFonts w:ascii="Arial" w:eastAsia="Arial" w:hAnsi="Arial" w:cs="Arial"/>
                <w:sz w:val="24"/>
                <w:szCs w:val="24"/>
              </w:rPr>
            </w:pPr>
            <w:r w:rsidRPr="005C1F9F">
              <w:rPr>
                <w:rFonts w:ascii="Arial" w:eastAsia="Arial" w:hAnsi="Arial" w:cs="Arial"/>
                <w:sz w:val="24"/>
                <w:szCs w:val="24"/>
              </w:rPr>
              <w:t>at least 100%</w:t>
            </w:r>
          </w:p>
          <w:p w:rsidR="005C1F9F" w:rsidRDefault="005C1F9F" w:rsidP="005C1F9F">
            <w:pPr>
              <w:spacing w:after="120"/>
              <w:rPr>
                <w:rFonts w:ascii="Arial" w:eastAsia="Arial" w:hAnsi="Arial" w:cs="Arial"/>
                <w:sz w:val="24"/>
                <w:szCs w:val="24"/>
              </w:rPr>
            </w:pPr>
          </w:p>
        </w:tc>
        <w:tc>
          <w:tcPr>
            <w:tcW w:w="1418" w:type="dxa"/>
          </w:tcPr>
          <w:p w:rsidR="005C1F9F" w:rsidRDefault="005C1F9F" w:rsidP="005C1F9F">
            <w:pPr>
              <w:spacing w:after="120"/>
              <w:ind w:left="95"/>
              <w:rPr>
                <w:rFonts w:ascii="Arial" w:eastAsia="Arial" w:hAnsi="Arial" w:cs="Arial"/>
                <w:sz w:val="24"/>
                <w:szCs w:val="24"/>
              </w:rPr>
            </w:pPr>
            <w:r w:rsidRPr="005C1F9F">
              <w:rPr>
                <w:rFonts w:ascii="Arial" w:eastAsia="Arial" w:hAnsi="Arial" w:cs="Arial"/>
                <w:sz w:val="24"/>
                <w:szCs w:val="24"/>
              </w:rPr>
              <w:t>100</w:t>
            </w:r>
            <w:r>
              <w:rPr>
                <w:rFonts w:ascii="Arial" w:eastAsia="Arial" w:hAnsi="Arial" w:cs="Arial"/>
                <w:sz w:val="24"/>
                <w:szCs w:val="24"/>
              </w:rPr>
              <w:t>%</w:t>
            </w:r>
          </w:p>
        </w:tc>
        <w:tc>
          <w:tcPr>
            <w:tcW w:w="2102" w:type="dxa"/>
          </w:tcPr>
          <w:p w:rsidR="005C1F9F" w:rsidRDefault="005C1F9F" w:rsidP="005C1F9F">
            <w:pPr>
              <w:spacing w:after="120"/>
              <w:ind w:left="95"/>
              <w:rPr>
                <w:rFonts w:ascii="Arial" w:eastAsia="Arial" w:hAnsi="Arial" w:cs="Arial"/>
                <w:sz w:val="24"/>
                <w:szCs w:val="24"/>
              </w:rPr>
            </w:pPr>
            <w:r w:rsidRPr="005C1F9F">
              <w:rPr>
                <w:rFonts w:ascii="Arial" w:eastAsia="Arial" w:hAnsi="Arial" w:cs="Arial"/>
                <w:sz w:val="24"/>
                <w:szCs w:val="24"/>
              </w:rPr>
              <w:t>0.5% Service Credit gained for each percentage under the specified Service Level Performance Measure</w:t>
            </w:r>
          </w:p>
        </w:tc>
        <w:tc>
          <w:tcPr>
            <w:tcW w:w="2102" w:type="dxa"/>
          </w:tcPr>
          <w:p w:rsidR="005C1F9F" w:rsidRDefault="005C1F9F" w:rsidP="005C1F9F">
            <w:pPr>
              <w:spacing w:after="120"/>
              <w:ind w:left="95"/>
              <w:rPr>
                <w:rFonts w:ascii="Arial" w:eastAsia="Arial" w:hAnsi="Arial" w:cs="Arial"/>
                <w:sz w:val="24"/>
                <w:szCs w:val="24"/>
              </w:rPr>
            </w:pPr>
            <w:r>
              <w:rPr>
                <w:rFonts w:ascii="Arial" w:eastAsia="Arial" w:hAnsi="Arial" w:cs="Arial"/>
              </w:rPr>
              <w:t>Yes</w:t>
            </w:r>
          </w:p>
        </w:tc>
      </w:tr>
      <w:tr w:rsidR="005C1F9F">
        <w:trPr>
          <w:trHeight w:val="1165"/>
          <w:jc w:val="center"/>
        </w:trPr>
        <w:tc>
          <w:tcPr>
            <w:tcW w:w="1713" w:type="dxa"/>
          </w:tcPr>
          <w:p w:rsidR="005C1F9F" w:rsidRDefault="005C1F9F" w:rsidP="005C1F9F">
            <w:pPr>
              <w:spacing w:after="120"/>
              <w:ind w:left="61"/>
              <w:rPr>
                <w:rFonts w:ascii="Arial" w:eastAsia="Arial" w:hAnsi="Arial" w:cs="Arial"/>
                <w:sz w:val="24"/>
                <w:szCs w:val="24"/>
              </w:rPr>
            </w:pPr>
            <w:r>
              <w:rPr>
                <w:color w:val="000000"/>
                <w:sz w:val="24"/>
              </w:rPr>
              <w:t>Service Delivery</w:t>
            </w:r>
          </w:p>
        </w:tc>
        <w:tc>
          <w:tcPr>
            <w:tcW w:w="1571" w:type="dxa"/>
          </w:tcPr>
          <w:p w:rsidR="005C1F9F" w:rsidRDefault="005C1F9F" w:rsidP="005C1F9F">
            <w:pPr>
              <w:spacing w:after="120"/>
              <w:ind w:left="95"/>
              <w:rPr>
                <w:rFonts w:ascii="Arial" w:eastAsia="Arial" w:hAnsi="Arial" w:cs="Arial"/>
                <w:sz w:val="24"/>
                <w:szCs w:val="24"/>
              </w:rPr>
            </w:pPr>
            <w:r>
              <w:rPr>
                <w:color w:val="000000"/>
                <w:sz w:val="24"/>
              </w:rPr>
              <w:t xml:space="preserve">All critical support calls and emails acknowledged and resolved same day of </w:t>
            </w:r>
            <w:r>
              <w:rPr>
                <w:color w:val="000000"/>
                <w:sz w:val="24"/>
              </w:rPr>
              <w:lastRenderedPageBreak/>
              <w:t>raising by the vendor</w:t>
            </w:r>
            <w:r>
              <w:rPr>
                <w:color w:val="000000"/>
                <w:sz w:val="24"/>
              </w:rPr>
              <w:t>.</w:t>
            </w:r>
          </w:p>
        </w:tc>
        <w:tc>
          <w:tcPr>
            <w:tcW w:w="1701" w:type="dxa"/>
          </w:tcPr>
          <w:p w:rsidR="005C1F9F" w:rsidRPr="005C1F9F" w:rsidRDefault="005C1F9F" w:rsidP="005C1F9F">
            <w:pPr>
              <w:spacing w:after="120"/>
              <w:rPr>
                <w:rFonts w:ascii="Arial" w:eastAsia="Arial" w:hAnsi="Arial" w:cs="Arial"/>
                <w:sz w:val="24"/>
                <w:szCs w:val="24"/>
              </w:rPr>
            </w:pPr>
            <w:r w:rsidRPr="005C1F9F">
              <w:rPr>
                <w:rFonts w:ascii="Arial" w:eastAsia="Arial" w:hAnsi="Arial" w:cs="Arial"/>
                <w:sz w:val="24"/>
                <w:szCs w:val="24"/>
              </w:rPr>
              <w:lastRenderedPageBreak/>
              <w:t xml:space="preserve">at least </w:t>
            </w:r>
            <w:r>
              <w:rPr>
                <w:rFonts w:ascii="Arial" w:eastAsia="Arial" w:hAnsi="Arial" w:cs="Arial"/>
                <w:sz w:val="24"/>
                <w:szCs w:val="24"/>
              </w:rPr>
              <w:t>98</w:t>
            </w:r>
            <w:r w:rsidRPr="005C1F9F">
              <w:rPr>
                <w:rFonts w:ascii="Arial" w:eastAsia="Arial" w:hAnsi="Arial" w:cs="Arial"/>
                <w:sz w:val="24"/>
                <w:szCs w:val="24"/>
              </w:rPr>
              <w:t>%</w:t>
            </w:r>
          </w:p>
          <w:p w:rsidR="005C1F9F" w:rsidRDefault="005C1F9F" w:rsidP="005C1F9F">
            <w:pPr>
              <w:spacing w:after="120"/>
              <w:rPr>
                <w:rFonts w:ascii="Arial" w:eastAsia="Arial" w:hAnsi="Arial" w:cs="Arial"/>
                <w:sz w:val="24"/>
                <w:szCs w:val="24"/>
              </w:rPr>
            </w:pPr>
          </w:p>
        </w:tc>
        <w:tc>
          <w:tcPr>
            <w:tcW w:w="1418" w:type="dxa"/>
          </w:tcPr>
          <w:p w:rsidR="005C1F9F" w:rsidRDefault="005C1F9F" w:rsidP="005C1F9F">
            <w:pPr>
              <w:spacing w:after="120"/>
              <w:ind w:left="95"/>
              <w:rPr>
                <w:rFonts w:ascii="Arial" w:eastAsia="Arial" w:hAnsi="Arial" w:cs="Arial"/>
                <w:sz w:val="24"/>
                <w:szCs w:val="24"/>
              </w:rPr>
            </w:pPr>
            <w:r>
              <w:rPr>
                <w:rFonts w:ascii="Arial" w:eastAsia="Arial" w:hAnsi="Arial" w:cs="Arial"/>
                <w:sz w:val="24"/>
                <w:szCs w:val="24"/>
              </w:rPr>
              <w:t>98</w:t>
            </w:r>
            <w:r>
              <w:rPr>
                <w:rFonts w:ascii="Arial" w:eastAsia="Arial" w:hAnsi="Arial" w:cs="Arial"/>
                <w:sz w:val="24"/>
                <w:szCs w:val="24"/>
              </w:rPr>
              <w:t>%</w:t>
            </w:r>
          </w:p>
        </w:tc>
        <w:tc>
          <w:tcPr>
            <w:tcW w:w="2102" w:type="dxa"/>
          </w:tcPr>
          <w:p w:rsidR="005C1F9F" w:rsidRDefault="005C1F9F" w:rsidP="005C1F9F">
            <w:pPr>
              <w:spacing w:after="120"/>
              <w:ind w:left="95"/>
              <w:rPr>
                <w:rFonts w:ascii="Arial" w:eastAsia="Arial" w:hAnsi="Arial" w:cs="Arial"/>
                <w:sz w:val="24"/>
                <w:szCs w:val="24"/>
              </w:rPr>
            </w:pPr>
            <w:r w:rsidRPr="005C1F9F">
              <w:rPr>
                <w:rFonts w:ascii="Arial" w:eastAsia="Arial" w:hAnsi="Arial" w:cs="Arial"/>
                <w:sz w:val="24"/>
                <w:szCs w:val="24"/>
              </w:rPr>
              <w:t>0.5% Service Credit gained for each percentage under the specified Service Level Performance Measure</w:t>
            </w:r>
          </w:p>
        </w:tc>
        <w:tc>
          <w:tcPr>
            <w:tcW w:w="2102" w:type="dxa"/>
          </w:tcPr>
          <w:p w:rsidR="005C1F9F" w:rsidRDefault="005C1F9F" w:rsidP="005C1F9F">
            <w:pPr>
              <w:spacing w:after="120"/>
              <w:ind w:left="95"/>
              <w:rPr>
                <w:rFonts w:ascii="Arial" w:eastAsia="Arial" w:hAnsi="Arial" w:cs="Arial"/>
                <w:sz w:val="24"/>
                <w:szCs w:val="24"/>
              </w:rPr>
            </w:pPr>
            <w:r>
              <w:rPr>
                <w:rFonts w:ascii="Arial" w:eastAsia="Arial" w:hAnsi="Arial" w:cs="Arial"/>
              </w:rPr>
              <w:t>Yes</w:t>
            </w:r>
          </w:p>
        </w:tc>
      </w:tr>
    </w:tbl>
    <w:p w:rsidR="00B76066" w:rsidRDefault="00B76066">
      <w:pPr>
        <w:ind w:left="709"/>
        <w:rPr>
          <w:rFonts w:ascii="Arial" w:eastAsia="Arial" w:hAnsi="Arial" w:cs="Arial"/>
          <w:sz w:val="24"/>
          <w:szCs w:val="24"/>
          <w:highlight w:val="green"/>
        </w:rPr>
      </w:pPr>
    </w:p>
    <w:p w:rsidR="00B76066" w:rsidRDefault="00902ADB">
      <w:pPr>
        <w:ind w:left="709"/>
        <w:rPr>
          <w:rFonts w:ascii="Arial" w:eastAsia="Arial" w:hAnsi="Arial" w:cs="Arial"/>
          <w:sz w:val="24"/>
          <w:szCs w:val="24"/>
        </w:rPr>
      </w:pPr>
      <w:r>
        <w:rPr>
          <w:rFonts w:ascii="Arial" w:eastAsia="Arial" w:hAnsi="Arial" w:cs="Arial"/>
          <w:sz w:val="24"/>
          <w:szCs w:val="24"/>
        </w:rPr>
        <w:t>The Service Credits shall be calculated on the basis of the following formula:</w:t>
      </w:r>
    </w:p>
    <w:p w:rsidR="00B76066" w:rsidRDefault="00B76066">
      <w:pPr>
        <w:ind w:left="709"/>
        <w:rPr>
          <w:rFonts w:ascii="Arial" w:eastAsia="Arial" w:hAnsi="Arial" w:cs="Arial"/>
          <w:sz w:val="24"/>
          <w:szCs w:val="24"/>
          <w:highlight w:val="yellow"/>
        </w:rPr>
      </w:pPr>
    </w:p>
    <w:tbl>
      <w:tblPr>
        <w:tblStyle w:val="a1"/>
        <w:tblW w:w="9026" w:type="dxa"/>
        <w:tblLayout w:type="fixed"/>
        <w:tblLook w:val="0000" w:firstRow="0" w:lastRow="0" w:firstColumn="0" w:lastColumn="0" w:noHBand="0" w:noVBand="0"/>
      </w:tblPr>
      <w:tblGrid>
        <w:gridCol w:w="4375"/>
        <w:gridCol w:w="685"/>
        <w:gridCol w:w="3966"/>
      </w:tblGrid>
      <w:tr w:rsidR="00B76066">
        <w:tc>
          <w:tcPr>
            <w:tcW w:w="4375" w:type="dxa"/>
          </w:tcPr>
          <w:p w:rsidR="00B76066" w:rsidRDefault="00902ADB">
            <w:pPr>
              <w:ind w:left="567"/>
              <w:rPr>
                <w:rFonts w:ascii="Arial" w:eastAsia="Arial" w:hAnsi="Arial" w:cs="Arial"/>
                <w:sz w:val="24"/>
                <w:szCs w:val="24"/>
              </w:rPr>
            </w:pPr>
            <w:r>
              <w:rPr>
                <w:rFonts w:ascii="Arial" w:eastAsia="Arial" w:hAnsi="Arial" w:cs="Arial"/>
                <w:sz w:val="24"/>
                <w:szCs w:val="24"/>
              </w:rPr>
              <w:t xml:space="preserve">Formula: x% (Service Level Performance Measure) - x% (actual Service Level performance)  </w:t>
            </w:r>
          </w:p>
        </w:tc>
        <w:tc>
          <w:tcPr>
            <w:tcW w:w="685" w:type="dxa"/>
          </w:tcPr>
          <w:p w:rsidR="00B76066" w:rsidRDefault="00902ADB">
            <w:pPr>
              <w:ind w:left="211"/>
              <w:rPr>
                <w:rFonts w:ascii="Arial" w:eastAsia="Arial" w:hAnsi="Arial" w:cs="Arial"/>
                <w:sz w:val="24"/>
                <w:szCs w:val="24"/>
              </w:rPr>
            </w:pPr>
            <w:r>
              <w:rPr>
                <w:rFonts w:ascii="Arial" w:eastAsia="Arial" w:hAnsi="Arial" w:cs="Arial"/>
                <w:sz w:val="24"/>
                <w:szCs w:val="24"/>
              </w:rPr>
              <w:t>=</w:t>
            </w:r>
          </w:p>
        </w:tc>
        <w:tc>
          <w:tcPr>
            <w:tcW w:w="3966" w:type="dxa"/>
          </w:tcPr>
          <w:p w:rsidR="00B76066" w:rsidRDefault="00902ADB">
            <w:pPr>
              <w:ind w:left="145"/>
              <w:rPr>
                <w:rFonts w:ascii="Arial" w:eastAsia="Arial" w:hAnsi="Arial" w:cs="Arial"/>
                <w:sz w:val="24"/>
                <w:szCs w:val="24"/>
              </w:rPr>
            </w:pPr>
            <w:r>
              <w:rPr>
                <w:rFonts w:ascii="Arial" w:eastAsia="Arial" w:hAnsi="Arial" w:cs="Arial"/>
                <w:sz w:val="24"/>
                <w:szCs w:val="24"/>
              </w:rPr>
              <w:t>x% of the Charges payable to the Buyer as Service Credits to be deducted from the next Invoice payable by the Buyer</w:t>
            </w:r>
          </w:p>
        </w:tc>
      </w:tr>
      <w:tr w:rsidR="00B76066">
        <w:tc>
          <w:tcPr>
            <w:tcW w:w="4375" w:type="dxa"/>
          </w:tcPr>
          <w:p w:rsidR="00B76066" w:rsidRDefault="00902ADB">
            <w:pPr>
              <w:ind w:left="567"/>
              <w:rPr>
                <w:rFonts w:ascii="Arial" w:eastAsia="Arial" w:hAnsi="Arial" w:cs="Arial"/>
                <w:sz w:val="24"/>
                <w:szCs w:val="24"/>
              </w:rPr>
            </w:pPr>
            <w:r>
              <w:rPr>
                <w:rFonts w:ascii="Arial" w:eastAsia="Arial" w:hAnsi="Arial" w:cs="Arial"/>
                <w:sz w:val="24"/>
                <w:szCs w:val="24"/>
              </w:rPr>
              <w:t>Worked example: 98% (e.g. Service Level Performance Measure requirement for accurate and timely billing Service Level) - 75% (e.g. actual p</w:t>
            </w:r>
            <w:r>
              <w:rPr>
                <w:rFonts w:ascii="Arial" w:eastAsia="Arial" w:hAnsi="Arial" w:cs="Arial"/>
                <w:sz w:val="24"/>
                <w:szCs w:val="24"/>
              </w:rPr>
              <w:t xml:space="preserve">erformance achieved against this Service Level in a Service Period) </w:t>
            </w:r>
          </w:p>
          <w:p w:rsidR="00B76066" w:rsidRDefault="00B76066">
            <w:pPr>
              <w:ind w:left="567"/>
              <w:rPr>
                <w:rFonts w:ascii="Arial" w:eastAsia="Arial" w:hAnsi="Arial" w:cs="Arial"/>
                <w:sz w:val="24"/>
                <w:szCs w:val="24"/>
              </w:rPr>
            </w:pPr>
          </w:p>
        </w:tc>
        <w:tc>
          <w:tcPr>
            <w:tcW w:w="685" w:type="dxa"/>
          </w:tcPr>
          <w:p w:rsidR="00B76066" w:rsidRDefault="00902ADB">
            <w:pPr>
              <w:ind w:left="211"/>
              <w:rPr>
                <w:rFonts w:ascii="Arial" w:eastAsia="Arial" w:hAnsi="Arial" w:cs="Arial"/>
                <w:sz w:val="24"/>
                <w:szCs w:val="24"/>
              </w:rPr>
            </w:pPr>
            <w:r>
              <w:rPr>
                <w:rFonts w:ascii="Arial" w:eastAsia="Arial" w:hAnsi="Arial" w:cs="Arial"/>
                <w:sz w:val="24"/>
                <w:szCs w:val="24"/>
              </w:rPr>
              <w:t>=</w:t>
            </w:r>
          </w:p>
        </w:tc>
        <w:tc>
          <w:tcPr>
            <w:tcW w:w="3966" w:type="dxa"/>
          </w:tcPr>
          <w:p w:rsidR="00B76066" w:rsidRDefault="00902ADB">
            <w:pPr>
              <w:ind w:left="145"/>
              <w:rPr>
                <w:rFonts w:ascii="Arial" w:eastAsia="Arial" w:hAnsi="Arial" w:cs="Arial"/>
                <w:sz w:val="24"/>
                <w:szCs w:val="24"/>
              </w:rPr>
            </w:pPr>
            <w:r>
              <w:rPr>
                <w:rFonts w:ascii="Arial" w:eastAsia="Arial" w:hAnsi="Arial" w:cs="Arial"/>
                <w:sz w:val="24"/>
                <w:szCs w:val="24"/>
              </w:rPr>
              <w:t>23% of the Charges payable to the Buyer as Service Credits to be deducted from the next Invoice payable by the Buyer]</w:t>
            </w:r>
          </w:p>
          <w:p w:rsidR="00B76066" w:rsidRDefault="00B76066">
            <w:pPr>
              <w:ind w:left="145"/>
              <w:rPr>
                <w:rFonts w:ascii="Arial" w:eastAsia="Arial" w:hAnsi="Arial" w:cs="Arial"/>
                <w:sz w:val="24"/>
                <w:szCs w:val="24"/>
              </w:rPr>
            </w:pPr>
          </w:p>
        </w:tc>
      </w:tr>
    </w:tbl>
    <w:p w:rsidR="00B76066" w:rsidRDefault="00902ADB">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B: Performance Monitoring </w:t>
      </w:r>
    </w:p>
    <w:p w:rsidR="00B76066" w:rsidRDefault="00902ADB">
      <w:pPr>
        <w:numPr>
          <w:ilvl w:val="0"/>
          <w:numId w:val="4"/>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Performance Monitoring and Performance Review</w:t>
      </w:r>
    </w:p>
    <w:p w:rsidR="00B76066" w:rsidRDefault="00902ADB">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w:t>
      </w:r>
      <w:r>
        <w:rPr>
          <w:rFonts w:ascii="Arial" w:eastAsia="Arial" w:hAnsi="Arial" w:cs="Arial"/>
          <w:color w:val="000000"/>
          <w:sz w:val="24"/>
          <w:szCs w:val="24"/>
        </w:rPr>
        <w:t>es and the Parties will endeavour to agree such process as soon as reasonably possible.</w:t>
      </w:r>
    </w:p>
    <w:p w:rsidR="00B76066" w:rsidRDefault="00902ADB">
      <w:pPr>
        <w:keepNext/>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in accordance with the process and timescales agreed pursuan</w:t>
      </w:r>
      <w:r>
        <w:rPr>
          <w:rFonts w:ascii="Arial" w:eastAsia="Arial" w:hAnsi="Arial" w:cs="Arial"/>
          <w:color w:val="000000"/>
          <w:sz w:val="24"/>
          <w:szCs w:val="24"/>
        </w:rPr>
        <w:t>t to paragraph 1.1 of Part B of this Schedule which shall contain, as a minimum, the following information in respect of the relevant Service Period just ended:</w:t>
      </w:r>
    </w:p>
    <w:p w:rsidR="00B76066" w:rsidRDefault="00902ADB">
      <w:pPr>
        <w:numPr>
          <w:ilvl w:val="2"/>
          <w:numId w:val="4"/>
        </w:numPr>
        <w:pBdr>
          <w:top w:val="nil"/>
          <w:left w:val="nil"/>
          <w:bottom w:val="nil"/>
          <w:right w:val="nil"/>
          <w:between w:val="nil"/>
        </w:pBdr>
        <w:spacing w:before="120" w:after="120" w:line="240" w:lineRule="auto"/>
      </w:pPr>
      <w:r>
        <w:rPr>
          <w:rFonts w:ascii="Arial" w:eastAsia="Arial" w:hAnsi="Arial" w:cs="Arial"/>
          <w:color w:val="000000"/>
          <w:sz w:val="24"/>
          <w:szCs w:val="24"/>
        </w:rPr>
        <w:t>for each Service Level, the actual performance achieved over the Service Level for the relevant Service Period;</w:t>
      </w:r>
    </w:p>
    <w:p w:rsidR="00B76066" w:rsidRDefault="00902ADB">
      <w:pPr>
        <w:numPr>
          <w:ilvl w:val="2"/>
          <w:numId w:val="4"/>
        </w:numPr>
        <w:pBdr>
          <w:top w:val="nil"/>
          <w:left w:val="nil"/>
          <w:bottom w:val="nil"/>
          <w:right w:val="nil"/>
          <w:between w:val="nil"/>
        </w:pBdr>
        <w:spacing w:before="120" w:after="120" w:line="240" w:lineRule="auto"/>
      </w:pPr>
      <w:r>
        <w:rPr>
          <w:rFonts w:ascii="Arial" w:eastAsia="Arial" w:hAnsi="Arial" w:cs="Arial"/>
          <w:color w:val="000000"/>
          <w:sz w:val="24"/>
          <w:szCs w:val="24"/>
        </w:rPr>
        <w:t>a summary of all failures to achieve Service Levels that occurred during that Service Period;</w:t>
      </w:r>
    </w:p>
    <w:p w:rsidR="00B76066" w:rsidRDefault="00902ADB">
      <w:pPr>
        <w:numPr>
          <w:ilvl w:val="2"/>
          <w:numId w:val="4"/>
        </w:numPr>
        <w:pBdr>
          <w:top w:val="nil"/>
          <w:left w:val="nil"/>
          <w:bottom w:val="nil"/>
          <w:right w:val="nil"/>
          <w:between w:val="nil"/>
        </w:pBdr>
        <w:spacing w:before="120" w:after="120" w:line="240" w:lineRule="auto"/>
      </w:pPr>
      <w:r>
        <w:rPr>
          <w:rFonts w:ascii="Arial" w:eastAsia="Arial" w:hAnsi="Arial" w:cs="Arial"/>
          <w:color w:val="000000"/>
          <w:sz w:val="24"/>
          <w:szCs w:val="24"/>
        </w:rPr>
        <w:t>details of any Critical Service Level Failures;</w:t>
      </w:r>
    </w:p>
    <w:p w:rsidR="00B76066" w:rsidRDefault="00902ADB">
      <w:pPr>
        <w:numPr>
          <w:ilvl w:val="2"/>
          <w:numId w:val="4"/>
        </w:numPr>
        <w:pBdr>
          <w:top w:val="nil"/>
          <w:left w:val="nil"/>
          <w:bottom w:val="nil"/>
          <w:right w:val="nil"/>
          <w:between w:val="nil"/>
        </w:pBdr>
        <w:spacing w:before="120" w:after="120" w:line="240" w:lineRule="auto"/>
      </w:pPr>
      <w:r>
        <w:rPr>
          <w:rFonts w:ascii="Arial" w:eastAsia="Arial" w:hAnsi="Arial" w:cs="Arial"/>
          <w:color w:val="000000"/>
          <w:sz w:val="24"/>
          <w:szCs w:val="24"/>
        </w:rPr>
        <w:t>fo</w:t>
      </w:r>
      <w:r>
        <w:rPr>
          <w:rFonts w:ascii="Arial" w:eastAsia="Arial" w:hAnsi="Arial" w:cs="Arial"/>
          <w:color w:val="000000"/>
          <w:sz w:val="24"/>
          <w:szCs w:val="24"/>
        </w:rPr>
        <w:t>r any repeat failures, actions taken to resolve the underlying cause and prevent recurrence;</w:t>
      </w:r>
    </w:p>
    <w:p w:rsidR="00B76066" w:rsidRDefault="00902ADB">
      <w:pPr>
        <w:numPr>
          <w:ilvl w:val="2"/>
          <w:numId w:val="4"/>
        </w:numPr>
        <w:pBdr>
          <w:top w:val="nil"/>
          <w:left w:val="nil"/>
          <w:bottom w:val="nil"/>
          <w:right w:val="nil"/>
          <w:between w:val="nil"/>
        </w:pBdr>
        <w:spacing w:before="120" w:after="120" w:line="240" w:lineRule="auto"/>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rsidR="00B76066" w:rsidRDefault="00902ADB">
      <w:pPr>
        <w:numPr>
          <w:ilvl w:val="2"/>
          <w:numId w:val="4"/>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such other </w:t>
      </w:r>
      <w:r>
        <w:rPr>
          <w:rFonts w:ascii="Arial" w:eastAsia="Arial" w:hAnsi="Arial" w:cs="Arial"/>
          <w:color w:val="000000"/>
          <w:sz w:val="24"/>
          <w:szCs w:val="24"/>
        </w:rPr>
        <w:t>details as the Buyer may reasonably require from time to time.</w:t>
      </w:r>
    </w:p>
    <w:p w:rsidR="00B76066" w:rsidRDefault="00902ADB">
      <w:pPr>
        <w:keepNext/>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xml:space="preserve">") on a Monthly basis. The Performance Review Meetings will be the forum for the review </w:t>
      </w:r>
      <w:r>
        <w:rPr>
          <w:rFonts w:ascii="Arial" w:eastAsia="Arial" w:hAnsi="Arial" w:cs="Arial"/>
          <w:color w:val="000000"/>
          <w:sz w:val="24"/>
          <w:szCs w:val="24"/>
        </w:rPr>
        <w:t>by the Supplier and the Buyer of the Performance Monitoring Reports.  The Performance Review Meetings shall:</w:t>
      </w:r>
    </w:p>
    <w:p w:rsidR="00B76066" w:rsidRDefault="00902ADB">
      <w:pPr>
        <w:numPr>
          <w:ilvl w:val="2"/>
          <w:numId w:val="4"/>
        </w:numPr>
        <w:pBdr>
          <w:top w:val="nil"/>
          <w:left w:val="nil"/>
          <w:bottom w:val="nil"/>
          <w:right w:val="nil"/>
          <w:between w:val="nil"/>
        </w:pBdr>
        <w:spacing w:before="120" w:after="120" w:line="240" w:lineRule="auto"/>
      </w:pPr>
      <w:r>
        <w:rPr>
          <w:rFonts w:ascii="Arial" w:eastAsia="Arial" w:hAnsi="Arial" w:cs="Arial"/>
          <w:color w:val="000000"/>
          <w:sz w:val="24"/>
          <w:szCs w:val="24"/>
        </w:rPr>
        <w:t>take place within one (1) week of the Performance Monitoring Reports being issued by the Supplier at such location and time (within normal business</w:t>
      </w:r>
      <w:r>
        <w:rPr>
          <w:rFonts w:ascii="Arial" w:eastAsia="Arial" w:hAnsi="Arial" w:cs="Arial"/>
          <w:color w:val="000000"/>
          <w:sz w:val="24"/>
          <w:szCs w:val="24"/>
        </w:rPr>
        <w:t xml:space="preserve"> hours) as the Buyer shall reasonably require;</w:t>
      </w:r>
    </w:p>
    <w:p w:rsidR="00B76066" w:rsidRDefault="00902ADB">
      <w:pPr>
        <w:numPr>
          <w:ilvl w:val="2"/>
          <w:numId w:val="4"/>
        </w:numPr>
        <w:pBdr>
          <w:top w:val="nil"/>
          <w:left w:val="nil"/>
          <w:bottom w:val="nil"/>
          <w:right w:val="nil"/>
          <w:between w:val="nil"/>
        </w:pBdr>
        <w:spacing w:before="120" w:after="120" w:line="240" w:lineRule="auto"/>
      </w:pPr>
      <w:r>
        <w:rPr>
          <w:rFonts w:ascii="Arial" w:eastAsia="Arial" w:hAnsi="Arial" w:cs="Arial"/>
          <w:color w:val="000000"/>
          <w:sz w:val="24"/>
          <w:szCs w:val="24"/>
        </w:rPr>
        <w:t>be attended by the Supplier's Representative and the Buyer’s Representative; and</w:t>
      </w:r>
    </w:p>
    <w:p w:rsidR="00B76066" w:rsidRDefault="00902ADB">
      <w:pPr>
        <w:numPr>
          <w:ilvl w:val="2"/>
          <w:numId w:val="4"/>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be fully </w:t>
      </w:r>
      <w:proofErr w:type="spellStart"/>
      <w:r>
        <w:rPr>
          <w:rFonts w:ascii="Arial" w:eastAsia="Arial" w:hAnsi="Arial" w:cs="Arial"/>
          <w:color w:val="000000"/>
          <w:sz w:val="24"/>
          <w:szCs w:val="24"/>
        </w:rPr>
        <w:t>minuted</w:t>
      </w:r>
      <w:proofErr w:type="spellEnd"/>
      <w:r>
        <w:rPr>
          <w:rFonts w:ascii="Arial" w:eastAsia="Arial" w:hAnsi="Arial" w:cs="Arial"/>
          <w:color w:val="000000"/>
          <w:sz w:val="24"/>
          <w:szCs w:val="24"/>
        </w:rPr>
        <w:t xml:space="preserve"> by the Supplier and the minutes will be circulated by the Supplier to all attendees at the relevant meeting and</w:t>
      </w:r>
      <w:r>
        <w:rPr>
          <w:rFonts w:ascii="Arial" w:eastAsia="Arial" w:hAnsi="Arial" w:cs="Arial"/>
          <w:color w:val="000000"/>
          <w:sz w:val="24"/>
          <w:szCs w:val="24"/>
        </w:rPr>
        <w:t xml:space="preserve"> also to the Buyer’s Representative and any other recipients agreed at the relevant meeting.  </w:t>
      </w:r>
    </w:p>
    <w:p w:rsidR="00B76066" w:rsidRDefault="00902ADB">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lastRenderedPageBreak/>
        <w:t>The minutes of the preceding Month's Performance Review Meeting will be agreed and signed by both the Supplier's Representative and the Buyer’s Representative at each meeting.</w:t>
      </w:r>
    </w:p>
    <w:p w:rsidR="00B76066" w:rsidRDefault="00902ADB">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The Supplier shall provide to the Buyer such documentation as the Buyer may reas</w:t>
      </w:r>
      <w:r>
        <w:rPr>
          <w:rFonts w:ascii="Arial" w:eastAsia="Arial" w:hAnsi="Arial" w:cs="Arial"/>
          <w:color w:val="000000"/>
          <w:sz w:val="24"/>
          <w:szCs w:val="24"/>
        </w:rPr>
        <w:t>onably require in order to verify the level of the performance by the Supplier and the calculations of the amount of Service Credits for any specified Service Period.</w:t>
      </w:r>
    </w:p>
    <w:p w:rsidR="00B76066" w:rsidRDefault="00B76066">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rsidR="00B76066" w:rsidRDefault="00902ADB">
      <w:pPr>
        <w:numPr>
          <w:ilvl w:val="0"/>
          <w:numId w:val="4"/>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Satisfaction Surveys</w:t>
      </w:r>
    </w:p>
    <w:p w:rsidR="00B76066" w:rsidRDefault="00902ADB">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The Buyer may undertake satisfaction surveys in respect of the Supplier's provision of the Deliverables. The Buyer shall be entitled to notify the Supplier of any aspects of their performance of the provision of the Deliverables which the responses to the </w:t>
      </w:r>
      <w:r>
        <w:rPr>
          <w:rFonts w:ascii="Arial" w:eastAsia="Arial" w:hAnsi="Arial" w:cs="Arial"/>
          <w:color w:val="000000"/>
          <w:sz w:val="24"/>
          <w:szCs w:val="24"/>
        </w:rPr>
        <w:t>Satisfaction Surveys reasonably suggest are not in accordance with this Contract.</w:t>
      </w:r>
    </w:p>
    <w:p w:rsidR="00B76066" w:rsidRDefault="00B76066">
      <w:pPr>
        <w:pBdr>
          <w:top w:val="nil"/>
          <w:left w:val="nil"/>
          <w:bottom w:val="nil"/>
          <w:right w:val="nil"/>
          <w:between w:val="nil"/>
        </w:pBdr>
        <w:spacing w:before="120" w:after="120" w:line="240" w:lineRule="auto"/>
        <w:ind w:left="936" w:hanging="576"/>
        <w:jc w:val="both"/>
        <w:rPr>
          <w:rFonts w:ascii="Arial" w:eastAsia="Arial" w:hAnsi="Arial" w:cs="Arial"/>
          <w:color w:val="000000"/>
          <w:sz w:val="24"/>
          <w:szCs w:val="24"/>
        </w:rPr>
      </w:pPr>
      <w:bookmarkStart w:id="2" w:name="_30j0zll" w:colFirst="0" w:colLast="0"/>
      <w:bookmarkEnd w:id="2"/>
    </w:p>
    <w:sectPr w:rsidR="00B76066">
      <w:headerReference w:type="default" r:id="rId7"/>
      <w:footerReference w:type="default" r:id="rId8"/>
      <w:footerReference w:type="first" r:id="rId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ADB" w:rsidRDefault="00902ADB">
      <w:pPr>
        <w:spacing w:after="0" w:line="240" w:lineRule="auto"/>
      </w:pPr>
      <w:r>
        <w:separator/>
      </w:r>
    </w:p>
  </w:endnote>
  <w:endnote w:type="continuationSeparator" w:id="0">
    <w:p w:rsidR="00902ADB" w:rsidRDefault="00902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066" w:rsidRDefault="00B76066">
    <w:pPr>
      <w:tabs>
        <w:tab w:val="center" w:pos="4513"/>
        <w:tab w:val="right" w:pos="9026"/>
      </w:tabs>
      <w:spacing w:after="0" w:line="240" w:lineRule="auto"/>
      <w:jc w:val="both"/>
    </w:pPr>
  </w:p>
  <w:p w:rsidR="00B76066" w:rsidRDefault="00902AD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RM6098</w:t>
    </w:r>
  </w:p>
  <w:p w:rsidR="00B76066" w:rsidRDefault="00902AD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5C1F9F">
      <w:rPr>
        <w:rFonts w:ascii="Arial" w:eastAsia="Arial" w:hAnsi="Arial" w:cs="Arial"/>
        <w:color w:val="000000"/>
        <w:sz w:val="20"/>
        <w:szCs w:val="20"/>
      </w:rPr>
      <w:fldChar w:fldCharType="separate"/>
    </w:r>
    <w:r w:rsidR="005C1F9F">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B76066" w:rsidRDefault="00902AD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Model Version: v3.2 </w:t>
    </w:r>
    <w:r>
      <w:rPr>
        <w:rFonts w:ascii="Arial" w:eastAsia="Arial" w:hAnsi="Arial" w:cs="Arial"/>
        <w:sz w:val="20"/>
        <w:szCs w:val="20"/>
      </w:rPr>
      <w:t>fix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066" w:rsidRDefault="00B76066">
    <w:pPr>
      <w:tabs>
        <w:tab w:val="center" w:pos="4513"/>
        <w:tab w:val="right" w:pos="9026"/>
      </w:tabs>
      <w:spacing w:after="0" w:line="240" w:lineRule="auto"/>
      <w:jc w:val="both"/>
    </w:pPr>
  </w:p>
  <w:p w:rsidR="00B76066" w:rsidRDefault="00902AD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Pr>
        <w:rFonts w:ascii="Arial" w:eastAsia="Arial" w:hAnsi="Arial" w:cs="Arial"/>
        <w:color w:val="000000"/>
        <w:sz w:val="20"/>
        <w:szCs w:val="20"/>
      </w:rPr>
      <w:tab/>
      <w:t xml:space="preserve">                                           </w:t>
    </w:r>
  </w:p>
  <w:p w:rsidR="00B76066" w:rsidRDefault="00902AD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B76066" w:rsidRDefault="00902ADB">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Model </w:t>
    </w:r>
    <w:proofErr w:type="gramStart"/>
    <w:r>
      <w:rPr>
        <w:rFonts w:ascii="Arial" w:eastAsia="Arial" w:hAnsi="Arial" w:cs="Arial"/>
        <w:color w:val="000000"/>
        <w:sz w:val="20"/>
        <w:szCs w:val="20"/>
      </w:rPr>
      <w:t>Version :</w:t>
    </w:r>
    <w:proofErr w:type="gramEnd"/>
    <w:r>
      <w:rPr>
        <w:rFonts w:ascii="Arial" w:eastAsia="Arial" w:hAnsi="Arial" w:cs="Arial"/>
        <w:color w:val="000000"/>
        <w:sz w:val="20"/>
        <w:szCs w:val="20"/>
      </w:rPr>
      <w:t xml:space="preserve"> v2.9</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ADB" w:rsidRDefault="00902ADB">
      <w:pPr>
        <w:spacing w:after="0" w:line="240" w:lineRule="auto"/>
      </w:pPr>
      <w:r>
        <w:separator/>
      </w:r>
    </w:p>
  </w:footnote>
  <w:footnote w:type="continuationSeparator" w:id="0">
    <w:p w:rsidR="00902ADB" w:rsidRDefault="00902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066" w:rsidRDefault="00902AD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14 (Service Levels)</w:t>
    </w:r>
  </w:p>
  <w:p w:rsidR="00B76066" w:rsidRDefault="00902AD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rsidR="00B76066" w:rsidRDefault="00902AD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rsidR="00B76066" w:rsidRDefault="00B7606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E0EED"/>
    <w:multiLevelType w:val="multilevel"/>
    <w:tmpl w:val="740C7754"/>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3F55E69"/>
    <w:multiLevelType w:val="multilevel"/>
    <w:tmpl w:val="4DA4262A"/>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3D06C51"/>
    <w:multiLevelType w:val="multilevel"/>
    <w:tmpl w:val="7948506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1470F19"/>
    <w:multiLevelType w:val="multilevel"/>
    <w:tmpl w:val="D526AEB6"/>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066"/>
    <w:rsid w:val="005C1F9F"/>
    <w:rsid w:val="00902ADB"/>
    <w:rsid w:val="00B76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4CFD"/>
  <w15:docId w15:val="{1F038D71-DEC6-4815-A159-E95247A8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1430</Words>
  <Characters>8153</Characters>
  <Application>Microsoft Office Word</Application>
  <DocSecurity>0</DocSecurity>
  <Lines>67</Lines>
  <Paragraphs>19</Paragraphs>
  <ScaleCrop>false</ScaleCrop>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Oliver Backhouse</cp:lastModifiedBy>
  <cp:revision>2</cp:revision>
  <dcterms:created xsi:type="dcterms:W3CDTF">2024-04-24T09:14:00Z</dcterms:created>
  <dcterms:modified xsi:type="dcterms:W3CDTF">2024-04-24T09:19:00Z</dcterms:modified>
</cp:coreProperties>
</file>