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0A" w:rsidRPr="00AD2A4A" w:rsidRDefault="00B3110A" w:rsidP="00B3110A">
      <w:pPr>
        <w:pStyle w:val="Default"/>
        <w:rPr>
          <w:rFonts w:ascii="Arial" w:hAnsi="Arial" w:cs="Arial"/>
          <w:sz w:val="28"/>
          <w:szCs w:val="28"/>
        </w:rPr>
      </w:pPr>
    </w:p>
    <w:p w:rsidR="00B3110A" w:rsidRPr="00AD2A4A" w:rsidRDefault="00B3110A" w:rsidP="00B3110A">
      <w:pPr>
        <w:pStyle w:val="Default"/>
        <w:jc w:val="center"/>
        <w:rPr>
          <w:rFonts w:ascii="Arial" w:hAnsi="Arial" w:cs="Arial"/>
          <w:sz w:val="28"/>
          <w:szCs w:val="28"/>
        </w:rPr>
      </w:pPr>
      <w:r w:rsidRPr="00AD2A4A">
        <w:rPr>
          <w:rFonts w:ascii="Arial" w:hAnsi="Arial" w:cs="Arial"/>
          <w:sz w:val="28"/>
          <w:szCs w:val="28"/>
        </w:rPr>
        <w:t>REQUEST FOR INFORMATION (RFI)</w:t>
      </w:r>
    </w:p>
    <w:p w:rsidR="00B3110A" w:rsidRPr="00AD2A4A" w:rsidRDefault="00B3110A" w:rsidP="00B3110A">
      <w:pPr>
        <w:pStyle w:val="Default"/>
        <w:rPr>
          <w:rFonts w:ascii="Arial" w:hAnsi="Arial" w:cs="Arial"/>
          <w:sz w:val="22"/>
          <w:szCs w:val="22"/>
        </w:rPr>
      </w:pPr>
    </w:p>
    <w:tbl>
      <w:tblPr>
        <w:tblStyle w:val="TableGrid"/>
        <w:tblW w:w="0" w:type="auto"/>
        <w:tblLayout w:type="fixed"/>
        <w:tblLook w:val="04A0" w:firstRow="1" w:lastRow="0" w:firstColumn="1" w:lastColumn="0" w:noHBand="0" w:noVBand="1"/>
      </w:tblPr>
      <w:tblGrid>
        <w:gridCol w:w="675"/>
        <w:gridCol w:w="2988"/>
        <w:gridCol w:w="6072"/>
      </w:tblGrid>
      <w:tr w:rsidR="00B3110A" w:rsidRPr="00AD2A4A" w:rsidTr="00AD2A4A">
        <w:trPr>
          <w:trHeight w:val="207"/>
        </w:trPr>
        <w:tc>
          <w:tcPr>
            <w:tcW w:w="3663" w:type="dxa"/>
            <w:gridSpan w:val="2"/>
            <w:tcBorders>
              <w:top w:val="nil"/>
              <w:left w:val="nil"/>
              <w:bottom w:val="nil"/>
              <w:right w:val="nil"/>
            </w:tcBorders>
          </w:tcPr>
          <w:p w:rsidR="00B3110A" w:rsidRPr="00A1526F" w:rsidRDefault="00B3110A" w:rsidP="00C02C2C">
            <w:pPr>
              <w:pStyle w:val="Default"/>
              <w:rPr>
                <w:rFonts w:ascii="Arial" w:hAnsi="Arial" w:cs="Arial"/>
                <w:b/>
                <w:sz w:val="20"/>
                <w:szCs w:val="20"/>
              </w:rPr>
            </w:pPr>
            <w:r w:rsidRPr="00A1526F">
              <w:rPr>
                <w:rFonts w:ascii="Arial" w:hAnsi="Arial" w:cs="Arial"/>
                <w:b/>
                <w:sz w:val="20"/>
                <w:szCs w:val="20"/>
              </w:rPr>
              <w:t>Commissioning Organisation</w:t>
            </w:r>
          </w:p>
        </w:tc>
        <w:tc>
          <w:tcPr>
            <w:tcW w:w="6072" w:type="dxa"/>
            <w:tcBorders>
              <w:top w:val="nil"/>
              <w:left w:val="nil"/>
              <w:bottom w:val="nil"/>
              <w:right w:val="nil"/>
            </w:tcBorders>
          </w:tcPr>
          <w:p w:rsidR="00B3110A" w:rsidRPr="00A1526F" w:rsidRDefault="00A14190" w:rsidP="00C02C2C">
            <w:pPr>
              <w:pStyle w:val="Default"/>
              <w:rPr>
                <w:rFonts w:ascii="Arial" w:hAnsi="Arial" w:cs="Arial"/>
                <w:sz w:val="20"/>
                <w:szCs w:val="20"/>
              </w:rPr>
            </w:pPr>
            <w:r w:rsidRPr="00A1526F">
              <w:rPr>
                <w:rFonts w:ascii="Arial" w:hAnsi="Arial" w:cs="Arial"/>
                <w:sz w:val="20"/>
                <w:szCs w:val="20"/>
              </w:rPr>
              <w:t xml:space="preserve">NHS </w:t>
            </w:r>
            <w:r w:rsidR="00EC7399" w:rsidRPr="00A1526F">
              <w:rPr>
                <w:rFonts w:ascii="Arial" w:hAnsi="Arial" w:cs="Arial"/>
                <w:sz w:val="20"/>
                <w:szCs w:val="20"/>
              </w:rPr>
              <w:t xml:space="preserve">West Lancashire </w:t>
            </w:r>
            <w:r w:rsidR="00D65AF3" w:rsidRPr="00A1526F">
              <w:rPr>
                <w:rFonts w:ascii="Arial" w:hAnsi="Arial" w:cs="Arial"/>
                <w:sz w:val="20"/>
                <w:szCs w:val="20"/>
              </w:rPr>
              <w:t>Clinical Commissioning Group (CCG)</w:t>
            </w:r>
          </w:p>
          <w:p w:rsidR="00B3110A" w:rsidRPr="00A1526F" w:rsidRDefault="00B3110A" w:rsidP="00A14190">
            <w:pPr>
              <w:pStyle w:val="Default"/>
              <w:rPr>
                <w:rFonts w:ascii="Arial" w:hAnsi="Arial" w:cs="Arial"/>
                <w:sz w:val="20"/>
                <w:szCs w:val="20"/>
              </w:rPr>
            </w:pPr>
          </w:p>
        </w:tc>
      </w:tr>
      <w:tr w:rsidR="00B3110A" w:rsidRPr="00AD2A4A" w:rsidTr="00AD2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3663" w:type="dxa"/>
            <w:gridSpan w:val="2"/>
          </w:tcPr>
          <w:p w:rsidR="00B3110A" w:rsidRPr="00A1526F" w:rsidRDefault="00B3110A" w:rsidP="00C02C2C">
            <w:pPr>
              <w:pStyle w:val="Default"/>
              <w:rPr>
                <w:rFonts w:ascii="Arial" w:hAnsi="Arial" w:cs="Arial"/>
                <w:b/>
                <w:sz w:val="20"/>
                <w:szCs w:val="20"/>
              </w:rPr>
            </w:pPr>
            <w:r w:rsidRPr="00A1526F">
              <w:rPr>
                <w:rFonts w:ascii="Arial" w:hAnsi="Arial" w:cs="Arial"/>
                <w:b/>
                <w:sz w:val="20"/>
                <w:szCs w:val="20"/>
              </w:rPr>
              <w:t>Service</w:t>
            </w:r>
          </w:p>
        </w:tc>
        <w:tc>
          <w:tcPr>
            <w:tcW w:w="6072" w:type="dxa"/>
          </w:tcPr>
          <w:p w:rsidR="00B3110A" w:rsidRPr="00A1526F" w:rsidRDefault="00A37A9B" w:rsidP="00A14190">
            <w:pPr>
              <w:pStyle w:val="Default"/>
              <w:rPr>
                <w:rFonts w:ascii="Arial" w:hAnsi="Arial" w:cs="Arial"/>
                <w:sz w:val="20"/>
                <w:szCs w:val="20"/>
              </w:rPr>
            </w:pPr>
            <w:r>
              <w:rPr>
                <w:rFonts w:ascii="Arial" w:hAnsi="Arial"/>
                <w:sz w:val="20"/>
                <w:szCs w:val="20"/>
                <w:lang w:val="en-US"/>
              </w:rPr>
              <w:t>Community Chronic Pain Service</w:t>
            </w:r>
            <w:r w:rsidR="00A14190" w:rsidRPr="00A1526F">
              <w:rPr>
                <w:rFonts w:ascii="Arial" w:hAnsi="Arial" w:cs="Arial"/>
                <w:b/>
                <w:sz w:val="20"/>
                <w:szCs w:val="20"/>
              </w:rPr>
              <w:br/>
            </w:r>
          </w:p>
        </w:tc>
      </w:tr>
      <w:tr w:rsidR="00B3110A"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B3110A" w:rsidRPr="00A1526F" w:rsidRDefault="00B3110A" w:rsidP="00C02C2C">
            <w:pPr>
              <w:pStyle w:val="Default"/>
              <w:rPr>
                <w:rFonts w:ascii="Arial" w:hAnsi="Arial" w:cs="Arial"/>
                <w:b/>
                <w:sz w:val="20"/>
                <w:szCs w:val="20"/>
              </w:rPr>
            </w:pPr>
            <w:r w:rsidRPr="00A1526F">
              <w:rPr>
                <w:rFonts w:ascii="Arial" w:hAnsi="Arial" w:cs="Arial"/>
                <w:b/>
                <w:sz w:val="20"/>
                <w:szCs w:val="20"/>
              </w:rPr>
              <w:t>1</w:t>
            </w:r>
          </w:p>
        </w:tc>
        <w:tc>
          <w:tcPr>
            <w:tcW w:w="9060" w:type="dxa"/>
            <w:gridSpan w:val="2"/>
          </w:tcPr>
          <w:p w:rsidR="00B3110A" w:rsidRPr="00A1526F" w:rsidRDefault="00B3110A" w:rsidP="00C02C2C">
            <w:pPr>
              <w:pStyle w:val="Default"/>
              <w:rPr>
                <w:rFonts w:ascii="Arial" w:hAnsi="Arial" w:cs="Arial"/>
                <w:b/>
                <w:sz w:val="20"/>
                <w:szCs w:val="20"/>
              </w:rPr>
            </w:pPr>
            <w:r w:rsidRPr="00A1526F">
              <w:rPr>
                <w:rFonts w:ascii="Arial" w:hAnsi="Arial" w:cs="Arial"/>
                <w:b/>
                <w:sz w:val="20"/>
                <w:szCs w:val="20"/>
              </w:rPr>
              <w:t>Background and Context</w:t>
            </w:r>
          </w:p>
          <w:p w:rsidR="00B3110A" w:rsidRPr="00A1526F" w:rsidRDefault="00B3110A" w:rsidP="00C02C2C">
            <w:pPr>
              <w:pStyle w:val="Default"/>
              <w:rPr>
                <w:rFonts w:ascii="Arial" w:hAnsi="Arial" w:cs="Arial"/>
                <w:b/>
                <w:sz w:val="20"/>
                <w:szCs w:val="20"/>
              </w:rPr>
            </w:pPr>
          </w:p>
        </w:tc>
      </w:tr>
      <w:tr w:rsidR="00B3110A"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B3110A" w:rsidRPr="00A1526F" w:rsidRDefault="00B3110A" w:rsidP="00C02C2C">
            <w:pPr>
              <w:pStyle w:val="Default"/>
              <w:rPr>
                <w:rFonts w:ascii="Arial" w:hAnsi="Arial" w:cs="Arial"/>
                <w:sz w:val="20"/>
                <w:szCs w:val="20"/>
              </w:rPr>
            </w:pPr>
            <w:r w:rsidRPr="00A1526F">
              <w:rPr>
                <w:rFonts w:ascii="Arial" w:hAnsi="Arial" w:cs="Arial"/>
                <w:sz w:val="20"/>
                <w:szCs w:val="20"/>
              </w:rPr>
              <w:t>1.1</w:t>
            </w:r>
          </w:p>
        </w:tc>
        <w:tc>
          <w:tcPr>
            <w:tcW w:w="9060" w:type="dxa"/>
            <w:gridSpan w:val="2"/>
          </w:tcPr>
          <w:p w:rsidR="00A14190" w:rsidRPr="00A1526F" w:rsidRDefault="00EC7399" w:rsidP="00D65AF3">
            <w:pPr>
              <w:pStyle w:val="Default"/>
              <w:rPr>
                <w:rFonts w:ascii="Arial" w:hAnsi="Arial" w:cs="Arial"/>
                <w:sz w:val="20"/>
                <w:szCs w:val="20"/>
              </w:rPr>
            </w:pPr>
            <w:r w:rsidRPr="00A1526F">
              <w:rPr>
                <w:rFonts w:ascii="Arial" w:hAnsi="Arial" w:cs="Arial"/>
                <w:sz w:val="20"/>
                <w:szCs w:val="20"/>
              </w:rPr>
              <w:t xml:space="preserve">NHS West Lancashire </w:t>
            </w:r>
            <w:proofErr w:type="gramStart"/>
            <w:r w:rsidRPr="00A1526F">
              <w:rPr>
                <w:rFonts w:ascii="Arial" w:hAnsi="Arial" w:cs="Arial"/>
                <w:sz w:val="20"/>
                <w:szCs w:val="20"/>
              </w:rPr>
              <w:t>are</w:t>
            </w:r>
            <w:proofErr w:type="gramEnd"/>
            <w:r w:rsidRPr="00A1526F">
              <w:rPr>
                <w:rFonts w:ascii="Arial" w:hAnsi="Arial" w:cs="Arial"/>
                <w:sz w:val="20"/>
                <w:szCs w:val="20"/>
              </w:rPr>
              <w:t xml:space="preserve"> seeking to gauge market interest in the provision and delivery of its </w:t>
            </w:r>
            <w:r w:rsidR="00A37A9B">
              <w:rPr>
                <w:rFonts w:ascii="Arial" w:hAnsi="Arial"/>
                <w:sz w:val="20"/>
                <w:szCs w:val="20"/>
                <w:lang w:val="en-US"/>
              </w:rPr>
              <w:t>Community Chronic Pain Service</w:t>
            </w:r>
            <w:r w:rsidR="00A37A9B" w:rsidRPr="00A1526F">
              <w:rPr>
                <w:rFonts w:ascii="Arial" w:hAnsi="Arial" w:cs="Arial"/>
                <w:sz w:val="20"/>
                <w:szCs w:val="20"/>
              </w:rPr>
              <w:t xml:space="preserve"> </w:t>
            </w:r>
            <w:r w:rsidRPr="00A1526F">
              <w:rPr>
                <w:rFonts w:ascii="Arial" w:hAnsi="Arial" w:cs="Arial"/>
                <w:sz w:val="20"/>
                <w:szCs w:val="20"/>
              </w:rPr>
              <w:t>as a pilot.</w:t>
            </w:r>
          </w:p>
          <w:p w:rsidR="00A14190" w:rsidRPr="00A1526F" w:rsidRDefault="00A14190" w:rsidP="00A14190">
            <w:pPr>
              <w:pStyle w:val="Default"/>
              <w:rPr>
                <w:rFonts w:ascii="Arial" w:hAnsi="Arial" w:cs="Arial"/>
                <w:sz w:val="20"/>
                <w:szCs w:val="20"/>
              </w:rPr>
            </w:pPr>
          </w:p>
        </w:tc>
      </w:tr>
      <w:tr w:rsidR="00B3110A"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B3110A" w:rsidRPr="00A1526F" w:rsidRDefault="00B3110A" w:rsidP="00C02C2C">
            <w:pPr>
              <w:pStyle w:val="Default"/>
              <w:rPr>
                <w:rFonts w:ascii="Arial" w:hAnsi="Arial" w:cs="Arial"/>
                <w:sz w:val="20"/>
                <w:szCs w:val="20"/>
              </w:rPr>
            </w:pPr>
            <w:r w:rsidRPr="00A1526F">
              <w:rPr>
                <w:rFonts w:ascii="Arial" w:hAnsi="Arial" w:cs="Arial"/>
                <w:sz w:val="20"/>
                <w:szCs w:val="20"/>
              </w:rPr>
              <w:t>1.2</w:t>
            </w:r>
          </w:p>
        </w:tc>
        <w:tc>
          <w:tcPr>
            <w:tcW w:w="9060" w:type="dxa"/>
            <w:gridSpan w:val="2"/>
          </w:tcPr>
          <w:p w:rsidR="00B3110A" w:rsidRPr="00A1526F" w:rsidRDefault="00EC7399" w:rsidP="00A14190">
            <w:pPr>
              <w:pStyle w:val="Default"/>
              <w:rPr>
                <w:rFonts w:ascii="Arial" w:hAnsi="Arial" w:cs="Arial"/>
                <w:sz w:val="20"/>
                <w:szCs w:val="20"/>
              </w:rPr>
            </w:pPr>
            <w:r w:rsidRPr="00A1526F">
              <w:rPr>
                <w:rFonts w:ascii="Arial" w:hAnsi="Arial" w:cs="Arial"/>
                <w:sz w:val="20"/>
                <w:szCs w:val="20"/>
              </w:rPr>
              <w:t>The CCG is seeking to identify providers who can contribute to the development of a service specification with a view to competing to be a pilot provider.</w:t>
            </w:r>
            <w:r w:rsidR="00A14190" w:rsidRPr="00A1526F">
              <w:rPr>
                <w:rFonts w:ascii="Arial" w:hAnsi="Arial" w:cs="Arial"/>
                <w:sz w:val="20"/>
                <w:szCs w:val="20"/>
              </w:rPr>
              <w:br/>
            </w:r>
          </w:p>
        </w:tc>
      </w:tr>
      <w:tr w:rsidR="00B3110A"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B3110A" w:rsidRPr="00A1526F" w:rsidRDefault="00B3110A" w:rsidP="00C02C2C">
            <w:pPr>
              <w:pStyle w:val="Default"/>
              <w:rPr>
                <w:rFonts w:ascii="Arial" w:hAnsi="Arial" w:cs="Arial"/>
                <w:sz w:val="20"/>
                <w:szCs w:val="20"/>
              </w:rPr>
            </w:pPr>
            <w:r w:rsidRPr="00A1526F">
              <w:rPr>
                <w:rFonts w:ascii="Arial" w:hAnsi="Arial" w:cs="Arial"/>
                <w:sz w:val="20"/>
                <w:szCs w:val="20"/>
              </w:rPr>
              <w:t>1.3</w:t>
            </w:r>
          </w:p>
        </w:tc>
        <w:tc>
          <w:tcPr>
            <w:tcW w:w="9060" w:type="dxa"/>
            <w:gridSpan w:val="2"/>
          </w:tcPr>
          <w:p w:rsidR="00A14190" w:rsidRPr="00A1526F" w:rsidRDefault="00EC7399" w:rsidP="00D65AF3">
            <w:pPr>
              <w:pStyle w:val="Default"/>
              <w:rPr>
                <w:rFonts w:ascii="Arial" w:hAnsi="Arial" w:cs="Arial"/>
                <w:sz w:val="20"/>
                <w:szCs w:val="20"/>
              </w:rPr>
            </w:pPr>
            <w:r w:rsidRPr="00A1526F">
              <w:rPr>
                <w:rFonts w:ascii="Arial" w:hAnsi="Arial" w:cs="Arial"/>
                <w:sz w:val="20"/>
                <w:szCs w:val="20"/>
              </w:rPr>
              <w:t>Information is provided in this note to give prospective providers a view of the scale of the CCGs position</w:t>
            </w:r>
          </w:p>
          <w:p w:rsidR="00B3110A" w:rsidRPr="00A1526F" w:rsidRDefault="00B3110A" w:rsidP="007B4D4A">
            <w:pPr>
              <w:pStyle w:val="Default"/>
              <w:rPr>
                <w:rFonts w:ascii="Arial" w:hAnsi="Arial" w:cs="Arial"/>
                <w:sz w:val="20"/>
                <w:szCs w:val="20"/>
              </w:rPr>
            </w:pPr>
          </w:p>
        </w:tc>
      </w:tr>
      <w:tr w:rsidR="00B3110A"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B3110A" w:rsidRPr="00A37A9B" w:rsidRDefault="00EC7399" w:rsidP="00C02C2C">
            <w:pPr>
              <w:pStyle w:val="Default"/>
              <w:rPr>
                <w:rFonts w:ascii="Arial" w:hAnsi="Arial" w:cs="Arial"/>
                <w:b/>
                <w:sz w:val="20"/>
                <w:szCs w:val="20"/>
              </w:rPr>
            </w:pPr>
            <w:r w:rsidRPr="00A37A9B">
              <w:rPr>
                <w:rFonts w:ascii="Arial" w:hAnsi="Arial" w:cs="Arial"/>
                <w:b/>
                <w:sz w:val="20"/>
                <w:szCs w:val="20"/>
              </w:rPr>
              <w:t>2</w:t>
            </w:r>
          </w:p>
        </w:tc>
        <w:tc>
          <w:tcPr>
            <w:tcW w:w="9060" w:type="dxa"/>
            <w:gridSpan w:val="2"/>
          </w:tcPr>
          <w:p w:rsidR="000A05AE" w:rsidRPr="00A37A9B" w:rsidRDefault="00EC7399" w:rsidP="00C02C2C">
            <w:pPr>
              <w:pStyle w:val="Default"/>
              <w:rPr>
                <w:rFonts w:ascii="Arial" w:hAnsi="Arial" w:cs="Arial"/>
                <w:b/>
                <w:sz w:val="20"/>
                <w:szCs w:val="20"/>
              </w:rPr>
            </w:pPr>
            <w:r w:rsidRPr="00A37A9B">
              <w:rPr>
                <w:rFonts w:ascii="Arial" w:hAnsi="Arial" w:cs="Arial"/>
                <w:b/>
                <w:sz w:val="20"/>
                <w:szCs w:val="20"/>
              </w:rPr>
              <w:t>CCG Position</w:t>
            </w:r>
          </w:p>
          <w:p w:rsidR="00EC7399" w:rsidRPr="00A37A9B" w:rsidRDefault="00EC7399" w:rsidP="00C02C2C">
            <w:pPr>
              <w:pStyle w:val="Default"/>
              <w:rPr>
                <w:rFonts w:ascii="Arial" w:hAnsi="Arial" w:cs="Arial"/>
                <w:b/>
                <w:sz w:val="20"/>
                <w:szCs w:val="20"/>
              </w:rPr>
            </w:pPr>
          </w:p>
        </w:tc>
      </w:tr>
      <w:tr w:rsidR="00B3110A"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B3110A" w:rsidRPr="00A1526F" w:rsidRDefault="00F35604" w:rsidP="00C02C2C">
            <w:pPr>
              <w:pStyle w:val="Default"/>
              <w:rPr>
                <w:rFonts w:ascii="Arial" w:hAnsi="Arial" w:cs="Arial"/>
                <w:sz w:val="20"/>
                <w:szCs w:val="20"/>
              </w:rPr>
            </w:pPr>
            <w:r>
              <w:rPr>
                <w:rFonts w:ascii="Arial" w:hAnsi="Arial" w:cs="Arial"/>
                <w:sz w:val="20"/>
                <w:szCs w:val="20"/>
              </w:rPr>
              <w:t>2.1</w:t>
            </w:r>
          </w:p>
        </w:tc>
        <w:tc>
          <w:tcPr>
            <w:tcW w:w="9060" w:type="dxa"/>
            <w:gridSpan w:val="2"/>
          </w:tcPr>
          <w:p w:rsidR="00F35604" w:rsidRDefault="00F35604" w:rsidP="00F35604">
            <w:pPr>
              <w:pStyle w:val="Default"/>
              <w:rPr>
                <w:rFonts w:ascii="Arial" w:eastAsia="Arial" w:hAnsi="Arial" w:cs="Arial"/>
                <w:sz w:val="20"/>
                <w:szCs w:val="20"/>
              </w:rPr>
            </w:pPr>
            <w:r>
              <w:rPr>
                <w:rFonts w:ascii="Arial" w:hAnsi="Arial"/>
                <w:sz w:val="20"/>
                <w:szCs w:val="20"/>
                <w:lang w:val="en-US"/>
              </w:rPr>
              <w:t xml:space="preserve">West Lancashire CCG does not have a Community Chronic Pain service. The CCG wishes to achieve the </w:t>
            </w:r>
            <w:r w:rsidR="00ED34DE">
              <w:rPr>
                <w:rFonts w:ascii="Arial" w:hAnsi="Arial"/>
                <w:sz w:val="20"/>
                <w:szCs w:val="20"/>
                <w:lang w:val="en-US"/>
              </w:rPr>
              <w:t>aim</w:t>
            </w:r>
            <w:r>
              <w:rPr>
                <w:rFonts w:ascii="Arial" w:hAnsi="Arial"/>
                <w:sz w:val="20"/>
                <w:szCs w:val="20"/>
                <w:lang w:val="en-US"/>
              </w:rPr>
              <w:t xml:space="preserve"> of reducing our </w:t>
            </w:r>
            <w:r w:rsidR="00ED34DE">
              <w:rPr>
                <w:rFonts w:ascii="Arial" w:hAnsi="Arial"/>
                <w:sz w:val="20"/>
                <w:szCs w:val="20"/>
                <w:lang w:val="en-US"/>
              </w:rPr>
              <w:t>overall spend on pain services whilst</w:t>
            </w:r>
            <w:r>
              <w:rPr>
                <w:rFonts w:ascii="Arial" w:hAnsi="Arial"/>
                <w:sz w:val="20"/>
                <w:szCs w:val="20"/>
                <w:lang w:val="en-US"/>
              </w:rPr>
              <w:t xml:space="preserve"> develop</w:t>
            </w:r>
            <w:r w:rsidR="00ED34DE">
              <w:rPr>
                <w:rFonts w:ascii="Arial" w:hAnsi="Arial"/>
                <w:sz w:val="20"/>
                <w:szCs w:val="20"/>
                <w:lang w:val="en-US"/>
              </w:rPr>
              <w:t>ing</w:t>
            </w:r>
            <w:r>
              <w:rPr>
                <w:rFonts w:ascii="Arial" w:hAnsi="Arial"/>
                <w:sz w:val="20"/>
                <w:szCs w:val="20"/>
                <w:lang w:val="en-US"/>
              </w:rPr>
              <w:t xml:space="preserve"> a high quality holistic offer which improves upon the current pathway outcomes as part of a 2 year pilot programme.</w:t>
            </w:r>
          </w:p>
          <w:p w:rsidR="00EC7399" w:rsidRPr="00A1526F" w:rsidRDefault="00EC7399" w:rsidP="00F35604">
            <w:pPr>
              <w:pStyle w:val="Default"/>
              <w:rPr>
                <w:rFonts w:ascii="Arial" w:hAnsi="Arial" w:cs="Arial"/>
                <w:sz w:val="20"/>
                <w:szCs w:val="20"/>
              </w:rPr>
            </w:pPr>
          </w:p>
        </w:tc>
      </w:tr>
      <w:tr w:rsidR="00F35604"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F35604" w:rsidRDefault="00F35604" w:rsidP="00C02C2C">
            <w:pPr>
              <w:pStyle w:val="Default"/>
              <w:rPr>
                <w:rFonts w:ascii="Arial" w:hAnsi="Arial" w:cs="Arial"/>
                <w:sz w:val="20"/>
                <w:szCs w:val="20"/>
              </w:rPr>
            </w:pPr>
            <w:r>
              <w:rPr>
                <w:rFonts w:ascii="Arial" w:hAnsi="Arial" w:cs="Arial"/>
                <w:sz w:val="20"/>
                <w:szCs w:val="20"/>
              </w:rPr>
              <w:t>2.2</w:t>
            </w:r>
          </w:p>
        </w:tc>
        <w:tc>
          <w:tcPr>
            <w:tcW w:w="9060" w:type="dxa"/>
            <w:gridSpan w:val="2"/>
          </w:tcPr>
          <w:p w:rsidR="00F35604" w:rsidRDefault="00F35604" w:rsidP="00F35604">
            <w:pPr>
              <w:pStyle w:val="Default"/>
              <w:rPr>
                <w:rFonts w:ascii="Arial" w:eastAsia="Arial" w:hAnsi="Arial" w:cs="Arial"/>
                <w:sz w:val="20"/>
                <w:szCs w:val="20"/>
              </w:rPr>
            </w:pPr>
            <w:r>
              <w:rPr>
                <w:rFonts w:ascii="Arial" w:hAnsi="Arial"/>
                <w:sz w:val="20"/>
                <w:szCs w:val="20"/>
                <w:lang w:val="en-US"/>
              </w:rPr>
              <w:t>There is a huge potential to reduce overall costs in the prescribing of high cost and opioid drugs for chronic pain across the CCG area and to vastly reduce the amount spent on day case activity.</w:t>
            </w:r>
          </w:p>
          <w:p w:rsidR="00F35604" w:rsidRDefault="00F35604" w:rsidP="00F35604">
            <w:pPr>
              <w:pStyle w:val="Default"/>
              <w:rPr>
                <w:rFonts w:ascii="Arial" w:hAnsi="Arial"/>
                <w:sz w:val="20"/>
                <w:szCs w:val="20"/>
                <w:lang w:val="en-US"/>
              </w:rPr>
            </w:pPr>
          </w:p>
        </w:tc>
      </w:tr>
      <w:tr w:rsidR="00F35604"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F35604" w:rsidRDefault="00F35604" w:rsidP="00C02C2C">
            <w:pPr>
              <w:pStyle w:val="Default"/>
              <w:rPr>
                <w:rFonts w:ascii="Arial" w:hAnsi="Arial" w:cs="Arial"/>
                <w:sz w:val="20"/>
                <w:szCs w:val="20"/>
              </w:rPr>
            </w:pPr>
            <w:r>
              <w:rPr>
                <w:rFonts w:ascii="Arial" w:hAnsi="Arial" w:cs="Arial"/>
                <w:sz w:val="20"/>
                <w:szCs w:val="20"/>
              </w:rPr>
              <w:t>2.3</w:t>
            </w:r>
          </w:p>
        </w:tc>
        <w:tc>
          <w:tcPr>
            <w:tcW w:w="9060" w:type="dxa"/>
            <w:gridSpan w:val="2"/>
          </w:tcPr>
          <w:p w:rsidR="00F35604" w:rsidRDefault="00F35604" w:rsidP="00F35604">
            <w:pPr>
              <w:pStyle w:val="Default"/>
              <w:rPr>
                <w:rFonts w:ascii="Arial" w:eastAsia="Arial" w:hAnsi="Arial" w:cs="Arial"/>
                <w:sz w:val="20"/>
                <w:szCs w:val="20"/>
              </w:rPr>
            </w:pPr>
            <w:r>
              <w:rPr>
                <w:rFonts w:ascii="Arial" w:hAnsi="Arial"/>
                <w:sz w:val="20"/>
                <w:szCs w:val="20"/>
                <w:lang w:val="en-US"/>
              </w:rPr>
              <w:t>The initial thoughts regarding key components of the new model being considered are:</w:t>
            </w:r>
          </w:p>
          <w:p w:rsidR="00F35604" w:rsidRDefault="00F35604" w:rsidP="00F35604">
            <w:pPr>
              <w:pStyle w:val="Default"/>
              <w:rPr>
                <w:rFonts w:ascii="Arial" w:eastAsia="Arial" w:hAnsi="Arial" w:cs="Arial"/>
                <w:sz w:val="20"/>
                <w:szCs w:val="20"/>
              </w:rPr>
            </w:pPr>
          </w:p>
          <w:p w:rsidR="00F35604" w:rsidRDefault="00F35604" w:rsidP="00F35604">
            <w:pPr>
              <w:pStyle w:val="Default"/>
              <w:numPr>
                <w:ilvl w:val="0"/>
                <w:numId w:val="17"/>
              </w:numPr>
              <w:rPr>
                <w:rFonts w:ascii="Arial" w:eastAsia="Arial" w:hAnsi="Arial" w:cs="Arial"/>
                <w:sz w:val="20"/>
                <w:szCs w:val="20"/>
              </w:rPr>
            </w:pPr>
            <w:r>
              <w:rPr>
                <w:rFonts w:ascii="Arial" w:hAnsi="Arial"/>
                <w:sz w:val="20"/>
                <w:szCs w:val="20"/>
                <w:lang w:val="en-US"/>
              </w:rPr>
              <w:t>Single point of access</w:t>
            </w:r>
          </w:p>
          <w:p w:rsidR="00F35604" w:rsidRDefault="00F35604" w:rsidP="00F35604">
            <w:pPr>
              <w:pStyle w:val="Default"/>
              <w:numPr>
                <w:ilvl w:val="0"/>
                <w:numId w:val="17"/>
              </w:numPr>
              <w:rPr>
                <w:rFonts w:ascii="Arial" w:eastAsia="Arial" w:hAnsi="Arial" w:cs="Arial"/>
                <w:sz w:val="20"/>
                <w:szCs w:val="20"/>
              </w:rPr>
            </w:pPr>
            <w:r>
              <w:rPr>
                <w:rFonts w:ascii="Arial" w:hAnsi="Arial"/>
                <w:sz w:val="20"/>
                <w:szCs w:val="20"/>
                <w:lang w:val="en-US"/>
              </w:rPr>
              <w:t xml:space="preserve">E referral compliant </w:t>
            </w:r>
          </w:p>
          <w:p w:rsidR="00F35604" w:rsidRDefault="00F35604" w:rsidP="00F35604">
            <w:pPr>
              <w:pStyle w:val="Default"/>
              <w:numPr>
                <w:ilvl w:val="0"/>
                <w:numId w:val="17"/>
              </w:numPr>
              <w:rPr>
                <w:rFonts w:ascii="Arial" w:eastAsia="Arial" w:hAnsi="Arial" w:cs="Arial"/>
                <w:sz w:val="20"/>
                <w:szCs w:val="20"/>
              </w:rPr>
            </w:pPr>
            <w:r>
              <w:rPr>
                <w:rFonts w:ascii="Arial" w:hAnsi="Arial"/>
                <w:sz w:val="20"/>
                <w:szCs w:val="20"/>
                <w:lang w:val="en-US"/>
              </w:rPr>
              <w:t>Triage of all secondary care referrals</w:t>
            </w:r>
          </w:p>
          <w:p w:rsidR="00F35604" w:rsidRDefault="00ED34DE" w:rsidP="00F35604">
            <w:pPr>
              <w:pStyle w:val="Default"/>
              <w:numPr>
                <w:ilvl w:val="0"/>
                <w:numId w:val="17"/>
              </w:numPr>
              <w:rPr>
                <w:rFonts w:ascii="Arial" w:eastAsia="Arial" w:hAnsi="Arial" w:cs="Arial"/>
                <w:sz w:val="20"/>
                <w:szCs w:val="20"/>
              </w:rPr>
            </w:pPr>
            <w:r>
              <w:rPr>
                <w:rFonts w:ascii="Arial" w:hAnsi="Arial"/>
                <w:sz w:val="20"/>
                <w:szCs w:val="20"/>
                <w:lang w:val="en-US"/>
              </w:rPr>
              <w:t>Multi-disciplinary</w:t>
            </w:r>
            <w:r w:rsidR="00F35604">
              <w:rPr>
                <w:rFonts w:ascii="Arial" w:hAnsi="Arial"/>
                <w:sz w:val="20"/>
                <w:szCs w:val="20"/>
                <w:lang w:val="en-US"/>
              </w:rPr>
              <w:t xml:space="preserve"> assessment</w:t>
            </w:r>
          </w:p>
          <w:p w:rsidR="00F35604" w:rsidRDefault="00F35604" w:rsidP="00F35604">
            <w:pPr>
              <w:pStyle w:val="Default"/>
              <w:numPr>
                <w:ilvl w:val="0"/>
                <w:numId w:val="17"/>
              </w:numPr>
              <w:rPr>
                <w:rFonts w:ascii="Arial" w:eastAsia="Arial" w:hAnsi="Arial" w:cs="Arial"/>
                <w:sz w:val="20"/>
                <w:szCs w:val="20"/>
              </w:rPr>
            </w:pPr>
            <w:r>
              <w:rPr>
                <w:rFonts w:ascii="Arial" w:hAnsi="Arial"/>
                <w:sz w:val="20"/>
                <w:szCs w:val="20"/>
                <w:lang w:val="en-US"/>
              </w:rPr>
              <w:t>Multi professional service provision</w:t>
            </w:r>
          </w:p>
          <w:p w:rsidR="00F35604" w:rsidRDefault="00F35604" w:rsidP="00F35604">
            <w:pPr>
              <w:pStyle w:val="Default"/>
              <w:numPr>
                <w:ilvl w:val="0"/>
                <w:numId w:val="17"/>
              </w:numPr>
              <w:rPr>
                <w:rFonts w:ascii="Arial" w:eastAsia="Arial" w:hAnsi="Arial" w:cs="Arial"/>
                <w:sz w:val="20"/>
                <w:szCs w:val="20"/>
              </w:rPr>
            </w:pPr>
            <w:r>
              <w:rPr>
                <w:rFonts w:ascii="Arial" w:hAnsi="Arial"/>
                <w:sz w:val="20"/>
                <w:szCs w:val="20"/>
                <w:lang w:val="en-US"/>
              </w:rPr>
              <w:t>Asset based community development will full integration and possible subcontracting with appropriate voluntary community and faith sector organisations, peer support, Pilates, yoga, mindfulness and leisure services.</w:t>
            </w:r>
          </w:p>
          <w:p w:rsidR="00F35604" w:rsidRDefault="00F35604" w:rsidP="00F35604">
            <w:pPr>
              <w:pStyle w:val="Default"/>
              <w:numPr>
                <w:ilvl w:val="0"/>
                <w:numId w:val="17"/>
              </w:numPr>
              <w:rPr>
                <w:rFonts w:ascii="Arial" w:eastAsia="Arial" w:hAnsi="Arial" w:cs="Arial"/>
                <w:sz w:val="20"/>
                <w:szCs w:val="20"/>
              </w:rPr>
            </w:pPr>
            <w:r>
              <w:rPr>
                <w:rFonts w:ascii="Arial" w:hAnsi="Arial"/>
                <w:sz w:val="20"/>
                <w:szCs w:val="20"/>
                <w:lang w:val="en-US"/>
              </w:rPr>
              <w:t>A full partnership approach with primary care</w:t>
            </w:r>
          </w:p>
          <w:p w:rsidR="00F35604" w:rsidRDefault="00ED34DE" w:rsidP="00F35604">
            <w:pPr>
              <w:pStyle w:val="Default"/>
              <w:numPr>
                <w:ilvl w:val="0"/>
                <w:numId w:val="17"/>
              </w:numPr>
              <w:rPr>
                <w:rFonts w:ascii="Arial" w:eastAsia="Arial" w:hAnsi="Arial" w:cs="Arial"/>
                <w:sz w:val="20"/>
                <w:szCs w:val="20"/>
              </w:rPr>
            </w:pPr>
            <w:r>
              <w:rPr>
                <w:rFonts w:ascii="Arial" w:hAnsi="Arial"/>
                <w:sz w:val="20"/>
                <w:szCs w:val="20"/>
                <w:lang w:val="en-US"/>
              </w:rPr>
              <w:t>Maximise</w:t>
            </w:r>
            <w:r w:rsidR="00F35604">
              <w:rPr>
                <w:rFonts w:ascii="Arial" w:hAnsi="Arial"/>
                <w:sz w:val="20"/>
                <w:szCs w:val="20"/>
                <w:lang w:val="en-US"/>
              </w:rPr>
              <w:t xml:space="preserve"> use of appropriate technology such as </w:t>
            </w:r>
            <w:r>
              <w:rPr>
                <w:rFonts w:ascii="Arial" w:hAnsi="Arial"/>
                <w:sz w:val="20"/>
                <w:szCs w:val="20"/>
                <w:lang w:val="en-US"/>
              </w:rPr>
              <w:t>self-help</w:t>
            </w:r>
            <w:r w:rsidR="00F35604">
              <w:rPr>
                <w:rFonts w:ascii="Arial" w:hAnsi="Arial"/>
                <w:sz w:val="20"/>
                <w:szCs w:val="20"/>
                <w:lang w:val="en-US"/>
              </w:rPr>
              <w:t xml:space="preserve"> apps, mindfulness apps, Xbox Kinect, virtual reality for pain control.</w:t>
            </w:r>
          </w:p>
          <w:p w:rsidR="00F35604" w:rsidRDefault="00F35604" w:rsidP="00F35604">
            <w:pPr>
              <w:pStyle w:val="Default"/>
              <w:numPr>
                <w:ilvl w:val="0"/>
                <w:numId w:val="17"/>
              </w:numPr>
              <w:rPr>
                <w:rFonts w:ascii="Arial" w:eastAsia="Arial" w:hAnsi="Arial" w:cs="Arial"/>
                <w:sz w:val="20"/>
                <w:szCs w:val="20"/>
              </w:rPr>
            </w:pPr>
            <w:r>
              <w:rPr>
                <w:rFonts w:ascii="Arial" w:hAnsi="Arial"/>
                <w:sz w:val="20"/>
                <w:szCs w:val="20"/>
                <w:lang w:val="en-US"/>
              </w:rPr>
              <w:t>Pharmacist led step down and switching of medications</w:t>
            </w:r>
          </w:p>
          <w:p w:rsidR="00F35604" w:rsidRDefault="00F35604" w:rsidP="00F35604">
            <w:pPr>
              <w:pStyle w:val="Default"/>
              <w:numPr>
                <w:ilvl w:val="0"/>
                <w:numId w:val="17"/>
              </w:numPr>
              <w:rPr>
                <w:rFonts w:ascii="Arial" w:eastAsia="Arial" w:hAnsi="Arial" w:cs="Arial"/>
                <w:sz w:val="20"/>
                <w:szCs w:val="20"/>
              </w:rPr>
            </w:pPr>
            <w:r>
              <w:rPr>
                <w:rFonts w:ascii="Arial" w:hAnsi="Arial"/>
                <w:sz w:val="20"/>
                <w:szCs w:val="20"/>
                <w:lang w:val="en-US"/>
              </w:rPr>
              <w:t>Associated gain share for significant cost reductions where a cause and effect can be demonstrated</w:t>
            </w:r>
          </w:p>
          <w:p w:rsidR="00F35604" w:rsidRDefault="00F35604" w:rsidP="00F35604">
            <w:pPr>
              <w:pStyle w:val="Default"/>
              <w:numPr>
                <w:ilvl w:val="0"/>
                <w:numId w:val="17"/>
              </w:numPr>
              <w:rPr>
                <w:rFonts w:ascii="Arial" w:eastAsia="Arial" w:hAnsi="Arial" w:cs="Arial"/>
                <w:sz w:val="20"/>
                <w:szCs w:val="20"/>
              </w:rPr>
            </w:pPr>
            <w:r>
              <w:rPr>
                <w:rFonts w:ascii="Arial" w:hAnsi="Arial"/>
                <w:sz w:val="20"/>
                <w:szCs w:val="20"/>
                <w:lang w:val="en-US"/>
              </w:rPr>
              <w:t>Primary care education and training</w:t>
            </w:r>
          </w:p>
          <w:p w:rsidR="00F35604" w:rsidRDefault="00ED34DE" w:rsidP="00F35604">
            <w:pPr>
              <w:pStyle w:val="Default"/>
              <w:numPr>
                <w:ilvl w:val="0"/>
                <w:numId w:val="17"/>
              </w:numPr>
              <w:rPr>
                <w:rFonts w:ascii="Arial" w:eastAsia="Arial" w:hAnsi="Arial" w:cs="Arial"/>
                <w:sz w:val="20"/>
                <w:szCs w:val="20"/>
              </w:rPr>
            </w:pPr>
            <w:r>
              <w:rPr>
                <w:rFonts w:ascii="Arial" w:hAnsi="Arial"/>
                <w:sz w:val="20"/>
                <w:szCs w:val="20"/>
                <w:lang w:val="en-US"/>
              </w:rPr>
              <w:t>Co-location</w:t>
            </w:r>
            <w:r w:rsidR="00F35604">
              <w:rPr>
                <w:rFonts w:ascii="Arial" w:hAnsi="Arial"/>
                <w:sz w:val="20"/>
                <w:szCs w:val="20"/>
                <w:lang w:val="en-US"/>
              </w:rPr>
              <w:t xml:space="preserve"> with appropriate diagnostics on a one stop shop basis</w:t>
            </w:r>
          </w:p>
          <w:p w:rsidR="00F35604" w:rsidRDefault="00F35604" w:rsidP="00F35604">
            <w:pPr>
              <w:pStyle w:val="Default"/>
              <w:numPr>
                <w:ilvl w:val="0"/>
                <w:numId w:val="17"/>
              </w:numPr>
              <w:rPr>
                <w:rFonts w:ascii="Arial" w:eastAsia="Arial" w:hAnsi="Arial" w:cs="Arial"/>
                <w:sz w:val="20"/>
                <w:szCs w:val="20"/>
              </w:rPr>
            </w:pPr>
            <w:r>
              <w:rPr>
                <w:rFonts w:ascii="Arial" w:hAnsi="Arial"/>
                <w:sz w:val="20"/>
                <w:szCs w:val="20"/>
                <w:lang w:val="en-US"/>
              </w:rPr>
              <w:t>Service provision in community locations commensurate with population need</w:t>
            </w:r>
          </w:p>
          <w:p w:rsidR="00F35604" w:rsidRDefault="00F35604" w:rsidP="00F35604">
            <w:pPr>
              <w:pStyle w:val="Default"/>
              <w:numPr>
                <w:ilvl w:val="0"/>
                <w:numId w:val="17"/>
              </w:numPr>
              <w:rPr>
                <w:rFonts w:ascii="Arial" w:hAnsi="Arial"/>
                <w:sz w:val="20"/>
                <w:szCs w:val="20"/>
                <w:lang w:val="en-US"/>
              </w:rPr>
            </w:pPr>
            <w:r>
              <w:rPr>
                <w:rFonts w:ascii="Arial" w:hAnsi="Arial"/>
                <w:sz w:val="20"/>
                <w:szCs w:val="20"/>
                <w:lang w:val="en-US"/>
              </w:rPr>
              <w:t>An independent evaluation partner</w:t>
            </w:r>
          </w:p>
          <w:p w:rsidR="00F35604" w:rsidRDefault="00F35604" w:rsidP="00F35604">
            <w:pPr>
              <w:pStyle w:val="Default"/>
              <w:rPr>
                <w:rFonts w:ascii="Arial" w:hAnsi="Arial"/>
                <w:sz w:val="20"/>
                <w:szCs w:val="20"/>
                <w:lang w:val="en-US"/>
              </w:rPr>
            </w:pPr>
          </w:p>
        </w:tc>
      </w:tr>
      <w:tr w:rsidR="00F35604"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F35604" w:rsidRPr="00A1526F" w:rsidRDefault="00ED34DE" w:rsidP="00C02C2C">
            <w:pPr>
              <w:pStyle w:val="Default"/>
              <w:rPr>
                <w:rFonts w:ascii="Arial" w:hAnsi="Arial" w:cs="Arial"/>
                <w:sz w:val="20"/>
                <w:szCs w:val="20"/>
              </w:rPr>
            </w:pPr>
            <w:r>
              <w:rPr>
                <w:rFonts w:ascii="Arial" w:hAnsi="Arial" w:cs="Arial"/>
                <w:sz w:val="20"/>
                <w:szCs w:val="20"/>
              </w:rPr>
              <w:t>2.4</w:t>
            </w:r>
          </w:p>
        </w:tc>
        <w:tc>
          <w:tcPr>
            <w:tcW w:w="9060" w:type="dxa"/>
            <w:gridSpan w:val="2"/>
          </w:tcPr>
          <w:p w:rsidR="00F35604" w:rsidRPr="00A1526F" w:rsidRDefault="00F35604" w:rsidP="00F35604">
            <w:pPr>
              <w:pStyle w:val="Default"/>
              <w:rPr>
                <w:rFonts w:ascii="Arial" w:hAnsi="Arial" w:cs="Arial"/>
                <w:sz w:val="20"/>
                <w:szCs w:val="20"/>
              </w:rPr>
            </w:pPr>
            <w:r w:rsidRPr="00A1526F">
              <w:rPr>
                <w:rFonts w:ascii="Arial" w:hAnsi="Arial" w:cs="Arial"/>
                <w:sz w:val="20"/>
                <w:szCs w:val="20"/>
              </w:rPr>
              <w:t>The following information is derived from 2016/17 M3 data and is in the public domain.</w:t>
            </w:r>
          </w:p>
          <w:p w:rsidR="00F35604" w:rsidRPr="00A1526F" w:rsidRDefault="00F35604" w:rsidP="00C02C2C">
            <w:pPr>
              <w:pStyle w:val="Default"/>
              <w:rPr>
                <w:rFonts w:ascii="Arial" w:hAnsi="Arial" w:cs="Arial"/>
                <w:sz w:val="20"/>
                <w:szCs w:val="20"/>
              </w:rPr>
            </w:pPr>
          </w:p>
        </w:tc>
      </w:tr>
      <w:tr w:rsidR="00B3110A"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B3110A" w:rsidRPr="00A1526F" w:rsidRDefault="00ED34DE" w:rsidP="00C02C2C">
            <w:pPr>
              <w:pStyle w:val="Default"/>
              <w:rPr>
                <w:rFonts w:ascii="Arial" w:hAnsi="Arial" w:cs="Arial"/>
                <w:sz w:val="20"/>
                <w:szCs w:val="20"/>
              </w:rPr>
            </w:pPr>
            <w:r>
              <w:rPr>
                <w:rFonts w:ascii="Arial" w:hAnsi="Arial" w:cs="Arial"/>
                <w:sz w:val="20"/>
                <w:szCs w:val="20"/>
              </w:rPr>
              <w:t>2.5</w:t>
            </w:r>
          </w:p>
        </w:tc>
        <w:tc>
          <w:tcPr>
            <w:tcW w:w="9060" w:type="dxa"/>
            <w:gridSpan w:val="2"/>
          </w:tcPr>
          <w:p w:rsidR="00D4694B" w:rsidRPr="00A1526F" w:rsidRDefault="00EC7399" w:rsidP="00EC7399">
            <w:pPr>
              <w:pStyle w:val="Default"/>
              <w:rPr>
                <w:rFonts w:ascii="Arial" w:hAnsi="Arial" w:cs="Arial"/>
                <w:sz w:val="20"/>
                <w:szCs w:val="20"/>
                <w:u w:val="single"/>
              </w:rPr>
            </w:pPr>
            <w:r w:rsidRPr="00A1526F">
              <w:rPr>
                <w:rFonts w:ascii="Arial" w:hAnsi="Arial" w:cs="Arial"/>
                <w:sz w:val="20"/>
                <w:szCs w:val="20"/>
                <w:u w:val="single"/>
              </w:rPr>
              <w:t>Total Pain Management Spend</w:t>
            </w:r>
          </w:p>
          <w:p w:rsidR="00EC7399" w:rsidRPr="00AD2A4A" w:rsidRDefault="00EC7399" w:rsidP="00EC7399">
            <w:pPr>
              <w:pStyle w:val="Default"/>
              <w:rPr>
                <w:rFonts w:ascii="Arial" w:hAnsi="Arial" w:cs="Arial"/>
                <w:sz w:val="22"/>
                <w:szCs w:val="22"/>
              </w:rPr>
            </w:pPr>
          </w:p>
          <w:tbl>
            <w:tblPr>
              <w:tblStyle w:val="TableGrid"/>
              <w:tblW w:w="0" w:type="auto"/>
              <w:tblLayout w:type="fixed"/>
              <w:tblLook w:val="04A0" w:firstRow="1" w:lastRow="0" w:firstColumn="1" w:lastColumn="0" w:noHBand="0" w:noVBand="1"/>
            </w:tblPr>
            <w:tblGrid>
              <w:gridCol w:w="2238"/>
              <w:gridCol w:w="2239"/>
              <w:gridCol w:w="2239"/>
              <w:gridCol w:w="2239"/>
            </w:tblGrid>
            <w:tr w:rsidR="00EC7399" w:rsidRPr="00A1526F" w:rsidTr="00AD2A4A">
              <w:tc>
                <w:tcPr>
                  <w:tcW w:w="2238" w:type="dxa"/>
                </w:tcPr>
                <w:p w:rsidR="00EC7399" w:rsidRPr="00A1526F" w:rsidRDefault="00EC7399" w:rsidP="00EC7399">
                  <w:pPr>
                    <w:pStyle w:val="Default"/>
                    <w:rPr>
                      <w:rFonts w:ascii="Arial" w:hAnsi="Arial" w:cs="Arial"/>
                      <w:sz w:val="16"/>
                      <w:szCs w:val="16"/>
                    </w:rPr>
                  </w:pPr>
                  <w:r w:rsidRPr="00A1526F">
                    <w:rPr>
                      <w:rFonts w:ascii="Arial" w:hAnsi="Arial" w:cs="Arial"/>
                      <w:sz w:val="16"/>
                      <w:szCs w:val="16"/>
                    </w:rPr>
                    <w:t>Prescribing (2015/16)</w:t>
                  </w:r>
                </w:p>
                <w:p w:rsidR="00EC7399" w:rsidRPr="00A1526F" w:rsidRDefault="00EC7399" w:rsidP="00EC7399">
                  <w:pPr>
                    <w:pStyle w:val="Default"/>
                    <w:rPr>
                      <w:rFonts w:ascii="Arial" w:hAnsi="Arial" w:cs="Arial"/>
                      <w:sz w:val="16"/>
                      <w:szCs w:val="16"/>
                    </w:rPr>
                  </w:pPr>
                </w:p>
              </w:tc>
              <w:tc>
                <w:tcPr>
                  <w:tcW w:w="2239" w:type="dxa"/>
                </w:tcPr>
                <w:p w:rsidR="00EC7399" w:rsidRPr="00A1526F" w:rsidRDefault="00EC7399" w:rsidP="00EC7399">
                  <w:pPr>
                    <w:pStyle w:val="Default"/>
                    <w:rPr>
                      <w:rFonts w:ascii="Arial" w:hAnsi="Arial" w:cs="Arial"/>
                      <w:sz w:val="16"/>
                      <w:szCs w:val="16"/>
                    </w:rPr>
                  </w:pPr>
                  <w:r w:rsidRPr="00A1526F">
                    <w:rPr>
                      <w:rFonts w:ascii="Arial" w:hAnsi="Arial" w:cs="Arial"/>
                      <w:sz w:val="16"/>
                      <w:szCs w:val="16"/>
                    </w:rPr>
                    <w:t>£1,991,896</w:t>
                  </w:r>
                </w:p>
                <w:p w:rsidR="00EC7399" w:rsidRPr="00A1526F" w:rsidRDefault="00EC7399" w:rsidP="00EC7399">
                  <w:pPr>
                    <w:pStyle w:val="Default"/>
                    <w:rPr>
                      <w:rFonts w:ascii="Arial" w:hAnsi="Arial" w:cs="Arial"/>
                      <w:sz w:val="16"/>
                      <w:szCs w:val="16"/>
                    </w:rPr>
                  </w:pPr>
                </w:p>
              </w:tc>
              <w:tc>
                <w:tcPr>
                  <w:tcW w:w="2239" w:type="dxa"/>
                </w:tcPr>
                <w:p w:rsidR="00EC7399" w:rsidRPr="00A1526F" w:rsidRDefault="00EC7399" w:rsidP="000B183A">
                  <w:pPr>
                    <w:pStyle w:val="Default"/>
                    <w:rPr>
                      <w:rFonts w:ascii="Arial" w:hAnsi="Arial" w:cs="Arial"/>
                      <w:sz w:val="16"/>
                      <w:szCs w:val="16"/>
                    </w:rPr>
                  </w:pPr>
                  <w:r w:rsidRPr="00A1526F">
                    <w:rPr>
                      <w:rFonts w:ascii="Arial" w:hAnsi="Arial" w:cs="Arial"/>
                      <w:sz w:val="16"/>
                      <w:szCs w:val="16"/>
                    </w:rPr>
                    <w:t>Prescribing (2015/16)</w:t>
                  </w:r>
                </w:p>
              </w:tc>
              <w:tc>
                <w:tcPr>
                  <w:tcW w:w="2239" w:type="dxa"/>
                </w:tcPr>
                <w:p w:rsidR="00EC7399" w:rsidRPr="00A1526F" w:rsidRDefault="00EC7399" w:rsidP="00EC7399">
                  <w:pPr>
                    <w:pStyle w:val="Default"/>
                    <w:rPr>
                      <w:rFonts w:ascii="Arial" w:hAnsi="Arial" w:cs="Arial"/>
                      <w:sz w:val="16"/>
                      <w:szCs w:val="16"/>
                    </w:rPr>
                  </w:pPr>
                  <w:r w:rsidRPr="00A1526F">
                    <w:rPr>
                      <w:rFonts w:ascii="Arial" w:hAnsi="Arial" w:cs="Arial"/>
                      <w:sz w:val="16"/>
                      <w:szCs w:val="16"/>
                    </w:rPr>
                    <w:t>£1,991,896</w:t>
                  </w:r>
                </w:p>
                <w:p w:rsidR="00EC7399" w:rsidRPr="00A1526F" w:rsidRDefault="00EC7399" w:rsidP="00EC7399">
                  <w:pPr>
                    <w:pStyle w:val="Default"/>
                    <w:rPr>
                      <w:rFonts w:ascii="Arial" w:hAnsi="Arial" w:cs="Arial"/>
                      <w:sz w:val="16"/>
                      <w:szCs w:val="16"/>
                    </w:rPr>
                  </w:pPr>
                </w:p>
              </w:tc>
            </w:tr>
            <w:tr w:rsidR="00EC7399" w:rsidRPr="00A1526F" w:rsidTr="00AD2A4A">
              <w:tc>
                <w:tcPr>
                  <w:tcW w:w="2238" w:type="dxa"/>
                </w:tcPr>
                <w:p w:rsidR="00EC7399" w:rsidRPr="00A1526F" w:rsidRDefault="00EC7399" w:rsidP="00EC7399">
                  <w:pPr>
                    <w:pStyle w:val="Default"/>
                    <w:rPr>
                      <w:rFonts w:ascii="Arial" w:hAnsi="Arial" w:cs="Arial"/>
                      <w:sz w:val="16"/>
                      <w:szCs w:val="16"/>
                    </w:rPr>
                  </w:pPr>
                  <w:r w:rsidRPr="00A1526F">
                    <w:rPr>
                      <w:rFonts w:ascii="Arial" w:hAnsi="Arial" w:cs="Arial"/>
                      <w:sz w:val="16"/>
                      <w:szCs w:val="16"/>
                    </w:rPr>
                    <w:t>Acute (16/17 Plan)</w:t>
                  </w:r>
                </w:p>
                <w:p w:rsidR="00EC7399" w:rsidRPr="00A1526F" w:rsidRDefault="00EC7399" w:rsidP="00EC7399">
                  <w:pPr>
                    <w:pStyle w:val="Default"/>
                    <w:rPr>
                      <w:rFonts w:ascii="Arial" w:hAnsi="Arial" w:cs="Arial"/>
                      <w:sz w:val="16"/>
                      <w:szCs w:val="16"/>
                    </w:rPr>
                  </w:pPr>
                </w:p>
              </w:tc>
              <w:tc>
                <w:tcPr>
                  <w:tcW w:w="2239" w:type="dxa"/>
                </w:tcPr>
                <w:p w:rsidR="00EC7399" w:rsidRPr="00A1526F" w:rsidRDefault="00EC7399" w:rsidP="00EC7399">
                  <w:pPr>
                    <w:pStyle w:val="Default"/>
                    <w:rPr>
                      <w:rFonts w:ascii="Arial" w:hAnsi="Arial" w:cs="Arial"/>
                      <w:sz w:val="16"/>
                      <w:szCs w:val="16"/>
                    </w:rPr>
                  </w:pPr>
                  <w:r w:rsidRPr="00A1526F">
                    <w:rPr>
                      <w:rFonts w:ascii="Arial" w:hAnsi="Arial" w:cs="Arial"/>
                      <w:sz w:val="16"/>
                      <w:szCs w:val="16"/>
                    </w:rPr>
                    <w:t>£1,320,231</w:t>
                  </w:r>
                </w:p>
                <w:p w:rsidR="00EC7399" w:rsidRPr="00A1526F" w:rsidRDefault="00EC7399" w:rsidP="00EC7399">
                  <w:pPr>
                    <w:pStyle w:val="Default"/>
                    <w:rPr>
                      <w:rFonts w:ascii="Arial" w:hAnsi="Arial" w:cs="Arial"/>
                      <w:sz w:val="16"/>
                      <w:szCs w:val="16"/>
                    </w:rPr>
                  </w:pPr>
                </w:p>
              </w:tc>
              <w:tc>
                <w:tcPr>
                  <w:tcW w:w="2239" w:type="dxa"/>
                </w:tcPr>
                <w:p w:rsidR="00EC7399" w:rsidRPr="00A1526F" w:rsidRDefault="00EC7399" w:rsidP="000B183A">
                  <w:pPr>
                    <w:pStyle w:val="Default"/>
                    <w:rPr>
                      <w:rFonts w:ascii="Arial" w:hAnsi="Arial" w:cs="Arial"/>
                      <w:sz w:val="16"/>
                      <w:szCs w:val="16"/>
                    </w:rPr>
                  </w:pPr>
                  <w:r w:rsidRPr="00A1526F">
                    <w:rPr>
                      <w:rFonts w:ascii="Arial" w:hAnsi="Arial" w:cs="Arial"/>
                      <w:sz w:val="16"/>
                      <w:szCs w:val="16"/>
                    </w:rPr>
                    <w:t>Acute (16/17 FOT @ M3)</w:t>
                  </w:r>
                </w:p>
              </w:tc>
              <w:tc>
                <w:tcPr>
                  <w:tcW w:w="2239" w:type="dxa"/>
                </w:tcPr>
                <w:p w:rsidR="00EC7399" w:rsidRPr="00A1526F" w:rsidRDefault="00EC7399" w:rsidP="00EC7399">
                  <w:pPr>
                    <w:pStyle w:val="Default"/>
                    <w:rPr>
                      <w:rFonts w:ascii="Arial" w:hAnsi="Arial" w:cs="Arial"/>
                      <w:sz w:val="16"/>
                      <w:szCs w:val="16"/>
                    </w:rPr>
                  </w:pPr>
                  <w:r w:rsidRPr="00A1526F">
                    <w:rPr>
                      <w:rFonts w:ascii="Arial" w:hAnsi="Arial" w:cs="Arial"/>
                      <w:sz w:val="16"/>
                      <w:szCs w:val="16"/>
                    </w:rPr>
                    <w:t>£1,847,252</w:t>
                  </w:r>
                </w:p>
                <w:p w:rsidR="00EC7399" w:rsidRPr="00A1526F" w:rsidRDefault="00EC7399" w:rsidP="00EC7399">
                  <w:pPr>
                    <w:pStyle w:val="Default"/>
                    <w:rPr>
                      <w:rFonts w:ascii="Arial" w:hAnsi="Arial" w:cs="Arial"/>
                      <w:sz w:val="16"/>
                      <w:szCs w:val="16"/>
                    </w:rPr>
                  </w:pPr>
                </w:p>
              </w:tc>
            </w:tr>
            <w:tr w:rsidR="00EC7399" w:rsidRPr="00A1526F" w:rsidTr="00AD2A4A">
              <w:tc>
                <w:tcPr>
                  <w:tcW w:w="2238" w:type="dxa"/>
                </w:tcPr>
                <w:p w:rsidR="00EC7399" w:rsidRPr="00A1526F" w:rsidRDefault="00EC7399" w:rsidP="00EC7399">
                  <w:pPr>
                    <w:pStyle w:val="Default"/>
                    <w:rPr>
                      <w:rFonts w:ascii="Arial" w:hAnsi="Arial" w:cs="Arial"/>
                      <w:sz w:val="16"/>
                      <w:szCs w:val="16"/>
                    </w:rPr>
                  </w:pPr>
                  <w:r w:rsidRPr="00A1526F">
                    <w:rPr>
                      <w:rFonts w:ascii="Arial" w:hAnsi="Arial" w:cs="Arial"/>
                      <w:sz w:val="16"/>
                      <w:szCs w:val="16"/>
                    </w:rPr>
                    <w:t>Total</w:t>
                  </w:r>
                </w:p>
              </w:tc>
              <w:tc>
                <w:tcPr>
                  <w:tcW w:w="2239" w:type="dxa"/>
                </w:tcPr>
                <w:p w:rsidR="00EC7399" w:rsidRPr="00A1526F" w:rsidRDefault="00EC7399" w:rsidP="00EC7399">
                  <w:pPr>
                    <w:pStyle w:val="Default"/>
                    <w:rPr>
                      <w:rFonts w:ascii="Arial" w:hAnsi="Arial" w:cs="Arial"/>
                      <w:sz w:val="16"/>
                      <w:szCs w:val="16"/>
                    </w:rPr>
                  </w:pPr>
                  <w:r w:rsidRPr="00A1526F">
                    <w:rPr>
                      <w:rFonts w:ascii="Arial" w:hAnsi="Arial" w:cs="Arial"/>
                      <w:sz w:val="16"/>
                      <w:szCs w:val="16"/>
                    </w:rPr>
                    <w:t>£3,312,127</w:t>
                  </w:r>
                </w:p>
              </w:tc>
              <w:tc>
                <w:tcPr>
                  <w:tcW w:w="2239" w:type="dxa"/>
                </w:tcPr>
                <w:p w:rsidR="00EC7399" w:rsidRPr="00A1526F" w:rsidRDefault="00EC7399" w:rsidP="000B183A">
                  <w:pPr>
                    <w:pStyle w:val="Default"/>
                    <w:rPr>
                      <w:rFonts w:ascii="Arial" w:hAnsi="Arial" w:cs="Arial"/>
                      <w:sz w:val="16"/>
                      <w:szCs w:val="16"/>
                    </w:rPr>
                  </w:pPr>
                  <w:r w:rsidRPr="00A1526F">
                    <w:rPr>
                      <w:rFonts w:ascii="Arial" w:hAnsi="Arial" w:cs="Arial"/>
                      <w:sz w:val="16"/>
                      <w:szCs w:val="16"/>
                    </w:rPr>
                    <w:t>Total</w:t>
                  </w:r>
                </w:p>
              </w:tc>
              <w:tc>
                <w:tcPr>
                  <w:tcW w:w="2239" w:type="dxa"/>
                </w:tcPr>
                <w:p w:rsidR="00EC7399" w:rsidRPr="00A1526F" w:rsidRDefault="00EC7399" w:rsidP="00EC7399">
                  <w:pPr>
                    <w:pStyle w:val="Default"/>
                    <w:rPr>
                      <w:rFonts w:ascii="Arial" w:hAnsi="Arial" w:cs="Arial"/>
                      <w:sz w:val="16"/>
                      <w:szCs w:val="16"/>
                    </w:rPr>
                  </w:pPr>
                  <w:r w:rsidRPr="00A1526F">
                    <w:rPr>
                      <w:rFonts w:ascii="Arial" w:hAnsi="Arial" w:cs="Arial"/>
                      <w:sz w:val="16"/>
                      <w:szCs w:val="16"/>
                    </w:rPr>
                    <w:t>£3,839,148</w:t>
                  </w:r>
                </w:p>
              </w:tc>
            </w:tr>
          </w:tbl>
          <w:p w:rsidR="00EC7399" w:rsidRPr="00AD2A4A" w:rsidRDefault="00EC7399" w:rsidP="00EC7399">
            <w:pPr>
              <w:pStyle w:val="Default"/>
              <w:rPr>
                <w:rFonts w:ascii="Arial" w:hAnsi="Arial" w:cs="Arial"/>
                <w:sz w:val="22"/>
                <w:szCs w:val="22"/>
              </w:rPr>
            </w:pPr>
            <w:r w:rsidRPr="00AD2A4A">
              <w:rPr>
                <w:rFonts w:ascii="Arial" w:hAnsi="Arial" w:cs="Arial"/>
                <w:sz w:val="22"/>
                <w:szCs w:val="22"/>
              </w:rPr>
              <w:br/>
            </w:r>
          </w:p>
        </w:tc>
      </w:tr>
      <w:tr w:rsidR="00D65AF3"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D65AF3" w:rsidRPr="00A1526F" w:rsidRDefault="00ED34DE" w:rsidP="00C02C2C">
            <w:pPr>
              <w:pStyle w:val="Default"/>
              <w:rPr>
                <w:rFonts w:ascii="Arial" w:hAnsi="Arial" w:cs="Arial"/>
                <w:sz w:val="20"/>
                <w:szCs w:val="20"/>
              </w:rPr>
            </w:pPr>
            <w:r>
              <w:rPr>
                <w:rFonts w:ascii="Arial" w:hAnsi="Arial" w:cs="Arial"/>
                <w:sz w:val="20"/>
                <w:szCs w:val="20"/>
              </w:rPr>
              <w:t>2.6</w:t>
            </w:r>
          </w:p>
        </w:tc>
        <w:tc>
          <w:tcPr>
            <w:tcW w:w="9060" w:type="dxa"/>
            <w:gridSpan w:val="2"/>
          </w:tcPr>
          <w:p w:rsidR="00A14190" w:rsidRPr="00A1526F" w:rsidRDefault="00EC7399" w:rsidP="00D65AF3">
            <w:pPr>
              <w:pStyle w:val="Default"/>
              <w:rPr>
                <w:rFonts w:ascii="Arial" w:hAnsi="Arial" w:cs="Arial"/>
                <w:sz w:val="20"/>
                <w:szCs w:val="20"/>
                <w:u w:val="single"/>
              </w:rPr>
            </w:pPr>
            <w:r w:rsidRPr="00A1526F">
              <w:rPr>
                <w:rFonts w:ascii="Arial" w:hAnsi="Arial" w:cs="Arial"/>
                <w:sz w:val="20"/>
                <w:szCs w:val="20"/>
                <w:u w:val="single"/>
              </w:rPr>
              <w:t>Prescribing Spend Detail</w:t>
            </w:r>
          </w:p>
          <w:p w:rsidR="00EC7399" w:rsidRPr="00AD2A4A" w:rsidRDefault="00EC7399" w:rsidP="00D65AF3">
            <w:pPr>
              <w:pStyle w:val="Default"/>
              <w:rPr>
                <w:rFonts w:ascii="Arial" w:hAnsi="Arial" w:cs="Arial"/>
                <w:sz w:val="22"/>
                <w:szCs w:val="22"/>
              </w:rPr>
            </w:pPr>
          </w:p>
          <w:tbl>
            <w:tblPr>
              <w:tblStyle w:val="TableGrid"/>
              <w:tblW w:w="0" w:type="auto"/>
              <w:tblLayout w:type="fixed"/>
              <w:tblLook w:val="04A0" w:firstRow="1" w:lastRow="0" w:firstColumn="1" w:lastColumn="0" w:noHBand="0" w:noVBand="1"/>
            </w:tblPr>
            <w:tblGrid>
              <w:gridCol w:w="4477"/>
              <w:gridCol w:w="4477"/>
            </w:tblGrid>
            <w:tr w:rsidR="00EC7399" w:rsidRPr="00A1526F" w:rsidTr="00AD2A4A">
              <w:tc>
                <w:tcPr>
                  <w:tcW w:w="4477" w:type="dxa"/>
                </w:tcPr>
                <w:p w:rsidR="00EC7399" w:rsidRPr="00A1526F" w:rsidRDefault="0017032C" w:rsidP="00D65AF3">
                  <w:pPr>
                    <w:pStyle w:val="Default"/>
                    <w:rPr>
                      <w:rFonts w:ascii="Arial" w:hAnsi="Arial" w:cs="Arial"/>
                      <w:sz w:val="16"/>
                      <w:szCs w:val="16"/>
                    </w:rPr>
                  </w:pPr>
                  <w:r w:rsidRPr="00A1526F">
                    <w:rPr>
                      <w:rFonts w:ascii="Arial" w:hAnsi="Arial" w:cs="Arial"/>
                      <w:sz w:val="16"/>
                      <w:szCs w:val="16"/>
                    </w:rPr>
                    <w:t>Drug Name</w:t>
                  </w:r>
                </w:p>
              </w:tc>
              <w:tc>
                <w:tcPr>
                  <w:tcW w:w="4477" w:type="dxa"/>
                </w:tcPr>
                <w:p w:rsidR="00EC7399" w:rsidRPr="00A1526F" w:rsidRDefault="0017032C" w:rsidP="00D65AF3">
                  <w:pPr>
                    <w:pStyle w:val="Default"/>
                    <w:rPr>
                      <w:rFonts w:ascii="Arial" w:hAnsi="Arial" w:cs="Arial"/>
                      <w:sz w:val="16"/>
                      <w:szCs w:val="16"/>
                    </w:rPr>
                  </w:pPr>
                  <w:r w:rsidRPr="00A1526F">
                    <w:rPr>
                      <w:rFonts w:ascii="Arial" w:hAnsi="Arial" w:cs="Arial"/>
                      <w:sz w:val="16"/>
                      <w:szCs w:val="16"/>
                    </w:rPr>
                    <w:t>Sum of Actual Cost</w:t>
                  </w:r>
                </w:p>
              </w:tc>
            </w:tr>
            <w:tr w:rsidR="00EC7399" w:rsidRPr="00A1526F" w:rsidTr="00AD2A4A">
              <w:tc>
                <w:tcPr>
                  <w:tcW w:w="4477" w:type="dxa"/>
                </w:tcPr>
                <w:p w:rsidR="00EC7399" w:rsidRPr="00A1526F" w:rsidRDefault="0017032C" w:rsidP="00D65AF3">
                  <w:pPr>
                    <w:pStyle w:val="Default"/>
                    <w:rPr>
                      <w:rFonts w:ascii="Arial" w:hAnsi="Arial" w:cs="Arial"/>
                      <w:sz w:val="16"/>
                      <w:szCs w:val="16"/>
                    </w:rPr>
                  </w:pPr>
                  <w:r w:rsidRPr="00A1526F">
                    <w:rPr>
                      <w:rFonts w:ascii="Arial" w:hAnsi="Arial" w:cs="Arial"/>
                      <w:sz w:val="16"/>
                      <w:szCs w:val="16"/>
                    </w:rPr>
                    <w:t>Analgesics</w:t>
                  </w:r>
                </w:p>
              </w:tc>
              <w:tc>
                <w:tcPr>
                  <w:tcW w:w="4477" w:type="dxa"/>
                </w:tcPr>
                <w:p w:rsidR="00EC7399" w:rsidRPr="00A1526F" w:rsidRDefault="0017032C" w:rsidP="00D65AF3">
                  <w:pPr>
                    <w:pStyle w:val="Default"/>
                    <w:rPr>
                      <w:rFonts w:ascii="Arial" w:hAnsi="Arial" w:cs="Arial"/>
                      <w:sz w:val="16"/>
                      <w:szCs w:val="16"/>
                    </w:rPr>
                  </w:pPr>
                  <w:r w:rsidRPr="00A1526F">
                    <w:rPr>
                      <w:rFonts w:ascii="Arial" w:hAnsi="Arial" w:cs="Arial"/>
                      <w:sz w:val="16"/>
                      <w:szCs w:val="16"/>
                    </w:rPr>
                    <w:t>£1,250,541</w:t>
                  </w:r>
                </w:p>
              </w:tc>
            </w:tr>
            <w:tr w:rsidR="0017032C" w:rsidRPr="00A1526F" w:rsidTr="00AD2A4A">
              <w:tc>
                <w:tcPr>
                  <w:tcW w:w="4477" w:type="dxa"/>
                </w:tcPr>
                <w:p w:rsidR="0017032C" w:rsidRPr="00A1526F" w:rsidRDefault="0017032C" w:rsidP="00D65AF3">
                  <w:pPr>
                    <w:pStyle w:val="Default"/>
                    <w:rPr>
                      <w:rFonts w:ascii="Arial" w:hAnsi="Arial" w:cs="Arial"/>
                      <w:sz w:val="16"/>
                      <w:szCs w:val="16"/>
                    </w:rPr>
                  </w:pPr>
                  <w:proofErr w:type="spellStart"/>
                  <w:r w:rsidRPr="00A1526F">
                    <w:rPr>
                      <w:rFonts w:ascii="Arial" w:hAnsi="Arial" w:cs="Arial"/>
                      <w:sz w:val="16"/>
                      <w:szCs w:val="16"/>
                    </w:rPr>
                    <w:lastRenderedPageBreak/>
                    <w:t>Pregabalin</w:t>
                  </w:r>
                  <w:proofErr w:type="spellEnd"/>
                  <w:r w:rsidRPr="00A1526F">
                    <w:rPr>
                      <w:rFonts w:ascii="Arial" w:hAnsi="Arial" w:cs="Arial"/>
                      <w:sz w:val="16"/>
                      <w:szCs w:val="16"/>
                    </w:rPr>
                    <w:t xml:space="preserve"> / Lyrica</w:t>
                  </w:r>
                </w:p>
              </w:tc>
              <w:tc>
                <w:tcPr>
                  <w:tcW w:w="4477" w:type="dxa"/>
                </w:tcPr>
                <w:p w:rsidR="0017032C" w:rsidRPr="00A1526F" w:rsidRDefault="0017032C" w:rsidP="00D65AF3">
                  <w:pPr>
                    <w:pStyle w:val="Default"/>
                    <w:rPr>
                      <w:rFonts w:ascii="Arial" w:hAnsi="Arial" w:cs="Arial"/>
                      <w:sz w:val="16"/>
                      <w:szCs w:val="16"/>
                    </w:rPr>
                  </w:pPr>
                  <w:r w:rsidRPr="00A1526F">
                    <w:rPr>
                      <w:rFonts w:ascii="Arial" w:hAnsi="Arial" w:cs="Arial"/>
                      <w:sz w:val="16"/>
                      <w:szCs w:val="16"/>
                    </w:rPr>
                    <w:t>£741,355</w:t>
                  </w:r>
                </w:p>
              </w:tc>
            </w:tr>
            <w:tr w:rsidR="0017032C" w:rsidRPr="00A1526F" w:rsidTr="00AD2A4A">
              <w:tc>
                <w:tcPr>
                  <w:tcW w:w="4477" w:type="dxa"/>
                </w:tcPr>
                <w:p w:rsidR="0017032C" w:rsidRPr="00A1526F" w:rsidRDefault="0017032C" w:rsidP="00D65AF3">
                  <w:pPr>
                    <w:pStyle w:val="Default"/>
                    <w:rPr>
                      <w:rFonts w:ascii="Arial" w:hAnsi="Arial" w:cs="Arial"/>
                      <w:sz w:val="16"/>
                      <w:szCs w:val="16"/>
                    </w:rPr>
                  </w:pPr>
                  <w:r w:rsidRPr="00A1526F">
                    <w:rPr>
                      <w:rFonts w:ascii="Arial" w:hAnsi="Arial" w:cs="Arial"/>
                      <w:sz w:val="16"/>
                      <w:szCs w:val="16"/>
                    </w:rPr>
                    <w:t>Total</w:t>
                  </w:r>
                </w:p>
              </w:tc>
              <w:tc>
                <w:tcPr>
                  <w:tcW w:w="4477" w:type="dxa"/>
                </w:tcPr>
                <w:p w:rsidR="0017032C" w:rsidRPr="00A1526F" w:rsidRDefault="0017032C" w:rsidP="00D65AF3">
                  <w:pPr>
                    <w:pStyle w:val="Default"/>
                    <w:rPr>
                      <w:rFonts w:ascii="Arial" w:hAnsi="Arial" w:cs="Arial"/>
                      <w:sz w:val="16"/>
                      <w:szCs w:val="16"/>
                    </w:rPr>
                  </w:pPr>
                  <w:r w:rsidRPr="00A1526F">
                    <w:rPr>
                      <w:rFonts w:ascii="Arial" w:hAnsi="Arial" w:cs="Arial"/>
                      <w:sz w:val="16"/>
                      <w:szCs w:val="16"/>
                    </w:rPr>
                    <w:t>£1,991,896</w:t>
                  </w:r>
                </w:p>
              </w:tc>
            </w:tr>
          </w:tbl>
          <w:p w:rsidR="00EC7399" w:rsidRPr="00AD2A4A" w:rsidRDefault="00EC7399" w:rsidP="00D65AF3">
            <w:pPr>
              <w:pStyle w:val="Default"/>
              <w:rPr>
                <w:rFonts w:ascii="Arial" w:hAnsi="Arial" w:cs="Arial"/>
                <w:sz w:val="22"/>
                <w:szCs w:val="22"/>
              </w:rPr>
            </w:pPr>
          </w:p>
          <w:p w:rsidR="00EC7399" w:rsidRPr="00AD2A4A" w:rsidRDefault="00EC7399" w:rsidP="00D65AF3">
            <w:pPr>
              <w:pStyle w:val="Default"/>
              <w:rPr>
                <w:rFonts w:ascii="Arial" w:hAnsi="Arial" w:cs="Arial"/>
                <w:sz w:val="22"/>
                <w:szCs w:val="22"/>
              </w:rPr>
            </w:pPr>
          </w:p>
        </w:tc>
      </w:tr>
      <w:tr w:rsidR="0017032C"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17032C" w:rsidRPr="00A1526F" w:rsidRDefault="00ED34DE" w:rsidP="00C02C2C">
            <w:pPr>
              <w:pStyle w:val="Default"/>
              <w:rPr>
                <w:rFonts w:ascii="Arial" w:hAnsi="Arial" w:cs="Arial"/>
                <w:sz w:val="20"/>
                <w:szCs w:val="20"/>
              </w:rPr>
            </w:pPr>
            <w:r>
              <w:rPr>
                <w:rFonts w:ascii="Arial" w:hAnsi="Arial" w:cs="Arial"/>
                <w:sz w:val="20"/>
                <w:szCs w:val="20"/>
              </w:rPr>
              <w:lastRenderedPageBreak/>
              <w:t>2.7</w:t>
            </w:r>
          </w:p>
        </w:tc>
        <w:tc>
          <w:tcPr>
            <w:tcW w:w="9060" w:type="dxa"/>
            <w:gridSpan w:val="2"/>
          </w:tcPr>
          <w:p w:rsidR="0017032C" w:rsidRPr="00A1526F" w:rsidRDefault="0017032C" w:rsidP="0017032C">
            <w:pPr>
              <w:pStyle w:val="Default"/>
              <w:rPr>
                <w:rFonts w:ascii="Arial" w:hAnsi="Arial" w:cs="Arial"/>
                <w:iCs/>
                <w:sz w:val="20"/>
                <w:szCs w:val="20"/>
                <w:u w:val="single"/>
                <w:lang w:val="en-US"/>
              </w:rPr>
            </w:pPr>
            <w:r w:rsidRPr="00A1526F">
              <w:rPr>
                <w:rFonts w:ascii="Arial" w:hAnsi="Arial" w:cs="Arial"/>
                <w:iCs/>
                <w:sz w:val="20"/>
                <w:szCs w:val="20"/>
                <w:u w:val="single"/>
                <w:lang w:val="en-US"/>
              </w:rPr>
              <w:t>Acute High Level Summary - Specialty Code 191 – Pain Management</w:t>
            </w:r>
          </w:p>
          <w:p w:rsidR="0017032C" w:rsidRPr="00A1526F" w:rsidRDefault="0017032C" w:rsidP="0017032C">
            <w:pPr>
              <w:pStyle w:val="Default"/>
              <w:rPr>
                <w:rFonts w:ascii="Arial" w:hAnsi="Arial" w:cs="Arial"/>
                <w:i/>
                <w:iCs/>
                <w:sz w:val="20"/>
                <w:szCs w:val="20"/>
                <w:lang w:val="en-US"/>
              </w:rPr>
            </w:pPr>
          </w:p>
          <w:p w:rsidR="0017032C" w:rsidRPr="00A1526F" w:rsidRDefault="0017032C" w:rsidP="0017032C">
            <w:pPr>
              <w:pStyle w:val="Default"/>
              <w:rPr>
                <w:rFonts w:ascii="Arial" w:hAnsi="Arial" w:cs="Arial"/>
                <w:sz w:val="20"/>
                <w:szCs w:val="20"/>
              </w:rPr>
            </w:pPr>
            <w:r w:rsidRPr="00A1526F">
              <w:rPr>
                <w:rFonts w:ascii="Arial" w:hAnsi="Arial" w:cs="Arial"/>
                <w:sz w:val="20"/>
                <w:szCs w:val="20"/>
              </w:rPr>
              <w:t>Currently forecasting significant over performance:</w:t>
            </w:r>
          </w:p>
          <w:p w:rsidR="00B12B7C" w:rsidRPr="00A1526F" w:rsidRDefault="00A1526F" w:rsidP="0017032C">
            <w:pPr>
              <w:pStyle w:val="Default"/>
              <w:numPr>
                <w:ilvl w:val="0"/>
                <w:numId w:val="12"/>
              </w:numPr>
              <w:rPr>
                <w:rFonts w:ascii="Arial" w:hAnsi="Arial" w:cs="Arial"/>
                <w:sz w:val="20"/>
                <w:szCs w:val="20"/>
              </w:rPr>
            </w:pPr>
            <w:r w:rsidRPr="00A1526F">
              <w:rPr>
                <w:rFonts w:ascii="Arial" w:hAnsi="Arial" w:cs="Arial"/>
                <w:sz w:val="20"/>
                <w:szCs w:val="20"/>
              </w:rPr>
              <w:t>£530k over a plan of £1.3 million</w:t>
            </w:r>
          </w:p>
          <w:p w:rsidR="00B12B7C" w:rsidRPr="00A1526F" w:rsidRDefault="00A1526F" w:rsidP="0017032C">
            <w:pPr>
              <w:pStyle w:val="Default"/>
              <w:numPr>
                <w:ilvl w:val="0"/>
                <w:numId w:val="12"/>
              </w:numPr>
              <w:rPr>
                <w:rFonts w:ascii="Arial" w:hAnsi="Arial" w:cs="Arial"/>
                <w:sz w:val="20"/>
                <w:szCs w:val="20"/>
              </w:rPr>
            </w:pPr>
            <w:r w:rsidRPr="00A1526F">
              <w:rPr>
                <w:rFonts w:ascii="Arial" w:hAnsi="Arial" w:cs="Arial"/>
                <w:sz w:val="20"/>
                <w:szCs w:val="20"/>
              </w:rPr>
              <w:t>40% Forecast cost variance</w:t>
            </w:r>
          </w:p>
          <w:p w:rsidR="00B12B7C" w:rsidRPr="00A1526F" w:rsidRDefault="00A1526F" w:rsidP="0017032C">
            <w:pPr>
              <w:pStyle w:val="Default"/>
              <w:numPr>
                <w:ilvl w:val="0"/>
                <w:numId w:val="12"/>
              </w:numPr>
              <w:rPr>
                <w:rFonts w:ascii="Arial" w:hAnsi="Arial" w:cs="Arial"/>
                <w:sz w:val="20"/>
                <w:szCs w:val="20"/>
              </w:rPr>
            </w:pPr>
            <w:r w:rsidRPr="00A1526F">
              <w:rPr>
                <w:rFonts w:ascii="Arial" w:hAnsi="Arial" w:cs="Arial"/>
                <w:sz w:val="20"/>
                <w:szCs w:val="20"/>
              </w:rPr>
              <w:t>33% Forecast activity variance</w:t>
            </w:r>
          </w:p>
          <w:p w:rsidR="0017032C" w:rsidRPr="00AD2A4A" w:rsidRDefault="0017032C" w:rsidP="0017032C">
            <w:pPr>
              <w:pStyle w:val="Default"/>
              <w:rPr>
                <w:rFonts w:ascii="Arial" w:hAnsi="Arial" w:cs="Arial"/>
                <w:sz w:val="22"/>
                <w:szCs w:val="22"/>
              </w:rPr>
            </w:pPr>
          </w:p>
          <w:tbl>
            <w:tblPr>
              <w:tblStyle w:val="TableGrid"/>
              <w:tblW w:w="0" w:type="auto"/>
              <w:tblLayout w:type="fixed"/>
              <w:tblLook w:val="04A0" w:firstRow="1" w:lastRow="0" w:firstColumn="1" w:lastColumn="0" w:noHBand="0" w:noVBand="1"/>
            </w:tblPr>
            <w:tblGrid>
              <w:gridCol w:w="620"/>
              <w:gridCol w:w="1150"/>
              <w:gridCol w:w="737"/>
              <w:gridCol w:w="737"/>
              <w:gridCol w:w="737"/>
              <w:gridCol w:w="1019"/>
              <w:gridCol w:w="1019"/>
              <w:gridCol w:w="892"/>
              <w:gridCol w:w="874"/>
              <w:gridCol w:w="567"/>
            </w:tblGrid>
            <w:tr w:rsidR="0017032C" w:rsidRPr="00AD2A4A" w:rsidTr="00AD2A4A">
              <w:tc>
                <w:tcPr>
                  <w:tcW w:w="620"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Spec Code</w:t>
                  </w:r>
                </w:p>
              </w:tc>
              <w:tc>
                <w:tcPr>
                  <w:tcW w:w="1150"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 xml:space="preserve">Spec </w:t>
                  </w:r>
                  <w:proofErr w:type="spellStart"/>
                  <w:r w:rsidRPr="00AD2A4A">
                    <w:rPr>
                      <w:rFonts w:ascii="Arial" w:hAnsi="Arial" w:cs="Arial"/>
                      <w:sz w:val="16"/>
                      <w:szCs w:val="16"/>
                    </w:rPr>
                    <w:t>Desc</w:t>
                  </w:r>
                  <w:proofErr w:type="spellEnd"/>
                </w:p>
              </w:tc>
              <w:tc>
                <w:tcPr>
                  <w:tcW w:w="737"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Activity Plan</w:t>
                  </w:r>
                </w:p>
              </w:tc>
              <w:tc>
                <w:tcPr>
                  <w:tcW w:w="737"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Activity Actual</w:t>
                  </w:r>
                </w:p>
              </w:tc>
              <w:tc>
                <w:tcPr>
                  <w:tcW w:w="737"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 xml:space="preserve">Activity </w:t>
                  </w:r>
                  <w:proofErr w:type="spellStart"/>
                  <w:r w:rsidRPr="00AD2A4A">
                    <w:rPr>
                      <w:rFonts w:ascii="Arial" w:hAnsi="Arial" w:cs="Arial"/>
                      <w:sz w:val="16"/>
                      <w:szCs w:val="16"/>
                    </w:rPr>
                    <w:t>Var</w:t>
                  </w:r>
                  <w:proofErr w:type="spellEnd"/>
                </w:p>
              </w:tc>
              <w:tc>
                <w:tcPr>
                  <w:tcW w:w="1019"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Cost Plan</w:t>
                  </w:r>
                </w:p>
              </w:tc>
              <w:tc>
                <w:tcPr>
                  <w:tcW w:w="1019"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Cost Actual</w:t>
                  </w:r>
                </w:p>
              </w:tc>
              <w:tc>
                <w:tcPr>
                  <w:tcW w:w="892"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 xml:space="preserve">Cost </w:t>
                  </w:r>
                  <w:proofErr w:type="spellStart"/>
                  <w:r w:rsidRPr="00AD2A4A">
                    <w:rPr>
                      <w:rFonts w:ascii="Arial" w:hAnsi="Arial" w:cs="Arial"/>
                      <w:sz w:val="16"/>
                      <w:szCs w:val="16"/>
                    </w:rPr>
                    <w:t>Var</w:t>
                  </w:r>
                  <w:proofErr w:type="spellEnd"/>
                </w:p>
              </w:tc>
              <w:tc>
                <w:tcPr>
                  <w:tcW w:w="874"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 xml:space="preserve">%Activity </w:t>
                  </w:r>
                  <w:proofErr w:type="spellStart"/>
                  <w:r w:rsidRPr="00AD2A4A">
                    <w:rPr>
                      <w:rFonts w:ascii="Arial" w:hAnsi="Arial" w:cs="Arial"/>
                      <w:sz w:val="16"/>
                      <w:szCs w:val="16"/>
                    </w:rPr>
                    <w:t>Var</w:t>
                  </w:r>
                  <w:proofErr w:type="spellEnd"/>
                </w:p>
              </w:tc>
              <w:tc>
                <w:tcPr>
                  <w:tcW w:w="567"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 xml:space="preserve">% Cost </w:t>
                  </w:r>
                  <w:proofErr w:type="spellStart"/>
                  <w:r w:rsidRPr="00AD2A4A">
                    <w:rPr>
                      <w:rFonts w:ascii="Arial" w:hAnsi="Arial" w:cs="Arial"/>
                      <w:sz w:val="16"/>
                      <w:szCs w:val="16"/>
                    </w:rPr>
                    <w:t>Var</w:t>
                  </w:r>
                  <w:proofErr w:type="spellEnd"/>
                </w:p>
              </w:tc>
            </w:tr>
            <w:tr w:rsidR="0017032C" w:rsidRPr="00AD2A4A" w:rsidTr="00AD2A4A">
              <w:tc>
                <w:tcPr>
                  <w:tcW w:w="620"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191</w:t>
                  </w:r>
                </w:p>
              </w:tc>
              <w:tc>
                <w:tcPr>
                  <w:tcW w:w="1150"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Pain Management</w:t>
                  </w:r>
                </w:p>
              </w:tc>
              <w:tc>
                <w:tcPr>
                  <w:tcW w:w="737"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3,552</w:t>
                  </w:r>
                </w:p>
              </w:tc>
              <w:tc>
                <w:tcPr>
                  <w:tcW w:w="737"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4,720</w:t>
                  </w:r>
                </w:p>
              </w:tc>
              <w:tc>
                <w:tcPr>
                  <w:tcW w:w="737"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1,168</w:t>
                  </w:r>
                </w:p>
              </w:tc>
              <w:tc>
                <w:tcPr>
                  <w:tcW w:w="1019"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£1,320,231</w:t>
                  </w:r>
                </w:p>
              </w:tc>
              <w:tc>
                <w:tcPr>
                  <w:tcW w:w="1019"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£1,847,252</w:t>
                  </w:r>
                </w:p>
              </w:tc>
              <w:tc>
                <w:tcPr>
                  <w:tcW w:w="892"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£527,020</w:t>
                  </w:r>
                </w:p>
              </w:tc>
              <w:tc>
                <w:tcPr>
                  <w:tcW w:w="874"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33%</w:t>
                  </w:r>
                </w:p>
              </w:tc>
              <w:tc>
                <w:tcPr>
                  <w:tcW w:w="567" w:type="dxa"/>
                </w:tcPr>
                <w:p w:rsidR="0017032C" w:rsidRPr="00AD2A4A" w:rsidRDefault="0017032C" w:rsidP="000D756E">
                  <w:pPr>
                    <w:pStyle w:val="ListParagraph"/>
                    <w:ind w:left="0"/>
                    <w:rPr>
                      <w:rFonts w:ascii="Arial" w:hAnsi="Arial" w:cs="Arial"/>
                      <w:sz w:val="16"/>
                      <w:szCs w:val="16"/>
                    </w:rPr>
                  </w:pPr>
                  <w:r w:rsidRPr="00AD2A4A">
                    <w:rPr>
                      <w:rFonts w:ascii="Arial" w:hAnsi="Arial" w:cs="Arial"/>
                      <w:sz w:val="16"/>
                      <w:szCs w:val="16"/>
                    </w:rPr>
                    <w:t>40%</w:t>
                  </w:r>
                </w:p>
              </w:tc>
            </w:tr>
          </w:tbl>
          <w:p w:rsidR="0017032C" w:rsidRPr="00AD2A4A" w:rsidRDefault="0017032C" w:rsidP="0017032C">
            <w:pPr>
              <w:pStyle w:val="Default"/>
              <w:rPr>
                <w:rFonts w:ascii="Arial" w:hAnsi="Arial" w:cs="Arial"/>
                <w:sz w:val="22"/>
                <w:szCs w:val="22"/>
              </w:rPr>
            </w:pPr>
          </w:p>
          <w:p w:rsidR="0017032C" w:rsidRPr="00AD2A4A" w:rsidRDefault="0017032C" w:rsidP="0017032C">
            <w:pPr>
              <w:pStyle w:val="Default"/>
              <w:rPr>
                <w:rFonts w:ascii="Arial" w:hAnsi="Arial" w:cs="Arial"/>
                <w:sz w:val="22"/>
                <w:szCs w:val="22"/>
              </w:rPr>
            </w:pPr>
          </w:p>
        </w:tc>
      </w:tr>
      <w:tr w:rsidR="0017032C"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17032C" w:rsidRPr="00A1526F" w:rsidRDefault="00ED34DE" w:rsidP="00C02C2C">
            <w:pPr>
              <w:pStyle w:val="Default"/>
              <w:rPr>
                <w:rFonts w:ascii="Arial" w:hAnsi="Arial" w:cs="Arial"/>
                <w:sz w:val="20"/>
                <w:szCs w:val="20"/>
              </w:rPr>
            </w:pPr>
            <w:r>
              <w:rPr>
                <w:rFonts w:ascii="Arial" w:hAnsi="Arial" w:cs="Arial"/>
                <w:sz w:val="20"/>
                <w:szCs w:val="20"/>
              </w:rPr>
              <w:t>2.8</w:t>
            </w:r>
          </w:p>
        </w:tc>
        <w:tc>
          <w:tcPr>
            <w:tcW w:w="9060" w:type="dxa"/>
            <w:gridSpan w:val="2"/>
          </w:tcPr>
          <w:p w:rsidR="0017032C" w:rsidRPr="00A1526F" w:rsidRDefault="0017032C" w:rsidP="0017032C">
            <w:pPr>
              <w:pStyle w:val="Default"/>
              <w:rPr>
                <w:rFonts w:ascii="Arial" w:hAnsi="Arial" w:cs="Arial"/>
                <w:iCs/>
                <w:sz w:val="20"/>
                <w:szCs w:val="20"/>
                <w:u w:val="single"/>
                <w:lang w:val="en-US"/>
              </w:rPr>
            </w:pPr>
            <w:r w:rsidRPr="00A1526F">
              <w:rPr>
                <w:rFonts w:ascii="Arial" w:hAnsi="Arial" w:cs="Arial"/>
                <w:iCs/>
                <w:sz w:val="20"/>
                <w:szCs w:val="20"/>
                <w:u w:val="single"/>
                <w:lang w:val="en-US"/>
              </w:rPr>
              <w:t>Provider Breakdown – Top Issues</w:t>
            </w:r>
          </w:p>
          <w:p w:rsidR="0017032C" w:rsidRPr="00A1526F" w:rsidRDefault="0017032C" w:rsidP="0017032C">
            <w:pPr>
              <w:pStyle w:val="Default"/>
              <w:rPr>
                <w:rFonts w:ascii="Arial" w:hAnsi="Arial" w:cs="Arial"/>
                <w:i/>
                <w:iCs/>
                <w:sz w:val="20"/>
                <w:szCs w:val="20"/>
                <w:lang w:val="en-US"/>
              </w:rPr>
            </w:pPr>
          </w:p>
          <w:p w:rsidR="00B12B7C" w:rsidRPr="00A1526F" w:rsidRDefault="00A1526F" w:rsidP="0017032C">
            <w:pPr>
              <w:pStyle w:val="Default"/>
              <w:numPr>
                <w:ilvl w:val="0"/>
                <w:numId w:val="13"/>
              </w:numPr>
              <w:rPr>
                <w:rFonts w:ascii="Arial" w:hAnsi="Arial" w:cs="Arial"/>
                <w:i/>
                <w:iCs/>
                <w:sz w:val="20"/>
                <w:szCs w:val="20"/>
              </w:rPr>
            </w:pPr>
            <w:r w:rsidRPr="00A1526F">
              <w:rPr>
                <w:rFonts w:ascii="Arial" w:hAnsi="Arial" w:cs="Arial"/>
                <w:i/>
                <w:iCs/>
                <w:sz w:val="20"/>
                <w:szCs w:val="20"/>
              </w:rPr>
              <w:t xml:space="preserve">Ramsay Healthcare – </w:t>
            </w:r>
            <w:proofErr w:type="spellStart"/>
            <w:r w:rsidRPr="00A1526F">
              <w:rPr>
                <w:rFonts w:ascii="Arial" w:hAnsi="Arial" w:cs="Arial"/>
                <w:i/>
                <w:iCs/>
                <w:sz w:val="20"/>
                <w:szCs w:val="20"/>
              </w:rPr>
              <w:t>Renacres</w:t>
            </w:r>
            <w:proofErr w:type="spellEnd"/>
            <w:r w:rsidRPr="00A1526F">
              <w:rPr>
                <w:rFonts w:ascii="Arial" w:hAnsi="Arial" w:cs="Arial"/>
                <w:i/>
                <w:iCs/>
                <w:sz w:val="20"/>
                <w:szCs w:val="20"/>
              </w:rPr>
              <w:t xml:space="preserve"> is forecast to be £430k over plan</w:t>
            </w:r>
          </w:p>
          <w:p w:rsidR="00B12B7C" w:rsidRPr="00A1526F" w:rsidRDefault="00A1526F" w:rsidP="0017032C">
            <w:pPr>
              <w:pStyle w:val="Default"/>
              <w:numPr>
                <w:ilvl w:val="1"/>
                <w:numId w:val="13"/>
              </w:numPr>
              <w:rPr>
                <w:rFonts w:ascii="Arial" w:hAnsi="Arial" w:cs="Arial"/>
                <w:i/>
                <w:iCs/>
                <w:sz w:val="20"/>
                <w:szCs w:val="20"/>
              </w:rPr>
            </w:pPr>
            <w:r w:rsidRPr="00A1526F">
              <w:rPr>
                <w:rFonts w:ascii="Arial" w:hAnsi="Arial" w:cs="Arial"/>
                <w:i/>
                <w:iCs/>
                <w:sz w:val="20"/>
                <w:szCs w:val="20"/>
              </w:rPr>
              <w:t>This is 81% of total forecast pain management over performance</w:t>
            </w:r>
          </w:p>
          <w:p w:rsidR="00B12B7C" w:rsidRPr="00A1526F" w:rsidRDefault="00A1526F" w:rsidP="0017032C">
            <w:pPr>
              <w:pStyle w:val="Default"/>
              <w:numPr>
                <w:ilvl w:val="1"/>
                <w:numId w:val="13"/>
              </w:numPr>
              <w:rPr>
                <w:rFonts w:ascii="Arial" w:hAnsi="Arial" w:cs="Arial"/>
                <w:i/>
                <w:iCs/>
                <w:sz w:val="20"/>
                <w:szCs w:val="20"/>
              </w:rPr>
            </w:pPr>
            <w:r w:rsidRPr="00A1526F">
              <w:rPr>
                <w:rFonts w:ascii="Arial" w:hAnsi="Arial" w:cs="Arial"/>
                <w:i/>
                <w:iCs/>
                <w:sz w:val="20"/>
                <w:szCs w:val="20"/>
              </w:rPr>
              <w:t xml:space="preserve">This would represent a 587% overspend on </w:t>
            </w:r>
            <w:proofErr w:type="spellStart"/>
            <w:r w:rsidRPr="00A1526F">
              <w:rPr>
                <w:rFonts w:ascii="Arial" w:hAnsi="Arial" w:cs="Arial"/>
                <w:i/>
                <w:iCs/>
                <w:sz w:val="20"/>
                <w:szCs w:val="20"/>
              </w:rPr>
              <w:t>Renacres</w:t>
            </w:r>
            <w:proofErr w:type="spellEnd"/>
            <w:r w:rsidRPr="00A1526F">
              <w:rPr>
                <w:rFonts w:ascii="Arial" w:hAnsi="Arial" w:cs="Arial"/>
                <w:i/>
                <w:iCs/>
                <w:sz w:val="20"/>
                <w:szCs w:val="20"/>
              </w:rPr>
              <w:t>’ planned costs</w:t>
            </w:r>
          </w:p>
          <w:p w:rsidR="00B12B7C" w:rsidRPr="00A1526F" w:rsidRDefault="00A1526F" w:rsidP="0017032C">
            <w:pPr>
              <w:pStyle w:val="Default"/>
              <w:numPr>
                <w:ilvl w:val="1"/>
                <w:numId w:val="13"/>
              </w:numPr>
              <w:rPr>
                <w:rFonts w:ascii="Arial" w:hAnsi="Arial" w:cs="Arial"/>
                <w:i/>
                <w:iCs/>
                <w:sz w:val="20"/>
                <w:szCs w:val="20"/>
              </w:rPr>
            </w:pPr>
            <w:r w:rsidRPr="00A1526F">
              <w:rPr>
                <w:rFonts w:ascii="Arial" w:hAnsi="Arial" w:cs="Arial"/>
                <w:i/>
                <w:iCs/>
                <w:sz w:val="20"/>
                <w:szCs w:val="20"/>
              </w:rPr>
              <w:t>S&amp;O are forecast to be £110k over plan</w:t>
            </w:r>
          </w:p>
          <w:p w:rsidR="00B12B7C" w:rsidRPr="00A1526F" w:rsidRDefault="00A1526F" w:rsidP="0017032C">
            <w:pPr>
              <w:pStyle w:val="Default"/>
              <w:numPr>
                <w:ilvl w:val="1"/>
                <w:numId w:val="13"/>
              </w:numPr>
              <w:rPr>
                <w:rFonts w:ascii="Arial" w:hAnsi="Arial" w:cs="Arial"/>
                <w:i/>
                <w:iCs/>
                <w:sz w:val="20"/>
                <w:szCs w:val="20"/>
              </w:rPr>
            </w:pPr>
            <w:r w:rsidRPr="00A1526F">
              <w:rPr>
                <w:rFonts w:ascii="Arial" w:hAnsi="Arial" w:cs="Arial"/>
                <w:i/>
                <w:iCs/>
                <w:sz w:val="20"/>
                <w:szCs w:val="20"/>
              </w:rPr>
              <w:t>This is 20% of total forecast pain management over performance</w:t>
            </w:r>
          </w:p>
          <w:p w:rsidR="00B12B7C" w:rsidRPr="00A1526F" w:rsidRDefault="00A1526F" w:rsidP="0017032C">
            <w:pPr>
              <w:pStyle w:val="Default"/>
              <w:numPr>
                <w:ilvl w:val="1"/>
                <w:numId w:val="13"/>
              </w:numPr>
              <w:rPr>
                <w:rFonts w:ascii="Arial" w:hAnsi="Arial" w:cs="Arial"/>
                <w:i/>
                <w:iCs/>
                <w:sz w:val="20"/>
                <w:szCs w:val="20"/>
              </w:rPr>
            </w:pPr>
            <w:r w:rsidRPr="00A1526F">
              <w:rPr>
                <w:rFonts w:ascii="Arial" w:hAnsi="Arial" w:cs="Arial"/>
                <w:i/>
                <w:iCs/>
                <w:sz w:val="20"/>
                <w:szCs w:val="20"/>
              </w:rPr>
              <w:t>This would represent a 9% overspend on S&amp;O’s planned costs</w:t>
            </w:r>
          </w:p>
          <w:p w:rsidR="0017032C" w:rsidRPr="00A1526F" w:rsidRDefault="0017032C" w:rsidP="0017032C">
            <w:pPr>
              <w:pStyle w:val="Default"/>
              <w:rPr>
                <w:rFonts w:ascii="Arial" w:hAnsi="Arial" w:cs="Arial"/>
                <w:i/>
                <w:iCs/>
                <w:sz w:val="20"/>
                <w:szCs w:val="20"/>
                <w:lang w:val="en-US"/>
              </w:rPr>
            </w:pPr>
          </w:p>
        </w:tc>
      </w:tr>
      <w:tr w:rsidR="0017032C"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17032C" w:rsidRPr="00A1526F" w:rsidRDefault="00ED34DE" w:rsidP="00C02C2C">
            <w:pPr>
              <w:pStyle w:val="Default"/>
              <w:rPr>
                <w:rFonts w:ascii="Arial" w:hAnsi="Arial" w:cs="Arial"/>
                <w:sz w:val="20"/>
                <w:szCs w:val="20"/>
              </w:rPr>
            </w:pPr>
            <w:r>
              <w:rPr>
                <w:rFonts w:ascii="Arial" w:hAnsi="Arial" w:cs="Arial"/>
                <w:sz w:val="20"/>
                <w:szCs w:val="20"/>
              </w:rPr>
              <w:t>2.9</w:t>
            </w:r>
          </w:p>
        </w:tc>
        <w:tc>
          <w:tcPr>
            <w:tcW w:w="9060" w:type="dxa"/>
            <w:gridSpan w:val="2"/>
          </w:tcPr>
          <w:p w:rsidR="0017032C" w:rsidRPr="00A1526F" w:rsidRDefault="0017032C" w:rsidP="0017032C">
            <w:pPr>
              <w:pStyle w:val="Default"/>
              <w:rPr>
                <w:rFonts w:ascii="Arial" w:hAnsi="Arial" w:cs="Arial"/>
                <w:iCs/>
                <w:sz w:val="20"/>
                <w:szCs w:val="20"/>
                <w:u w:val="single"/>
                <w:lang w:val="en-US"/>
              </w:rPr>
            </w:pPr>
            <w:r w:rsidRPr="00A1526F">
              <w:rPr>
                <w:rFonts w:ascii="Arial" w:hAnsi="Arial" w:cs="Arial"/>
                <w:iCs/>
                <w:sz w:val="20"/>
                <w:szCs w:val="20"/>
                <w:u w:val="single"/>
                <w:lang w:val="en-US"/>
              </w:rPr>
              <w:t>Provider Breakdown</w:t>
            </w:r>
          </w:p>
          <w:p w:rsidR="0017032C" w:rsidRPr="00AD2A4A" w:rsidRDefault="0017032C" w:rsidP="0017032C">
            <w:pPr>
              <w:pStyle w:val="Default"/>
              <w:rPr>
                <w:rFonts w:ascii="Arial" w:hAnsi="Arial" w:cs="Arial"/>
                <w:iCs/>
                <w:sz w:val="22"/>
                <w:szCs w:val="22"/>
                <w:lang w:val="en-US"/>
              </w:rPr>
            </w:pPr>
          </w:p>
          <w:tbl>
            <w:tblPr>
              <w:tblStyle w:val="TableGrid"/>
              <w:tblW w:w="0" w:type="auto"/>
              <w:tblLayout w:type="fixed"/>
              <w:tblLook w:val="04A0" w:firstRow="1" w:lastRow="0" w:firstColumn="1" w:lastColumn="0" w:noHBand="0" w:noVBand="1"/>
            </w:tblPr>
            <w:tblGrid>
              <w:gridCol w:w="1595"/>
              <w:gridCol w:w="900"/>
              <w:gridCol w:w="901"/>
              <w:gridCol w:w="901"/>
              <w:gridCol w:w="901"/>
              <w:gridCol w:w="900"/>
              <w:gridCol w:w="901"/>
              <w:gridCol w:w="901"/>
              <w:gridCol w:w="901"/>
            </w:tblGrid>
            <w:tr w:rsidR="00AD2A4A" w:rsidRPr="00AD2A4A" w:rsidTr="00AD2A4A">
              <w:tc>
                <w:tcPr>
                  <w:tcW w:w="1595" w:type="dxa"/>
                </w:tcPr>
                <w:p w:rsidR="00AD2A4A" w:rsidRPr="00AD2A4A" w:rsidRDefault="00AD2A4A" w:rsidP="000D756E">
                  <w:pPr>
                    <w:pStyle w:val="ListParagraph"/>
                    <w:ind w:left="0"/>
                    <w:rPr>
                      <w:rFonts w:ascii="Arial" w:hAnsi="Arial" w:cs="Arial"/>
                      <w:sz w:val="16"/>
                      <w:szCs w:val="16"/>
                    </w:rPr>
                  </w:pPr>
                  <w:r w:rsidRPr="00AD2A4A">
                    <w:rPr>
                      <w:rFonts w:ascii="Arial" w:hAnsi="Arial" w:cs="Arial"/>
                      <w:sz w:val="16"/>
                      <w:szCs w:val="16"/>
                    </w:rPr>
                    <w:t>Provider Description</w:t>
                  </w:r>
                </w:p>
              </w:tc>
              <w:tc>
                <w:tcPr>
                  <w:tcW w:w="900" w:type="dxa"/>
                </w:tcPr>
                <w:p w:rsidR="00AD2A4A" w:rsidRPr="00AD2A4A" w:rsidRDefault="00AD2A4A" w:rsidP="000D756E">
                  <w:pPr>
                    <w:pStyle w:val="ListParagraph"/>
                    <w:ind w:left="0"/>
                    <w:rPr>
                      <w:rFonts w:ascii="Arial" w:hAnsi="Arial" w:cs="Arial"/>
                      <w:sz w:val="16"/>
                      <w:szCs w:val="16"/>
                    </w:rPr>
                  </w:pPr>
                  <w:r w:rsidRPr="00AD2A4A">
                    <w:rPr>
                      <w:rFonts w:ascii="Arial" w:hAnsi="Arial" w:cs="Arial"/>
                      <w:sz w:val="16"/>
                      <w:szCs w:val="16"/>
                    </w:rPr>
                    <w:t>Activity Plan</w:t>
                  </w:r>
                </w:p>
              </w:tc>
              <w:tc>
                <w:tcPr>
                  <w:tcW w:w="901" w:type="dxa"/>
                </w:tcPr>
                <w:p w:rsidR="00AD2A4A" w:rsidRPr="00AD2A4A" w:rsidRDefault="00AD2A4A" w:rsidP="000D756E">
                  <w:pPr>
                    <w:pStyle w:val="ListParagraph"/>
                    <w:ind w:left="0"/>
                    <w:rPr>
                      <w:rFonts w:ascii="Arial" w:hAnsi="Arial" w:cs="Arial"/>
                      <w:sz w:val="16"/>
                      <w:szCs w:val="16"/>
                    </w:rPr>
                  </w:pPr>
                  <w:r w:rsidRPr="00AD2A4A">
                    <w:rPr>
                      <w:rFonts w:ascii="Arial" w:hAnsi="Arial" w:cs="Arial"/>
                      <w:sz w:val="16"/>
                      <w:szCs w:val="16"/>
                    </w:rPr>
                    <w:t>Activity Actual</w:t>
                  </w:r>
                </w:p>
              </w:tc>
              <w:tc>
                <w:tcPr>
                  <w:tcW w:w="901" w:type="dxa"/>
                </w:tcPr>
                <w:p w:rsidR="00AD2A4A" w:rsidRPr="00AD2A4A" w:rsidRDefault="00AD2A4A" w:rsidP="000D756E">
                  <w:pPr>
                    <w:pStyle w:val="ListParagraph"/>
                    <w:ind w:left="0"/>
                    <w:rPr>
                      <w:rFonts w:ascii="Arial" w:hAnsi="Arial" w:cs="Arial"/>
                      <w:sz w:val="16"/>
                      <w:szCs w:val="16"/>
                    </w:rPr>
                  </w:pPr>
                  <w:r w:rsidRPr="00AD2A4A">
                    <w:rPr>
                      <w:rFonts w:ascii="Arial" w:hAnsi="Arial" w:cs="Arial"/>
                      <w:sz w:val="16"/>
                      <w:szCs w:val="16"/>
                    </w:rPr>
                    <w:t xml:space="preserve">Activity </w:t>
                  </w:r>
                  <w:proofErr w:type="spellStart"/>
                  <w:r w:rsidRPr="00AD2A4A">
                    <w:rPr>
                      <w:rFonts w:ascii="Arial" w:hAnsi="Arial" w:cs="Arial"/>
                      <w:sz w:val="16"/>
                      <w:szCs w:val="16"/>
                    </w:rPr>
                    <w:t>Var</w:t>
                  </w:r>
                  <w:proofErr w:type="spellEnd"/>
                </w:p>
              </w:tc>
              <w:tc>
                <w:tcPr>
                  <w:tcW w:w="901" w:type="dxa"/>
                </w:tcPr>
                <w:p w:rsidR="00AD2A4A" w:rsidRPr="00AD2A4A" w:rsidRDefault="00AD2A4A" w:rsidP="000D756E">
                  <w:pPr>
                    <w:pStyle w:val="ListParagraph"/>
                    <w:ind w:left="0"/>
                    <w:rPr>
                      <w:rFonts w:ascii="Arial" w:hAnsi="Arial" w:cs="Arial"/>
                      <w:sz w:val="16"/>
                      <w:szCs w:val="16"/>
                    </w:rPr>
                  </w:pPr>
                  <w:r w:rsidRPr="00AD2A4A">
                    <w:rPr>
                      <w:rFonts w:ascii="Arial" w:hAnsi="Arial" w:cs="Arial"/>
                      <w:sz w:val="16"/>
                      <w:szCs w:val="16"/>
                    </w:rPr>
                    <w:t>Cost Plan</w:t>
                  </w:r>
                </w:p>
              </w:tc>
              <w:tc>
                <w:tcPr>
                  <w:tcW w:w="900" w:type="dxa"/>
                </w:tcPr>
                <w:p w:rsidR="00AD2A4A" w:rsidRPr="00AD2A4A" w:rsidRDefault="00AD2A4A" w:rsidP="000D756E">
                  <w:pPr>
                    <w:pStyle w:val="ListParagraph"/>
                    <w:ind w:left="0"/>
                    <w:rPr>
                      <w:rFonts w:ascii="Arial" w:hAnsi="Arial" w:cs="Arial"/>
                      <w:sz w:val="16"/>
                      <w:szCs w:val="16"/>
                    </w:rPr>
                  </w:pPr>
                  <w:r w:rsidRPr="00AD2A4A">
                    <w:rPr>
                      <w:rFonts w:ascii="Arial" w:hAnsi="Arial" w:cs="Arial"/>
                      <w:sz w:val="16"/>
                      <w:szCs w:val="16"/>
                    </w:rPr>
                    <w:t>Cost Actual</w:t>
                  </w:r>
                </w:p>
              </w:tc>
              <w:tc>
                <w:tcPr>
                  <w:tcW w:w="901" w:type="dxa"/>
                </w:tcPr>
                <w:p w:rsidR="00AD2A4A" w:rsidRPr="00AD2A4A" w:rsidRDefault="00AD2A4A" w:rsidP="000D756E">
                  <w:pPr>
                    <w:pStyle w:val="ListParagraph"/>
                    <w:ind w:left="0"/>
                    <w:rPr>
                      <w:rFonts w:ascii="Arial" w:hAnsi="Arial" w:cs="Arial"/>
                      <w:sz w:val="16"/>
                      <w:szCs w:val="16"/>
                    </w:rPr>
                  </w:pPr>
                  <w:r w:rsidRPr="00AD2A4A">
                    <w:rPr>
                      <w:rFonts w:ascii="Arial" w:hAnsi="Arial" w:cs="Arial"/>
                      <w:sz w:val="16"/>
                      <w:szCs w:val="16"/>
                    </w:rPr>
                    <w:t xml:space="preserve">Cost </w:t>
                  </w:r>
                  <w:proofErr w:type="spellStart"/>
                  <w:r w:rsidRPr="00AD2A4A">
                    <w:rPr>
                      <w:rFonts w:ascii="Arial" w:hAnsi="Arial" w:cs="Arial"/>
                      <w:sz w:val="16"/>
                      <w:szCs w:val="16"/>
                    </w:rPr>
                    <w:t>Var</w:t>
                  </w:r>
                  <w:proofErr w:type="spellEnd"/>
                  <w:r w:rsidRPr="00AD2A4A">
                    <w:rPr>
                      <w:rFonts w:ascii="Arial" w:hAnsi="Arial" w:cs="Arial"/>
                      <w:sz w:val="16"/>
                      <w:szCs w:val="16"/>
                    </w:rPr>
                    <w:t xml:space="preserve"> </w:t>
                  </w:r>
                </w:p>
              </w:tc>
              <w:tc>
                <w:tcPr>
                  <w:tcW w:w="901" w:type="dxa"/>
                </w:tcPr>
                <w:p w:rsidR="00AD2A4A" w:rsidRPr="00AD2A4A" w:rsidRDefault="00AD2A4A" w:rsidP="000D756E">
                  <w:pPr>
                    <w:pStyle w:val="ListParagraph"/>
                    <w:ind w:left="0"/>
                    <w:rPr>
                      <w:rFonts w:ascii="Arial" w:hAnsi="Arial" w:cs="Arial"/>
                      <w:sz w:val="16"/>
                      <w:szCs w:val="16"/>
                    </w:rPr>
                  </w:pPr>
                  <w:r w:rsidRPr="00AD2A4A">
                    <w:rPr>
                      <w:rFonts w:ascii="Arial" w:hAnsi="Arial" w:cs="Arial"/>
                      <w:sz w:val="16"/>
                      <w:szCs w:val="16"/>
                    </w:rPr>
                    <w:t xml:space="preserve">% Activity </w:t>
                  </w:r>
                  <w:proofErr w:type="spellStart"/>
                  <w:r w:rsidRPr="00AD2A4A">
                    <w:rPr>
                      <w:rFonts w:ascii="Arial" w:hAnsi="Arial" w:cs="Arial"/>
                      <w:sz w:val="16"/>
                      <w:szCs w:val="16"/>
                    </w:rPr>
                    <w:t>Var</w:t>
                  </w:r>
                  <w:proofErr w:type="spellEnd"/>
                </w:p>
              </w:tc>
              <w:tc>
                <w:tcPr>
                  <w:tcW w:w="901" w:type="dxa"/>
                </w:tcPr>
                <w:p w:rsidR="00AD2A4A" w:rsidRPr="00AD2A4A" w:rsidRDefault="00AD2A4A" w:rsidP="000D756E">
                  <w:pPr>
                    <w:pStyle w:val="ListParagraph"/>
                    <w:ind w:left="0"/>
                    <w:rPr>
                      <w:rFonts w:ascii="Arial" w:hAnsi="Arial" w:cs="Arial"/>
                      <w:sz w:val="16"/>
                      <w:szCs w:val="16"/>
                    </w:rPr>
                  </w:pPr>
                  <w:r w:rsidRPr="00AD2A4A">
                    <w:rPr>
                      <w:rFonts w:ascii="Arial" w:hAnsi="Arial" w:cs="Arial"/>
                      <w:sz w:val="16"/>
                      <w:szCs w:val="16"/>
                    </w:rPr>
                    <w:t xml:space="preserve">% cost </w:t>
                  </w:r>
                  <w:proofErr w:type="spellStart"/>
                  <w:r w:rsidRPr="00AD2A4A">
                    <w:rPr>
                      <w:rFonts w:ascii="Arial" w:hAnsi="Arial" w:cs="Arial"/>
                      <w:sz w:val="16"/>
                      <w:szCs w:val="16"/>
                    </w:rPr>
                    <w:t>var</w:t>
                  </w:r>
                  <w:proofErr w:type="spellEnd"/>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EAST LANCASHIRE HOSPITALS NHS TRUST</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8</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0</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-8</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£1,093</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£0</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-£1,093</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-100%</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-100%</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LANCASHIRE TEACHING HOSPITALS NHSFT</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101</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107</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6</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£23,489</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£36,126</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£12,637</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6%</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54%</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PENNINE ACUTE HOSPITALS NHS TRUST</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2</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3</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£994</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£2,463</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£1,469</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167%</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148%</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 xml:space="preserve">Ramsay - </w:t>
                  </w:r>
                  <w:proofErr w:type="spellStart"/>
                  <w:r w:rsidRPr="0017032C">
                    <w:rPr>
                      <w:rFonts w:ascii="Arial" w:hAnsi="Arial" w:cs="Arial"/>
                      <w:color w:val="000000" w:themeColor="text1"/>
                      <w:kern w:val="24"/>
                      <w:sz w:val="16"/>
                      <w:szCs w:val="16"/>
                      <w:lang w:val="en-GB" w:eastAsia="en-GB"/>
                    </w:rPr>
                    <w:t>Euxton</w:t>
                  </w:r>
                  <w:proofErr w:type="spellEnd"/>
                  <w:r w:rsidRPr="0017032C">
                    <w:rPr>
                      <w:rFonts w:ascii="Arial" w:hAnsi="Arial" w:cs="Arial"/>
                      <w:color w:val="000000" w:themeColor="text1"/>
                      <w:kern w:val="24"/>
                      <w:sz w:val="16"/>
                      <w:szCs w:val="16"/>
                      <w:lang w:val="en-GB" w:eastAsia="en-GB"/>
                    </w:rPr>
                    <w:t xml:space="preserve"> Hall Hospital</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49</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45</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£5,272</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£6,815</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£1,543</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-8%</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29%</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 xml:space="preserve">Ramsay - </w:t>
                  </w:r>
                  <w:proofErr w:type="spellStart"/>
                  <w:r w:rsidRPr="0017032C">
                    <w:rPr>
                      <w:rFonts w:ascii="Arial" w:hAnsi="Arial" w:cs="Arial"/>
                      <w:color w:val="000000" w:themeColor="text1"/>
                      <w:kern w:val="24"/>
                      <w:sz w:val="16"/>
                      <w:szCs w:val="16"/>
                      <w:lang w:val="en-GB" w:eastAsia="en-GB"/>
                    </w:rPr>
                    <w:t>Renacres</w:t>
                  </w:r>
                  <w:proofErr w:type="spellEnd"/>
                  <w:r w:rsidRPr="0017032C">
                    <w:rPr>
                      <w:rFonts w:ascii="Arial" w:hAnsi="Arial" w:cs="Arial"/>
                      <w:color w:val="000000" w:themeColor="text1"/>
                      <w:kern w:val="24"/>
                      <w:sz w:val="16"/>
                      <w:szCs w:val="16"/>
                      <w:lang w:val="en-GB" w:eastAsia="en-GB"/>
                    </w:rPr>
                    <w:t xml:space="preserve"> Hospital</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533</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1,832</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1,299</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£73,343</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£503,884</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£430,541</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244%</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587%</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ROYAL LIVERPOOL AND BROADGREEN UNIVERSITY HOSPITALS NHS TRUST</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41</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28</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-12</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£9,339</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£5,773</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-£3,566</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-30%</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-38%</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SALFORD ROYAL NHSFT</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0</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£0</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£697</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£697</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missing</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missing</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SOUTHPORT AND ORMSKIRK HOSPITAL NHS TRUST</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2,633</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2,551</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-82</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£1,157,176</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£1,266,385</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£109,209</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-3%</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9%</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ST HELENS AND KNOWSLEY HOSPITALS NHS TRUST</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16</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-12</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£3,347</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£398</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-£2,949</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-74%</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-88%</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UNIVERSITY HOSPITAL OF SOUTH MANCHESTER NHSFT</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19</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0</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-19</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£5,952</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£0</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-£5,952</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-100%</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-100%</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UNIVERSITY HOSPITALS OF MORECAMBE BAY NHSFT</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0</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£0</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£379</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£379</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missing</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missing</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lastRenderedPageBreak/>
                    <w:t>WRIGHTINGTON, WIGAN AND LEIGH NHSFT</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151</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140</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-11</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£40,225</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£24,332</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-£15,893</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-7%</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color w:val="000000" w:themeColor="text1"/>
                      <w:kern w:val="24"/>
                      <w:sz w:val="16"/>
                      <w:szCs w:val="16"/>
                      <w:lang w:val="en-GB" w:eastAsia="en-GB"/>
                    </w:rPr>
                    <w:t>-40%</w:t>
                  </w:r>
                </w:p>
              </w:tc>
            </w:tr>
            <w:tr w:rsidR="00AD2A4A" w:rsidRPr="00AD2A4A" w:rsidTr="00AD2A4A">
              <w:tc>
                <w:tcPr>
                  <w:tcW w:w="1595" w:type="dxa"/>
                  <w:vAlign w:val="bottom"/>
                </w:tcPr>
                <w:p w:rsidR="0017032C" w:rsidRPr="0017032C" w:rsidRDefault="00AD2A4A" w:rsidP="000D756E">
                  <w:pPr>
                    <w:spacing w:after="0" w:line="240" w:lineRule="auto"/>
                    <w:textAlignment w:val="bottom"/>
                    <w:rPr>
                      <w:rFonts w:ascii="Arial" w:hAnsi="Arial" w:cs="Arial"/>
                      <w:sz w:val="16"/>
                      <w:szCs w:val="16"/>
                      <w:lang w:val="en-GB" w:eastAsia="en-GB"/>
                    </w:rPr>
                  </w:pPr>
                  <w:r w:rsidRPr="0017032C">
                    <w:rPr>
                      <w:rFonts w:ascii="Arial" w:hAnsi="Arial" w:cs="Arial"/>
                      <w:b/>
                      <w:bCs/>
                      <w:color w:val="000000" w:themeColor="text1"/>
                      <w:kern w:val="24"/>
                      <w:sz w:val="16"/>
                      <w:szCs w:val="16"/>
                      <w:lang w:val="en-GB" w:eastAsia="en-GB"/>
                    </w:rPr>
                    <w:t>Grand Total</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b/>
                      <w:bCs/>
                      <w:color w:val="000000" w:themeColor="text1"/>
                      <w:kern w:val="24"/>
                      <w:sz w:val="16"/>
                      <w:szCs w:val="16"/>
                      <w:lang w:val="en-GB" w:eastAsia="en-GB"/>
                    </w:rPr>
                    <w:t>3,552</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b/>
                      <w:bCs/>
                      <w:color w:val="000000" w:themeColor="text1"/>
                      <w:kern w:val="24"/>
                      <w:sz w:val="16"/>
                      <w:szCs w:val="16"/>
                      <w:lang w:val="en-GB" w:eastAsia="en-GB"/>
                    </w:rPr>
                    <w:t>4,720</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b/>
                      <w:bCs/>
                      <w:color w:val="000000" w:themeColor="text1"/>
                      <w:kern w:val="24"/>
                      <w:sz w:val="16"/>
                      <w:szCs w:val="16"/>
                      <w:lang w:val="en-GB" w:eastAsia="en-GB"/>
                    </w:rPr>
                    <w:t>1,168</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b/>
                      <w:bCs/>
                      <w:color w:val="000000" w:themeColor="text1"/>
                      <w:kern w:val="24"/>
                      <w:sz w:val="16"/>
                      <w:szCs w:val="16"/>
                      <w:lang w:val="en-GB" w:eastAsia="en-GB"/>
                    </w:rPr>
                    <w:t>£1,320,231</w:t>
                  </w:r>
                </w:p>
              </w:tc>
              <w:tc>
                <w:tcPr>
                  <w:tcW w:w="900"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b/>
                      <w:bCs/>
                      <w:color w:val="000000" w:themeColor="text1"/>
                      <w:kern w:val="24"/>
                      <w:sz w:val="16"/>
                      <w:szCs w:val="16"/>
                      <w:lang w:val="en-GB" w:eastAsia="en-GB"/>
                    </w:rPr>
                    <w:t>£1,847,252</w:t>
                  </w:r>
                </w:p>
              </w:tc>
              <w:tc>
                <w:tcPr>
                  <w:tcW w:w="901" w:type="dxa"/>
                  <w:vAlign w:val="bottom"/>
                </w:tcPr>
                <w:p w:rsidR="0017032C" w:rsidRPr="0017032C" w:rsidRDefault="00AD2A4A" w:rsidP="000D756E">
                  <w:pPr>
                    <w:spacing w:after="0" w:line="240" w:lineRule="auto"/>
                    <w:jc w:val="right"/>
                    <w:textAlignment w:val="bottom"/>
                    <w:rPr>
                      <w:rFonts w:ascii="Arial" w:hAnsi="Arial" w:cs="Arial"/>
                      <w:sz w:val="16"/>
                      <w:szCs w:val="16"/>
                      <w:lang w:val="en-GB" w:eastAsia="en-GB"/>
                    </w:rPr>
                  </w:pPr>
                  <w:r w:rsidRPr="0017032C">
                    <w:rPr>
                      <w:rFonts w:ascii="Arial" w:hAnsi="Arial" w:cs="Arial"/>
                      <w:b/>
                      <w:bCs/>
                      <w:color w:val="000000" w:themeColor="text1"/>
                      <w:kern w:val="24"/>
                      <w:sz w:val="16"/>
                      <w:szCs w:val="16"/>
                      <w:lang w:val="en-GB" w:eastAsia="en-GB"/>
                    </w:rPr>
                    <w:t>£527,020</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b/>
                      <w:bCs/>
                      <w:color w:val="000000" w:themeColor="text1"/>
                      <w:kern w:val="24"/>
                      <w:sz w:val="16"/>
                      <w:szCs w:val="16"/>
                      <w:lang w:val="en-GB" w:eastAsia="en-GB"/>
                    </w:rPr>
                    <w:t>33%</w:t>
                  </w:r>
                </w:p>
              </w:tc>
              <w:tc>
                <w:tcPr>
                  <w:tcW w:w="901" w:type="dxa"/>
                  <w:vAlign w:val="bottom"/>
                </w:tcPr>
                <w:p w:rsidR="0017032C" w:rsidRPr="0017032C" w:rsidRDefault="00AD2A4A" w:rsidP="000D756E">
                  <w:pPr>
                    <w:spacing w:after="0" w:line="240" w:lineRule="auto"/>
                    <w:jc w:val="center"/>
                    <w:textAlignment w:val="bottom"/>
                    <w:rPr>
                      <w:rFonts w:ascii="Arial" w:hAnsi="Arial" w:cs="Arial"/>
                      <w:sz w:val="16"/>
                      <w:szCs w:val="16"/>
                      <w:lang w:val="en-GB" w:eastAsia="en-GB"/>
                    </w:rPr>
                  </w:pPr>
                  <w:r w:rsidRPr="0017032C">
                    <w:rPr>
                      <w:rFonts w:ascii="Arial" w:hAnsi="Arial" w:cs="Arial"/>
                      <w:b/>
                      <w:bCs/>
                      <w:color w:val="000000" w:themeColor="text1"/>
                      <w:kern w:val="24"/>
                      <w:sz w:val="16"/>
                      <w:szCs w:val="16"/>
                      <w:lang w:val="en-GB" w:eastAsia="en-GB"/>
                    </w:rPr>
                    <w:t>40%</w:t>
                  </w:r>
                </w:p>
              </w:tc>
            </w:tr>
          </w:tbl>
          <w:p w:rsidR="0017032C" w:rsidRPr="00AD2A4A" w:rsidRDefault="0017032C" w:rsidP="0017032C">
            <w:pPr>
              <w:pStyle w:val="Default"/>
              <w:rPr>
                <w:rFonts w:ascii="Arial" w:hAnsi="Arial" w:cs="Arial"/>
                <w:iCs/>
                <w:sz w:val="22"/>
                <w:szCs w:val="22"/>
                <w:lang w:val="en-US"/>
              </w:rPr>
            </w:pPr>
          </w:p>
          <w:p w:rsidR="00AD2A4A" w:rsidRPr="00AD2A4A" w:rsidRDefault="00AD2A4A" w:rsidP="0017032C">
            <w:pPr>
              <w:pStyle w:val="Default"/>
              <w:rPr>
                <w:rFonts w:ascii="Arial" w:hAnsi="Arial" w:cs="Arial"/>
                <w:iCs/>
                <w:sz w:val="22"/>
                <w:szCs w:val="22"/>
                <w:lang w:val="en-US"/>
              </w:rPr>
            </w:pPr>
          </w:p>
        </w:tc>
      </w:tr>
      <w:tr w:rsidR="00AD2A4A"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AD2A4A" w:rsidRPr="00A1526F" w:rsidRDefault="00ED34DE" w:rsidP="00C02C2C">
            <w:pPr>
              <w:pStyle w:val="Default"/>
              <w:rPr>
                <w:rFonts w:ascii="Arial" w:hAnsi="Arial" w:cs="Arial"/>
                <w:sz w:val="20"/>
                <w:szCs w:val="20"/>
              </w:rPr>
            </w:pPr>
            <w:r>
              <w:rPr>
                <w:rFonts w:ascii="Arial" w:hAnsi="Arial" w:cs="Arial"/>
                <w:sz w:val="20"/>
                <w:szCs w:val="20"/>
              </w:rPr>
              <w:lastRenderedPageBreak/>
              <w:t>2.10</w:t>
            </w:r>
          </w:p>
        </w:tc>
        <w:tc>
          <w:tcPr>
            <w:tcW w:w="9060" w:type="dxa"/>
            <w:gridSpan w:val="2"/>
          </w:tcPr>
          <w:p w:rsidR="00AD2A4A" w:rsidRPr="00A1526F" w:rsidRDefault="00AD2A4A" w:rsidP="00AD2A4A">
            <w:pPr>
              <w:pStyle w:val="Default"/>
              <w:rPr>
                <w:rFonts w:ascii="Arial" w:hAnsi="Arial" w:cs="Arial"/>
                <w:iCs/>
                <w:sz w:val="20"/>
                <w:szCs w:val="20"/>
                <w:u w:val="single"/>
              </w:rPr>
            </w:pPr>
            <w:r w:rsidRPr="00A1526F">
              <w:rPr>
                <w:rFonts w:ascii="Arial" w:hAnsi="Arial" w:cs="Arial"/>
                <w:iCs/>
                <w:sz w:val="20"/>
                <w:szCs w:val="20"/>
                <w:u w:val="single"/>
              </w:rPr>
              <w:t>Activity Review</w:t>
            </w:r>
          </w:p>
          <w:p w:rsidR="00AD2A4A" w:rsidRPr="00A1526F" w:rsidRDefault="00AD2A4A" w:rsidP="00AD2A4A">
            <w:pPr>
              <w:pStyle w:val="Default"/>
              <w:rPr>
                <w:rFonts w:ascii="Arial" w:hAnsi="Arial" w:cs="Arial"/>
                <w:iCs/>
                <w:sz w:val="20"/>
                <w:szCs w:val="20"/>
              </w:rPr>
            </w:pPr>
          </w:p>
          <w:p w:rsidR="00AD2A4A" w:rsidRPr="00A1526F" w:rsidRDefault="00AD2A4A" w:rsidP="00AD2A4A">
            <w:pPr>
              <w:pStyle w:val="Default"/>
              <w:rPr>
                <w:rFonts w:ascii="Arial" w:hAnsi="Arial" w:cs="Arial"/>
                <w:iCs/>
                <w:sz w:val="20"/>
                <w:szCs w:val="20"/>
              </w:rPr>
            </w:pPr>
            <w:r w:rsidRPr="00A1526F">
              <w:rPr>
                <w:rFonts w:ascii="Arial" w:hAnsi="Arial" w:cs="Arial"/>
                <w:iCs/>
                <w:sz w:val="20"/>
                <w:szCs w:val="20"/>
              </w:rPr>
              <w:t>90% of the forecast cost over performance relates to Inpatient Day Case activity:</w:t>
            </w:r>
          </w:p>
          <w:p w:rsidR="00AD2A4A" w:rsidRDefault="00AD2A4A" w:rsidP="00AD2A4A">
            <w:pPr>
              <w:pStyle w:val="Default"/>
              <w:rPr>
                <w:rFonts w:ascii="Arial" w:hAnsi="Arial" w:cs="Arial"/>
                <w:iCs/>
              </w:rPr>
            </w:pPr>
          </w:p>
          <w:tbl>
            <w:tblPr>
              <w:tblStyle w:val="TableGrid"/>
              <w:tblW w:w="0" w:type="auto"/>
              <w:tblLayout w:type="fixed"/>
              <w:tblLook w:val="04A0" w:firstRow="1" w:lastRow="0" w:firstColumn="1" w:lastColumn="0" w:noHBand="0" w:noVBand="1"/>
            </w:tblPr>
            <w:tblGrid>
              <w:gridCol w:w="1475"/>
              <w:gridCol w:w="945"/>
              <w:gridCol w:w="946"/>
              <w:gridCol w:w="945"/>
              <w:gridCol w:w="946"/>
              <w:gridCol w:w="945"/>
              <w:gridCol w:w="946"/>
              <w:gridCol w:w="945"/>
              <w:gridCol w:w="946"/>
            </w:tblGrid>
            <w:tr w:rsidR="00A1526F" w:rsidRPr="00AD2A4A" w:rsidTr="000D756E">
              <w:tc>
                <w:tcPr>
                  <w:tcW w:w="1475" w:type="dxa"/>
                  <w:vAlign w:val="center"/>
                </w:tcPr>
                <w:p w:rsidR="00AD2A4A" w:rsidRPr="00AD2A4A" w:rsidRDefault="00A1526F" w:rsidP="000D756E">
                  <w:pPr>
                    <w:spacing w:after="0" w:line="240" w:lineRule="auto"/>
                    <w:jc w:val="center"/>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POD Description</w:t>
                  </w:r>
                </w:p>
              </w:tc>
              <w:tc>
                <w:tcPr>
                  <w:tcW w:w="945" w:type="dxa"/>
                  <w:vAlign w:val="center"/>
                </w:tcPr>
                <w:p w:rsidR="00AD2A4A" w:rsidRPr="00AD2A4A" w:rsidRDefault="00A1526F" w:rsidP="000D756E">
                  <w:pPr>
                    <w:spacing w:after="0" w:line="240" w:lineRule="auto"/>
                    <w:jc w:val="center"/>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Activity Plan</w:t>
                  </w:r>
                </w:p>
              </w:tc>
              <w:tc>
                <w:tcPr>
                  <w:tcW w:w="946" w:type="dxa"/>
                  <w:vAlign w:val="center"/>
                </w:tcPr>
                <w:p w:rsidR="00AD2A4A" w:rsidRPr="00AD2A4A" w:rsidRDefault="00A1526F" w:rsidP="000D756E">
                  <w:pPr>
                    <w:spacing w:after="0" w:line="240" w:lineRule="auto"/>
                    <w:jc w:val="center"/>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Activity Actual</w:t>
                  </w:r>
                </w:p>
              </w:tc>
              <w:tc>
                <w:tcPr>
                  <w:tcW w:w="945" w:type="dxa"/>
                  <w:vAlign w:val="center"/>
                </w:tcPr>
                <w:p w:rsidR="00AD2A4A" w:rsidRPr="00AD2A4A" w:rsidRDefault="00A1526F" w:rsidP="000D756E">
                  <w:pPr>
                    <w:spacing w:after="0" w:line="240" w:lineRule="auto"/>
                    <w:jc w:val="center"/>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 xml:space="preserve">Activity </w:t>
                  </w:r>
                  <w:proofErr w:type="spellStart"/>
                  <w:r w:rsidRPr="00AD2A4A">
                    <w:rPr>
                      <w:rFonts w:ascii="Arial" w:hAnsi="Arial" w:cs="Arial"/>
                      <w:b/>
                      <w:bCs/>
                      <w:color w:val="000000" w:themeColor="text1"/>
                      <w:kern w:val="24"/>
                      <w:sz w:val="16"/>
                      <w:szCs w:val="16"/>
                      <w:lang w:val="en-GB" w:eastAsia="en-GB"/>
                    </w:rPr>
                    <w:t>Var</w:t>
                  </w:r>
                  <w:proofErr w:type="spellEnd"/>
                </w:p>
              </w:tc>
              <w:tc>
                <w:tcPr>
                  <w:tcW w:w="946" w:type="dxa"/>
                  <w:vAlign w:val="center"/>
                </w:tcPr>
                <w:p w:rsidR="00AD2A4A" w:rsidRPr="00AD2A4A" w:rsidRDefault="00A1526F" w:rsidP="000D756E">
                  <w:pPr>
                    <w:spacing w:after="0" w:line="240" w:lineRule="auto"/>
                    <w:jc w:val="center"/>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Cost Plan</w:t>
                  </w:r>
                </w:p>
              </w:tc>
              <w:tc>
                <w:tcPr>
                  <w:tcW w:w="945" w:type="dxa"/>
                  <w:vAlign w:val="center"/>
                </w:tcPr>
                <w:p w:rsidR="00AD2A4A" w:rsidRPr="00AD2A4A" w:rsidRDefault="00A1526F" w:rsidP="000D756E">
                  <w:pPr>
                    <w:spacing w:after="0" w:line="240" w:lineRule="auto"/>
                    <w:jc w:val="center"/>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Cost Actual</w:t>
                  </w:r>
                </w:p>
              </w:tc>
              <w:tc>
                <w:tcPr>
                  <w:tcW w:w="946" w:type="dxa"/>
                  <w:vAlign w:val="center"/>
                </w:tcPr>
                <w:p w:rsidR="00AD2A4A" w:rsidRPr="00AD2A4A" w:rsidRDefault="00A1526F" w:rsidP="000D756E">
                  <w:pPr>
                    <w:spacing w:after="0" w:line="240" w:lineRule="auto"/>
                    <w:jc w:val="center"/>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 xml:space="preserve">Cost </w:t>
                  </w:r>
                  <w:proofErr w:type="spellStart"/>
                  <w:r w:rsidRPr="00AD2A4A">
                    <w:rPr>
                      <w:rFonts w:ascii="Arial" w:hAnsi="Arial" w:cs="Arial"/>
                      <w:b/>
                      <w:bCs/>
                      <w:color w:val="000000" w:themeColor="text1"/>
                      <w:kern w:val="24"/>
                      <w:sz w:val="16"/>
                      <w:szCs w:val="16"/>
                      <w:lang w:val="en-GB" w:eastAsia="en-GB"/>
                    </w:rPr>
                    <w:t>Var</w:t>
                  </w:r>
                  <w:proofErr w:type="spellEnd"/>
                </w:p>
              </w:tc>
              <w:tc>
                <w:tcPr>
                  <w:tcW w:w="945" w:type="dxa"/>
                  <w:vAlign w:val="center"/>
                </w:tcPr>
                <w:p w:rsidR="00AD2A4A" w:rsidRPr="00AD2A4A" w:rsidRDefault="00A1526F" w:rsidP="000D756E">
                  <w:pPr>
                    <w:spacing w:after="0" w:line="240" w:lineRule="auto"/>
                    <w:jc w:val="center"/>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 xml:space="preserve">% Activity </w:t>
                  </w:r>
                  <w:proofErr w:type="spellStart"/>
                  <w:r w:rsidRPr="00AD2A4A">
                    <w:rPr>
                      <w:rFonts w:ascii="Arial" w:hAnsi="Arial" w:cs="Arial"/>
                      <w:b/>
                      <w:bCs/>
                      <w:color w:val="000000" w:themeColor="text1"/>
                      <w:kern w:val="24"/>
                      <w:sz w:val="16"/>
                      <w:szCs w:val="16"/>
                      <w:lang w:val="en-GB" w:eastAsia="en-GB"/>
                    </w:rPr>
                    <w:t>Var</w:t>
                  </w:r>
                  <w:proofErr w:type="spellEnd"/>
                </w:p>
              </w:tc>
              <w:tc>
                <w:tcPr>
                  <w:tcW w:w="946" w:type="dxa"/>
                  <w:vAlign w:val="center"/>
                </w:tcPr>
                <w:p w:rsidR="00AD2A4A" w:rsidRPr="00AD2A4A" w:rsidRDefault="00A1526F" w:rsidP="000D756E">
                  <w:pPr>
                    <w:spacing w:after="0" w:line="240" w:lineRule="auto"/>
                    <w:jc w:val="center"/>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 xml:space="preserve">% Cost </w:t>
                  </w:r>
                  <w:proofErr w:type="spellStart"/>
                  <w:r w:rsidRPr="00AD2A4A">
                    <w:rPr>
                      <w:rFonts w:ascii="Arial" w:hAnsi="Arial" w:cs="Arial"/>
                      <w:b/>
                      <w:bCs/>
                      <w:color w:val="000000" w:themeColor="text1"/>
                      <w:kern w:val="24"/>
                      <w:sz w:val="16"/>
                      <w:szCs w:val="16"/>
                      <w:lang w:val="en-GB" w:eastAsia="en-GB"/>
                    </w:rPr>
                    <w:t>Var</w:t>
                  </w:r>
                  <w:proofErr w:type="spellEnd"/>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Ad Hoc Items</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£506</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-£506</w:t>
                  </w:r>
                </w:p>
              </w:tc>
              <w:tc>
                <w:tcPr>
                  <w:tcW w:w="94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missing</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-100%</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Diagnostic Imaging</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124</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121</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£388</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£15,586</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£15,198</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3999%</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3913%</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 xml:space="preserve">Elective Excess </w:t>
                  </w:r>
                  <w:proofErr w:type="spellStart"/>
                  <w:r w:rsidRPr="00AD2A4A">
                    <w:rPr>
                      <w:rFonts w:ascii="Arial" w:hAnsi="Arial" w:cs="Arial"/>
                      <w:color w:val="000000" w:themeColor="text1"/>
                      <w:kern w:val="24"/>
                      <w:sz w:val="16"/>
                      <w:szCs w:val="16"/>
                      <w:lang w:val="en-GB" w:eastAsia="en-GB"/>
                    </w:rPr>
                    <w:t>Beddays</w:t>
                  </w:r>
                  <w:proofErr w:type="spellEnd"/>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£633</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-£633</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-100%</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Excluded Devices</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16</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16</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£1,195</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£1,195</w:t>
                  </w:r>
                </w:p>
              </w:tc>
              <w:tc>
                <w:tcPr>
                  <w:tcW w:w="94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missing</w:t>
                  </w:r>
                </w:p>
              </w:tc>
              <w:tc>
                <w:tcPr>
                  <w:tcW w:w="946"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missing</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 xml:space="preserve">Inpatient </w:t>
                  </w:r>
                  <w:proofErr w:type="spellStart"/>
                  <w:r w:rsidRPr="00AD2A4A">
                    <w:rPr>
                      <w:rFonts w:ascii="Arial" w:hAnsi="Arial" w:cs="Arial"/>
                      <w:color w:val="000000" w:themeColor="text1"/>
                      <w:kern w:val="24"/>
                      <w:sz w:val="16"/>
                      <w:szCs w:val="16"/>
                      <w:lang w:val="en-GB" w:eastAsia="en-GB"/>
                    </w:rPr>
                    <w:t>Daycase</w:t>
                  </w:r>
                  <w:proofErr w:type="spellEnd"/>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1,102</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1,543</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441</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£1,021,356</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£1,501,495</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£480,139</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40%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47%</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Inpatient Elective</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9</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-9</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£4,795</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-£4,795</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-100%</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Outpatient First Attendance</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777</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851</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74</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£132,807</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£145,519</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£12,712</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Outpatient Follow-Up Attendance</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1,628</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1,734</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105</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£155,098</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£165,286</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£10,188</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6%</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7%</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Outpatient Non Face to Face</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112</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112</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£2,669</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£2,669</w:t>
                  </w:r>
                </w:p>
              </w:tc>
              <w:tc>
                <w:tcPr>
                  <w:tcW w:w="94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missing</w:t>
                  </w:r>
                </w:p>
              </w:tc>
              <w:tc>
                <w:tcPr>
                  <w:tcW w:w="946"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missing</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Outpatient Procedure</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40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£5,154</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£6,675</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£1,521</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34%</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30%</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Outpatients</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-£506</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£506</w:t>
                  </w:r>
                </w:p>
              </w:tc>
              <w:tc>
                <w:tcPr>
                  <w:tcW w:w="94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missing</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-100%</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Physiotherapy</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300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300</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£8,826</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£8,826</w:t>
                  </w:r>
                </w:p>
              </w:tc>
              <w:tc>
                <w:tcPr>
                  <w:tcW w:w="94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missing</w:t>
                  </w:r>
                </w:p>
              </w:tc>
              <w:tc>
                <w:tcPr>
                  <w:tcW w:w="946"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color w:val="000000" w:themeColor="text1"/>
                      <w:kern w:val="24"/>
                      <w:sz w:val="16"/>
                      <w:szCs w:val="16"/>
                      <w:lang w:val="en-GB" w:eastAsia="en-GB"/>
                    </w:rPr>
                    <w:t>missing</w:t>
                  </w:r>
                </w:p>
              </w:tc>
            </w:tr>
            <w:tr w:rsidR="00A1526F" w:rsidRPr="00AD2A4A" w:rsidTr="000D756E">
              <w:tc>
                <w:tcPr>
                  <w:tcW w:w="1475" w:type="dxa"/>
                  <w:vAlign w:val="bottom"/>
                </w:tcPr>
                <w:p w:rsidR="00AD2A4A" w:rsidRPr="00AD2A4A" w:rsidRDefault="00A1526F" w:rsidP="000D756E">
                  <w:pPr>
                    <w:spacing w:after="0" w:line="240" w:lineRule="auto"/>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Grand Total</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3,552</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4,720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1,168</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£1,320,231</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£1,847,252</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£527,020</w:t>
                  </w:r>
                </w:p>
              </w:tc>
              <w:tc>
                <w:tcPr>
                  <w:tcW w:w="945"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33%</w:t>
                  </w:r>
                </w:p>
              </w:tc>
              <w:tc>
                <w:tcPr>
                  <w:tcW w:w="946" w:type="dxa"/>
                  <w:vAlign w:val="bottom"/>
                </w:tcPr>
                <w:p w:rsidR="00AD2A4A" w:rsidRPr="00AD2A4A" w:rsidRDefault="00A1526F" w:rsidP="000D756E">
                  <w:pPr>
                    <w:spacing w:after="0" w:line="240" w:lineRule="auto"/>
                    <w:jc w:val="right"/>
                    <w:textAlignment w:val="bottom"/>
                    <w:rPr>
                      <w:rFonts w:ascii="Arial" w:hAnsi="Arial" w:cs="Arial"/>
                      <w:sz w:val="16"/>
                      <w:szCs w:val="16"/>
                      <w:lang w:val="en-GB" w:eastAsia="en-GB"/>
                    </w:rPr>
                  </w:pPr>
                  <w:r w:rsidRPr="00AD2A4A">
                    <w:rPr>
                      <w:rFonts w:ascii="Arial" w:hAnsi="Arial" w:cs="Arial"/>
                      <w:b/>
                      <w:bCs/>
                      <w:color w:val="000000" w:themeColor="text1"/>
                      <w:kern w:val="24"/>
                      <w:sz w:val="16"/>
                      <w:szCs w:val="16"/>
                      <w:lang w:val="en-GB" w:eastAsia="en-GB"/>
                    </w:rPr>
                    <w:t>40%</w:t>
                  </w:r>
                </w:p>
              </w:tc>
            </w:tr>
          </w:tbl>
          <w:p w:rsidR="00AD2A4A" w:rsidRPr="00AD2A4A" w:rsidRDefault="00AD2A4A" w:rsidP="00AD2A4A">
            <w:pPr>
              <w:pStyle w:val="Default"/>
              <w:rPr>
                <w:rFonts w:ascii="Arial" w:hAnsi="Arial" w:cs="Arial"/>
                <w:iCs/>
              </w:rPr>
            </w:pPr>
          </w:p>
          <w:p w:rsidR="00AD2A4A" w:rsidRPr="00AD2A4A" w:rsidRDefault="00AD2A4A" w:rsidP="0017032C">
            <w:pPr>
              <w:pStyle w:val="Default"/>
              <w:rPr>
                <w:rFonts w:ascii="Arial" w:hAnsi="Arial" w:cs="Arial"/>
                <w:iCs/>
                <w:sz w:val="22"/>
                <w:szCs w:val="22"/>
                <w:lang w:val="en-US"/>
              </w:rPr>
            </w:pPr>
          </w:p>
        </w:tc>
      </w:tr>
      <w:tr w:rsidR="00A1526F"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A1526F" w:rsidRPr="00A1526F" w:rsidRDefault="00A1526F" w:rsidP="00ED34DE">
            <w:pPr>
              <w:pStyle w:val="Default"/>
              <w:rPr>
                <w:rFonts w:ascii="Arial" w:hAnsi="Arial" w:cs="Arial"/>
                <w:sz w:val="20"/>
                <w:szCs w:val="20"/>
              </w:rPr>
            </w:pPr>
            <w:r w:rsidRPr="00A1526F">
              <w:rPr>
                <w:rFonts w:ascii="Arial" w:hAnsi="Arial" w:cs="Arial"/>
                <w:sz w:val="20"/>
                <w:szCs w:val="20"/>
              </w:rPr>
              <w:t>2.</w:t>
            </w:r>
            <w:r w:rsidR="00ED34DE">
              <w:rPr>
                <w:rFonts w:ascii="Arial" w:hAnsi="Arial" w:cs="Arial"/>
                <w:sz w:val="20"/>
                <w:szCs w:val="20"/>
              </w:rPr>
              <w:t>11</w:t>
            </w:r>
          </w:p>
        </w:tc>
        <w:tc>
          <w:tcPr>
            <w:tcW w:w="9060" w:type="dxa"/>
            <w:gridSpan w:val="2"/>
          </w:tcPr>
          <w:p w:rsidR="00A1526F" w:rsidRPr="00A1526F" w:rsidRDefault="00A1526F" w:rsidP="00AD2A4A">
            <w:pPr>
              <w:pStyle w:val="Default"/>
              <w:rPr>
                <w:rFonts w:ascii="Arial" w:hAnsi="Arial" w:cs="Arial"/>
                <w:iCs/>
                <w:sz w:val="20"/>
                <w:szCs w:val="20"/>
              </w:rPr>
            </w:pPr>
            <w:r w:rsidRPr="00A1526F">
              <w:rPr>
                <w:rFonts w:ascii="Arial" w:hAnsi="Arial" w:cs="Arial"/>
                <w:iCs/>
                <w:sz w:val="20"/>
                <w:szCs w:val="20"/>
              </w:rPr>
              <w:t>Focus on Day Cases</w:t>
            </w:r>
          </w:p>
          <w:p w:rsidR="00A1526F" w:rsidRPr="00A1526F" w:rsidRDefault="00A1526F" w:rsidP="00AD2A4A">
            <w:pPr>
              <w:pStyle w:val="Default"/>
              <w:rPr>
                <w:rFonts w:ascii="Arial" w:hAnsi="Arial" w:cs="Arial"/>
                <w:iCs/>
                <w:sz w:val="20"/>
                <w:szCs w:val="20"/>
              </w:rPr>
            </w:pPr>
          </w:p>
          <w:p w:rsidR="00B12B7C" w:rsidRPr="00A1526F" w:rsidRDefault="00A1526F" w:rsidP="00A1526F">
            <w:pPr>
              <w:pStyle w:val="Default"/>
              <w:numPr>
                <w:ilvl w:val="0"/>
                <w:numId w:val="16"/>
              </w:numPr>
              <w:ind w:left="360"/>
              <w:rPr>
                <w:rFonts w:ascii="Arial" w:hAnsi="Arial" w:cs="Arial"/>
                <w:iCs/>
                <w:sz w:val="20"/>
                <w:szCs w:val="20"/>
              </w:rPr>
            </w:pPr>
            <w:r w:rsidRPr="00A1526F">
              <w:rPr>
                <w:rFonts w:ascii="Arial" w:hAnsi="Arial" w:cs="Arial"/>
                <w:iCs/>
                <w:sz w:val="20"/>
                <w:szCs w:val="20"/>
              </w:rPr>
              <w:t xml:space="preserve">Majority of day case over performance being seen at </w:t>
            </w:r>
            <w:proofErr w:type="spellStart"/>
            <w:r w:rsidRPr="00A1526F">
              <w:rPr>
                <w:rFonts w:ascii="Arial" w:hAnsi="Arial" w:cs="Arial"/>
                <w:iCs/>
                <w:sz w:val="20"/>
                <w:szCs w:val="20"/>
              </w:rPr>
              <w:t>Renacres</w:t>
            </w:r>
            <w:proofErr w:type="spellEnd"/>
            <w:r w:rsidRPr="00A1526F">
              <w:rPr>
                <w:rFonts w:ascii="Arial" w:hAnsi="Arial" w:cs="Arial"/>
                <w:iCs/>
                <w:sz w:val="20"/>
                <w:szCs w:val="20"/>
              </w:rPr>
              <w:t xml:space="preserve"> and S&amp;O </w:t>
            </w:r>
          </w:p>
          <w:p w:rsidR="00A1526F" w:rsidRPr="00A1526F" w:rsidRDefault="00A1526F" w:rsidP="00A1526F">
            <w:pPr>
              <w:pStyle w:val="Default"/>
              <w:rPr>
                <w:rFonts w:ascii="Arial" w:hAnsi="Arial" w:cs="Arial"/>
                <w:iCs/>
                <w:sz w:val="20"/>
                <w:szCs w:val="20"/>
              </w:rPr>
            </w:pPr>
          </w:p>
          <w:p w:rsidR="00A1526F" w:rsidRPr="00A1526F" w:rsidRDefault="00A1526F" w:rsidP="00A1526F">
            <w:pPr>
              <w:pStyle w:val="Default"/>
              <w:numPr>
                <w:ilvl w:val="0"/>
                <w:numId w:val="16"/>
              </w:numPr>
              <w:ind w:left="360"/>
              <w:rPr>
                <w:rFonts w:ascii="Arial" w:hAnsi="Arial" w:cs="Arial"/>
                <w:iCs/>
                <w:sz w:val="20"/>
                <w:szCs w:val="20"/>
              </w:rPr>
            </w:pPr>
            <w:proofErr w:type="spellStart"/>
            <w:r w:rsidRPr="00A1526F">
              <w:rPr>
                <w:rFonts w:ascii="Arial" w:hAnsi="Arial" w:cs="Arial"/>
                <w:iCs/>
                <w:sz w:val="20"/>
                <w:szCs w:val="20"/>
              </w:rPr>
              <w:t>Renacres</w:t>
            </w:r>
            <w:proofErr w:type="spellEnd"/>
            <w:r w:rsidRPr="00A1526F">
              <w:rPr>
                <w:rFonts w:ascii="Arial" w:hAnsi="Arial" w:cs="Arial"/>
                <w:iCs/>
                <w:sz w:val="20"/>
                <w:szCs w:val="20"/>
              </w:rPr>
              <w:t xml:space="preserve"> plan does not include any Inpatient Day Cases but 380 are now forecast in 2016/17</w:t>
            </w:r>
          </w:p>
          <w:p w:rsidR="00A1526F" w:rsidRPr="00A1526F" w:rsidRDefault="00A1526F" w:rsidP="00A1526F">
            <w:pPr>
              <w:pStyle w:val="Default"/>
              <w:rPr>
                <w:rFonts w:ascii="Arial" w:hAnsi="Arial" w:cs="Arial"/>
                <w:iCs/>
                <w:sz w:val="20"/>
                <w:szCs w:val="20"/>
              </w:rPr>
            </w:pPr>
          </w:p>
          <w:p w:rsidR="00B12B7C" w:rsidRPr="00A1526F" w:rsidRDefault="00A1526F" w:rsidP="00A1526F">
            <w:pPr>
              <w:pStyle w:val="Default"/>
              <w:numPr>
                <w:ilvl w:val="0"/>
                <w:numId w:val="16"/>
              </w:numPr>
              <w:ind w:left="360"/>
              <w:rPr>
                <w:rFonts w:ascii="Arial" w:hAnsi="Arial" w:cs="Arial"/>
                <w:iCs/>
              </w:rPr>
            </w:pPr>
            <w:r w:rsidRPr="00A1526F">
              <w:rPr>
                <w:rFonts w:ascii="Arial" w:hAnsi="Arial" w:cs="Arial"/>
                <w:iCs/>
                <w:sz w:val="20"/>
                <w:szCs w:val="20"/>
              </w:rPr>
              <w:t>Lancashire Teaching Hospitals forecasting significant over performance against their plan but this is not material in the context of other providers</w:t>
            </w:r>
          </w:p>
          <w:p w:rsidR="00A1526F" w:rsidRDefault="00A1526F" w:rsidP="00AD2A4A">
            <w:pPr>
              <w:pStyle w:val="Default"/>
              <w:rPr>
                <w:rFonts w:ascii="Arial" w:hAnsi="Arial" w:cs="Arial"/>
                <w:iCs/>
              </w:rPr>
            </w:pPr>
          </w:p>
          <w:tbl>
            <w:tblPr>
              <w:tblStyle w:val="TableGrid"/>
              <w:tblW w:w="9169" w:type="dxa"/>
              <w:tblLayout w:type="fixed"/>
              <w:tblLook w:val="04A0" w:firstRow="1" w:lastRow="0" w:firstColumn="1" w:lastColumn="0" w:noHBand="0" w:noVBand="1"/>
            </w:tblPr>
            <w:tblGrid>
              <w:gridCol w:w="1540"/>
              <w:gridCol w:w="847"/>
              <w:gridCol w:w="848"/>
              <w:gridCol w:w="848"/>
              <w:gridCol w:w="847"/>
              <w:gridCol w:w="848"/>
              <w:gridCol w:w="848"/>
              <w:gridCol w:w="847"/>
              <w:gridCol w:w="848"/>
              <w:gridCol w:w="848"/>
            </w:tblGrid>
            <w:tr w:rsidR="00A1526F" w:rsidTr="000D756E">
              <w:tc>
                <w:tcPr>
                  <w:tcW w:w="1540"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Provider Description</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POD Description</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Activity Plan</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Activity Actual</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Activity </w:t>
                  </w:r>
                  <w:proofErr w:type="spellStart"/>
                  <w:r w:rsidRPr="00A1526F">
                    <w:rPr>
                      <w:rFonts w:ascii="Arial" w:hAnsi="Arial" w:cs="Arial"/>
                      <w:color w:val="000000" w:themeColor="text1"/>
                      <w:kern w:val="24"/>
                      <w:sz w:val="16"/>
                      <w:szCs w:val="16"/>
                      <w:lang w:val="en-GB" w:eastAsia="en-GB"/>
                    </w:rPr>
                    <w:t>Var</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Cost Plan</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Cost Actual</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Cost </w:t>
                  </w:r>
                  <w:proofErr w:type="spellStart"/>
                  <w:r w:rsidRPr="00A1526F">
                    <w:rPr>
                      <w:rFonts w:ascii="Arial" w:hAnsi="Arial" w:cs="Arial"/>
                      <w:color w:val="000000" w:themeColor="text1"/>
                      <w:kern w:val="24"/>
                      <w:sz w:val="16"/>
                      <w:szCs w:val="16"/>
                      <w:lang w:val="en-GB" w:eastAsia="en-GB"/>
                    </w:rPr>
                    <w:t>Var</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 Activity </w:t>
                  </w:r>
                  <w:proofErr w:type="spellStart"/>
                  <w:r w:rsidRPr="00A1526F">
                    <w:rPr>
                      <w:rFonts w:ascii="Arial" w:hAnsi="Arial" w:cs="Arial"/>
                      <w:color w:val="000000" w:themeColor="text1"/>
                      <w:kern w:val="24"/>
                      <w:sz w:val="16"/>
                      <w:szCs w:val="16"/>
                      <w:lang w:val="en-GB" w:eastAsia="en-GB"/>
                    </w:rPr>
                    <w:t>Var</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 Cost </w:t>
                  </w:r>
                  <w:proofErr w:type="spellStart"/>
                  <w:r w:rsidRPr="00A1526F">
                    <w:rPr>
                      <w:rFonts w:ascii="Arial" w:hAnsi="Arial" w:cs="Arial"/>
                      <w:color w:val="000000" w:themeColor="text1"/>
                      <w:kern w:val="24"/>
                      <w:sz w:val="16"/>
                      <w:szCs w:val="16"/>
                      <w:lang w:val="en-GB" w:eastAsia="en-GB"/>
                    </w:rPr>
                    <w:t>Var</w:t>
                  </w:r>
                  <w:proofErr w:type="spellEnd"/>
                </w:p>
              </w:tc>
            </w:tr>
            <w:tr w:rsidR="00A1526F" w:rsidTr="000D756E">
              <w:tc>
                <w:tcPr>
                  <w:tcW w:w="1540"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LANCASHIRE TEACHING HOSPITALS NHSFT</w:t>
                  </w:r>
                </w:p>
              </w:tc>
              <w:tc>
                <w:tcPr>
                  <w:tcW w:w="847"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Inpatient </w:t>
                  </w:r>
                  <w:proofErr w:type="spellStart"/>
                  <w:r w:rsidRPr="00A1526F">
                    <w:rPr>
                      <w:rFonts w:ascii="Arial" w:hAnsi="Arial" w:cs="Arial"/>
                      <w:color w:val="000000" w:themeColor="text1"/>
                      <w:kern w:val="24"/>
                      <w:sz w:val="16"/>
                      <w:szCs w:val="16"/>
                      <w:lang w:val="en-GB" w:eastAsia="en-GB"/>
                    </w:rPr>
                    <w:t>Daycase</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20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50</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30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£11,941</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£30,057</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£18,116</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150%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152%</w:t>
                  </w:r>
                </w:p>
              </w:tc>
            </w:tr>
            <w:tr w:rsidR="00A1526F" w:rsidTr="000D756E">
              <w:tc>
                <w:tcPr>
                  <w:tcW w:w="1540"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PENNINE ACUTE HOSPITALS NHS TRUST</w:t>
                  </w:r>
                </w:p>
              </w:tc>
              <w:tc>
                <w:tcPr>
                  <w:tcW w:w="847"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Inpatient </w:t>
                  </w:r>
                  <w:proofErr w:type="spellStart"/>
                  <w:r w:rsidRPr="00A1526F">
                    <w:rPr>
                      <w:rFonts w:ascii="Arial" w:hAnsi="Arial" w:cs="Arial"/>
                      <w:color w:val="000000" w:themeColor="text1"/>
                      <w:kern w:val="24"/>
                      <w:sz w:val="16"/>
                      <w:szCs w:val="16"/>
                      <w:lang w:val="en-GB" w:eastAsia="en-GB"/>
                    </w:rPr>
                    <w:t>Daycase</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2</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3</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£994</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£2,463</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£1,469</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167%</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148%</w:t>
                  </w:r>
                </w:p>
              </w:tc>
            </w:tr>
            <w:tr w:rsidR="00A1526F" w:rsidTr="000D756E">
              <w:tc>
                <w:tcPr>
                  <w:tcW w:w="1540"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Ramsay - </w:t>
                  </w:r>
                  <w:proofErr w:type="spellStart"/>
                  <w:r w:rsidRPr="00A1526F">
                    <w:rPr>
                      <w:rFonts w:ascii="Arial" w:hAnsi="Arial" w:cs="Arial"/>
                      <w:color w:val="000000" w:themeColor="text1"/>
                      <w:kern w:val="24"/>
                      <w:sz w:val="16"/>
                      <w:szCs w:val="16"/>
                      <w:lang w:val="en-GB" w:eastAsia="en-GB"/>
                    </w:rPr>
                    <w:t>Euxton</w:t>
                  </w:r>
                  <w:proofErr w:type="spellEnd"/>
                  <w:r w:rsidRPr="00A1526F">
                    <w:rPr>
                      <w:rFonts w:ascii="Arial" w:hAnsi="Arial" w:cs="Arial"/>
                      <w:color w:val="000000" w:themeColor="text1"/>
                      <w:kern w:val="24"/>
                      <w:sz w:val="16"/>
                      <w:szCs w:val="16"/>
                      <w:lang w:val="en-GB" w:eastAsia="en-GB"/>
                    </w:rPr>
                    <w:t xml:space="preserve"> Hall Hospital</w:t>
                  </w:r>
                </w:p>
              </w:tc>
              <w:tc>
                <w:tcPr>
                  <w:tcW w:w="847"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Inpatient </w:t>
                  </w:r>
                  <w:proofErr w:type="spellStart"/>
                  <w:r w:rsidRPr="00A1526F">
                    <w:rPr>
                      <w:rFonts w:ascii="Arial" w:hAnsi="Arial" w:cs="Arial"/>
                      <w:color w:val="000000" w:themeColor="text1"/>
                      <w:kern w:val="24"/>
                      <w:sz w:val="16"/>
                      <w:szCs w:val="16"/>
                      <w:lang w:val="en-GB" w:eastAsia="en-GB"/>
                    </w:rPr>
                    <w:t>Daycase</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£2,402</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£2,402</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missing</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missing</w:t>
                  </w:r>
                </w:p>
              </w:tc>
            </w:tr>
            <w:tr w:rsidR="00A1526F" w:rsidTr="000D756E">
              <w:tc>
                <w:tcPr>
                  <w:tcW w:w="1540"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Ramsay - </w:t>
                  </w:r>
                  <w:proofErr w:type="spellStart"/>
                  <w:r w:rsidRPr="00A1526F">
                    <w:rPr>
                      <w:rFonts w:ascii="Arial" w:hAnsi="Arial" w:cs="Arial"/>
                      <w:color w:val="000000" w:themeColor="text1"/>
                      <w:kern w:val="24"/>
                      <w:sz w:val="16"/>
                      <w:szCs w:val="16"/>
                      <w:lang w:val="en-GB" w:eastAsia="en-GB"/>
                    </w:rPr>
                    <w:t>Renacres</w:t>
                  </w:r>
                  <w:proofErr w:type="spellEnd"/>
                  <w:r w:rsidRPr="00A1526F">
                    <w:rPr>
                      <w:rFonts w:ascii="Arial" w:hAnsi="Arial" w:cs="Arial"/>
                      <w:color w:val="000000" w:themeColor="text1"/>
                      <w:kern w:val="24"/>
                      <w:sz w:val="16"/>
                      <w:szCs w:val="16"/>
                      <w:lang w:val="en-GB" w:eastAsia="en-GB"/>
                    </w:rPr>
                    <w:t xml:space="preserve"> Hospital</w:t>
                  </w:r>
                </w:p>
              </w:tc>
              <w:tc>
                <w:tcPr>
                  <w:tcW w:w="847"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Inpatient </w:t>
                  </w:r>
                  <w:proofErr w:type="spellStart"/>
                  <w:r w:rsidRPr="00A1526F">
                    <w:rPr>
                      <w:rFonts w:ascii="Arial" w:hAnsi="Arial" w:cs="Arial"/>
                      <w:color w:val="000000" w:themeColor="text1"/>
                      <w:kern w:val="24"/>
                      <w:sz w:val="16"/>
                      <w:szCs w:val="16"/>
                      <w:lang w:val="en-GB" w:eastAsia="en-GB"/>
                    </w:rPr>
                    <w:t>Daycase</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380</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380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£343,459</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£343,459</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missing</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missing</w:t>
                  </w:r>
                </w:p>
              </w:tc>
            </w:tr>
            <w:tr w:rsidR="00A1526F" w:rsidTr="000D756E">
              <w:tc>
                <w:tcPr>
                  <w:tcW w:w="1540"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ROYAL LIVERPOOL AND BROADGREEN UNIVERSITY HOSPITALS NHS TRUST</w:t>
                  </w:r>
                </w:p>
              </w:tc>
              <w:tc>
                <w:tcPr>
                  <w:tcW w:w="847"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Inpatient </w:t>
                  </w:r>
                  <w:proofErr w:type="spellStart"/>
                  <w:r w:rsidRPr="00A1526F">
                    <w:rPr>
                      <w:rFonts w:ascii="Arial" w:hAnsi="Arial" w:cs="Arial"/>
                      <w:color w:val="000000" w:themeColor="text1"/>
                      <w:kern w:val="24"/>
                      <w:sz w:val="16"/>
                      <w:szCs w:val="16"/>
                      <w:lang w:val="en-GB" w:eastAsia="en-GB"/>
                    </w:rPr>
                    <w:t>Daycase</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3</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£4,250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£2,827</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-£1,423</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42%</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-33%</w:t>
                  </w:r>
                </w:p>
              </w:tc>
            </w:tr>
            <w:tr w:rsidR="00A1526F" w:rsidTr="000D756E">
              <w:tc>
                <w:tcPr>
                  <w:tcW w:w="1540"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SOUTHPORT AND ORMSKIRK HOSPITAL NHS TRUST</w:t>
                  </w:r>
                </w:p>
              </w:tc>
              <w:tc>
                <w:tcPr>
                  <w:tcW w:w="847"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Inpatient </w:t>
                  </w:r>
                  <w:proofErr w:type="spellStart"/>
                  <w:r w:rsidRPr="00A1526F">
                    <w:rPr>
                      <w:rFonts w:ascii="Arial" w:hAnsi="Arial" w:cs="Arial"/>
                      <w:color w:val="000000" w:themeColor="text1"/>
                      <w:kern w:val="24"/>
                      <w:sz w:val="16"/>
                      <w:szCs w:val="16"/>
                      <w:lang w:val="en-GB" w:eastAsia="en-GB"/>
                    </w:rPr>
                    <w:t>Daycase</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1,022</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1,089</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67</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£970,060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£1,112,861</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£142,801</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7%</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15%</w:t>
                  </w:r>
                </w:p>
              </w:tc>
            </w:tr>
            <w:tr w:rsidR="00A1526F" w:rsidTr="000D756E">
              <w:tc>
                <w:tcPr>
                  <w:tcW w:w="1540"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ST HELENS AND KNOWSLEY </w:t>
                  </w:r>
                  <w:r w:rsidRPr="00A1526F">
                    <w:rPr>
                      <w:rFonts w:ascii="Arial" w:hAnsi="Arial" w:cs="Arial"/>
                      <w:color w:val="000000" w:themeColor="text1"/>
                      <w:kern w:val="24"/>
                      <w:sz w:val="16"/>
                      <w:szCs w:val="16"/>
                      <w:lang w:val="en-GB" w:eastAsia="en-GB"/>
                    </w:rPr>
                    <w:lastRenderedPageBreak/>
                    <w:t>HOSPITALS NHS TRUST</w:t>
                  </w:r>
                </w:p>
              </w:tc>
              <w:tc>
                <w:tcPr>
                  <w:tcW w:w="847"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lastRenderedPageBreak/>
                    <w:t xml:space="preserve">Inpatient </w:t>
                  </w:r>
                  <w:proofErr w:type="spellStart"/>
                  <w:r w:rsidRPr="00A1526F">
                    <w:rPr>
                      <w:rFonts w:ascii="Arial" w:hAnsi="Arial" w:cs="Arial"/>
                      <w:color w:val="000000" w:themeColor="text1"/>
                      <w:kern w:val="24"/>
                      <w:sz w:val="16"/>
                      <w:szCs w:val="16"/>
                      <w:lang w:val="en-GB" w:eastAsia="en-GB"/>
                    </w:rPr>
                    <w:t>Daycase</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0</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£1,881</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£0</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-£1,881</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-100%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-100%</w:t>
                  </w:r>
                </w:p>
              </w:tc>
            </w:tr>
            <w:tr w:rsidR="00A1526F" w:rsidTr="000D756E">
              <w:tc>
                <w:tcPr>
                  <w:tcW w:w="1540"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lastRenderedPageBreak/>
                    <w:t>UNIVERSITY HOSPITAL OF SOUTH MANCHESTER NHSFT</w:t>
                  </w:r>
                </w:p>
              </w:tc>
              <w:tc>
                <w:tcPr>
                  <w:tcW w:w="847"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Inpatient </w:t>
                  </w:r>
                  <w:proofErr w:type="spellStart"/>
                  <w:r w:rsidRPr="00A1526F">
                    <w:rPr>
                      <w:rFonts w:ascii="Arial" w:hAnsi="Arial" w:cs="Arial"/>
                      <w:color w:val="000000" w:themeColor="text1"/>
                      <w:kern w:val="24"/>
                      <w:sz w:val="16"/>
                      <w:szCs w:val="16"/>
                      <w:lang w:val="en-GB" w:eastAsia="en-GB"/>
                    </w:rPr>
                    <w:t>Daycase</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6</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0</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-6</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£4,849</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£0</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-£4,849</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-100%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-100%</w:t>
                  </w:r>
                </w:p>
              </w:tc>
            </w:tr>
            <w:tr w:rsidR="00A1526F" w:rsidTr="000D756E">
              <w:tc>
                <w:tcPr>
                  <w:tcW w:w="1540"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WRIGHTINGTON, WIGAN AND LEIGH NHSFT</w:t>
                  </w:r>
                </w:p>
              </w:tc>
              <w:tc>
                <w:tcPr>
                  <w:tcW w:w="847" w:type="dxa"/>
                  <w:vAlign w:val="center"/>
                </w:tcPr>
                <w:p w:rsidR="00A1526F" w:rsidRPr="00A1526F" w:rsidRDefault="00A1526F" w:rsidP="000D756E">
                  <w:pPr>
                    <w:spacing w:after="0" w:line="240" w:lineRule="auto"/>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 xml:space="preserve">Inpatient </w:t>
                  </w:r>
                  <w:proofErr w:type="spellStart"/>
                  <w:r w:rsidRPr="00A1526F">
                    <w:rPr>
                      <w:rFonts w:ascii="Arial" w:hAnsi="Arial" w:cs="Arial"/>
                      <w:color w:val="000000" w:themeColor="text1"/>
                      <w:kern w:val="24"/>
                      <w:sz w:val="16"/>
                      <w:szCs w:val="16"/>
                      <w:lang w:val="en-GB" w:eastAsia="en-GB"/>
                    </w:rPr>
                    <w:t>Daycase</w:t>
                  </w:r>
                  <w:proofErr w:type="spellEnd"/>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45</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12</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-33</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£27,381</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£7,426</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-£19,955</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-74%</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color w:val="000000" w:themeColor="text1"/>
                      <w:kern w:val="24"/>
                      <w:sz w:val="16"/>
                      <w:szCs w:val="16"/>
                      <w:lang w:val="en-GB" w:eastAsia="en-GB"/>
                    </w:rPr>
                    <w:t>-73%</w:t>
                  </w:r>
                </w:p>
              </w:tc>
            </w:tr>
            <w:tr w:rsidR="00A1526F" w:rsidTr="000D756E">
              <w:tc>
                <w:tcPr>
                  <w:tcW w:w="1540"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b/>
                      <w:bCs/>
                      <w:color w:val="000000" w:themeColor="text1"/>
                      <w:kern w:val="24"/>
                      <w:sz w:val="16"/>
                      <w:szCs w:val="16"/>
                      <w:lang w:val="en-GB" w:eastAsia="en-GB"/>
                    </w:rPr>
                    <w:t>Grand Total</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b/>
                      <w:bCs/>
                      <w:color w:val="000000" w:themeColor="text1"/>
                      <w:kern w:val="24"/>
                      <w:sz w:val="16"/>
                      <w:szCs w:val="16"/>
                      <w:lang w:val="en-GB" w:eastAsia="en-GB"/>
                    </w:rPr>
                    <w:t> </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b/>
                      <w:bCs/>
                      <w:color w:val="000000" w:themeColor="text1"/>
                      <w:kern w:val="24"/>
                      <w:sz w:val="16"/>
                      <w:szCs w:val="16"/>
                      <w:lang w:val="en-GB" w:eastAsia="en-GB"/>
                    </w:rPr>
                    <w:t>1,102</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b/>
                      <w:bCs/>
                      <w:color w:val="000000" w:themeColor="text1"/>
                      <w:kern w:val="24"/>
                      <w:sz w:val="16"/>
                      <w:szCs w:val="16"/>
                      <w:lang w:val="en-GB" w:eastAsia="en-GB"/>
                    </w:rPr>
                    <w:t>1,543</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b/>
                      <w:bCs/>
                      <w:color w:val="000000" w:themeColor="text1"/>
                      <w:kern w:val="24"/>
                      <w:sz w:val="16"/>
                      <w:szCs w:val="16"/>
                      <w:lang w:val="en-GB" w:eastAsia="en-GB"/>
                    </w:rPr>
                    <w:t>441</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b/>
                      <w:bCs/>
                      <w:color w:val="000000" w:themeColor="text1"/>
                      <w:kern w:val="24"/>
                      <w:sz w:val="16"/>
                      <w:szCs w:val="16"/>
                      <w:lang w:val="en-GB" w:eastAsia="en-GB"/>
                    </w:rPr>
                    <w:t>£1,021,356</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b/>
                      <w:bCs/>
                      <w:color w:val="000000" w:themeColor="text1"/>
                      <w:kern w:val="24"/>
                      <w:sz w:val="16"/>
                      <w:szCs w:val="16"/>
                      <w:lang w:val="en-GB" w:eastAsia="en-GB"/>
                    </w:rPr>
                    <w:t>£1,501,495</w:t>
                  </w:r>
                </w:p>
              </w:tc>
              <w:tc>
                <w:tcPr>
                  <w:tcW w:w="847"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b/>
                      <w:bCs/>
                      <w:color w:val="000000" w:themeColor="text1"/>
                      <w:kern w:val="24"/>
                      <w:sz w:val="16"/>
                      <w:szCs w:val="16"/>
                      <w:lang w:val="en-GB" w:eastAsia="en-GB"/>
                    </w:rPr>
                    <w:t>£480,139</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b/>
                      <w:bCs/>
                      <w:color w:val="000000" w:themeColor="text1"/>
                      <w:kern w:val="24"/>
                      <w:sz w:val="16"/>
                      <w:szCs w:val="16"/>
                      <w:lang w:val="en-GB" w:eastAsia="en-GB"/>
                    </w:rPr>
                    <w:t>40%</w:t>
                  </w:r>
                </w:p>
              </w:tc>
              <w:tc>
                <w:tcPr>
                  <w:tcW w:w="848" w:type="dxa"/>
                  <w:vAlign w:val="center"/>
                </w:tcPr>
                <w:p w:rsidR="00A1526F" w:rsidRPr="00A1526F" w:rsidRDefault="00A1526F" w:rsidP="000D756E">
                  <w:pPr>
                    <w:spacing w:after="0" w:line="240" w:lineRule="auto"/>
                    <w:jc w:val="center"/>
                    <w:textAlignment w:val="bottom"/>
                    <w:rPr>
                      <w:rFonts w:ascii="Arial" w:hAnsi="Arial" w:cs="Arial"/>
                      <w:sz w:val="16"/>
                      <w:szCs w:val="16"/>
                      <w:lang w:val="en-GB" w:eastAsia="en-GB"/>
                    </w:rPr>
                  </w:pPr>
                  <w:r w:rsidRPr="00A1526F">
                    <w:rPr>
                      <w:rFonts w:ascii="Arial" w:hAnsi="Arial" w:cs="Arial"/>
                      <w:b/>
                      <w:bCs/>
                      <w:color w:val="000000" w:themeColor="text1"/>
                      <w:kern w:val="24"/>
                      <w:sz w:val="16"/>
                      <w:szCs w:val="16"/>
                      <w:lang w:val="en-GB" w:eastAsia="en-GB"/>
                    </w:rPr>
                    <w:t>47%</w:t>
                  </w:r>
                </w:p>
              </w:tc>
            </w:tr>
          </w:tbl>
          <w:p w:rsidR="00A1526F" w:rsidRDefault="00A1526F" w:rsidP="00AD2A4A">
            <w:pPr>
              <w:pStyle w:val="Default"/>
              <w:rPr>
                <w:rFonts w:ascii="Arial" w:hAnsi="Arial" w:cs="Arial"/>
                <w:iCs/>
              </w:rPr>
            </w:pPr>
          </w:p>
          <w:p w:rsidR="00A1526F" w:rsidRDefault="00A1526F" w:rsidP="00AD2A4A">
            <w:pPr>
              <w:pStyle w:val="Default"/>
              <w:rPr>
                <w:rFonts w:ascii="Arial" w:hAnsi="Arial" w:cs="Arial"/>
                <w:iCs/>
              </w:rPr>
            </w:pPr>
          </w:p>
        </w:tc>
      </w:tr>
      <w:tr w:rsidR="00B3110A"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B3110A" w:rsidRPr="00A1526F" w:rsidRDefault="00A1526F" w:rsidP="00C02C2C">
            <w:pPr>
              <w:pStyle w:val="Default"/>
              <w:rPr>
                <w:rFonts w:ascii="Arial" w:hAnsi="Arial" w:cs="Arial"/>
                <w:b/>
                <w:sz w:val="20"/>
                <w:szCs w:val="20"/>
              </w:rPr>
            </w:pPr>
            <w:r w:rsidRPr="00A1526F">
              <w:rPr>
                <w:rFonts w:ascii="Arial" w:hAnsi="Arial" w:cs="Arial"/>
                <w:b/>
                <w:sz w:val="20"/>
                <w:szCs w:val="20"/>
              </w:rPr>
              <w:lastRenderedPageBreak/>
              <w:t>3</w:t>
            </w:r>
          </w:p>
        </w:tc>
        <w:tc>
          <w:tcPr>
            <w:tcW w:w="9060" w:type="dxa"/>
            <w:gridSpan w:val="2"/>
          </w:tcPr>
          <w:p w:rsidR="00B3110A" w:rsidRPr="00A1526F" w:rsidRDefault="00B3110A" w:rsidP="00C02C2C">
            <w:pPr>
              <w:pStyle w:val="Default"/>
              <w:rPr>
                <w:rFonts w:ascii="Arial" w:hAnsi="Arial" w:cs="Arial"/>
                <w:b/>
                <w:sz w:val="20"/>
                <w:szCs w:val="20"/>
              </w:rPr>
            </w:pPr>
            <w:r w:rsidRPr="00A1526F">
              <w:rPr>
                <w:rFonts w:ascii="Arial" w:hAnsi="Arial" w:cs="Arial"/>
                <w:b/>
                <w:sz w:val="20"/>
                <w:szCs w:val="20"/>
              </w:rPr>
              <w:t>Instructions</w:t>
            </w:r>
          </w:p>
          <w:p w:rsidR="00B3110A" w:rsidRPr="00A1526F" w:rsidRDefault="00B3110A" w:rsidP="00C02C2C">
            <w:pPr>
              <w:pStyle w:val="Default"/>
              <w:rPr>
                <w:rFonts w:ascii="Arial" w:hAnsi="Arial" w:cs="Arial"/>
                <w:b/>
                <w:sz w:val="20"/>
                <w:szCs w:val="20"/>
              </w:rPr>
            </w:pPr>
          </w:p>
        </w:tc>
      </w:tr>
      <w:tr w:rsidR="00B3110A" w:rsidRPr="00AD2A4A" w:rsidTr="00ED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675" w:type="dxa"/>
          </w:tcPr>
          <w:p w:rsidR="00B3110A" w:rsidRPr="00A1526F" w:rsidRDefault="00A1526F" w:rsidP="00C02C2C">
            <w:pPr>
              <w:pStyle w:val="Default"/>
              <w:rPr>
                <w:rFonts w:ascii="Arial" w:hAnsi="Arial" w:cs="Arial"/>
                <w:sz w:val="20"/>
                <w:szCs w:val="20"/>
              </w:rPr>
            </w:pPr>
            <w:r w:rsidRPr="00A1526F">
              <w:rPr>
                <w:rFonts w:ascii="Arial" w:hAnsi="Arial" w:cs="Arial"/>
                <w:sz w:val="20"/>
                <w:szCs w:val="20"/>
              </w:rPr>
              <w:t>3</w:t>
            </w:r>
            <w:r w:rsidR="00B3110A" w:rsidRPr="00A1526F">
              <w:rPr>
                <w:rFonts w:ascii="Arial" w:hAnsi="Arial" w:cs="Arial"/>
                <w:sz w:val="20"/>
                <w:szCs w:val="20"/>
              </w:rPr>
              <w:t>.1</w:t>
            </w:r>
          </w:p>
        </w:tc>
        <w:tc>
          <w:tcPr>
            <w:tcW w:w="9060" w:type="dxa"/>
            <w:gridSpan w:val="2"/>
          </w:tcPr>
          <w:p w:rsidR="00B3110A" w:rsidRPr="00A1526F" w:rsidRDefault="00B3110A" w:rsidP="00C02C2C">
            <w:pPr>
              <w:pStyle w:val="Default"/>
              <w:rPr>
                <w:rFonts w:ascii="Arial" w:hAnsi="Arial" w:cs="Arial"/>
                <w:sz w:val="20"/>
                <w:szCs w:val="20"/>
              </w:rPr>
            </w:pPr>
            <w:r w:rsidRPr="00A1526F">
              <w:rPr>
                <w:rFonts w:ascii="Arial" w:hAnsi="Arial" w:cs="Arial"/>
                <w:sz w:val="20"/>
                <w:szCs w:val="20"/>
              </w:rPr>
              <w:t>Suppliers wishing to engage in</w:t>
            </w:r>
            <w:r w:rsidR="00EC7399" w:rsidRPr="00A1526F">
              <w:rPr>
                <w:rFonts w:ascii="Arial" w:hAnsi="Arial" w:cs="Arial"/>
                <w:sz w:val="20"/>
                <w:szCs w:val="20"/>
              </w:rPr>
              <w:t xml:space="preserve"> the pre competition work for the pilot should express an interest to Sophie Riding at </w:t>
            </w:r>
            <w:hyperlink r:id="rId9" w:history="1">
              <w:r w:rsidR="00EA19F0" w:rsidRPr="009A3329">
                <w:rPr>
                  <w:rStyle w:val="Hyperlink"/>
                  <w:rFonts w:ascii="Arial" w:hAnsi="Arial" w:cs="Arial"/>
                  <w:sz w:val="20"/>
                  <w:szCs w:val="20"/>
                </w:rPr>
                <w:t>sophie.riding@nhs.net</w:t>
              </w:r>
            </w:hyperlink>
            <w:r w:rsidR="00EC7399" w:rsidRPr="00A1526F">
              <w:rPr>
                <w:rFonts w:ascii="Arial" w:hAnsi="Arial" w:cs="Arial"/>
                <w:sz w:val="20"/>
                <w:szCs w:val="20"/>
              </w:rPr>
              <w:t xml:space="preserve"> </w:t>
            </w:r>
            <w:r w:rsidR="00F35604">
              <w:rPr>
                <w:rFonts w:ascii="Arial" w:hAnsi="Arial" w:cs="Arial"/>
                <w:sz w:val="20"/>
                <w:szCs w:val="20"/>
              </w:rPr>
              <w:t>by 28</w:t>
            </w:r>
            <w:r w:rsidR="00F35604" w:rsidRPr="00F35604">
              <w:rPr>
                <w:rFonts w:ascii="Arial" w:hAnsi="Arial" w:cs="Arial"/>
                <w:sz w:val="20"/>
                <w:szCs w:val="20"/>
                <w:vertAlign w:val="superscript"/>
              </w:rPr>
              <w:t>th</w:t>
            </w:r>
            <w:r w:rsidR="00F35604">
              <w:rPr>
                <w:rFonts w:ascii="Arial" w:hAnsi="Arial" w:cs="Arial"/>
                <w:sz w:val="20"/>
                <w:szCs w:val="20"/>
              </w:rPr>
              <w:t xml:space="preserve"> October 2016</w:t>
            </w:r>
            <w:proofErr w:type="gramStart"/>
            <w:r w:rsidR="00C84C0B">
              <w:rPr>
                <w:rFonts w:ascii="Arial" w:hAnsi="Arial" w:cs="Arial"/>
                <w:sz w:val="20"/>
                <w:szCs w:val="20"/>
              </w:rPr>
              <w:t>,  It</w:t>
            </w:r>
            <w:proofErr w:type="gramEnd"/>
            <w:r w:rsidR="00C84C0B">
              <w:rPr>
                <w:rFonts w:ascii="Arial" w:hAnsi="Arial" w:cs="Arial"/>
                <w:sz w:val="20"/>
                <w:szCs w:val="20"/>
              </w:rPr>
              <w:t xml:space="preserve"> is expected that providers who express an interest will be invited to an workshop to be held on the 9</w:t>
            </w:r>
            <w:r w:rsidR="00C84C0B" w:rsidRPr="00C84C0B">
              <w:rPr>
                <w:rFonts w:ascii="Arial" w:hAnsi="Arial" w:cs="Arial"/>
                <w:sz w:val="20"/>
                <w:szCs w:val="20"/>
                <w:vertAlign w:val="superscript"/>
              </w:rPr>
              <w:t>th</w:t>
            </w:r>
            <w:r w:rsidR="00C84C0B">
              <w:rPr>
                <w:rFonts w:ascii="Arial" w:hAnsi="Arial" w:cs="Arial"/>
                <w:sz w:val="20"/>
                <w:szCs w:val="20"/>
              </w:rPr>
              <w:t xml:space="preserve"> November 2016.</w:t>
            </w:r>
          </w:p>
          <w:p w:rsidR="00B3110A" w:rsidRPr="00A1526F" w:rsidRDefault="00B3110A" w:rsidP="00C02C2C">
            <w:pPr>
              <w:pStyle w:val="Default"/>
              <w:rPr>
                <w:rFonts w:ascii="Arial" w:hAnsi="Arial" w:cs="Arial"/>
                <w:sz w:val="20"/>
                <w:szCs w:val="20"/>
              </w:rPr>
            </w:pPr>
          </w:p>
        </w:tc>
      </w:tr>
    </w:tbl>
    <w:p w:rsidR="00A1526F" w:rsidRDefault="00A1526F" w:rsidP="00A1526F">
      <w:pPr>
        <w:rPr>
          <w:rFonts w:ascii="Arial" w:hAnsi="Arial" w:cs="Arial"/>
        </w:rPr>
      </w:pPr>
    </w:p>
    <w:p w:rsidR="00A1526F" w:rsidRPr="00A1526F" w:rsidRDefault="00A1526F" w:rsidP="00A1526F">
      <w:pPr>
        <w:rPr>
          <w:rFonts w:ascii="Arial" w:hAnsi="Arial" w:cs="Arial"/>
        </w:rPr>
      </w:pPr>
      <w:bookmarkStart w:id="0" w:name="_GoBack"/>
      <w:bookmarkEnd w:id="0"/>
    </w:p>
    <w:sectPr w:rsidR="00A1526F" w:rsidRPr="00A1526F" w:rsidSect="00EC7399">
      <w:headerReference w:type="default" r:id="rId10"/>
      <w:pgSz w:w="11907" w:h="16839" w:code="9"/>
      <w:pgMar w:top="720" w:right="720" w:bottom="720" w:left="720" w:header="720" w:footer="4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81" w:rsidRDefault="004B4C81" w:rsidP="005F4554">
      <w:pPr>
        <w:spacing w:after="0" w:line="240" w:lineRule="auto"/>
      </w:pPr>
      <w:r>
        <w:separator/>
      </w:r>
    </w:p>
  </w:endnote>
  <w:endnote w:type="continuationSeparator" w:id="0">
    <w:p w:rsidR="004B4C81" w:rsidRDefault="004B4C81" w:rsidP="005F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81" w:rsidRDefault="004B4C81" w:rsidP="005F4554">
      <w:pPr>
        <w:spacing w:after="0" w:line="240" w:lineRule="auto"/>
      </w:pPr>
      <w:r>
        <w:separator/>
      </w:r>
    </w:p>
  </w:footnote>
  <w:footnote w:type="continuationSeparator" w:id="0">
    <w:p w:rsidR="004B4C81" w:rsidRDefault="004B4C81" w:rsidP="005F4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9C5" w:rsidRDefault="002D070F">
    <w:pPr>
      <w:pStyle w:val="Header"/>
    </w:pPr>
    <w:r>
      <w:rPr>
        <w:noProof/>
        <w:lang w:val="en-GB" w:eastAsia="en-GB"/>
      </w:rPr>
      <w:drawing>
        <wp:anchor distT="0" distB="0" distL="114300" distR="114300" simplePos="0" relativeHeight="251658240" behindDoc="1" locked="0" layoutInCell="1" allowOverlap="1" wp14:anchorId="5206DED8" wp14:editId="6C9FE44D">
          <wp:simplePos x="0" y="0"/>
          <wp:positionH relativeFrom="column">
            <wp:posOffset>8117205</wp:posOffset>
          </wp:positionH>
          <wp:positionV relativeFrom="paragraph">
            <wp:posOffset>-247015</wp:posOffset>
          </wp:positionV>
          <wp:extent cx="1609725" cy="762000"/>
          <wp:effectExtent l="0" t="0" r="9525"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0122"/>
    <w:multiLevelType w:val="hybridMultilevel"/>
    <w:tmpl w:val="48E8783A"/>
    <w:lvl w:ilvl="0" w:tplc="EDD8F912">
      <w:start w:val="1"/>
      <w:numFmt w:val="bullet"/>
      <w:lvlText w:val="•"/>
      <w:lvlJc w:val="left"/>
      <w:pPr>
        <w:tabs>
          <w:tab w:val="num" w:pos="720"/>
        </w:tabs>
        <w:ind w:left="720" w:hanging="360"/>
      </w:pPr>
      <w:rPr>
        <w:rFonts w:ascii="Arial" w:hAnsi="Arial" w:hint="default"/>
      </w:rPr>
    </w:lvl>
    <w:lvl w:ilvl="1" w:tplc="EF8EABB8">
      <w:start w:val="1269"/>
      <w:numFmt w:val="bullet"/>
      <w:lvlText w:val="–"/>
      <w:lvlJc w:val="left"/>
      <w:pPr>
        <w:tabs>
          <w:tab w:val="num" w:pos="1440"/>
        </w:tabs>
        <w:ind w:left="1440" w:hanging="360"/>
      </w:pPr>
      <w:rPr>
        <w:rFonts w:ascii="Arial" w:hAnsi="Arial" w:hint="default"/>
      </w:rPr>
    </w:lvl>
    <w:lvl w:ilvl="2" w:tplc="403A66D4" w:tentative="1">
      <w:start w:val="1"/>
      <w:numFmt w:val="bullet"/>
      <w:lvlText w:val="•"/>
      <w:lvlJc w:val="left"/>
      <w:pPr>
        <w:tabs>
          <w:tab w:val="num" w:pos="2160"/>
        </w:tabs>
        <w:ind w:left="2160" w:hanging="360"/>
      </w:pPr>
      <w:rPr>
        <w:rFonts w:ascii="Arial" w:hAnsi="Arial" w:hint="default"/>
      </w:rPr>
    </w:lvl>
    <w:lvl w:ilvl="3" w:tplc="2A64C73C" w:tentative="1">
      <w:start w:val="1"/>
      <w:numFmt w:val="bullet"/>
      <w:lvlText w:val="•"/>
      <w:lvlJc w:val="left"/>
      <w:pPr>
        <w:tabs>
          <w:tab w:val="num" w:pos="2880"/>
        </w:tabs>
        <w:ind w:left="2880" w:hanging="360"/>
      </w:pPr>
      <w:rPr>
        <w:rFonts w:ascii="Arial" w:hAnsi="Arial" w:hint="default"/>
      </w:rPr>
    </w:lvl>
    <w:lvl w:ilvl="4" w:tplc="F0E40B9C" w:tentative="1">
      <w:start w:val="1"/>
      <w:numFmt w:val="bullet"/>
      <w:lvlText w:val="•"/>
      <w:lvlJc w:val="left"/>
      <w:pPr>
        <w:tabs>
          <w:tab w:val="num" w:pos="3600"/>
        </w:tabs>
        <w:ind w:left="3600" w:hanging="360"/>
      </w:pPr>
      <w:rPr>
        <w:rFonts w:ascii="Arial" w:hAnsi="Arial" w:hint="default"/>
      </w:rPr>
    </w:lvl>
    <w:lvl w:ilvl="5" w:tplc="B10A41B0" w:tentative="1">
      <w:start w:val="1"/>
      <w:numFmt w:val="bullet"/>
      <w:lvlText w:val="•"/>
      <w:lvlJc w:val="left"/>
      <w:pPr>
        <w:tabs>
          <w:tab w:val="num" w:pos="4320"/>
        </w:tabs>
        <w:ind w:left="4320" w:hanging="360"/>
      </w:pPr>
      <w:rPr>
        <w:rFonts w:ascii="Arial" w:hAnsi="Arial" w:hint="default"/>
      </w:rPr>
    </w:lvl>
    <w:lvl w:ilvl="6" w:tplc="5754828E" w:tentative="1">
      <w:start w:val="1"/>
      <w:numFmt w:val="bullet"/>
      <w:lvlText w:val="•"/>
      <w:lvlJc w:val="left"/>
      <w:pPr>
        <w:tabs>
          <w:tab w:val="num" w:pos="5040"/>
        </w:tabs>
        <w:ind w:left="5040" w:hanging="360"/>
      </w:pPr>
      <w:rPr>
        <w:rFonts w:ascii="Arial" w:hAnsi="Arial" w:hint="default"/>
      </w:rPr>
    </w:lvl>
    <w:lvl w:ilvl="7" w:tplc="2B6A1008" w:tentative="1">
      <w:start w:val="1"/>
      <w:numFmt w:val="bullet"/>
      <w:lvlText w:val="•"/>
      <w:lvlJc w:val="left"/>
      <w:pPr>
        <w:tabs>
          <w:tab w:val="num" w:pos="5760"/>
        </w:tabs>
        <w:ind w:left="5760" w:hanging="360"/>
      </w:pPr>
      <w:rPr>
        <w:rFonts w:ascii="Arial" w:hAnsi="Arial" w:hint="default"/>
      </w:rPr>
    </w:lvl>
    <w:lvl w:ilvl="8" w:tplc="82464F50" w:tentative="1">
      <w:start w:val="1"/>
      <w:numFmt w:val="bullet"/>
      <w:lvlText w:val="•"/>
      <w:lvlJc w:val="left"/>
      <w:pPr>
        <w:tabs>
          <w:tab w:val="num" w:pos="6480"/>
        </w:tabs>
        <w:ind w:left="6480" w:hanging="360"/>
      </w:pPr>
      <w:rPr>
        <w:rFonts w:ascii="Arial" w:hAnsi="Arial" w:hint="default"/>
      </w:rPr>
    </w:lvl>
  </w:abstractNum>
  <w:abstractNum w:abstractNumId="1">
    <w:nsid w:val="07642AB3"/>
    <w:multiLevelType w:val="hybridMultilevel"/>
    <w:tmpl w:val="7C38E888"/>
    <w:lvl w:ilvl="0" w:tplc="3D900AA2">
      <w:start w:val="1"/>
      <w:numFmt w:val="bullet"/>
      <w:lvlText w:val="•"/>
      <w:lvlJc w:val="left"/>
      <w:pPr>
        <w:tabs>
          <w:tab w:val="num" w:pos="720"/>
        </w:tabs>
        <w:ind w:left="720" w:hanging="360"/>
      </w:pPr>
      <w:rPr>
        <w:rFonts w:ascii="Arial" w:hAnsi="Arial" w:hint="default"/>
      </w:rPr>
    </w:lvl>
    <w:lvl w:ilvl="1" w:tplc="42202EA0" w:tentative="1">
      <w:start w:val="1"/>
      <w:numFmt w:val="bullet"/>
      <w:lvlText w:val="•"/>
      <w:lvlJc w:val="left"/>
      <w:pPr>
        <w:tabs>
          <w:tab w:val="num" w:pos="1440"/>
        </w:tabs>
        <w:ind w:left="1440" w:hanging="360"/>
      </w:pPr>
      <w:rPr>
        <w:rFonts w:ascii="Arial" w:hAnsi="Arial" w:hint="default"/>
      </w:rPr>
    </w:lvl>
    <w:lvl w:ilvl="2" w:tplc="3F5C2F1A" w:tentative="1">
      <w:start w:val="1"/>
      <w:numFmt w:val="bullet"/>
      <w:lvlText w:val="•"/>
      <w:lvlJc w:val="left"/>
      <w:pPr>
        <w:tabs>
          <w:tab w:val="num" w:pos="2160"/>
        </w:tabs>
        <w:ind w:left="2160" w:hanging="360"/>
      </w:pPr>
      <w:rPr>
        <w:rFonts w:ascii="Arial" w:hAnsi="Arial" w:hint="default"/>
      </w:rPr>
    </w:lvl>
    <w:lvl w:ilvl="3" w:tplc="72687968" w:tentative="1">
      <w:start w:val="1"/>
      <w:numFmt w:val="bullet"/>
      <w:lvlText w:val="•"/>
      <w:lvlJc w:val="left"/>
      <w:pPr>
        <w:tabs>
          <w:tab w:val="num" w:pos="2880"/>
        </w:tabs>
        <w:ind w:left="2880" w:hanging="360"/>
      </w:pPr>
      <w:rPr>
        <w:rFonts w:ascii="Arial" w:hAnsi="Arial" w:hint="default"/>
      </w:rPr>
    </w:lvl>
    <w:lvl w:ilvl="4" w:tplc="F8626440" w:tentative="1">
      <w:start w:val="1"/>
      <w:numFmt w:val="bullet"/>
      <w:lvlText w:val="•"/>
      <w:lvlJc w:val="left"/>
      <w:pPr>
        <w:tabs>
          <w:tab w:val="num" w:pos="3600"/>
        </w:tabs>
        <w:ind w:left="3600" w:hanging="360"/>
      </w:pPr>
      <w:rPr>
        <w:rFonts w:ascii="Arial" w:hAnsi="Arial" w:hint="default"/>
      </w:rPr>
    </w:lvl>
    <w:lvl w:ilvl="5" w:tplc="7E32A910" w:tentative="1">
      <w:start w:val="1"/>
      <w:numFmt w:val="bullet"/>
      <w:lvlText w:val="•"/>
      <w:lvlJc w:val="left"/>
      <w:pPr>
        <w:tabs>
          <w:tab w:val="num" w:pos="4320"/>
        </w:tabs>
        <w:ind w:left="4320" w:hanging="360"/>
      </w:pPr>
      <w:rPr>
        <w:rFonts w:ascii="Arial" w:hAnsi="Arial" w:hint="default"/>
      </w:rPr>
    </w:lvl>
    <w:lvl w:ilvl="6" w:tplc="40B85C9A" w:tentative="1">
      <w:start w:val="1"/>
      <w:numFmt w:val="bullet"/>
      <w:lvlText w:val="•"/>
      <w:lvlJc w:val="left"/>
      <w:pPr>
        <w:tabs>
          <w:tab w:val="num" w:pos="5040"/>
        </w:tabs>
        <w:ind w:left="5040" w:hanging="360"/>
      </w:pPr>
      <w:rPr>
        <w:rFonts w:ascii="Arial" w:hAnsi="Arial" w:hint="default"/>
      </w:rPr>
    </w:lvl>
    <w:lvl w:ilvl="7" w:tplc="180613A4" w:tentative="1">
      <w:start w:val="1"/>
      <w:numFmt w:val="bullet"/>
      <w:lvlText w:val="•"/>
      <w:lvlJc w:val="left"/>
      <w:pPr>
        <w:tabs>
          <w:tab w:val="num" w:pos="5760"/>
        </w:tabs>
        <w:ind w:left="5760" w:hanging="360"/>
      </w:pPr>
      <w:rPr>
        <w:rFonts w:ascii="Arial" w:hAnsi="Arial" w:hint="default"/>
      </w:rPr>
    </w:lvl>
    <w:lvl w:ilvl="8" w:tplc="FBE05464" w:tentative="1">
      <w:start w:val="1"/>
      <w:numFmt w:val="bullet"/>
      <w:lvlText w:val="•"/>
      <w:lvlJc w:val="left"/>
      <w:pPr>
        <w:tabs>
          <w:tab w:val="num" w:pos="6480"/>
        </w:tabs>
        <w:ind w:left="6480" w:hanging="360"/>
      </w:pPr>
      <w:rPr>
        <w:rFonts w:ascii="Arial" w:hAnsi="Arial" w:hint="default"/>
      </w:rPr>
    </w:lvl>
  </w:abstractNum>
  <w:abstractNum w:abstractNumId="2">
    <w:nsid w:val="10DE4A56"/>
    <w:multiLevelType w:val="hybridMultilevel"/>
    <w:tmpl w:val="32F41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C87377"/>
    <w:multiLevelType w:val="hybridMultilevel"/>
    <w:tmpl w:val="E81AD3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91F6BC1"/>
    <w:multiLevelType w:val="hybridMultilevel"/>
    <w:tmpl w:val="4B76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C62D45"/>
    <w:multiLevelType w:val="hybridMultilevel"/>
    <w:tmpl w:val="DB8055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267321"/>
    <w:multiLevelType w:val="hybridMultilevel"/>
    <w:tmpl w:val="F2FAF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FC3AC7"/>
    <w:multiLevelType w:val="hybridMultilevel"/>
    <w:tmpl w:val="500A0B20"/>
    <w:lvl w:ilvl="0" w:tplc="0809000F">
      <w:start w:val="1"/>
      <w:numFmt w:val="decimal"/>
      <w:lvlText w:val="%1."/>
      <w:lvlJc w:val="left"/>
      <w:pPr>
        <w:ind w:left="170" w:hanging="360"/>
      </w:pPr>
    </w:lvl>
    <w:lvl w:ilvl="1" w:tplc="08090019" w:tentative="1">
      <w:start w:val="1"/>
      <w:numFmt w:val="lowerLetter"/>
      <w:lvlText w:val="%2."/>
      <w:lvlJc w:val="left"/>
      <w:pPr>
        <w:ind w:left="890" w:hanging="360"/>
      </w:pPr>
    </w:lvl>
    <w:lvl w:ilvl="2" w:tplc="0809001B" w:tentative="1">
      <w:start w:val="1"/>
      <w:numFmt w:val="lowerRoman"/>
      <w:lvlText w:val="%3."/>
      <w:lvlJc w:val="right"/>
      <w:pPr>
        <w:ind w:left="1610" w:hanging="180"/>
      </w:pPr>
    </w:lvl>
    <w:lvl w:ilvl="3" w:tplc="0809000F" w:tentative="1">
      <w:start w:val="1"/>
      <w:numFmt w:val="decimal"/>
      <w:lvlText w:val="%4."/>
      <w:lvlJc w:val="left"/>
      <w:pPr>
        <w:ind w:left="2330" w:hanging="360"/>
      </w:pPr>
    </w:lvl>
    <w:lvl w:ilvl="4" w:tplc="08090019" w:tentative="1">
      <w:start w:val="1"/>
      <w:numFmt w:val="lowerLetter"/>
      <w:lvlText w:val="%5."/>
      <w:lvlJc w:val="left"/>
      <w:pPr>
        <w:ind w:left="3050" w:hanging="360"/>
      </w:pPr>
    </w:lvl>
    <w:lvl w:ilvl="5" w:tplc="0809001B" w:tentative="1">
      <w:start w:val="1"/>
      <w:numFmt w:val="lowerRoman"/>
      <w:lvlText w:val="%6."/>
      <w:lvlJc w:val="right"/>
      <w:pPr>
        <w:ind w:left="3770" w:hanging="180"/>
      </w:pPr>
    </w:lvl>
    <w:lvl w:ilvl="6" w:tplc="0809000F" w:tentative="1">
      <w:start w:val="1"/>
      <w:numFmt w:val="decimal"/>
      <w:lvlText w:val="%7."/>
      <w:lvlJc w:val="left"/>
      <w:pPr>
        <w:ind w:left="4490" w:hanging="360"/>
      </w:pPr>
    </w:lvl>
    <w:lvl w:ilvl="7" w:tplc="08090019" w:tentative="1">
      <w:start w:val="1"/>
      <w:numFmt w:val="lowerLetter"/>
      <w:lvlText w:val="%8."/>
      <w:lvlJc w:val="left"/>
      <w:pPr>
        <w:ind w:left="5210" w:hanging="360"/>
      </w:pPr>
    </w:lvl>
    <w:lvl w:ilvl="8" w:tplc="0809001B" w:tentative="1">
      <w:start w:val="1"/>
      <w:numFmt w:val="lowerRoman"/>
      <w:lvlText w:val="%9."/>
      <w:lvlJc w:val="right"/>
      <w:pPr>
        <w:ind w:left="5930" w:hanging="180"/>
      </w:pPr>
    </w:lvl>
  </w:abstractNum>
  <w:abstractNum w:abstractNumId="8">
    <w:nsid w:val="34AB4FD9"/>
    <w:multiLevelType w:val="hybridMultilevel"/>
    <w:tmpl w:val="DB7232F0"/>
    <w:lvl w:ilvl="0" w:tplc="956AAEAA">
      <w:start w:val="1"/>
      <w:numFmt w:val="bullet"/>
      <w:lvlText w:val="•"/>
      <w:lvlJc w:val="left"/>
      <w:pPr>
        <w:tabs>
          <w:tab w:val="num" w:pos="720"/>
        </w:tabs>
        <w:ind w:left="720" w:hanging="360"/>
      </w:pPr>
      <w:rPr>
        <w:rFonts w:ascii="Arial" w:hAnsi="Arial" w:hint="default"/>
      </w:rPr>
    </w:lvl>
    <w:lvl w:ilvl="1" w:tplc="2836E1CA" w:tentative="1">
      <w:start w:val="1"/>
      <w:numFmt w:val="bullet"/>
      <w:lvlText w:val="•"/>
      <w:lvlJc w:val="left"/>
      <w:pPr>
        <w:tabs>
          <w:tab w:val="num" w:pos="1440"/>
        </w:tabs>
        <w:ind w:left="1440" w:hanging="360"/>
      </w:pPr>
      <w:rPr>
        <w:rFonts w:ascii="Arial" w:hAnsi="Arial" w:hint="default"/>
      </w:rPr>
    </w:lvl>
    <w:lvl w:ilvl="2" w:tplc="958A63BA" w:tentative="1">
      <w:start w:val="1"/>
      <w:numFmt w:val="bullet"/>
      <w:lvlText w:val="•"/>
      <w:lvlJc w:val="left"/>
      <w:pPr>
        <w:tabs>
          <w:tab w:val="num" w:pos="2160"/>
        </w:tabs>
        <w:ind w:left="2160" w:hanging="360"/>
      </w:pPr>
      <w:rPr>
        <w:rFonts w:ascii="Arial" w:hAnsi="Arial" w:hint="default"/>
      </w:rPr>
    </w:lvl>
    <w:lvl w:ilvl="3" w:tplc="3F18DD2C" w:tentative="1">
      <w:start w:val="1"/>
      <w:numFmt w:val="bullet"/>
      <w:lvlText w:val="•"/>
      <w:lvlJc w:val="left"/>
      <w:pPr>
        <w:tabs>
          <w:tab w:val="num" w:pos="2880"/>
        </w:tabs>
        <w:ind w:left="2880" w:hanging="360"/>
      </w:pPr>
      <w:rPr>
        <w:rFonts w:ascii="Arial" w:hAnsi="Arial" w:hint="default"/>
      </w:rPr>
    </w:lvl>
    <w:lvl w:ilvl="4" w:tplc="98A446C0" w:tentative="1">
      <w:start w:val="1"/>
      <w:numFmt w:val="bullet"/>
      <w:lvlText w:val="•"/>
      <w:lvlJc w:val="left"/>
      <w:pPr>
        <w:tabs>
          <w:tab w:val="num" w:pos="3600"/>
        </w:tabs>
        <w:ind w:left="3600" w:hanging="360"/>
      </w:pPr>
      <w:rPr>
        <w:rFonts w:ascii="Arial" w:hAnsi="Arial" w:hint="default"/>
      </w:rPr>
    </w:lvl>
    <w:lvl w:ilvl="5" w:tplc="CA06EB94" w:tentative="1">
      <w:start w:val="1"/>
      <w:numFmt w:val="bullet"/>
      <w:lvlText w:val="•"/>
      <w:lvlJc w:val="left"/>
      <w:pPr>
        <w:tabs>
          <w:tab w:val="num" w:pos="4320"/>
        </w:tabs>
        <w:ind w:left="4320" w:hanging="360"/>
      </w:pPr>
      <w:rPr>
        <w:rFonts w:ascii="Arial" w:hAnsi="Arial" w:hint="default"/>
      </w:rPr>
    </w:lvl>
    <w:lvl w:ilvl="6" w:tplc="24D0C13A" w:tentative="1">
      <w:start w:val="1"/>
      <w:numFmt w:val="bullet"/>
      <w:lvlText w:val="•"/>
      <w:lvlJc w:val="left"/>
      <w:pPr>
        <w:tabs>
          <w:tab w:val="num" w:pos="5040"/>
        </w:tabs>
        <w:ind w:left="5040" w:hanging="360"/>
      </w:pPr>
      <w:rPr>
        <w:rFonts w:ascii="Arial" w:hAnsi="Arial" w:hint="default"/>
      </w:rPr>
    </w:lvl>
    <w:lvl w:ilvl="7" w:tplc="4FB68298" w:tentative="1">
      <w:start w:val="1"/>
      <w:numFmt w:val="bullet"/>
      <w:lvlText w:val="•"/>
      <w:lvlJc w:val="left"/>
      <w:pPr>
        <w:tabs>
          <w:tab w:val="num" w:pos="5760"/>
        </w:tabs>
        <w:ind w:left="5760" w:hanging="360"/>
      </w:pPr>
      <w:rPr>
        <w:rFonts w:ascii="Arial" w:hAnsi="Arial" w:hint="default"/>
      </w:rPr>
    </w:lvl>
    <w:lvl w:ilvl="8" w:tplc="6E0EA9A4" w:tentative="1">
      <w:start w:val="1"/>
      <w:numFmt w:val="bullet"/>
      <w:lvlText w:val="•"/>
      <w:lvlJc w:val="left"/>
      <w:pPr>
        <w:tabs>
          <w:tab w:val="num" w:pos="6480"/>
        </w:tabs>
        <w:ind w:left="6480" w:hanging="360"/>
      </w:pPr>
      <w:rPr>
        <w:rFonts w:ascii="Arial" w:hAnsi="Arial" w:hint="default"/>
      </w:rPr>
    </w:lvl>
  </w:abstractNum>
  <w:abstractNum w:abstractNumId="9">
    <w:nsid w:val="3AA51E6F"/>
    <w:multiLevelType w:val="hybridMultilevel"/>
    <w:tmpl w:val="9CA03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93706F"/>
    <w:multiLevelType w:val="hybridMultilevel"/>
    <w:tmpl w:val="2268434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53B46BFC"/>
    <w:multiLevelType w:val="hybridMultilevel"/>
    <w:tmpl w:val="0638D6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C21296"/>
    <w:multiLevelType w:val="hybridMultilevel"/>
    <w:tmpl w:val="74CA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B46715"/>
    <w:multiLevelType w:val="hybridMultilevel"/>
    <w:tmpl w:val="B6CE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850D2B"/>
    <w:multiLevelType w:val="hybridMultilevel"/>
    <w:tmpl w:val="A6266958"/>
    <w:lvl w:ilvl="0" w:tplc="DCD42FA6">
      <w:start w:val="1"/>
      <w:numFmt w:val="bullet"/>
      <w:lvlText w:val="•"/>
      <w:lvlJc w:val="left"/>
      <w:pPr>
        <w:tabs>
          <w:tab w:val="num" w:pos="720"/>
        </w:tabs>
        <w:ind w:left="720" w:hanging="360"/>
      </w:pPr>
      <w:rPr>
        <w:rFonts w:ascii="Arial" w:hAnsi="Arial" w:hint="default"/>
      </w:rPr>
    </w:lvl>
    <w:lvl w:ilvl="1" w:tplc="5E5A3180" w:tentative="1">
      <w:start w:val="1"/>
      <w:numFmt w:val="bullet"/>
      <w:lvlText w:val="•"/>
      <w:lvlJc w:val="left"/>
      <w:pPr>
        <w:tabs>
          <w:tab w:val="num" w:pos="1440"/>
        </w:tabs>
        <w:ind w:left="1440" w:hanging="360"/>
      </w:pPr>
      <w:rPr>
        <w:rFonts w:ascii="Arial" w:hAnsi="Arial" w:hint="default"/>
      </w:rPr>
    </w:lvl>
    <w:lvl w:ilvl="2" w:tplc="5B928D28" w:tentative="1">
      <w:start w:val="1"/>
      <w:numFmt w:val="bullet"/>
      <w:lvlText w:val="•"/>
      <w:lvlJc w:val="left"/>
      <w:pPr>
        <w:tabs>
          <w:tab w:val="num" w:pos="2160"/>
        </w:tabs>
        <w:ind w:left="2160" w:hanging="360"/>
      </w:pPr>
      <w:rPr>
        <w:rFonts w:ascii="Arial" w:hAnsi="Arial" w:hint="default"/>
      </w:rPr>
    </w:lvl>
    <w:lvl w:ilvl="3" w:tplc="BA3C28E4" w:tentative="1">
      <w:start w:val="1"/>
      <w:numFmt w:val="bullet"/>
      <w:lvlText w:val="•"/>
      <w:lvlJc w:val="left"/>
      <w:pPr>
        <w:tabs>
          <w:tab w:val="num" w:pos="2880"/>
        </w:tabs>
        <w:ind w:left="2880" w:hanging="360"/>
      </w:pPr>
      <w:rPr>
        <w:rFonts w:ascii="Arial" w:hAnsi="Arial" w:hint="default"/>
      </w:rPr>
    </w:lvl>
    <w:lvl w:ilvl="4" w:tplc="0F6E614A" w:tentative="1">
      <w:start w:val="1"/>
      <w:numFmt w:val="bullet"/>
      <w:lvlText w:val="•"/>
      <w:lvlJc w:val="left"/>
      <w:pPr>
        <w:tabs>
          <w:tab w:val="num" w:pos="3600"/>
        </w:tabs>
        <w:ind w:left="3600" w:hanging="360"/>
      </w:pPr>
      <w:rPr>
        <w:rFonts w:ascii="Arial" w:hAnsi="Arial" w:hint="default"/>
      </w:rPr>
    </w:lvl>
    <w:lvl w:ilvl="5" w:tplc="C7966750" w:tentative="1">
      <w:start w:val="1"/>
      <w:numFmt w:val="bullet"/>
      <w:lvlText w:val="•"/>
      <w:lvlJc w:val="left"/>
      <w:pPr>
        <w:tabs>
          <w:tab w:val="num" w:pos="4320"/>
        </w:tabs>
        <w:ind w:left="4320" w:hanging="360"/>
      </w:pPr>
      <w:rPr>
        <w:rFonts w:ascii="Arial" w:hAnsi="Arial" w:hint="default"/>
      </w:rPr>
    </w:lvl>
    <w:lvl w:ilvl="6" w:tplc="D522FA76" w:tentative="1">
      <w:start w:val="1"/>
      <w:numFmt w:val="bullet"/>
      <w:lvlText w:val="•"/>
      <w:lvlJc w:val="left"/>
      <w:pPr>
        <w:tabs>
          <w:tab w:val="num" w:pos="5040"/>
        </w:tabs>
        <w:ind w:left="5040" w:hanging="360"/>
      </w:pPr>
      <w:rPr>
        <w:rFonts w:ascii="Arial" w:hAnsi="Arial" w:hint="default"/>
      </w:rPr>
    </w:lvl>
    <w:lvl w:ilvl="7" w:tplc="2F985C84" w:tentative="1">
      <w:start w:val="1"/>
      <w:numFmt w:val="bullet"/>
      <w:lvlText w:val="•"/>
      <w:lvlJc w:val="left"/>
      <w:pPr>
        <w:tabs>
          <w:tab w:val="num" w:pos="5760"/>
        </w:tabs>
        <w:ind w:left="5760" w:hanging="360"/>
      </w:pPr>
      <w:rPr>
        <w:rFonts w:ascii="Arial" w:hAnsi="Arial" w:hint="default"/>
      </w:rPr>
    </w:lvl>
    <w:lvl w:ilvl="8" w:tplc="B92C5F32" w:tentative="1">
      <w:start w:val="1"/>
      <w:numFmt w:val="bullet"/>
      <w:lvlText w:val="•"/>
      <w:lvlJc w:val="left"/>
      <w:pPr>
        <w:tabs>
          <w:tab w:val="num" w:pos="6480"/>
        </w:tabs>
        <w:ind w:left="6480" w:hanging="360"/>
      </w:pPr>
      <w:rPr>
        <w:rFonts w:ascii="Arial" w:hAnsi="Arial" w:hint="default"/>
      </w:rPr>
    </w:lvl>
  </w:abstractNum>
  <w:abstractNum w:abstractNumId="15">
    <w:nsid w:val="7BD03489"/>
    <w:multiLevelType w:val="hybridMultilevel"/>
    <w:tmpl w:val="9A5C3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0"/>
  </w:num>
  <w:num w:numId="9">
    <w:abstractNumId w:val="13"/>
  </w:num>
  <w:num w:numId="10">
    <w:abstractNumId w:val="7"/>
  </w:num>
  <w:num w:numId="11">
    <w:abstractNumId w:val="6"/>
  </w:num>
  <w:num w:numId="12">
    <w:abstractNumId w:val="14"/>
  </w:num>
  <w:num w:numId="13">
    <w:abstractNumId w:val="0"/>
  </w:num>
  <w:num w:numId="14">
    <w:abstractNumId w:val="1"/>
  </w:num>
  <w:num w:numId="15">
    <w:abstractNumId w:val="8"/>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D7"/>
    <w:rsid w:val="00000A3B"/>
    <w:rsid w:val="00031A52"/>
    <w:rsid w:val="00084F4B"/>
    <w:rsid w:val="000852C8"/>
    <w:rsid w:val="0009213B"/>
    <w:rsid w:val="000A05AE"/>
    <w:rsid w:val="000D05BE"/>
    <w:rsid w:val="000E02AB"/>
    <w:rsid w:val="000F6963"/>
    <w:rsid w:val="00126518"/>
    <w:rsid w:val="00152267"/>
    <w:rsid w:val="00156390"/>
    <w:rsid w:val="0017032C"/>
    <w:rsid w:val="001825AB"/>
    <w:rsid w:val="00190E53"/>
    <w:rsid w:val="00197BF0"/>
    <w:rsid w:val="001D1CD7"/>
    <w:rsid w:val="001F60FF"/>
    <w:rsid w:val="00237015"/>
    <w:rsid w:val="002558A7"/>
    <w:rsid w:val="002605CF"/>
    <w:rsid w:val="00273332"/>
    <w:rsid w:val="00283816"/>
    <w:rsid w:val="00294642"/>
    <w:rsid w:val="002A2777"/>
    <w:rsid w:val="002A3CDC"/>
    <w:rsid w:val="002D070F"/>
    <w:rsid w:val="00337448"/>
    <w:rsid w:val="00341A8F"/>
    <w:rsid w:val="003D61DB"/>
    <w:rsid w:val="003F0AA5"/>
    <w:rsid w:val="00400821"/>
    <w:rsid w:val="00436058"/>
    <w:rsid w:val="0044707D"/>
    <w:rsid w:val="004B0125"/>
    <w:rsid w:val="004B4C81"/>
    <w:rsid w:val="00531F39"/>
    <w:rsid w:val="00547491"/>
    <w:rsid w:val="00594F30"/>
    <w:rsid w:val="005979C5"/>
    <w:rsid w:val="005B5763"/>
    <w:rsid w:val="005F4554"/>
    <w:rsid w:val="006000A5"/>
    <w:rsid w:val="00604707"/>
    <w:rsid w:val="006116E2"/>
    <w:rsid w:val="00624FB6"/>
    <w:rsid w:val="0067256E"/>
    <w:rsid w:val="006826C8"/>
    <w:rsid w:val="00686F9A"/>
    <w:rsid w:val="007079BA"/>
    <w:rsid w:val="00753A32"/>
    <w:rsid w:val="00794782"/>
    <w:rsid w:val="007A1F3F"/>
    <w:rsid w:val="007B4D4A"/>
    <w:rsid w:val="007B5687"/>
    <w:rsid w:val="007F08C0"/>
    <w:rsid w:val="00820294"/>
    <w:rsid w:val="00871CA3"/>
    <w:rsid w:val="008A1C7A"/>
    <w:rsid w:val="008B638F"/>
    <w:rsid w:val="008E5E4E"/>
    <w:rsid w:val="008F4468"/>
    <w:rsid w:val="009279FB"/>
    <w:rsid w:val="009615BF"/>
    <w:rsid w:val="00977B18"/>
    <w:rsid w:val="00984A66"/>
    <w:rsid w:val="009A7F6D"/>
    <w:rsid w:val="009D2391"/>
    <w:rsid w:val="009F2ACA"/>
    <w:rsid w:val="009F622E"/>
    <w:rsid w:val="00A05EA3"/>
    <w:rsid w:val="00A14190"/>
    <w:rsid w:val="00A1526F"/>
    <w:rsid w:val="00A17D9A"/>
    <w:rsid w:val="00A26393"/>
    <w:rsid w:val="00A37A9B"/>
    <w:rsid w:val="00A52E26"/>
    <w:rsid w:val="00A76917"/>
    <w:rsid w:val="00A81CEE"/>
    <w:rsid w:val="00A86AF2"/>
    <w:rsid w:val="00AC1399"/>
    <w:rsid w:val="00AC35FD"/>
    <w:rsid w:val="00AD2A4A"/>
    <w:rsid w:val="00AE165C"/>
    <w:rsid w:val="00AE22DC"/>
    <w:rsid w:val="00AF080D"/>
    <w:rsid w:val="00B12B7C"/>
    <w:rsid w:val="00B3110A"/>
    <w:rsid w:val="00B5329A"/>
    <w:rsid w:val="00B85A53"/>
    <w:rsid w:val="00BB4AEF"/>
    <w:rsid w:val="00BE7040"/>
    <w:rsid w:val="00C33D09"/>
    <w:rsid w:val="00C404A7"/>
    <w:rsid w:val="00C425A1"/>
    <w:rsid w:val="00C73560"/>
    <w:rsid w:val="00C84C0B"/>
    <w:rsid w:val="00CA51B4"/>
    <w:rsid w:val="00CB3FBB"/>
    <w:rsid w:val="00D2660F"/>
    <w:rsid w:val="00D42929"/>
    <w:rsid w:val="00D460FE"/>
    <w:rsid w:val="00D4694B"/>
    <w:rsid w:val="00D65AF3"/>
    <w:rsid w:val="00DD145B"/>
    <w:rsid w:val="00DD4F03"/>
    <w:rsid w:val="00DF3EB2"/>
    <w:rsid w:val="00E53BBB"/>
    <w:rsid w:val="00EA19F0"/>
    <w:rsid w:val="00EC7399"/>
    <w:rsid w:val="00ED34DE"/>
    <w:rsid w:val="00ED4926"/>
    <w:rsid w:val="00EE7D87"/>
    <w:rsid w:val="00EF70A1"/>
    <w:rsid w:val="00F3050D"/>
    <w:rsid w:val="00F31D4B"/>
    <w:rsid w:val="00F32AF8"/>
    <w:rsid w:val="00F35604"/>
    <w:rsid w:val="00F606DB"/>
    <w:rsid w:val="00F82070"/>
    <w:rsid w:val="00F91319"/>
    <w:rsid w:val="00FC0306"/>
    <w:rsid w:val="00FC29BF"/>
    <w:rsid w:val="00FD3814"/>
    <w:rsid w:val="00FE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54"/>
  </w:style>
  <w:style w:type="paragraph" w:styleId="Footer">
    <w:name w:val="footer"/>
    <w:basedOn w:val="Normal"/>
    <w:link w:val="FooterChar"/>
    <w:uiPriority w:val="99"/>
    <w:unhideWhenUsed/>
    <w:rsid w:val="005F4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54"/>
  </w:style>
  <w:style w:type="paragraph" w:styleId="BalloonText">
    <w:name w:val="Balloon Text"/>
    <w:basedOn w:val="Normal"/>
    <w:link w:val="BalloonTextChar"/>
    <w:uiPriority w:val="99"/>
    <w:semiHidden/>
    <w:unhideWhenUsed/>
    <w:rsid w:val="005F45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554"/>
    <w:rPr>
      <w:rFonts w:ascii="Tahoma" w:hAnsi="Tahoma" w:cs="Tahoma"/>
      <w:sz w:val="16"/>
      <w:szCs w:val="16"/>
    </w:rPr>
  </w:style>
  <w:style w:type="character" w:styleId="Hyperlink">
    <w:name w:val="Hyperlink"/>
    <w:uiPriority w:val="99"/>
    <w:unhideWhenUsed/>
    <w:rsid w:val="005F4554"/>
    <w:rPr>
      <w:color w:val="0000FF"/>
      <w:u w:val="single"/>
    </w:rPr>
  </w:style>
  <w:style w:type="paragraph" w:styleId="E-mailSignature">
    <w:name w:val="E-mail Signature"/>
    <w:basedOn w:val="Normal"/>
    <w:link w:val="E-mailSignatureChar"/>
    <w:uiPriority w:val="99"/>
    <w:semiHidden/>
    <w:unhideWhenUsed/>
    <w:rsid w:val="00BE7040"/>
    <w:pPr>
      <w:spacing w:before="100" w:beforeAutospacing="1" w:after="100" w:afterAutospacing="1" w:line="240" w:lineRule="auto"/>
    </w:pPr>
    <w:rPr>
      <w:rFonts w:ascii="Times New Roman" w:hAnsi="Times New Roman"/>
      <w:sz w:val="24"/>
      <w:szCs w:val="24"/>
      <w:lang w:val="x-none" w:eastAsia="x-none"/>
    </w:rPr>
  </w:style>
  <w:style w:type="character" w:customStyle="1" w:styleId="E-mailSignatureChar">
    <w:name w:val="E-mail Signature Char"/>
    <w:basedOn w:val="DefaultParagraphFont"/>
    <w:link w:val="E-mailSignature"/>
    <w:uiPriority w:val="99"/>
    <w:semiHidden/>
    <w:rsid w:val="00BE7040"/>
    <w:rPr>
      <w:rFonts w:ascii="Times New Roman" w:hAnsi="Times New Roman"/>
      <w:sz w:val="24"/>
      <w:szCs w:val="24"/>
      <w:lang w:val="x-none" w:eastAsia="x-none"/>
    </w:rPr>
  </w:style>
  <w:style w:type="paragraph" w:customStyle="1" w:styleId="Default">
    <w:name w:val="Default"/>
    <w:rsid w:val="00B3110A"/>
    <w:pPr>
      <w:autoSpaceDE w:val="0"/>
      <w:autoSpaceDN w:val="0"/>
      <w:adjustRightInd w:val="0"/>
    </w:pPr>
    <w:rPr>
      <w:rFonts w:eastAsia="Times New Roman" w:cs="Calibri"/>
      <w:color w:val="000000"/>
      <w:sz w:val="24"/>
      <w:szCs w:val="24"/>
    </w:rPr>
  </w:style>
  <w:style w:type="table" w:styleId="TableGrid">
    <w:name w:val="Table Grid"/>
    <w:basedOn w:val="TableNormal"/>
    <w:rsid w:val="00B311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0821"/>
    <w:rPr>
      <w:sz w:val="16"/>
      <w:szCs w:val="16"/>
    </w:rPr>
  </w:style>
  <w:style w:type="paragraph" w:styleId="CommentText">
    <w:name w:val="annotation text"/>
    <w:basedOn w:val="Normal"/>
    <w:link w:val="CommentTextChar"/>
    <w:uiPriority w:val="99"/>
    <w:semiHidden/>
    <w:unhideWhenUsed/>
    <w:rsid w:val="00400821"/>
    <w:pPr>
      <w:spacing w:line="240" w:lineRule="auto"/>
    </w:pPr>
    <w:rPr>
      <w:sz w:val="20"/>
      <w:szCs w:val="20"/>
    </w:rPr>
  </w:style>
  <w:style w:type="character" w:customStyle="1" w:styleId="CommentTextChar">
    <w:name w:val="Comment Text Char"/>
    <w:basedOn w:val="DefaultParagraphFont"/>
    <w:link w:val="CommentText"/>
    <w:uiPriority w:val="99"/>
    <w:semiHidden/>
    <w:rsid w:val="00400821"/>
    <w:rPr>
      <w:lang w:val="en-US" w:eastAsia="en-US"/>
    </w:rPr>
  </w:style>
  <w:style w:type="paragraph" w:styleId="CommentSubject">
    <w:name w:val="annotation subject"/>
    <w:basedOn w:val="CommentText"/>
    <w:next w:val="CommentText"/>
    <w:link w:val="CommentSubjectChar"/>
    <w:uiPriority w:val="99"/>
    <w:semiHidden/>
    <w:unhideWhenUsed/>
    <w:rsid w:val="00400821"/>
    <w:rPr>
      <w:b/>
      <w:bCs/>
    </w:rPr>
  </w:style>
  <w:style w:type="character" w:customStyle="1" w:styleId="CommentSubjectChar">
    <w:name w:val="Comment Subject Char"/>
    <w:basedOn w:val="CommentTextChar"/>
    <w:link w:val="CommentSubject"/>
    <w:uiPriority w:val="99"/>
    <w:semiHidden/>
    <w:rsid w:val="00400821"/>
    <w:rPr>
      <w:b/>
      <w:bCs/>
      <w:lang w:val="en-US" w:eastAsia="en-US"/>
    </w:rPr>
  </w:style>
  <w:style w:type="paragraph" w:styleId="NoSpacing">
    <w:name w:val="No Spacing"/>
    <w:uiPriority w:val="1"/>
    <w:qFormat/>
    <w:rsid w:val="00084F4B"/>
    <w:rPr>
      <w:sz w:val="22"/>
      <w:szCs w:val="22"/>
      <w:lang w:val="en-US" w:eastAsia="en-US"/>
    </w:rPr>
  </w:style>
  <w:style w:type="paragraph" w:styleId="ListParagraph">
    <w:name w:val="List Paragraph"/>
    <w:basedOn w:val="Normal"/>
    <w:uiPriority w:val="34"/>
    <w:qFormat/>
    <w:rsid w:val="007B4D4A"/>
    <w:pPr>
      <w:ind w:left="720"/>
      <w:contextualSpacing/>
    </w:pPr>
  </w:style>
  <w:style w:type="character" w:customStyle="1" w:styleId="apple-converted-space">
    <w:name w:val="apple-converted-space"/>
    <w:basedOn w:val="DefaultParagraphFont"/>
    <w:rsid w:val="006116E2"/>
  </w:style>
  <w:style w:type="paragraph" w:styleId="NormalWeb">
    <w:name w:val="Normal (Web)"/>
    <w:basedOn w:val="Normal"/>
    <w:uiPriority w:val="99"/>
    <w:unhideWhenUsed/>
    <w:rsid w:val="0017032C"/>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54"/>
  </w:style>
  <w:style w:type="paragraph" w:styleId="Footer">
    <w:name w:val="footer"/>
    <w:basedOn w:val="Normal"/>
    <w:link w:val="FooterChar"/>
    <w:uiPriority w:val="99"/>
    <w:unhideWhenUsed/>
    <w:rsid w:val="005F4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54"/>
  </w:style>
  <w:style w:type="paragraph" w:styleId="BalloonText">
    <w:name w:val="Balloon Text"/>
    <w:basedOn w:val="Normal"/>
    <w:link w:val="BalloonTextChar"/>
    <w:uiPriority w:val="99"/>
    <w:semiHidden/>
    <w:unhideWhenUsed/>
    <w:rsid w:val="005F45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554"/>
    <w:rPr>
      <w:rFonts w:ascii="Tahoma" w:hAnsi="Tahoma" w:cs="Tahoma"/>
      <w:sz w:val="16"/>
      <w:szCs w:val="16"/>
    </w:rPr>
  </w:style>
  <w:style w:type="character" w:styleId="Hyperlink">
    <w:name w:val="Hyperlink"/>
    <w:uiPriority w:val="99"/>
    <w:unhideWhenUsed/>
    <w:rsid w:val="005F4554"/>
    <w:rPr>
      <w:color w:val="0000FF"/>
      <w:u w:val="single"/>
    </w:rPr>
  </w:style>
  <w:style w:type="paragraph" w:styleId="E-mailSignature">
    <w:name w:val="E-mail Signature"/>
    <w:basedOn w:val="Normal"/>
    <w:link w:val="E-mailSignatureChar"/>
    <w:uiPriority w:val="99"/>
    <w:semiHidden/>
    <w:unhideWhenUsed/>
    <w:rsid w:val="00BE7040"/>
    <w:pPr>
      <w:spacing w:before="100" w:beforeAutospacing="1" w:after="100" w:afterAutospacing="1" w:line="240" w:lineRule="auto"/>
    </w:pPr>
    <w:rPr>
      <w:rFonts w:ascii="Times New Roman" w:hAnsi="Times New Roman"/>
      <w:sz w:val="24"/>
      <w:szCs w:val="24"/>
      <w:lang w:val="x-none" w:eastAsia="x-none"/>
    </w:rPr>
  </w:style>
  <w:style w:type="character" w:customStyle="1" w:styleId="E-mailSignatureChar">
    <w:name w:val="E-mail Signature Char"/>
    <w:basedOn w:val="DefaultParagraphFont"/>
    <w:link w:val="E-mailSignature"/>
    <w:uiPriority w:val="99"/>
    <w:semiHidden/>
    <w:rsid w:val="00BE7040"/>
    <w:rPr>
      <w:rFonts w:ascii="Times New Roman" w:hAnsi="Times New Roman"/>
      <w:sz w:val="24"/>
      <w:szCs w:val="24"/>
      <w:lang w:val="x-none" w:eastAsia="x-none"/>
    </w:rPr>
  </w:style>
  <w:style w:type="paragraph" w:customStyle="1" w:styleId="Default">
    <w:name w:val="Default"/>
    <w:rsid w:val="00B3110A"/>
    <w:pPr>
      <w:autoSpaceDE w:val="0"/>
      <w:autoSpaceDN w:val="0"/>
      <w:adjustRightInd w:val="0"/>
    </w:pPr>
    <w:rPr>
      <w:rFonts w:eastAsia="Times New Roman" w:cs="Calibri"/>
      <w:color w:val="000000"/>
      <w:sz w:val="24"/>
      <w:szCs w:val="24"/>
    </w:rPr>
  </w:style>
  <w:style w:type="table" w:styleId="TableGrid">
    <w:name w:val="Table Grid"/>
    <w:basedOn w:val="TableNormal"/>
    <w:rsid w:val="00B311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0821"/>
    <w:rPr>
      <w:sz w:val="16"/>
      <w:szCs w:val="16"/>
    </w:rPr>
  </w:style>
  <w:style w:type="paragraph" w:styleId="CommentText">
    <w:name w:val="annotation text"/>
    <w:basedOn w:val="Normal"/>
    <w:link w:val="CommentTextChar"/>
    <w:uiPriority w:val="99"/>
    <w:semiHidden/>
    <w:unhideWhenUsed/>
    <w:rsid w:val="00400821"/>
    <w:pPr>
      <w:spacing w:line="240" w:lineRule="auto"/>
    </w:pPr>
    <w:rPr>
      <w:sz w:val="20"/>
      <w:szCs w:val="20"/>
    </w:rPr>
  </w:style>
  <w:style w:type="character" w:customStyle="1" w:styleId="CommentTextChar">
    <w:name w:val="Comment Text Char"/>
    <w:basedOn w:val="DefaultParagraphFont"/>
    <w:link w:val="CommentText"/>
    <w:uiPriority w:val="99"/>
    <w:semiHidden/>
    <w:rsid w:val="00400821"/>
    <w:rPr>
      <w:lang w:val="en-US" w:eastAsia="en-US"/>
    </w:rPr>
  </w:style>
  <w:style w:type="paragraph" w:styleId="CommentSubject">
    <w:name w:val="annotation subject"/>
    <w:basedOn w:val="CommentText"/>
    <w:next w:val="CommentText"/>
    <w:link w:val="CommentSubjectChar"/>
    <w:uiPriority w:val="99"/>
    <w:semiHidden/>
    <w:unhideWhenUsed/>
    <w:rsid w:val="00400821"/>
    <w:rPr>
      <w:b/>
      <w:bCs/>
    </w:rPr>
  </w:style>
  <w:style w:type="character" w:customStyle="1" w:styleId="CommentSubjectChar">
    <w:name w:val="Comment Subject Char"/>
    <w:basedOn w:val="CommentTextChar"/>
    <w:link w:val="CommentSubject"/>
    <w:uiPriority w:val="99"/>
    <w:semiHidden/>
    <w:rsid w:val="00400821"/>
    <w:rPr>
      <w:b/>
      <w:bCs/>
      <w:lang w:val="en-US" w:eastAsia="en-US"/>
    </w:rPr>
  </w:style>
  <w:style w:type="paragraph" w:styleId="NoSpacing">
    <w:name w:val="No Spacing"/>
    <w:uiPriority w:val="1"/>
    <w:qFormat/>
    <w:rsid w:val="00084F4B"/>
    <w:rPr>
      <w:sz w:val="22"/>
      <w:szCs w:val="22"/>
      <w:lang w:val="en-US" w:eastAsia="en-US"/>
    </w:rPr>
  </w:style>
  <w:style w:type="paragraph" w:styleId="ListParagraph">
    <w:name w:val="List Paragraph"/>
    <w:basedOn w:val="Normal"/>
    <w:uiPriority w:val="34"/>
    <w:qFormat/>
    <w:rsid w:val="007B4D4A"/>
    <w:pPr>
      <w:ind w:left="720"/>
      <w:contextualSpacing/>
    </w:pPr>
  </w:style>
  <w:style w:type="character" w:customStyle="1" w:styleId="apple-converted-space">
    <w:name w:val="apple-converted-space"/>
    <w:basedOn w:val="DefaultParagraphFont"/>
    <w:rsid w:val="006116E2"/>
  </w:style>
  <w:style w:type="paragraph" w:styleId="NormalWeb">
    <w:name w:val="Normal (Web)"/>
    <w:basedOn w:val="Normal"/>
    <w:uiPriority w:val="99"/>
    <w:unhideWhenUsed/>
    <w:rsid w:val="0017032C"/>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580">
      <w:bodyDiv w:val="1"/>
      <w:marLeft w:val="0"/>
      <w:marRight w:val="0"/>
      <w:marTop w:val="0"/>
      <w:marBottom w:val="0"/>
      <w:divBdr>
        <w:top w:val="none" w:sz="0" w:space="0" w:color="auto"/>
        <w:left w:val="none" w:sz="0" w:space="0" w:color="auto"/>
        <w:bottom w:val="none" w:sz="0" w:space="0" w:color="auto"/>
        <w:right w:val="none" w:sz="0" w:space="0" w:color="auto"/>
      </w:divBdr>
    </w:div>
    <w:div w:id="93550295">
      <w:bodyDiv w:val="1"/>
      <w:marLeft w:val="0"/>
      <w:marRight w:val="0"/>
      <w:marTop w:val="0"/>
      <w:marBottom w:val="0"/>
      <w:divBdr>
        <w:top w:val="none" w:sz="0" w:space="0" w:color="auto"/>
        <w:left w:val="none" w:sz="0" w:space="0" w:color="auto"/>
        <w:bottom w:val="none" w:sz="0" w:space="0" w:color="auto"/>
        <w:right w:val="none" w:sz="0" w:space="0" w:color="auto"/>
      </w:divBdr>
    </w:div>
    <w:div w:id="273558319">
      <w:bodyDiv w:val="1"/>
      <w:marLeft w:val="0"/>
      <w:marRight w:val="0"/>
      <w:marTop w:val="0"/>
      <w:marBottom w:val="0"/>
      <w:divBdr>
        <w:top w:val="none" w:sz="0" w:space="0" w:color="auto"/>
        <w:left w:val="none" w:sz="0" w:space="0" w:color="auto"/>
        <w:bottom w:val="none" w:sz="0" w:space="0" w:color="auto"/>
        <w:right w:val="none" w:sz="0" w:space="0" w:color="auto"/>
      </w:divBdr>
    </w:div>
    <w:div w:id="477191848">
      <w:bodyDiv w:val="1"/>
      <w:marLeft w:val="0"/>
      <w:marRight w:val="0"/>
      <w:marTop w:val="0"/>
      <w:marBottom w:val="0"/>
      <w:divBdr>
        <w:top w:val="none" w:sz="0" w:space="0" w:color="auto"/>
        <w:left w:val="none" w:sz="0" w:space="0" w:color="auto"/>
        <w:bottom w:val="none" w:sz="0" w:space="0" w:color="auto"/>
        <w:right w:val="none" w:sz="0" w:space="0" w:color="auto"/>
      </w:divBdr>
    </w:div>
    <w:div w:id="500006221">
      <w:bodyDiv w:val="1"/>
      <w:marLeft w:val="0"/>
      <w:marRight w:val="0"/>
      <w:marTop w:val="0"/>
      <w:marBottom w:val="0"/>
      <w:divBdr>
        <w:top w:val="none" w:sz="0" w:space="0" w:color="auto"/>
        <w:left w:val="none" w:sz="0" w:space="0" w:color="auto"/>
        <w:bottom w:val="none" w:sz="0" w:space="0" w:color="auto"/>
        <w:right w:val="none" w:sz="0" w:space="0" w:color="auto"/>
      </w:divBdr>
    </w:div>
    <w:div w:id="736123238">
      <w:bodyDiv w:val="1"/>
      <w:marLeft w:val="0"/>
      <w:marRight w:val="0"/>
      <w:marTop w:val="0"/>
      <w:marBottom w:val="0"/>
      <w:divBdr>
        <w:top w:val="none" w:sz="0" w:space="0" w:color="auto"/>
        <w:left w:val="none" w:sz="0" w:space="0" w:color="auto"/>
        <w:bottom w:val="none" w:sz="0" w:space="0" w:color="auto"/>
        <w:right w:val="none" w:sz="0" w:space="0" w:color="auto"/>
      </w:divBdr>
    </w:div>
    <w:div w:id="823394517">
      <w:bodyDiv w:val="1"/>
      <w:marLeft w:val="0"/>
      <w:marRight w:val="0"/>
      <w:marTop w:val="0"/>
      <w:marBottom w:val="0"/>
      <w:divBdr>
        <w:top w:val="none" w:sz="0" w:space="0" w:color="auto"/>
        <w:left w:val="none" w:sz="0" w:space="0" w:color="auto"/>
        <w:bottom w:val="none" w:sz="0" w:space="0" w:color="auto"/>
        <w:right w:val="none" w:sz="0" w:space="0" w:color="auto"/>
      </w:divBdr>
      <w:divsChild>
        <w:div w:id="1011756717">
          <w:marLeft w:val="590"/>
          <w:marRight w:val="0"/>
          <w:marTop w:val="77"/>
          <w:marBottom w:val="0"/>
          <w:divBdr>
            <w:top w:val="none" w:sz="0" w:space="0" w:color="auto"/>
            <w:left w:val="none" w:sz="0" w:space="0" w:color="auto"/>
            <w:bottom w:val="none" w:sz="0" w:space="0" w:color="auto"/>
            <w:right w:val="none" w:sz="0" w:space="0" w:color="auto"/>
          </w:divBdr>
        </w:div>
        <w:div w:id="1128016443">
          <w:marLeft w:val="590"/>
          <w:marRight w:val="0"/>
          <w:marTop w:val="77"/>
          <w:marBottom w:val="0"/>
          <w:divBdr>
            <w:top w:val="none" w:sz="0" w:space="0" w:color="auto"/>
            <w:left w:val="none" w:sz="0" w:space="0" w:color="auto"/>
            <w:bottom w:val="none" w:sz="0" w:space="0" w:color="auto"/>
            <w:right w:val="none" w:sz="0" w:space="0" w:color="auto"/>
          </w:divBdr>
        </w:div>
      </w:divsChild>
    </w:div>
    <w:div w:id="827600409">
      <w:bodyDiv w:val="1"/>
      <w:marLeft w:val="0"/>
      <w:marRight w:val="0"/>
      <w:marTop w:val="0"/>
      <w:marBottom w:val="0"/>
      <w:divBdr>
        <w:top w:val="none" w:sz="0" w:space="0" w:color="auto"/>
        <w:left w:val="none" w:sz="0" w:space="0" w:color="auto"/>
        <w:bottom w:val="none" w:sz="0" w:space="0" w:color="auto"/>
        <w:right w:val="none" w:sz="0" w:space="0" w:color="auto"/>
      </w:divBdr>
    </w:div>
    <w:div w:id="928776382">
      <w:bodyDiv w:val="1"/>
      <w:marLeft w:val="0"/>
      <w:marRight w:val="0"/>
      <w:marTop w:val="0"/>
      <w:marBottom w:val="0"/>
      <w:divBdr>
        <w:top w:val="none" w:sz="0" w:space="0" w:color="auto"/>
        <w:left w:val="none" w:sz="0" w:space="0" w:color="auto"/>
        <w:bottom w:val="none" w:sz="0" w:space="0" w:color="auto"/>
        <w:right w:val="none" w:sz="0" w:space="0" w:color="auto"/>
      </w:divBdr>
    </w:div>
    <w:div w:id="1106773711">
      <w:bodyDiv w:val="1"/>
      <w:marLeft w:val="0"/>
      <w:marRight w:val="0"/>
      <w:marTop w:val="0"/>
      <w:marBottom w:val="0"/>
      <w:divBdr>
        <w:top w:val="none" w:sz="0" w:space="0" w:color="auto"/>
        <w:left w:val="none" w:sz="0" w:space="0" w:color="auto"/>
        <w:bottom w:val="none" w:sz="0" w:space="0" w:color="auto"/>
        <w:right w:val="none" w:sz="0" w:space="0" w:color="auto"/>
      </w:divBdr>
    </w:div>
    <w:div w:id="1287278276">
      <w:bodyDiv w:val="1"/>
      <w:marLeft w:val="0"/>
      <w:marRight w:val="0"/>
      <w:marTop w:val="0"/>
      <w:marBottom w:val="0"/>
      <w:divBdr>
        <w:top w:val="none" w:sz="0" w:space="0" w:color="auto"/>
        <w:left w:val="none" w:sz="0" w:space="0" w:color="auto"/>
        <w:bottom w:val="none" w:sz="0" w:space="0" w:color="auto"/>
        <w:right w:val="none" w:sz="0" w:space="0" w:color="auto"/>
      </w:divBdr>
      <w:divsChild>
        <w:div w:id="1564099643">
          <w:marLeft w:val="590"/>
          <w:marRight w:val="0"/>
          <w:marTop w:val="125"/>
          <w:marBottom w:val="0"/>
          <w:divBdr>
            <w:top w:val="none" w:sz="0" w:space="0" w:color="auto"/>
            <w:left w:val="none" w:sz="0" w:space="0" w:color="auto"/>
            <w:bottom w:val="none" w:sz="0" w:space="0" w:color="auto"/>
            <w:right w:val="none" w:sz="0" w:space="0" w:color="auto"/>
          </w:divBdr>
        </w:div>
        <w:div w:id="1132165256">
          <w:marLeft w:val="1267"/>
          <w:marRight w:val="0"/>
          <w:marTop w:val="106"/>
          <w:marBottom w:val="0"/>
          <w:divBdr>
            <w:top w:val="none" w:sz="0" w:space="0" w:color="auto"/>
            <w:left w:val="none" w:sz="0" w:space="0" w:color="auto"/>
            <w:bottom w:val="none" w:sz="0" w:space="0" w:color="auto"/>
            <w:right w:val="none" w:sz="0" w:space="0" w:color="auto"/>
          </w:divBdr>
        </w:div>
        <w:div w:id="74982513">
          <w:marLeft w:val="1267"/>
          <w:marRight w:val="0"/>
          <w:marTop w:val="106"/>
          <w:marBottom w:val="0"/>
          <w:divBdr>
            <w:top w:val="none" w:sz="0" w:space="0" w:color="auto"/>
            <w:left w:val="none" w:sz="0" w:space="0" w:color="auto"/>
            <w:bottom w:val="none" w:sz="0" w:space="0" w:color="auto"/>
            <w:right w:val="none" w:sz="0" w:space="0" w:color="auto"/>
          </w:divBdr>
        </w:div>
        <w:div w:id="550192839">
          <w:marLeft w:val="590"/>
          <w:marRight w:val="0"/>
          <w:marTop w:val="125"/>
          <w:marBottom w:val="0"/>
          <w:divBdr>
            <w:top w:val="none" w:sz="0" w:space="0" w:color="auto"/>
            <w:left w:val="none" w:sz="0" w:space="0" w:color="auto"/>
            <w:bottom w:val="none" w:sz="0" w:space="0" w:color="auto"/>
            <w:right w:val="none" w:sz="0" w:space="0" w:color="auto"/>
          </w:divBdr>
        </w:div>
        <w:div w:id="135921669">
          <w:marLeft w:val="1267"/>
          <w:marRight w:val="0"/>
          <w:marTop w:val="106"/>
          <w:marBottom w:val="0"/>
          <w:divBdr>
            <w:top w:val="none" w:sz="0" w:space="0" w:color="auto"/>
            <w:left w:val="none" w:sz="0" w:space="0" w:color="auto"/>
            <w:bottom w:val="none" w:sz="0" w:space="0" w:color="auto"/>
            <w:right w:val="none" w:sz="0" w:space="0" w:color="auto"/>
          </w:divBdr>
        </w:div>
        <w:div w:id="729768809">
          <w:marLeft w:val="1267"/>
          <w:marRight w:val="0"/>
          <w:marTop w:val="106"/>
          <w:marBottom w:val="0"/>
          <w:divBdr>
            <w:top w:val="none" w:sz="0" w:space="0" w:color="auto"/>
            <w:left w:val="none" w:sz="0" w:space="0" w:color="auto"/>
            <w:bottom w:val="none" w:sz="0" w:space="0" w:color="auto"/>
            <w:right w:val="none" w:sz="0" w:space="0" w:color="auto"/>
          </w:divBdr>
        </w:div>
      </w:divsChild>
    </w:div>
    <w:div w:id="1302034309">
      <w:bodyDiv w:val="1"/>
      <w:marLeft w:val="0"/>
      <w:marRight w:val="0"/>
      <w:marTop w:val="0"/>
      <w:marBottom w:val="0"/>
      <w:divBdr>
        <w:top w:val="none" w:sz="0" w:space="0" w:color="auto"/>
        <w:left w:val="none" w:sz="0" w:space="0" w:color="auto"/>
        <w:bottom w:val="none" w:sz="0" w:space="0" w:color="auto"/>
        <w:right w:val="none" w:sz="0" w:space="0" w:color="auto"/>
      </w:divBdr>
      <w:divsChild>
        <w:div w:id="545917028">
          <w:marLeft w:val="590"/>
          <w:marRight w:val="0"/>
          <w:marTop w:val="125"/>
          <w:marBottom w:val="0"/>
          <w:divBdr>
            <w:top w:val="none" w:sz="0" w:space="0" w:color="auto"/>
            <w:left w:val="none" w:sz="0" w:space="0" w:color="auto"/>
            <w:bottom w:val="none" w:sz="0" w:space="0" w:color="auto"/>
            <w:right w:val="none" w:sz="0" w:space="0" w:color="auto"/>
          </w:divBdr>
        </w:div>
        <w:div w:id="709190365">
          <w:marLeft w:val="590"/>
          <w:marRight w:val="0"/>
          <w:marTop w:val="125"/>
          <w:marBottom w:val="0"/>
          <w:divBdr>
            <w:top w:val="none" w:sz="0" w:space="0" w:color="auto"/>
            <w:left w:val="none" w:sz="0" w:space="0" w:color="auto"/>
            <w:bottom w:val="none" w:sz="0" w:space="0" w:color="auto"/>
            <w:right w:val="none" w:sz="0" w:space="0" w:color="auto"/>
          </w:divBdr>
        </w:div>
        <w:div w:id="193200734">
          <w:marLeft w:val="590"/>
          <w:marRight w:val="0"/>
          <w:marTop w:val="125"/>
          <w:marBottom w:val="0"/>
          <w:divBdr>
            <w:top w:val="none" w:sz="0" w:space="0" w:color="auto"/>
            <w:left w:val="none" w:sz="0" w:space="0" w:color="auto"/>
            <w:bottom w:val="none" w:sz="0" w:space="0" w:color="auto"/>
            <w:right w:val="none" w:sz="0" w:space="0" w:color="auto"/>
          </w:divBdr>
        </w:div>
      </w:divsChild>
    </w:div>
    <w:div w:id="1494028365">
      <w:bodyDiv w:val="1"/>
      <w:marLeft w:val="0"/>
      <w:marRight w:val="0"/>
      <w:marTop w:val="0"/>
      <w:marBottom w:val="0"/>
      <w:divBdr>
        <w:top w:val="none" w:sz="0" w:space="0" w:color="auto"/>
        <w:left w:val="none" w:sz="0" w:space="0" w:color="auto"/>
        <w:bottom w:val="none" w:sz="0" w:space="0" w:color="auto"/>
        <w:right w:val="none" w:sz="0" w:space="0" w:color="auto"/>
      </w:divBdr>
    </w:div>
    <w:div w:id="1656687465">
      <w:bodyDiv w:val="1"/>
      <w:marLeft w:val="0"/>
      <w:marRight w:val="0"/>
      <w:marTop w:val="0"/>
      <w:marBottom w:val="0"/>
      <w:divBdr>
        <w:top w:val="none" w:sz="0" w:space="0" w:color="auto"/>
        <w:left w:val="none" w:sz="0" w:space="0" w:color="auto"/>
        <w:bottom w:val="none" w:sz="0" w:space="0" w:color="auto"/>
        <w:right w:val="none" w:sz="0" w:space="0" w:color="auto"/>
      </w:divBdr>
    </w:div>
    <w:div w:id="1858614318">
      <w:bodyDiv w:val="1"/>
      <w:marLeft w:val="0"/>
      <w:marRight w:val="0"/>
      <w:marTop w:val="0"/>
      <w:marBottom w:val="0"/>
      <w:divBdr>
        <w:top w:val="none" w:sz="0" w:space="0" w:color="auto"/>
        <w:left w:val="none" w:sz="0" w:space="0" w:color="auto"/>
        <w:bottom w:val="none" w:sz="0" w:space="0" w:color="auto"/>
        <w:right w:val="none" w:sz="0" w:space="0" w:color="auto"/>
      </w:divBdr>
      <w:divsChild>
        <w:div w:id="1492217760">
          <w:marLeft w:val="0"/>
          <w:marRight w:val="0"/>
          <w:marTop w:val="0"/>
          <w:marBottom w:val="0"/>
          <w:divBdr>
            <w:top w:val="none" w:sz="0" w:space="0" w:color="auto"/>
            <w:left w:val="none" w:sz="0" w:space="0" w:color="auto"/>
            <w:bottom w:val="none" w:sz="0" w:space="0" w:color="auto"/>
            <w:right w:val="none" w:sz="0" w:space="0" w:color="auto"/>
          </w:divBdr>
          <w:divsChild>
            <w:div w:id="217786657">
              <w:marLeft w:val="5520"/>
              <w:marRight w:val="0"/>
              <w:marTop w:val="0"/>
              <w:marBottom w:val="0"/>
              <w:divBdr>
                <w:top w:val="none" w:sz="0" w:space="0" w:color="auto"/>
                <w:left w:val="none" w:sz="0" w:space="0" w:color="auto"/>
                <w:bottom w:val="none" w:sz="0" w:space="0" w:color="auto"/>
                <w:right w:val="none" w:sz="0" w:space="0" w:color="auto"/>
              </w:divBdr>
              <w:divsChild>
                <w:div w:id="269049519">
                  <w:marLeft w:val="0"/>
                  <w:marRight w:val="0"/>
                  <w:marTop w:val="0"/>
                  <w:marBottom w:val="0"/>
                  <w:divBdr>
                    <w:top w:val="none" w:sz="0" w:space="0" w:color="auto"/>
                    <w:left w:val="none" w:sz="0" w:space="0" w:color="auto"/>
                    <w:bottom w:val="none" w:sz="0" w:space="0" w:color="auto"/>
                    <w:right w:val="none" w:sz="0" w:space="0" w:color="auto"/>
                  </w:divBdr>
                  <w:divsChild>
                    <w:div w:id="1476407240">
                      <w:marLeft w:val="0"/>
                      <w:marRight w:val="0"/>
                      <w:marTop w:val="0"/>
                      <w:marBottom w:val="0"/>
                      <w:divBdr>
                        <w:top w:val="none" w:sz="0" w:space="0" w:color="auto"/>
                        <w:left w:val="none" w:sz="0" w:space="0" w:color="auto"/>
                        <w:bottom w:val="none" w:sz="0" w:space="0" w:color="auto"/>
                        <w:right w:val="none" w:sz="0" w:space="0" w:color="auto"/>
                      </w:divBdr>
                      <w:divsChild>
                        <w:div w:id="900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15250">
      <w:bodyDiv w:val="1"/>
      <w:marLeft w:val="0"/>
      <w:marRight w:val="0"/>
      <w:marTop w:val="0"/>
      <w:marBottom w:val="0"/>
      <w:divBdr>
        <w:top w:val="none" w:sz="0" w:space="0" w:color="auto"/>
        <w:left w:val="none" w:sz="0" w:space="0" w:color="auto"/>
        <w:bottom w:val="none" w:sz="0" w:space="0" w:color="auto"/>
        <w:right w:val="none" w:sz="0" w:space="0" w:color="auto"/>
      </w:divBdr>
    </w:div>
    <w:div w:id="1910537042">
      <w:bodyDiv w:val="1"/>
      <w:marLeft w:val="0"/>
      <w:marRight w:val="0"/>
      <w:marTop w:val="0"/>
      <w:marBottom w:val="0"/>
      <w:divBdr>
        <w:top w:val="none" w:sz="0" w:space="0" w:color="auto"/>
        <w:left w:val="none" w:sz="0" w:space="0" w:color="auto"/>
        <w:bottom w:val="none" w:sz="0" w:space="0" w:color="auto"/>
        <w:right w:val="none" w:sz="0" w:space="0" w:color="auto"/>
      </w:divBdr>
    </w:div>
    <w:div w:id="1924533595">
      <w:bodyDiv w:val="1"/>
      <w:marLeft w:val="0"/>
      <w:marRight w:val="0"/>
      <w:marTop w:val="0"/>
      <w:marBottom w:val="0"/>
      <w:divBdr>
        <w:top w:val="none" w:sz="0" w:space="0" w:color="auto"/>
        <w:left w:val="none" w:sz="0" w:space="0" w:color="auto"/>
        <w:bottom w:val="none" w:sz="0" w:space="0" w:color="auto"/>
        <w:right w:val="none" w:sz="0" w:space="0" w:color="auto"/>
      </w:divBdr>
    </w:div>
    <w:div w:id="2025160555">
      <w:bodyDiv w:val="1"/>
      <w:marLeft w:val="0"/>
      <w:marRight w:val="0"/>
      <w:marTop w:val="0"/>
      <w:marBottom w:val="0"/>
      <w:divBdr>
        <w:top w:val="none" w:sz="0" w:space="0" w:color="auto"/>
        <w:left w:val="none" w:sz="0" w:space="0" w:color="auto"/>
        <w:bottom w:val="none" w:sz="0" w:space="0" w:color="auto"/>
        <w:right w:val="none" w:sz="0" w:space="0" w:color="auto"/>
      </w:divBdr>
    </w:div>
    <w:div w:id="2052412455">
      <w:bodyDiv w:val="1"/>
      <w:marLeft w:val="0"/>
      <w:marRight w:val="0"/>
      <w:marTop w:val="0"/>
      <w:marBottom w:val="0"/>
      <w:divBdr>
        <w:top w:val="none" w:sz="0" w:space="0" w:color="auto"/>
        <w:left w:val="none" w:sz="0" w:space="0" w:color="auto"/>
        <w:bottom w:val="none" w:sz="0" w:space="0" w:color="auto"/>
        <w:right w:val="none" w:sz="0" w:space="0" w:color="auto"/>
      </w:divBdr>
    </w:div>
    <w:div w:id="21039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phie.riding@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Rob's%20Download%20Files\CSU%20Letter%20Head%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F8F1-709B-412F-BE17-78CB1EEA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CSU Letter Head template (5)</Template>
  <TotalTime>18</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Newton</dc:creator>
  <cp:lastModifiedBy>Newton Stephen (LCSU)</cp:lastModifiedBy>
  <cp:revision>7</cp:revision>
  <cp:lastPrinted>2016-10-19T08:19:00Z</cp:lastPrinted>
  <dcterms:created xsi:type="dcterms:W3CDTF">2016-10-19T08:38:00Z</dcterms:created>
  <dcterms:modified xsi:type="dcterms:W3CDTF">2016-10-21T11:55:00Z</dcterms:modified>
</cp:coreProperties>
</file>