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633EB" w14:textId="77777777" w:rsidR="00D02182" w:rsidRPr="00D02182" w:rsidRDefault="00D02182" w:rsidP="00D02182">
      <w:pPr>
        <w:spacing w:after="200" w:line="276" w:lineRule="auto"/>
        <w:jc w:val="center"/>
        <w:rPr>
          <w:rFonts w:ascii="Arial Bold" w:eastAsia="Calibri" w:hAnsi="Arial Bold" w:cs="Arial"/>
          <w:b/>
          <w:caps/>
          <w:szCs w:val="20"/>
          <w:u w:val="single"/>
          <w:lang w:eastAsia="en-US"/>
        </w:rPr>
      </w:pPr>
      <w:r w:rsidRPr="00D02182">
        <w:rPr>
          <w:rFonts w:ascii="Arial Bold" w:eastAsia="Calibri" w:hAnsi="Arial Bold" w:cs="Arial"/>
          <w:b/>
          <w:caps/>
          <w:szCs w:val="20"/>
          <w:u w:val="single"/>
          <w:lang w:eastAsia="en-US"/>
        </w:rPr>
        <w:t>Glossary &amp; Abbreviations and Acronyms</w:t>
      </w:r>
    </w:p>
    <w:p w14:paraId="74429D4D" w14:textId="77777777" w:rsidR="00D02182" w:rsidRPr="00D02182" w:rsidRDefault="00D02182" w:rsidP="00D02182">
      <w:pPr>
        <w:spacing w:after="200" w:line="276" w:lineRule="auto"/>
        <w:jc w:val="left"/>
        <w:rPr>
          <w:rFonts w:eastAsia="Calibri" w:cs="Arial"/>
          <w:szCs w:val="20"/>
          <w:u w:val="single"/>
          <w:lang w:eastAsia="en-US"/>
        </w:rPr>
      </w:pPr>
      <w:r w:rsidRPr="00D02182">
        <w:rPr>
          <w:rFonts w:eastAsia="Calibri" w:cs="Arial"/>
          <w:szCs w:val="20"/>
          <w:u w:val="single"/>
          <w:lang w:eastAsia="en-US"/>
        </w:rPr>
        <w:t>Glossary of Terms</w:t>
      </w:r>
    </w:p>
    <w:tbl>
      <w:tblPr>
        <w:tblW w:w="10207"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7"/>
        <w:gridCol w:w="8080"/>
      </w:tblGrid>
      <w:tr w:rsidR="00D02182" w:rsidRPr="001A14E9" w14:paraId="7F31722E" w14:textId="77777777" w:rsidTr="000A3106">
        <w:trPr>
          <w:trHeight w:val="330"/>
        </w:trPr>
        <w:tc>
          <w:tcPr>
            <w:tcW w:w="2127" w:type="dxa"/>
            <w:shd w:val="clear" w:color="auto" w:fill="auto"/>
            <w:noWrap/>
            <w:vAlign w:val="center"/>
            <w:hideMark/>
          </w:tcPr>
          <w:p w14:paraId="3A99987F" w14:textId="77777777" w:rsidR="00D02182" w:rsidRPr="001A14E9" w:rsidRDefault="00D02182" w:rsidP="00B57557">
            <w:pPr>
              <w:jc w:val="left"/>
              <w:rPr>
                <w:rFonts w:cs="Arial"/>
                <w:b/>
                <w:bCs/>
                <w:color w:val="000000"/>
                <w:szCs w:val="20"/>
              </w:rPr>
            </w:pPr>
            <w:r w:rsidRPr="001A14E9">
              <w:rPr>
                <w:rFonts w:cs="Arial"/>
                <w:b/>
                <w:bCs/>
                <w:color w:val="000000"/>
                <w:szCs w:val="20"/>
              </w:rPr>
              <w:t>Term</w:t>
            </w:r>
          </w:p>
        </w:tc>
        <w:tc>
          <w:tcPr>
            <w:tcW w:w="8080" w:type="dxa"/>
            <w:shd w:val="clear" w:color="auto" w:fill="auto"/>
            <w:vAlign w:val="center"/>
            <w:hideMark/>
          </w:tcPr>
          <w:p w14:paraId="317C0DFD" w14:textId="77777777" w:rsidR="00D02182" w:rsidRPr="001A14E9" w:rsidRDefault="00D02182" w:rsidP="00B57557">
            <w:pPr>
              <w:jc w:val="left"/>
              <w:rPr>
                <w:rFonts w:cs="Arial"/>
                <w:b/>
                <w:bCs/>
                <w:color w:val="000000"/>
                <w:szCs w:val="20"/>
              </w:rPr>
            </w:pPr>
            <w:r w:rsidRPr="001A14E9">
              <w:rPr>
                <w:rFonts w:cs="Arial"/>
                <w:b/>
                <w:bCs/>
                <w:color w:val="000000"/>
                <w:szCs w:val="20"/>
              </w:rPr>
              <w:t>Definition</w:t>
            </w:r>
          </w:p>
        </w:tc>
      </w:tr>
      <w:tr w:rsidR="00BE16F8" w:rsidRPr="001A14E9" w14:paraId="7CD55EA1" w14:textId="77777777" w:rsidTr="000A3106">
        <w:trPr>
          <w:trHeight w:val="420"/>
        </w:trPr>
        <w:tc>
          <w:tcPr>
            <w:tcW w:w="2127" w:type="dxa"/>
            <w:noWrap/>
            <w:vAlign w:val="center"/>
          </w:tcPr>
          <w:p w14:paraId="26F655A9" w14:textId="77777777" w:rsidR="00BE16F8" w:rsidRPr="009E2154" w:rsidRDefault="00BE16F8" w:rsidP="00BE16F8">
            <w:pPr>
              <w:rPr>
                <w:rFonts w:cs="Arial"/>
                <w:szCs w:val="20"/>
              </w:rPr>
            </w:pPr>
            <w:r>
              <w:rPr>
                <w:rFonts w:cs="Arial"/>
                <w:color w:val="000000"/>
                <w:szCs w:val="20"/>
              </w:rPr>
              <w:t>Authority</w:t>
            </w:r>
          </w:p>
        </w:tc>
        <w:tc>
          <w:tcPr>
            <w:tcW w:w="8080" w:type="dxa"/>
            <w:vAlign w:val="center"/>
          </w:tcPr>
          <w:p w14:paraId="5340ED1D" w14:textId="77777777" w:rsidR="00BE16F8" w:rsidRPr="009E2154" w:rsidRDefault="00BE16F8" w:rsidP="00BE16F8">
            <w:pPr>
              <w:keepNext/>
              <w:rPr>
                <w:rFonts w:cs="Arial"/>
                <w:szCs w:val="20"/>
              </w:rPr>
            </w:pPr>
            <w:r>
              <w:rPr>
                <w:rFonts w:cs="Arial"/>
                <w:color w:val="000000"/>
                <w:szCs w:val="20"/>
              </w:rPr>
              <w:t>As defined in DEFCON 501</w:t>
            </w:r>
          </w:p>
        </w:tc>
      </w:tr>
      <w:tr w:rsidR="00D3297E" w:rsidRPr="001A14E9" w14:paraId="58FA1875" w14:textId="77777777" w:rsidTr="000A3106">
        <w:trPr>
          <w:trHeight w:val="480"/>
        </w:trPr>
        <w:tc>
          <w:tcPr>
            <w:tcW w:w="2127" w:type="dxa"/>
            <w:noWrap/>
            <w:vAlign w:val="center"/>
          </w:tcPr>
          <w:p w14:paraId="209C3250" w14:textId="77777777" w:rsidR="00D3297E" w:rsidRPr="009E2154" w:rsidRDefault="00D3297E" w:rsidP="00D3297E">
            <w:pPr>
              <w:rPr>
                <w:rFonts w:cs="Arial"/>
                <w:szCs w:val="20"/>
              </w:rPr>
            </w:pPr>
            <w:r>
              <w:rPr>
                <w:rFonts w:cs="Arial"/>
                <w:color w:val="000000"/>
                <w:szCs w:val="20"/>
              </w:rPr>
              <w:t>Certification</w:t>
            </w:r>
          </w:p>
        </w:tc>
        <w:tc>
          <w:tcPr>
            <w:tcW w:w="8080" w:type="dxa"/>
            <w:vAlign w:val="center"/>
          </w:tcPr>
          <w:p w14:paraId="2342E93A" w14:textId="77777777" w:rsidR="00D3297E" w:rsidRPr="009E2154" w:rsidRDefault="00D3297E" w:rsidP="00D3297E">
            <w:pPr>
              <w:keepNext/>
              <w:rPr>
                <w:rFonts w:cs="Arial"/>
                <w:szCs w:val="20"/>
              </w:rPr>
            </w:pPr>
            <w:r>
              <w:rPr>
                <w:rFonts w:cs="Arial"/>
                <w:color w:val="000000"/>
                <w:szCs w:val="20"/>
              </w:rPr>
              <w:t>Involves the Contractor submitting a written statement or paper to declare that a standard has been achieved.</w:t>
            </w:r>
          </w:p>
        </w:tc>
      </w:tr>
      <w:tr w:rsidR="00BE16F8" w:rsidRPr="001A14E9" w14:paraId="693B23AF" w14:textId="77777777" w:rsidTr="000A3106">
        <w:trPr>
          <w:trHeight w:val="347"/>
        </w:trPr>
        <w:tc>
          <w:tcPr>
            <w:tcW w:w="2127" w:type="dxa"/>
            <w:shd w:val="clear" w:color="auto" w:fill="auto"/>
            <w:noWrap/>
            <w:vAlign w:val="center"/>
            <w:hideMark/>
          </w:tcPr>
          <w:p w14:paraId="0D8917CC" w14:textId="77777777" w:rsidR="00BE16F8" w:rsidRPr="001A14E9" w:rsidRDefault="00BE16F8" w:rsidP="00BE16F8">
            <w:pPr>
              <w:jc w:val="left"/>
              <w:rPr>
                <w:rFonts w:cs="Arial"/>
                <w:color w:val="000000"/>
                <w:sz w:val="18"/>
                <w:szCs w:val="18"/>
              </w:rPr>
            </w:pPr>
            <w:r w:rsidRPr="001A14E9">
              <w:rPr>
                <w:rFonts w:cs="Arial"/>
                <w:color w:val="000000"/>
                <w:sz w:val="18"/>
                <w:szCs w:val="18"/>
              </w:rPr>
              <w:t>Contract Award</w:t>
            </w:r>
          </w:p>
        </w:tc>
        <w:tc>
          <w:tcPr>
            <w:tcW w:w="8080" w:type="dxa"/>
            <w:shd w:val="clear" w:color="auto" w:fill="auto"/>
            <w:vAlign w:val="center"/>
            <w:hideMark/>
          </w:tcPr>
          <w:p w14:paraId="5F62B809" w14:textId="77777777" w:rsidR="00BE16F8" w:rsidRPr="001A14E9" w:rsidRDefault="00BE16F8" w:rsidP="00BE16F8">
            <w:pPr>
              <w:jc w:val="left"/>
              <w:rPr>
                <w:rFonts w:cs="Arial"/>
                <w:color w:val="000000"/>
                <w:sz w:val="18"/>
                <w:szCs w:val="18"/>
              </w:rPr>
            </w:pPr>
            <w:r w:rsidRPr="001A14E9">
              <w:rPr>
                <w:rFonts w:cs="Arial"/>
                <w:color w:val="000000"/>
                <w:sz w:val="18"/>
                <w:szCs w:val="18"/>
              </w:rPr>
              <w:t>means the date upon which the Parties agree the Contract will come into effect.</w:t>
            </w:r>
          </w:p>
        </w:tc>
      </w:tr>
      <w:tr w:rsidR="00D3297E" w:rsidRPr="001A14E9" w14:paraId="36DD15A8" w14:textId="77777777" w:rsidTr="000A3106">
        <w:trPr>
          <w:trHeight w:val="283"/>
        </w:trPr>
        <w:tc>
          <w:tcPr>
            <w:tcW w:w="2127" w:type="dxa"/>
            <w:noWrap/>
            <w:vAlign w:val="center"/>
          </w:tcPr>
          <w:p w14:paraId="1CD4D86D" w14:textId="77777777" w:rsidR="00D3297E" w:rsidRPr="009E2154" w:rsidRDefault="00D3297E" w:rsidP="00D3297E">
            <w:pPr>
              <w:rPr>
                <w:rFonts w:cs="Arial"/>
                <w:szCs w:val="20"/>
              </w:rPr>
            </w:pPr>
            <w:r>
              <w:rPr>
                <w:rFonts w:cs="Arial"/>
                <w:color w:val="000000"/>
                <w:szCs w:val="20"/>
              </w:rPr>
              <w:t>Contractor</w:t>
            </w:r>
          </w:p>
        </w:tc>
        <w:tc>
          <w:tcPr>
            <w:tcW w:w="8080" w:type="dxa"/>
            <w:vAlign w:val="center"/>
          </w:tcPr>
          <w:p w14:paraId="2C7F9DFF" w14:textId="77777777" w:rsidR="00D3297E" w:rsidRPr="009E2154" w:rsidRDefault="00D3297E" w:rsidP="00D3297E">
            <w:pPr>
              <w:keepNext/>
              <w:rPr>
                <w:rFonts w:cs="Arial"/>
                <w:szCs w:val="20"/>
              </w:rPr>
            </w:pPr>
            <w:r>
              <w:rPr>
                <w:rFonts w:cs="Arial"/>
                <w:color w:val="000000"/>
                <w:szCs w:val="20"/>
              </w:rPr>
              <w:t>As defined in DEFCON 501</w:t>
            </w:r>
          </w:p>
        </w:tc>
      </w:tr>
      <w:tr w:rsidR="00D3297E" w:rsidRPr="001A14E9" w14:paraId="33C010A5" w14:textId="77777777" w:rsidTr="000A3106">
        <w:trPr>
          <w:trHeight w:val="480"/>
        </w:trPr>
        <w:tc>
          <w:tcPr>
            <w:tcW w:w="2127" w:type="dxa"/>
            <w:noWrap/>
            <w:vAlign w:val="center"/>
          </w:tcPr>
          <w:p w14:paraId="5A949596" w14:textId="77777777" w:rsidR="00D3297E" w:rsidRDefault="00D3297E" w:rsidP="00D3297E">
            <w:pPr>
              <w:rPr>
                <w:rFonts w:cs="Arial"/>
                <w:color w:val="000000"/>
                <w:szCs w:val="20"/>
              </w:rPr>
            </w:pPr>
            <w:r>
              <w:rPr>
                <w:rFonts w:cs="Arial"/>
                <w:color w:val="000000"/>
                <w:szCs w:val="20"/>
              </w:rPr>
              <w:t>Contractor’s Representative(s)</w:t>
            </w:r>
          </w:p>
        </w:tc>
        <w:tc>
          <w:tcPr>
            <w:tcW w:w="8080" w:type="dxa"/>
            <w:vAlign w:val="center"/>
          </w:tcPr>
          <w:p w14:paraId="113B873E" w14:textId="77777777" w:rsidR="00D3297E" w:rsidRDefault="00D3297E" w:rsidP="00D3297E">
            <w:pPr>
              <w:keepNext/>
              <w:rPr>
                <w:rFonts w:cs="Arial"/>
                <w:color w:val="000000"/>
                <w:szCs w:val="20"/>
              </w:rPr>
            </w:pPr>
            <w:r>
              <w:rPr>
                <w:rFonts w:cs="Arial"/>
                <w:color w:val="000000"/>
                <w:szCs w:val="20"/>
              </w:rPr>
              <w:t>As defined in DEFCON 76</w:t>
            </w:r>
          </w:p>
        </w:tc>
      </w:tr>
      <w:tr w:rsidR="00FD08FE" w:rsidRPr="001A14E9" w14:paraId="49748C8B" w14:textId="77777777" w:rsidTr="000A3106">
        <w:trPr>
          <w:trHeight w:val="480"/>
        </w:trPr>
        <w:tc>
          <w:tcPr>
            <w:tcW w:w="2127" w:type="dxa"/>
            <w:noWrap/>
            <w:vAlign w:val="center"/>
          </w:tcPr>
          <w:p w14:paraId="4768756E" w14:textId="1FE3CCF3" w:rsidR="00FD08FE" w:rsidRDefault="00FD08FE" w:rsidP="00FD08FE">
            <w:pPr>
              <w:rPr>
                <w:rFonts w:cs="Arial"/>
                <w:color w:val="000000"/>
                <w:szCs w:val="20"/>
              </w:rPr>
            </w:pPr>
            <w:r>
              <w:rPr>
                <w:rFonts w:cs="Arial"/>
                <w:color w:val="000000"/>
                <w:szCs w:val="20"/>
              </w:rPr>
              <w:t>Foreground Intellectual Property Rights</w:t>
            </w:r>
          </w:p>
        </w:tc>
        <w:tc>
          <w:tcPr>
            <w:tcW w:w="8080" w:type="dxa"/>
            <w:vAlign w:val="center"/>
          </w:tcPr>
          <w:p w14:paraId="0D6DD441" w14:textId="5EFA8D5D" w:rsidR="00FD08FE" w:rsidRDefault="00FD08FE" w:rsidP="00FD08FE">
            <w:pPr>
              <w:keepNext/>
              <w:rPr>
                <w:rFonts w:cs="Arial"/>
                <w:color w:val="000000"/>
                <w:szCs w:val="20"/>
              </w:rPr>
            </w:pPr>
            <w:r>
              <w:rPr>
                <w:rFonts w:cs="Arial"/>
                <w:color w:val="000000"/>
                <w:szCs w:val="20"/>
              </w:rPr>
              <w:t>As defined in DEFCON 705</w:t>
            </w:r>
          </w:p>
        </w:tc>
      </w:tr>
      <w:tr w:rsidR="00FD08FE" w:rsidRPr="001A14E9" w14:paraId="7964BC3C" w14:textId="77777777" w:rsidTr="000A3106">
        <w:trPr>
          <w:trHeight w:val="345"/>
        </w:trPr>
        <w:tc>
          <w:tcPr>
            <w:tcW w:w="2127" w:type="dxa"/>
            <w:noWrap/>
            <w:vAlign w:val="center"/>
          </w:tcPr>
          <w:p w14:paraId="5CCFCBF0" w14:textId="7AB673F1" w:rsidR="00FD08FE" w:rsidRDefault="00FD08FE" w:rsidP="00FD08FE">
            <w:pPr>
              <w:rPr>
                <w:rFonts w:cs="Arial"/>
                <w:color w:val="000000"/>
                <w:szCs w:val="20"/>
              </w:rPr>
            </w:pPr>
            <w:r>
              <w:rPr>
                <w:rFonts w:cs="Arial"/>
                <w:color w:val="000000"/>
                <w:szCs w:val="20"/>
              </w:rPr>
              <w:t>Full Design Rights</w:t>
            </w:r>
          </w:p>
        </w:tc>
        <w:tc>
          <w:tcPr>
            <w:tcW w:w="8080" w:type="dxa"/>
            <w:vAlign w:val="center"/>
          </w:tcPr>
          <w:p w14:paraId="2ACF9A71" w14:textId="2D2E69CF" w:rsidR="00FD08FE" w:rsidRDefault="00FD08FE" w:rsidP="00FD08FE">
            <w:pPr>
              <w:keepNext/>
              <w:rPr>
                <w:rFonts w:cs="Arial"/>
                <w:color w:val="000000"/>
                <w:szCs w:val="20"/>
              </w:rPr>
            </w:pPr>
            <w:r>
              <w:rPr>
                <w:rFonts w:cs="Arial"/>
                <w:color w:val="000000"/>
                <w:szCs w:val="20"/>
              </w:rPr>
              <w:t>As defined in DEFCON 705</w:t>
            </w:r>
          </w:p>
        </w:tc>
      </w:tr>
      <w:tr w:rsidR="00FD08FE" w:rsidRPr="001A14E9" w14:paraId="21FA06BA" w14:textId="77777777" w:rsidTr="000A3106">
        <w:trPr>
          <w:trHeight w:val="480"/>
        </w:trPr>
        <w:tc>
          <w:tcPr>
            <w:tcW w:w="2127" w:type="dxa"/>
            <w:noWrap/>
            <w:vAlign w:val="center"/>
          </w:tcPr>
          <w:p w14:paraId="3B051E66" w14:textId="52B255E3" w:rsidR="00FD08FE" w:rsidRDefault="00FD08FE" w:rsidP="00FD08FE">
            <w:pPr>
              <w:rPr>
                <w:rFonts w:cs="Arial"/>
                <w:color w:val="000000"/>
                <w:szCs w:val="20"/>
              </w:rPr>
            </w:pPr>
            <w:r>
              <w:rPr>
                <w:rFonts w:cs="Arial"/>
                <w:color w:val="000000"/>
                <w:szCs w:val="20"/>
              </w:rPr>
              <w:t>Government Furnished Assets</w:t>
            </w:r>
            <w:r w:rsidR="009F25F6">
              <w:rPr>
                <w:rFonts w:cs="Arial"/>
                <w:color w:val="000000"/>
                <w:szCs w:val="20"/>
              </w:rPr>
              <w:t>/Equipment</w:t>
            </w:r>
          </w:p>
        </w:tc>
        <w:tc>
          <w:tcPr>
            <w:tcW w:w="8080" w:type="dxa"/>
            <w:vAlign w:val="center"/>
          </w:tcPr>
          <w:p w14:paraId="4E6C0B4A" w14:textId="0D229271" w:rsidR="00FD08FE" w:rsidRDefault="00FD08FE" w:rsidP="00FD08FE">
            <w:pPr>
              <w:keepNext/>
              <w:rPr>
                <w:rFonts w:cs="Arial"/>
                <w:color w:val="000000"/>
                <w:szCs w:val="20"/>
              </w:rPr>
            </w:pPr>
            <w:r>
              <w:rPr>
                <w:rFonts w:cs="Arial"/>
                <w:color w:val="000000"/>
                <w:szCs w:val="20"/>
              </w:rPr>
              <w:t>Items to be loaned to the Contractor, including: Information, Facilities, Tooling as defined in DEFCON 611</w:t>
            </w:r>
          </w:p>
        </w:tc>
      </w:tr>
      <w:tr w:rsidR="00FD08FE" w:rsidRPr="001A14E9" w14:paraId="224421C2" w14:textId="77777777" w:rsidTr="000A3106">
        <w:trPr>
          <w:trHeight w:val="480"/>
        </w:trPr>
        <w:tc>
          <w:tcPr>
            <w:tcW w:w="2127" w:type="dxa"/>
            <w:noWrap/>
            <w:vAlign w:val="center"/>
          </w:tcPr>
          <w:p w14:paraId="192AFBB4" w14:textId="0D4001ED" w:rsidR="00FD08FE" w:rsidRDefault="00FD08FE" w:rsidP="00FD08FE">
            <w:pPr>
              <w:rPr>
                <w:rFonts w:cs="Arial"/>
                <w:color w:val="000000"/>
                <w:szCs w:val="20"/>
              </w:rPr>
            </w:pPr>
            <w:r>
              <w:rPr>
                <w:rFonts w:cs="Arial"/>
                <w:color w:val="000000"/>
                <w:szCs w:val="20"/>
              </w:rPr>
              <w:t>Government Establishment</w:t>
            </w:r>
          </w:p>
        </w:tc>
        <w:tc>
          <w:tcPr>
            <w:tcW w:w="8080" w:type="dxa"/>
            <w:vAlign w:val="center"/>
          </w:tcPr>
          <w:p w14:paraId="2106F079" w14:textId="5DBF417B" w:rsidR="00FD08FE" w:rsidRDefault="00FD08FE" w:rsidP="00FD08FE">
            <w:pPr>
              <w:keepNext/>
              <w:rPr>
                <w:rFonts w:cs="Arial"/>
                <w:color w:val="000000"/>
                <w:szCs w:val="20"/>
              </w:rPr>
            </w:pPr>
            <w:r>
              <w:rPr>
                <w:rFonts w:cs="Arial"/>
                <w:color w:val="000000"/>
                <w:szCs w:val="20"/>
              </w:rPr>
              <w:t>As defined in DEFCON 76</w:t>
            </w:r>
          </w:p>
        </w:tc>
      </w:tr>
      <w:tr w:rsidR="00FD08FE" w:rsidRPr="001A14E9" w14:paraId="1B5D5D49" w14:textId="77777777" w:rsidTr="000A3106">
        <w:trPr>
          <w:trHeight w:val="300"/>
        </w:trPr>
        <w:tc>
          <w:tcPr>
            <w:tcW w:w="2127" w:type="dxa"/>
            <w:shd w:val="clear" w:color="auto" w:fill="auto"/>
            <w:noWrap/>
            <w:vAlign w:val="center"/>
            <w:hideMark/>
          </w:tcPr>
          <w:p w14:paraId="6A4B497A" w14:textId="77777777" w:rsidR="00FD08FE" w:rsidRPr="001A14E9" w:rsidRDefault="00FD08FE" w:rsidP="00FD08FE">
            <w:pPr>
              <w:jc w:val="left"/>
              <w:rPr>
                <w:rFonts w:cs="Arial"/>
                <w:color w:val="000000"/>
                <w:sz w:val="18"/>
                <w:szCs w:val="18"/>
              </w:rPr>
            </w:pPr>
            <w:r w:rsidRPr="001A14E9">
              <w:rPr>
                <w:rFonts w:cs="Arial"/>
                <w:color w:val="000000"/>
                <w:sz w:val="18"/>
                <w:szCs w:val="18"/>
              </w:rPr>
              <w:t>Prime Contractor</w:t>
            </w:r>
          </w:p>
        </w:tc>
        <w:tc>
          <w:tcPr>
            <w:tcW w:w="8080" w:type="dxa"/>
            <w:shd w:val="clear" w:color="auto" w:fill="auto"/>
            <w:vAlign w:val="center"/>
            <w:hideMark/>
          </w:tcPr>
          <w:p w14:paraId="654ECEB8" w14:textId="77777777" w:rsidR="00FD08FE" w:rsidRPr="001A14E9" w:rsidRDefault="00FD08FE" w:rsidP="00FD08FE">
            <w:pPr>
              <w:jc w:val="left"/>
              <w:rPr>
                <w:rFonts w:cs="Arial"/>
                <w:color w:val="000000"/>
                <w:sz w:val="18"/>
                <w:szCs w:val="18"/>
              </w:rPr>
            </w:pPr>
            <w:r w:rsidRPr="001A14E9">
              <w:rPr>
                <w:rFonts w:cs="Arial"/>
                <w:color w:val="000000"/>
                <w:sz w:val="18"/>
                <w:szCs w:val="18"/>
              </w:rPr>
              <w:t>means the Contractor</w:t>
            </w:r>
            <w:r>
              <w:rPr>
                <w:rFonts w:cs="Arial"/>
                <w:color w:val="000000"/>
                <w:sz w:val="18"/>
                <w:szCs w:val="18"/>
              </w:rPr>
              <w:t>.</w:t>
            </w:r>
          </w:p>
        </w:tc>
      </w:tr>
      <w:tr w:rsidR="00FD08FE" w:rsidRPr="001A14E9" w14:paraId="782878FF" w14:textId="77777777" w:rsidTr="000A3106">
        <w:trPr>
          <w:trHeight w:val="300"/>
        </w:trPr>
        <w:tc>
          <w:tcPr>
            <w:tcW w:w="2127" w:type="dxa"/>
            <w:shd w:val="clear" w:color="auto" w:fill="auto"/>
            <w:noWrap/>
            <w:vAlign w:val="center"/>
            <w:hideMark/>
          </w:tcPr>
          <w:p w14:paraId="67D07755" w14:textId="77777777" w:rsidR="00FD08FE" w:rsidRPr="001A14E9" w:rsidRDefault="00FD08FE" w:rsidP="00FD08FE">
            <w:pPr>
              <w:jc w:val="left"/>
              <w:rPr>
                <w:rFonts w:cs="Arial"/>
                <w:color w:val="000000"/>
                <w:sz w:val="18"/>
                <w:szCs w:val="18"/>
              </w:rPr>
            </w:pPr>
            <w:r w:rsidRPr="001A14E9">
              <w:rPr>
                <w:rFonts w:cs="Arial"/>
                <w:color w:val="000000"/>
                <w:sz w:val="18"/>
                <w:szCs w:val="18"/>
              </w:rPr>
              <w:t>Sub-Contract</w:t>
            </w:r>
          </w:p>
        </w:tc>
        <w:tc>
          <w:tcPr>
            <w:tcW w:w="8080" w:type="dxa"/>
            <w:shd w:val="clear" w:color="auto" w:fill="auto"/>
            <w:vAlign w:val="center"/>
            <w:hideMark/>
          </w:tcPr>
          <w:p w14:paraId="437EF276" w14:textId="77777777" w:rsidR="00FD08FE" w:rsidRPr="001A14E9" w:rsidRDefault="00FD08FE" w:rsidP="00FD08FE">
            <w:pPr>
              <w:jc w:val="left"/>
              <w:rPr>
                <w:rFonts w:cs="Arial"/>
                <w:color w:val="000000"/>
                <w:sz w:val="18"/>
                <w:szCs w:val="18"/>
              </w:rPr>
            </w:pPr>
            <w:r>
              <w:rPr>
                <w:rFonts w:cs="Arial"/>
                <w:color w:val="000000"/>
                <w:sz w:val="18"/>
                <w:szCs w:val="18"/>
              </w:rPr>
              <w:t>Shall mean a contract agreed between the Contractor and a third party.</w:t>
            </w:r>
          </w:p>
        </w:tc>
      </w:tr>
      <w:tr w:rsidR="00FD08FE" w:rsidRPr="001A14E9" w14:paraId="64D3F1E8" w14:textId="77777777" w:rsidTr="000A3106">
        <w:trPr>
          <w:trHeight w:val="1331"/>
        </w:trPr>
        <w:tc>
          <w:tcPr>
            <w:tcW w:w="2127" w:type="dxa"/>
            <w:shd w:val="clear" w:color="auto" w:fill="auto"/>
            <w:noWrap/>
            <w:vAlign w:val="center"/>
            <w:hideMark/>
          </w:tcPr>
          <w:p w14:paraId="43B6D090" w14:textId="77777777" w:rsidR="00FD08FE" w:rsidRPr="001A14E9" w:rsidRDefault="00FD08FE" w:rsidP="00FD08FE">
            <w:pPr>
              <w:jc w:val="left"/>
              <w:rPr>
                <w:rFonts w:cs="Arial"/>
                <w:color w:val="000000"/>
                <w:sz w:val="18"/>
                <w:szCs w:val="18"/>
              </w:rPr>
            </w:pPr>
            <w:r w:rsidRPr="001A14E9">
              <w:rPr>
                <w:rFonts w:cs="Arial"/>
                <w:color w:val="000000"/>
                <w:sz w:val="18"/>
                <w:szCs w:val="18"/>
              </w:rPr>
              <w:t>Sub-Contractor(s)</w:t>
            </w:r>
          </w:p>
        </w:tc>
        <w:tc>
          <w:tcPr>
            <w:tcW w:w="8080" w:type="dxa"/>
            <w:shd w:val="clear" w:color="auto" w:fill="auto"/>
            <w:vAlign w:val="center"/>
            <w:hideMark/>
          </w:tcPr>
          <w:p w14:paraId="576BFCF4" w14:textId="77777777" w:rsidR="00FD08FE" w:rsidRPr="001A14E9" w:rsidRDefault="00FD08FE" w:rsidP="00FD08FE">
            <w:pPr>
              <w:jc w:val="left"/>
              <w:rPr>
                <w:rFonts w:cs="Arial"/>
                <w:color w:val="000000"/>
                <w:sz w:val="18"/>
                <w:szCs w:val="18"/>
              </w:rPr>
            </w:pPr>
            <w:r w:rsidRPr="001A14E9">
              <w:rPr>
                <w:rFonts w:cs="Arial"/>
                <w:color w:val="000000"/>
                <w:sz w:val="18"/>
                <w:szCs w:val="18"/>
              </w:rPr>
              <w:t>means any person who, by a separate Contract with the Contractor, undertakes to supply articles, or perform Services, or both, for the Contractor in fulfilment of the Contract.</w:t>
            </w:r>
            <w:r w:rsidRPr="001A14E9">
              <w:rPr>
                <w:rFonts w:cs="Arial"/>
                <w:color w:val="000000"/>
                <w:sz w:val="18"/>
                <w:szCs w:val="18"/>
              </w:rPr>
              <w:br/>
              <w:t>Where the Sub-Contractor is an individual or a partnership, the expression shall include the personal representatives of the individual or the partners, as the case may be, and the expression shall also include any person to whom the benefit of the Sub-Contract may be assigned by the Contractor.</w:t>
            </w:r>
          </w:p>
        </w:tc>
      </w:tr>
    </w:tbl>
    <w:p w14:paraId="31F4463F" w14:textId="77777777" w:rsidR="002A6831" w:rsidRDefault="009F25F6"/>
    <w:p w14:paraId="091307A3" w14:textId="77777777" w:rsidR="00D3297E" w:rsidRDefault="00D3297E"/>
    <w:p w14:paraId="3A18B49C" w14:textId="77777777" w:rsidR="00D3297E" w:rsidRDefault="00D3297E" w:rsidP="00D3297E">
      <w:pPr>
        <w:rPr>
          <w:rFonts w:cs="Arial"/>
          <w:u w:val="single"/>
        </w:rPr>
      </w:pPr>
      <w:r w:rsidRPr="009E2154">
        <w:rPr>
          <w:rFonts w:cs="Arial"/>
          <w:u w:val="single"/>
        </w:rPr>
        <w:t>Glossary of Abbreviations</w:t>
      </w:r>
    </w:p>
    <w:p w14:paraId="15835C81" w14:textId="77777777" w:rsidR="000A3106" w:rsidRPr="009E2154" w:rsidRDefault="000A3106" w:rsidP="00D3297E">
      <w:pPr>
        <w:rPr>
          <w:rFonts w:cs="Arial"/>
          <w:u w:val="single"/>
        </w:rPr>
      </w:pPr>
    </w:p>
    <w:tbl>
      <w:tblPr>
        <w:tblStyle w:val="TableGrid"/>
        <w:tblW w:w="10207" w:type="dxa"/>
        <w:tblInd w:w="-431" w:type="dxa"/>
        <w:tblLook w:val="04A0" w:firstRow="1" w:lastRow="0" w:firstColumn="1" w:lastColumn="0" w:noHBand="0" w:noVBand="1"/>
      </w:tblPr>
      <w:tblGrid>
        <w:gridCol w:w="2127"/>
        <w:gridCol w:w="8080"/>
      </w:tblGrid>
      <w:tr w:rsidR="00D3297E" w:rsidRPr="00286AEB" w14:paraId="46CE416F" w14:textId="77777777" w:rsidTr="000A3106">
        <w:trPr>
          <w:tblHeader/>
        </w:trPr>
        <w:tc>
          <w:tcPr>
            <w:tcW w:w="2127" w:type="dxa"/>
            <w:tcMar>
              <w:top w:w="57" w:type="dxa"/>
              <w:bottom w:w="57" w:type="dxa"/>
            </w:tcMar>
          </w:tcPr>
          <w:p w14:paraId="60D59E93" w14:textId="77777777" w:rsidR="00D3297E" w:rsidRPr="009E2154" w:rsidRDefault="00D3297E" w:rsidP="00B57557">
            <w:pPr>
              <w:jc w:val="center"/>
              <w:rPr>
                <w:rFonts w:cs="Arial"/>
                <w:szCs w:val="20"/>
              </w:rPr>
            </w:pPr>
            <w:r w:rsidRPr="009E2154">
              <w:rPr>
                <w:rFonts w:cs="Arial"/>
                <w:b/>
                <w:szCs w:val="20"/>
              </w:rPr>
              <w:br w:type="page"/>
              <w:t>Acronym</w:t>
            </w:r>
          </w:p>
        </w:tc>
        <w:tc>
          <w:tcPr>
            <w:tcW w:w="8080" w:type="dxa"/>
            <w:tcMar>
              <w:top w:w="57" w:type="dxa"/>
              <w:bottom w:w="57" w:type="dxa"/>
            </w:tcMar>
          </w:tcPr>
          <w:p w14:paraId="7E315D1E" w14:textId="77777777" w:rsidR="00D3297E" w:rsidRPr="009E2154" w:rsidRDefault="00D3297E" w:rsidP="00B57557">
            <w:pPr>
              <w:jc w:val="center"/>
              <w:rPr>
                <w:rFonts w:cs="Arial"/>
                <w:b/>
                <w:szCs w:val="20"/>
              </w:rPr>
            </w:pPr>
            <w:r w:rsidRPr="009E2154">
              <w:rPr>
                <w:rFonts w:cs="Arial"/>
                <w:b/>
                <w:szCs w:val="20"/>
              </w:rPr>
              <w:t>Definition</w:t>
            </w:r>
          </w:p>
        </w:tc>
      </w:tr>
      <w:tr w:rsidR="00D3297E" w:rsidRPr="00286AEB" w14:paraId="3CFBE5FE" w14:textId="77777777" w:rsidTr="000A3106">
        <w:tc>
          <w:tcPr>
            <w:tcW w:w="2127" w:type="dxa"/>
            <w:tcMar>
              <w:top w:w="57" w:type="dxa"/>
              <w:bottom w:w="57" w:type="dxa"/>
            </w:tcMar>
            <w:vAlign w:val="center"/>
          </w:tcPr>
          <w:p w14:paraId="71B10AC6" w14:textId="77777777" w:rsidR="00D3297E" w:rsidRPr="009E2154" w:rsidRDefault="00D3297E" w:rsidP="00B57557">
            <w:pPr>
              <w:rPr>
                <w:rFonts w:cs="Arial"/>
                <w:szCs w:val="20"/>
              </w:rPr>
            </w:pPr>
            <w:r>
              <w:rPr>
                <w:rFonts w:cs="Arial"/>
                <w:szCs w:val="20"/>
              </w:rPr>
              <w:t>CA</w:t>
            </w:r>
          </w:p>
        </w:tc>
        <w:tc>
          <w:tcPr>
            <w:tcW w:w="8080" w:type="dxa"/>
            <w:tcMar>
              <w:top w:w="57" w:type="dxa"/>
              <w:bottom w:w="57" w:type="dxa"/>
            </w:tcMar>
            <w:vAlign w:val="center"/>
          </w:tcPr>
          <w:p w14:paraId="2FF74AC3" w14:textId="77777777" w:rsidR="00D3297E" w:rsidRPr="009E2154" w:rsidRDefault="00D3297E" w:rsidP="00B57557">
            <w:pPr>
              <w:rPr>
                <w:rFonts w:cs="Arial"/>
                <w:szCs w:val="20"/>
              </w:rPr>
            </w:pPr>
            <w:r>
              <w:rPr>
                <w:rFonts w:cs="Arial"/>
                <w:szCs w:val="20"/>
              </w:rPr>
              <w:t>Contract Award</w:t>
            </w:r>
          </w:p>
        </w:tc>
      </w:tr>
      <w:tr w:rsidR="00D3297E" w:rsidRPr="00286AEB" w14:paraId="2B3D8B42" w14:textId="77777777" w:rsidTr="000A3106">
        <w:tc>
          <w:tcPr>
            <w:tcW w:w="2127" w:type="dxa"/>
            <w:tcMar>
              <w:top w:w="57" w:type="dxa"/>
              <w:bottom w:w="57" w:type="dxa"/>
            </w:tcMar>
            <w:vAlign w:val="center"/>
          </w:tcPr>
          <w:p w14:paraId="26B3223C" w14:textId="77777777" w:rsidR="00D3297E" w:rsidRPr="009E2154" w:rsidRDefault="00D3297E" w:rsidP="00B57557">
            <w:pPr>
              <w:rPr>
                <w:rFonts w:cs="Arial"/>
                <w:szCs w:val="20"/>
              </w:rPr>
            </w:pPr>
            <w:r w:rsidRPr="009E2154">
              <w:rPr>
                <w:rFonts w:cs="Arial"/>
                <w:szCs w:val="20"/>
              </w:rPr>
              <w:t>CBRN</w:t>
            </w:r>
          </w:p>
        </w:tc>
        <w:tc>
          <w:tcPr>
            <w:tcW w:w="8080" w:type="dxa"/>
            <w:tcMar>
              <w:top w:w="57" w:type="dxa"/>
              <w:bottom w:w="57" w:type="dxa"/>
            </w:tcMar>
            <w:vAlign w:val="center"/>
          </w:tcPr>
          <w:p w14:paraId="41350CEC" w14:textId="77777777" w:rsidR="00D3297E" w:rsidRPr="009E2154" w:rsidRDefault="00D3297E" w:rsidP="00B57557">
            <w:pPr>
              <w:rPr>
                <w:rFonts w:cs="Arial"/>
                <w:szCs w:val="20"/>
              </w:rPr>
            </w:pPr>
            <w:r w:rsidRPr="009E2154">
              <w:rPr>
                <w:rFonts w:cs="Arial"/>
                <w:szCs w:val="20"/>
              </w:rPr>
              <w:t>Chemical, Biological, Radiological, Nuclear</w:t>
            </w:r>
          </w:p>
        </w:tc>
      </w:tr>
      <w:tr w:rsidR="00D3297E" w:rsidRPr="00286AEB" w14:paraId="61BE2F1D" w14:textId="77777777" w:rsidTr="000A3106">
        <w:tc>
          <w:tcPr>
            <w:tcW w:w="2127" w:type="dxa"/>
            <w:tcMar>
              <w:top w:w="57" w:type="dxa"/>
              <w:bottom w:w="57" w:type="dxa"/>
            </w:tcMar>
            <w:vAlign w:val="center"/>
          </w:tcPr>
          <w:p w14:paraId="73142E6D" w14:textId="77777777" w:rsidR="00D3297E" w:rsidRPr="009E2154" w:rsidRDefault="00D3297E" w:rsidP="00B57557">
            <w:pPr>
              <w:rPr>
                <w:rFonts w:cs="Arial"/>
                <w:szCs w:val="20"/>
              </w:rPr>
            </w:pPr>
            <w:r w:rsidRPr="009E2154">
              <w:rPr>
                <w:rFonts w:cs="Arial"/>
                <w:szCs w:val="20"/>
              </w:rPr>
              <w:t>CBRN DT</w:t>
            </w:r>
          </w:p>
        </w:tc>
        <w:tc>
          <w:tcPr>
            <w:tcW w:w="8080" w:type="dxa"/>
            <w:tcMar>
              <w:top w:w="57" w:type="dxa"/>
              <w:bottom w:w="57" w:type="dxa"/>
            </w:tcMar>
            <w:vAlign w:val="center"/>
          </w:tcPr>
          <w:p w14:paraId="6846086D" w14:textId="77777777" w:rsidR="00D3297E" w:rsidRPr="009E2154" w:rsidRDefault="00D3297E" w:rsidP="00B57557">
            <w:pPr>
              <w:rPr>
                <w:rFonts w:cs="Arial"/>
                <w:szCs w:val="20"/>
              </w:rPr>
            </w:pPr>
            <w:r w:rsidRPr="009E2154">
              <w:rPr>
                <w:rFonts w:cs="Arial"/>
                <w:szCs w:val="20"/>
              </w:rPr>
              <w:t>Chemical, Biological, Radiological, Nuclear De</w:t>
            </w:r>
            <w:r>
              <w:rPr>
                <w:rFonts w:cs="Arial"/>
                <w:szCs w:val="20"/>
              </w:rPr>
              <w:t>livery</w:t>
            </w:r>
            <w:r w:rsidRPr="009E2154">
              <w:rPr>
                <w:rFonts w:cs="Arial"/>
                <w:szCs w:val="20"/>
              </w:rPr>
              <w:t xml:space="preserve"> Team</w:t>
            </w:r>
          </w:p>
        </w:tc>
      </w:tr>
      <w:tr w:rsidR="00D3297E" w:rsidRPr="00286AEB" w14:paraId="64B630DC" w14:textId="77777777" w:rsidTr="000A3106">
        <w:tc>
          <w:tcPr>
            <w:tcW w:w="2127" w:type="dxa"/>
            <w:tcMar>
              <w:top w:w="57" w:type="dxa"/>
              <w:bottom w:w="57" w:type="dxa"/>
            </w:tcMar>
            <w:vAlign w:val="center"/>
          </w:tcPr>
          <w:p w14:paraId="58224C7E" w14:textId="77777777" w:rsidR="00D3297E" w:rsidRPr="009E2154" w:rsidRDefault="00D3297E" w:rsidP="00B57557">
            <w:pPr>
              <w:rPr>
                <w:rFonts w:cs="Arial"/>
                <w:szCs w:val="20"/>
              </w:rPr>
            </w:pPr>
            <w:r w:rsidRPr="009E2154">
              <w:rPr>
                <w:rFonts w:cs="Arial"/>
                <w:szCs w:val="20"/>
              </w:rPr>
              <w:t>DE&amp;S</w:t>
            </w:r>
          </w:p>
        </w:tc>
        <w:tc>
          <w:tcPr>
            <w:tcW w:w="8080" w:type="dxa"/>
            <w:tcMar>
              <w:top w:w="57" w:type="dxa"/>
              <w:bottom w:w="57" w:type="dxa"/>
            </w:tcMar>
            <w:vAlign w:val="center"/>
          </w:tcPr>
          <w:p w14:paraId="36DD5943" w14:textId="77777777" w:rsidR="00D3297E" w:rsidRPr="009E2154" w:rsidRDefault="00D3297E" w:rsidP="00B57557">
            <w:pPr>
              <w:rPr>
                <w:rFonts w:cs="Arial"/>
                <w:szCs w:val="20"/>
              </w:rPr>
            </w:pPr>
            <w:r w:rsidRPr="009E2154">
              <w:rPr>
                <w:rFonts w:cs="Arial"/>
                <w:szCs w:val="20"/>
              </w:rPr>
              <w:t>Defence Equipment &amp; Support</w:t>
            </w:r>
          </w:p>
        </w:tc>
      </w:tr>
      <w:tr w:rsidR="00D3297E" w:rsidRPr="00286AEB" w14:paraId="053B82FF" w14:textId="77777777" w:rsidTr="000A3106">
        <w:tc>
          <w:tcPr>
            <w:tcW w:w="2127" w:type="dxa"/>
            <w:tcMar>
              <w:top w:w="57" w:type="dxa"/>
              <w:bottom w:w="57" w:type="dxa"/>
            </w:tcMar>
            <w:vAlign w:val="center"/>
          </w:tcPr>
          <w:p w14:paraId="3C7D59BD" w14:textId="77777777" w:rsidR="00D3297E" w:rsidRPr="009E2154" w:rsidRDefault="00D3297E" w:rsidP="00B57557">
            <w:pPr>
              <w:rPr>
                <w:rFonts w:cs="Arial"/>
                <w:szCs w:val="20"/>
              </w:rPr>
            </w:pPr>
            <w:r w:rsidRPr="009E2154">
              <w:rPr>
                <w:rFonts w:cs="Arial"/>
                <w:szCs w:val="20"/>
              </w:rPr>
              <w:lastRenderedPageBreak/>
              <w:t>DE&amp;S CBRN DT</w:t>
            </w:r>
          </w:p>
        </w:tc>
        <w:tc>
          <w:tcPr>
            <w:tcW w:w="8080" w:type="dxa"/>
            <w:tcMar>
              <w:top w:w="57" w:type="dxa"/>
              <w:bottom w:w="57" w:type="dxa"/>
            </w:tcMar>
            <w:vAlign w:val="center"/>
          </w:tcPr>
          <w:p w14:paraId="2FE87E21" w14:textId="77777777" w:rsidR="00D3297E" w:rsidRPr="009E2154" w:rsidRDefault="00D3297E" w:rsidP="00B57557">
            <w:pPr>
              <w:rPr>
                <w:rFonts w:cs="Arial"/>
                <w:szCs w:val="20"/>
              </w:rPr>
            </w:pPr>
            <w:r w:rsidRPr="009E2154">
              <w:rPr>
                <w:rFonts w:cs="Arial"/>
                <w:szCs w:val="20"/>
              </w:rPr>
              <w:t>Defence Equipment and Support Chemical, Biological, Radiological, Nuclear Delivery Team.</w:t>
            </w:r>
          </w:p>
        </w:tc>
      </w:tr>
      <w:tr w:rsidR="00D3297E" w:rsidRPr="00286AEB" w14:paraId="0EFAAC99" w14:textId="77777777" w:rsidTr="000A3106">
        <w:tc>
          <w:tcPr>
            <w:tcW w:w="2127" w:type="dxa"/>
            <w:tcMar>
              <w:top w:w="57" w:type="dxa"/>
              <w:bottom w:w="57" w:type="dxa"/>
            </w:tcMar>
            <w:vAlign w:val="center"/>
          </w:tcPr>
          <w:p w14:paraId="571D1D4B" w14:textId="77777777" w:rsidR="00D3297E" w:rsidRPr="009E2154" w:rsidRDefault="00D3297E" w:rsidP="00B57557">
            <w:pPr>
              <w:rPr>
                <w:rFonts w:cs="Arial"/>
                <w:szCs w:val="20"/>
              </w:rPr>
            </w:pPr>
            <w:r w:rsidRPr="009E2154">
              <w:rPr>
                <w:rFonts w:cs="Arial"/>
                <w:szCs w:val="20"/>
              </w:rPr>
              <w:t>DT</w:t>
            </w:r>
          </w:p>
        </w:tc>
        <w:tc>
          <w:tcPr>
            <w:tcW w:w="8080" w:type="dxa"/>
            <w:tcMar>
              <w:top w:w="57" w:type="dxa"/>
              <w:bottom w:w="57" w:type="dxa"/>
            </w:tcMar>
            <w:vAlign w:val="center"/>
          </w:tcPr>
          <w:p w14:paraId="12F9A9FB" w14:textId="77777777" w:rsidR="00D3297E" w:rsidRPr="009E2154" w:rsidRDefault="00D3297E" w:rsidP="00B57557">
            <w:pPr>
              <w:rPr>
                <w:rFonts w:cs="Arial"/>
                <w:szCs w:val="20"/>
              </w:rPr>
            </w:pPr>
            <w:r w:rsidRPr="009E2154">
              <w:rPr>
                <w:rFonts w:cs="Arial"/>
                <w:szCs w:val="20"/>
              </w:rPr>
              <w:t>Delivery Team</w:t>
            </w:r>
          </w:p>
        </w:tc>
      </w:tr>
      <w:tr w:rsidR="00D3297E" w:rsidRPr="00286AEB" w14:paraId="1637E75E" w14:textId="77777777" w:rsidTr="000A3106">
        <w:tc>
          <w:tcPr>
            <w:tcW w:w="2127" w:type="dxa"/>
            <w:tcMar>
              <w:top w:w="57" w:type="dxa"/>
              <w:bottom w:w="57" w:type="dxa"/>
            </w:tcMar>
            <w:vAlign w:val="center"/>
          </w:tcPr>
          <w:p w14:paraId="41BC15B7" w14:textId="77777777" w:rsidR="00D3297E" w:rsidRPr="009E2154" w:rsidRDefault="00D3297E" w:rsidP="00B57557">
            <w:pPr>
              <w:rPr>
                <w:rFonts w:cs="Arial"/>
                <w:szCs w:val="20"/>
              </w:rPr>
            </w:pPr>
            <w:r>
              <w:rPr>
                <w:rFonts w:cs="Arial"/>
                <w:szCs w:val="20"/>
              </w:rPr>
              <w:t>GFA</w:t>
            </w:r>
          </w:p>
        </w:tc>
        <w:tc>
          <w:tcPr>
            <w:tcW w:w="8080" w:type="dxa"/>
            <w:tcMar>
              <w:top w:w="57" w:type="dxa"/>
              <w:bottom w:w="57" w:type="dxa"/>
            </w:tcMar>
            <w:vAlign w:val="center"/>
          </w:tcPr>
          <w:p w14:paraId="6799E6CB" w14:textId="77777777" w:rsidR="00D3297E" w:rsidRPr="009E2154" w:rsidRDefault="00D3297E" w:rsidP="00B57557">
            <w:pPr>
              <w:rPr>
                <w:rFonts w:cs="Arial"/>
                <w:szCs w:val="20"/>
              </w:rPr>
            </w:pPr>
            <w:r w:rsidRPr="009E2154">
              <w:rPr>
                <w:rFonts w:cs="Arial"/>
                <w:szCs w:val="20"/>
              </w:rPr>
              <w:t xml:space="preserve">Government Furnished </w:t>
            </w:r>
            <w:r>
              <w:rPr>
                <w:rFonts w:cs="Arial"/>
                <w:szCs w:val="20"/>
              </w:rPr>
              <w:t>Assets</w:t>
            </w:r>
          </w:p>
        </w:tc>
      </w:tr>
      <w:tr w:rsidR="00D3297E" w:rsidRPr="00286AEB" w14:paraId="35E64323" w14:textId="77777777" w:rsidTr="000A3106">
        <w:tc>
          <w:tcPr>
            <w:tcW w:w="2127" w:type="dxa"/>
            <w:tcMar>
              <w:top w:w="57" w:type="dxa"/>
              <w:bottom w:w="57" w:type="dxa"/>
            </w:tcMar>
            <w:vAlign w:val="center"/>
          </w:tcPr>
          <w:p w14:paraId="79B3D105" w14:textId="77777777" w:rsidR="00D3297E" w:rsidRPr="009E2154" w:rsidRDefault="00D3297E" w:rsidP="00B57557">
            <w:pPr>
              <w:rPr>
                <w:rFonts w:cs="Arial"/>
                <w:szCs w:val="20"/>
              </w:rPr>
            </w:pPr>
            <w:r w:rsidRPr="009E2154">
              <w:rPr>
                <w:rFonts w:cs="Arial"/>
                <w:szCs w:val="20"/>
              </w:rPr>
              <w:t>ITT</w:t>
            </w:r>
          </w:p>
        </w:tc>
        <w:tc>
          <w:tcPr>
            <w:tcW w:w="8080" w:type="dxa"/>
            <w:tcMar>
              <w:top w:w="57" w:type="dxa"/>
              <w:bottom w:w="57" w:type="dxa"/>
            </w:tcMar>
            <w:vAlign w:val="center"/>
          </w:tcPr>
          <w:p w14:paraId="02669EC9" w14:textId="77777777" w:rsidR="00D3297E" w:rsidRPr="009E2154" w:rsidRDefault="00D3297E" w:rsidP="00B57557">
            <w:pPr>
              <w:rPr>
                <w:rFonts w:cs="Arial"/>
                <w:szCs w:val="20"/>
              </w:rPr>
            </w:pPr>
            <w:r w:rsidRPr="009E2154">
              <w:rPr>
                <w:rFonts w:cs="Arial"/>
                <w:szCs w:val="20"/>
              </w:rPr>
              <w:t>Invitation to Tender</w:t>
            </w:r>
          </w:p>
        </w:tc>
      </w:tr>
      <w:tr w:rsidR="00D3297E" w:rsidRPr="00286AEB" w14:paraId="31DC02C1" w14:textId="77777777" w:rsidTr="000A3106">
        <w:tc>
          <w:tcPr>
            <w:tcW w:w="2127" w:type="dxa"/>
            <w:tcMar>
              <w:top w:w="57" w:type="dxa"/>
              <w:bottom w:w="57" w:type="dxa"/>
            </w:tcMar>
            <w:vAlign w:val="center"/>
          </w:tcPr>
          <w:p w14:paraId="650BFA49" w14:textId="77777777" w:rsidR="00D3297E" w:rsidRPr="009E2154" w:rsidRDefault="00D3297E" w:rsidP="00B57557">
            <w:pPr>
              <w:rPr>
                <w:rFonts w:cs="Arial"/>
                <w:szCs w:val="20"/>
              </w:rPr>
            </w:pPr>
            <w:r w:rsidRPr="009E2154">
              <w:rPr>
                <w:rFonts w:cs="Arial"/>
                <w:szCs w:val="20"/>
              </w:rPr>
              <w:t>LFE</w:t>
            </w:r>
          </w:p>
        </w:tc>
        <w:tc>
          <w:tcPr>
            <w:tcW w:w="8080" w:type="dxa"/>
            <w:tcMar>
              <w:top w:w="57" w:type="dxa"/>
              <w:bottom w:w="57" w:type="dxa"/>
            </w:tcMar>
            <w:vAlign w:val="center"/>
          </w:tcPr>
          <w:p w14:paraId="178DB16B" w14:textId="77777777" w:rsidR="00D3297E" w:rsidRPr="009E2154" w:rsidRDefault="00D3297E" w:rsidP="00B57557">
            <w:pPr>
              <w:rPr>
                <w:rFonts w:cs="Arial"/>
                <w:szCs w:val="20"/>
              </w:rPr>
            </w:pPr>
            <w:r w:rsidRPr="009E2154">
              <w:rPr>
                <w:rFonts w:cs="Arial"/>
                <w:szCs w:val="20"/>
              </w:rPr>
              <w:t>Learning from Experience</w:t>
            </w:r>
          </w:p>
        </w:tc>
      </w:tr>
      <w:tr w:rsidR="00D3297E" w:rsidRPr="00286AEB" w14:paraId="74E6607E" w14:textId="77777777" w:rsidTr="000A3106">
        <w:tc>
          <w:tcPr>
            <w:tcW w:w="2127" w:type="dxa"/>
            <w:tcMar>
              <w:top w:w="57" w:type="dxa"/>
              <w:bottom w:w="57" w:type="dxa"/>
            </w:tcMar>
            <w:vAlign w:val="center"/>
          </w:tcPr>
          <w:p w14:paraId="60627862" w14:textId="77777777" w:rsidR="00D3297E" w:rsidRPr="009E2154" w:rsidRDefault="00D3297E" w:rsidP="00B57557">
            <w:pPr>
              <w:rPr>
                <w:rFonts w:cs="Arial"/>
                <w:szCs w:val="20"/>
              </w:rPr>
            </w:pPr>
            <w:r w:rsidRPr="009E2154">
              <w:rPr>
                <w:rFonts w:cs="Arial"/>
                <w:szCs w:val="20"/>
              </w:rPr>
              <w:t>MOD</w:t>
            </w:r>
          </w:p>
        </w:tc>
        <w:tc>
          <w:tcPr>
            <w:tcW w:w="8080" w:type="dxa"/>
            <w:tcMar>
              <w:top w:w="57" w:type="dxa"/>
              <w:bottom w:w="57" w:type="dxa"/>
            </w:tcMar>
            <w:vAlign w:val="center"/>
          </w:tcPr>
          <w:p w14:paraId="3CB13260" w14:textId="77777777" w:rsidR="00D3297E" w:rsidRPr="009E2154" w:rsidRDefault="00D3297E" w:rsidP="00B57557">
            <w:pPr>
              <w:rPr>
                <w:rFonts w:cs="Arial"/>
                <w:szCs w:val="20"/>
              </w:rPr>
            </w:pPr>
            <w:r w:rsidRPr="009E2154">
              <w:rPr>
                <w:rFonts w:cs="Arial"/>
                <w:szCs w:val="20"/>
              </w:rPr>
              <w:t>Ministry of Defence</w:t>
            </w:r>
          </w:p>
        </w:tc>
      </w:tr>
      <w:tr w:rsidR="00D3297E" w:rsidRPr="00286AEB" w14:paraId="19C14AAB" w14:textId="77777777" w:rsidTr="000A3106">
        <w:tc>
          <w:tcPr>
            <w:tcW w:w="2127" w:type="dxa"/>
            <w:tcMar>
              <w:top w:w="57" w:type="dxa"/>
              <w:bottom w:w="57" w:type="dxa"/>
            </w:tcMar>
            <w:vAlign w:val="center"/>
          </w:tcPr>
          <w:p w14:paraId="6642615D" w14:textId="77777777" w:rsidR="00D3297E" w:rsidRPr="009E2154" w:rsidRDefault="00D3297E" w:rsidP="00B57557">
            <w:pPr>
              <w:rPr>
                <w:rFonts w:cs="Arial"/>
                <w:szCs w:val="20"/>
              </w:rPr>
            </w:pPr>
            <w:r w:rsidRPr="009E2154">
              <w:rPr>
                <w:rFonts w:cs="Arial"/>
                <w:szCs w:val="20"/>
              </w:rPr>
              <w:t>SME</w:t>
            </w:r>
          </w:p>
        </w:tc>
        <w:tc>
          <w:tcPr>
            <w:tcW w:w="8080" w:type="dxa"/>
            <w:tcMar>
              <w:top w:w="57" w:type="dxa"/>
              <w:bottom w:w="57" w:type="dxa"/>
            </w:tcMar>
            <w:vAlign w:val="center"/>
          </w:tcPr>
          <w:p w14:paraId="1B9E0F65" w14:textId="77777777" w:rsidR="00D3297E" w:rsidRPr="009E2154" w:rsidRDefault="00D3297E" w:rsidP="00B57557">
            <w:pPr>
              <w:rPr>
                <w:rFonts w:cs="Arial"/>
                <w:szCs w:val="20"/>
              </w:rPr>
            </w:pPr>
            <w:r w:rsidRPr="009E2154">
              <w:rPr>
                <w:rFonts w:cs="Arial"/>
                <w:szCs w:val="20"/>
              </w:rPr>
              <w:t>Subject Matter Expert</w:t>
            </w:r>
          </w:p>
        </w:tc>
      </w:tr>
      <w:tr w:rsidR="00D3297E" w:rsidRPr="00286AEB" w14:paraId="6C84857E" w14:textId="77777777" w:rsidTr="000A3106">
        <w:tc>
          <w:tcPr>
            <w:tcW w:w="2127" w:type="dxa"/>
            <w:tcMar>
              <w:top w:w="57" w:type="dxa"/>
              <w:bottom w:w="57" w:type="dxa"/>
            </w:tcMar>
            <w:vAlign w:val="center"/>
          </w:tcPr>
          <w:p w14:paraId="275A45B5" w14:textId="77777777" w:rsidR="00D3297E" w:rsidRPr="009E2154" w:rsidRDefault="00D3297E" w:rsidP="00B57557">
            <w:pPr>
              <w:rPr>
                <w:rFonts w:cs="Arial"/>
                <w:szCs w:val="20"/>
              </w:rPr>
            </w:pPr>
            <w:r w:rsidRPr="009E2154">
              <w:rPr>
                <w:rFonts w:cs="Arial"/>
                <w:szCs w:val="20"/>
              </w:rPr>
              <w:t>SOW</w:t>
            </w:r>
          </w:p>
        </w:tc>
        <w:tc>
          <w:tcPr>
            <w:tcW w:w="8080" w:type="dxa"/>
            <w:tcMar>
              <w:top w:w="57" w:type="dxa"/>
              <w:bottom w:w="57" w:type="dxa"/>
            </w:tcMar>
            <w:vAlign w:val="center"/>
          </w:tcPr>
          <w:p w14:paraId="4D310473" w14:textId="77777777" w:rsidR="00D3297E" w:rsidRPr="009E2154" w:rsidRDefault="00D3297E" w:rsidP="00B57557">
            <w:pPr>
              <w:rPr>
                <w:rFonts w:cs="Arial"/>
                <w:szCs w:val="20"/>
              </w:rPr>
            </w:pPr>
            <w:r w:rsidRPr="009E2154">
              <w:rPr>
                <w:rFonts w:cs="Arial"/>
                <w:szCs w:val="20"/>
              </w:rPr>
              <w:t>Statement of Work</w:t>
            </w:r>
          </w:p>
        </w:tc>
      </w:tr>
      <w:tr w:rsidR="00B43AC4" w:rsidRPr="00286AEB" w14:paraId="63D538F4" w14:textId="77777777" w:rsidTr="000A3106">
        <w:tc>
          <w:tcPr>
            <w:tcW w:w="2127" w:type="dxa"/>
            <w:tcMar>
              <w:top w:w="57" w:type="dxa"/>
              <w:bottom w:w="57" w:type="dxa"/>
            </w:tcMar>
            <w:vAlign w:val="center"/>
          </w:tcPr>
          <w:p w14:paraId="20FACF19" w14:textId="6C9DF897" w:rsidR="00B43AC4" w:rsidRPr="009E2154" w:rsidRDefault="00B43AC4" w:rsidP="00B57557">
            <w:pPr>
              <w:rPr>
                <w:rFonts w:cs="Arial"/>
                <w:szCs w:val="20"/>
              </w:rPr>
            </w:pPr>
            <w:r w:rsidRPr="00B43AC4">
              <w:rPr>
                <w:rFonts w:cs="Arial"/>
                <w:szCs w:val="20"/>
              </w:rPr>
              <w:t>QAR</w:t>
            </w:r>
          </w:p>
        </w:tc>
        <w:tc>
          <w:tcPr>
            <w:tcW w:w="8080" w:type="dxa"/>
            <w:tcMar>
              <w:top w:w="57" w:type="dxa"/>
              <w:bottom w:w="57" w:type="dxa"/>
            </w:tcMar>
            <w:vAlign w:val="center"/>
          </w:tcPr>
          <w:p w14:paraId="50E7B345" w14:textId="7043973D" w:rsidR="00B43AC4" w:rsidRPr="009E2154" w:rsidRDefault="00B43AC4" w:rsidP="00B57557">
            <w:pPr>
              <w:rPr>
                <w:rFonts w:cs="Arial"/>
                <w:szCs w:val="20"/>
              </w:rPr>
            </w:pPr>
            <w:r>
              <w:rPr>
                <w:rFonts w:cs="Arial"/>
                <w:szCs w:val="20"/>
              </w:rPr>
              <w:t>Q</w:t>
            </w:r>
            <w:r w:rsidR="009F25F6">
              <w:rPr>
                <w:rFonts w:cs="Arial"/>
                <w:szCs w:val="20"/>
              </w:rPr>
              <w:t>uality Assurance Representative</w:t>
            </w:r>
            <w:bookmarkStart w:id="0" w:name="_GoBack"/>
            <w:bookmarkEnd w:id="0"/>
          </w:p>
        </w:tc>
      </w:tr>
    </w:tbl>
    <w:p w14:paraId="33022B2F" w14:textId="77777777" w:rsidR="00D3297E" w:rsidRDefault="00D3297E" w:rsidP="00602B06"/>
    <w:sectPr w:rsidR="00D3297E" w:rsidSect="000A3106">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9FE69" w14:textId="77777777" w:rsidR="000A3106" w:rsidRDefault="000A3106" w:rsidP="000A3106">
      <w:r>
        <w:separator/>
      </w:r>
    </w:p>
  </w:endnote>
  <w:endnote w:type="continuationSeparator" w:id="0">
    <w:p w14:paraId="63BE65EF" w14:textId="77777777" w:rsidR="000A3106" w:rsidRDefault="000A3106" w:rsidP="000A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202EC" w14:textId="77777777" w:rsidR="000A3106" w:rsidRDefault="000A3106" w:rsidP="000A3106">
      <w:r>
        <w:separator/>
      </w:r>
    </w:p>
  </w:footnote>
  <w:footnote w:type="continuationSeparator" w:id="0">
    <w:p w14:paraId="735755FE" w14:textId="77777777" w:rsidR="000A3106" w:rsidRDefault="000A3106" w:rsidP="000A3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59"/>
    <w:rsid w:val="000A3106"/>
    <w:rsid w:val="00531D66"/>
    <w:rsid w:val="00602B06"/>
    <w:rsid w:val="00737B28"/>
    <w:rsid w:val="00962155"/>
    <w:rsid w:val="009F25F6"/>
    <w:rsid w:val="00B43AC4"/>
    <w:rsid w:val="00BE16F8"/>
    <w:rsid w:val="00D02182"/>
    <w:rsid w:val="00D3297E"/>
    <w:rsid w:val="00D36B0F"/>
    <w:rsid w:val="00E33B37"/>
    <w:rsid w:val="00EF171E"/>
    <w:rsid w:val="00F14050"/>
    <w:rsid w:val="00F46959"/>
    <w:rsid w:val="00FD0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249E"/>
  <w15:chartTrackingRefBased/>
  <w15:docId w15:val="{CC2912F4-9B88-45DB-9B91-0A60AD27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959"/>
    <w:pPr>
      <w:spacing w:after="0" w:line="240" w:lineRule="auto"/>
      <w:jc w:val="both"/>
    </w:pPr>
    <w:rPr>
      <w:rFonts w:ascii="Arial" w:eastAsia="Times New Roman" w:hAnsi="Arial"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6959"/>
    <w:rPr>
      <w:sz w:val="16"/>
      <w:szCs w:val="16"/>
    </w:rPr>
  </w:style>
  <w:style w:type="paragraph" w:styleId="CommentText">
    <w:name w:val="annotation text"/>
    <w:basedOn w:val="Normal"/>
    <w:link w:val="CommentTextChar"/>
    <w:uiPriority w:val="99"/>
    <w:unhideWhenUsed/>
    <w:rsid w:val="00F46959"/>
    <w:rPr>
      <w:szCs w:val="20"/>
    </w:rPr>
  </w:style>
  <w:style w:type="character" w:customStyle="1" w:styleId="CommentTextChar">
    <w:name w:val="Comment Text Char"/>
    <w:basedOn w:val="DefaultParagraphFont"/>
    <w:link w:val="CommentText"/>
    <w:uiPriority w:val="99"/>
    <w:rsid w:val="00F46959"/>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F46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959"/>
    <w:rPr>
      <w:rFonts w:ascii="Segoe UI" w:eastAsia="Times New Roman" w:hAnsi="Segoe UI" w:cs="Segoe UI"/>
      <w:sz w:val="18"/>
      <w:szCs w:val="18"/>
      <w:lang w:eastAsia="en-GB"/>
    </w:rPr>
  </w:style>
  <w:style w:type="table" w:styleId="TableGrid">
    <w:name w:val="Table Grid"/>
    <w:basedOn w:val="TableNormal"/>
    <w:uiPriority w:val="59"/>
    <w:rsid w:val="00D3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106"/>
    <w:pPr>
      <w:tabs>
        <w:tab w:val="center" w:pos="4513"/>
        <w:tab w:val="right" w:pos="9026"/>
      </w:tabs>
    </w:pPr>
  </w:style>
  <w:style w:type="character" w:customStyle="1" w:styleId="HeaderChar">
    <w:name w:val="Header Char"/>
    <w:basedOn w:val="DefaultParagraphFont"/>
    <w:link w:val="Header"/>
    <w:uiPriority w:val="99"/>
    <w:rsid w:val="000A3106"/>
    <w:rPr>
      <w:rFonts w:ascii="Arial" w:eastAsia="Times New Roman" w:hAnsi="Arial" w:cs="Times New Roman"/>
      <w:sz w:val="20"/>
      <w:lang w:eastAsia="en-GB"/>
    </w:rPr>
  </w:style>
  <w:style w:type="paragraph" w:styleId="Footer">
    <w:name w:val="footer"/>
    <w:basedOn w:val="Normal"/>
    <w:link w:val="FooterChar"/>
    <w:uiPriority w:val="99"/>
    <w:unhideWhenUsed/>
    <w:rsid w:val="000A3106"/>
    <w:pPr>
      <w:tabs>
        <w:tab w:val="center" w:pos="4513"/>
        <w:tab w:val="right" w:pos="9026"/>
      </w:tabs>
    </w:pPr>
  </w:style>
  <w:style w:type="character" w:customStyle="1" w:styleId="FooterChar">
    <w:name w:val="Footer Char"/>
    <w:basedOn w:val="DefaultParagraphFont"/>
    <w:link w:val="Footer"/>
    <w:uiPriority w:val="99"/>
    <w:rsid w:val="000A3106"/>
    <w:rPr>
      <w:rFonts w:ascii="Arial" w:eastAsia="Times New Roman" w:hAnsi="Arial"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Draft ITT</Level_x0020_Four>
    <Local_x0020_KeywordsOOB xmlns="CEF9C6BB-67A9-469D-87F3-81A3DBF7E68C"/>
    <Status xmlns="http://schemas.microsoft.com/sharepoint/v3" xsi:nil="true"/>
    <Declared xmlns="cef9c6bb-67a9-469d-87f3-81a3dbf7e68c">false</Declared>
    <AuthorOriginator xmlns="http://schemas.microsoft.com/sharepoint/v3">Bulpitt, Edward D (Def Comrcl DCGP-16-06)</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None</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 xsi:nil="true"/>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2017-08-15T23:00:00+00:00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ab034f93-4def-4a81-a778-8f2b0ce52ed0" elementFormDefault="qualified">
    <xsd:import namespace="http://schemas.microsoft.com/office/2006/documentManagement/type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BA76-DFB1-47F7-AA87-1B76E95D3423}"/>
</file>

<file path=customXml/itemProps2.xml><?xml version="1.0" encoding="utf-8"?>
<ds:datastoreItem xmlns:ds="http://schemas.openxmlformats.org/officeDocument/2006/customXml" ds:itemID="{BC1297E8-60DB-4293-963D-8D463FFA94EA}"/>
</file>

<file path=customXml/itemProps3.xml><?xml version="1.0" encoding="utf-8"?>
<ds:datastoreItem xmlns:ds="http://schemas.openxmlformats.org/officeDocument/2006/customXml" ds:itemID="{32F654C2-4E03-4384-A555-37570ECC29EF}"/>
</file>

<file path=customXml/itemProps4.xml><?xml version="1.0" encoding="utf-8"?>
<ds:datastoreItem xmlns:ds="http://schemas.openxmlformats.org/officeDocument/2006/customXml" ds:itemID="{A12A0AE2-F548-4DAE-AB7C-2B82184E28E7}"/>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_CBRN00222_NABITO_Annex_C_Glossary</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CBRN00222_NABITO_Glossary_Annex_TBC</dc:title>
  <dc:subject/>
  <dc:creator>Bulpitt, Edward D (Def Comrcl DCGP-16-06)</dc:creator>
  <cp:keywords/>
  <dc:description/>
  <cp:lastModifiedBy>Hirst, Joshua Mr (DES CBRN-Comrcl1)</cp:lastModifiedBy>
  <cp:revision>3</cp:revision>
  <dcterms:created xsi:type="dcterms:W3CDTF">2017-08-16T14:42:00Z</dcterms:created>
  <dcterms:modified xsi:type="dcterms:W3CDTF">2017-08-30T12:41:00Z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0x0101002817DCC3B91A4B7EA656B27E1AE952E300C4065ECD24EAA244AF8C83DF2D62801F</vt:lpwstr>
  </property>
</Properties>
</file>